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950D73" w14:paraId="0F354E06" w14:textId="77777777" w:rsidTr="00F01738">
        <w:trPr>
          <w:trHeight w:hRule="exact" w:val="851"/>
        </w:trPr>
        <w:tc>
          <w:tcPr>
            <w:tcW w:w="1276" w:type="dxa"/>
            <w:tcBorders>
              <w:bottom w:val="single" w:sz="4" w:space="0" w:color="auto"/>
            </w:tcBorders>
          </w:tcPr>
          <w:p w14:paraId="3E615C29" w14:textId="77777777" w:rsidR="00132EA9" w:rsidRPr="00950D73" w:rsidRDefault="00132EA9" w:rsidP="00F01738">
            <w:pPr>
              <w:rPr>
                <w:rFonts w:asciiTheme="majorBidi" w:hAnsiTheme="majorBidi" w:cstheme="majorBidi"/>
              </w:rPr>
            </w:pPr>
          </w:p>
        </w:tc>
        <w:tc>
          <w:tcPr>
            <w:tcW w:w="2268" w:type="dxa"/>
            <w:tcBorders>
              <w:bottom w:val="single" w:sz="4" w:space="0" w:color="auto"/>
            </w:tcBorders>
            <w:vAlign w:val="bottom"/>
          </w:tcPr>
          <w:p w14:paraId="38197347" w14:textId="77777777" w:rsidR="00132EA9" w:rsidRPr="00950D73" w:rsidRDefault="00132EA9" w:rsidP="00F01738">
            <w:pPr>
              <w:spacing w:after="80" w:line="300" w:lineRule="exact"/>
              <w:rPr>
                <w:rFonts w:asciiTheme="majorBidi" w:hAnsiTheme="majorBidi" w:cstheme="majorBidi"/>
                <w:sz w:val="28"/>
              </w:rPr>
            </w:pPr>
            <w:r w:rsidRPr="00950D73">
              <w:rPr>
                <w:rFonts w:asciiTheme="majorBidi" w:hAnsiTheme="majorBidi" w:cstheme="majorBidi"/>
                <w:sz w:val="28"/>
              </w:rPr>
              <w:t>Nations Unies</w:t>
            </w:r>
          </w:p>
        </w:tc>
        <w:tc>
          <w:tcPr>
            <w:tcW w:w="6095" w:type="dxa"/>
            <w:gridSpan w:val="2"/>
            <w:tcBorders>
              <w:bottom w:val="single" w:sz="4" w:space="0" w:color="auto"/>
            </w:tcBorders>
            <w:vAlign w:val="bottom"/>
          </w:tcPr>
          <w:p w14:paraId="4368313A" w14:textId="4DA39E1C" w:rsidR="00132EA9" w:rsidRPr="00767D85" w:rsidRDefault="00767D85" w:rsidP="00767D85">
            <w:pPr>
              <w:jc w:val="right"/>
              <w:rPr>
                <w:rFonts w:asciiTheme="majorBidi" w:hAnsiTheme="majorBidi" w:cstheme="majorBidi"/>
              </w:rPr>
            </w:pPr>
            <w:r w:rsidRPr="00767D85">
              <w:rPr>
                <w:rFonts w:asciiTheme="majorBidi" w:hAnsiTheme="majorBidi" w:cstheme="majorBidi"/>
                <w:sz w:val="40"/>
              </w:rPr>
              <w:t>ST</w:t>
            </w:r>
            <w:r>
              <w:rPr>
                <w:rFonts w:asciiTheme="majorBidi" w:hAnsiTheme="majorBidi" w:cstheme="majorBidi"/>
              </w:rPr>
              <w:t>/SG/AC.10/50/Add.3</w:t>
            </w:r>
          </w:p>
        </w:tc>
      </w:tr>
      <w:tr w:rsidR="00132EA9" w:rsidRPr="00950D73" w14:paraId="0F228A90" w14:textId="77777777" w:rsidTr="00F01738">
        <w:trPr>
          <w:trHeight w:hRule="exact" w:val="2835"/>
        </w:trPr>
        <w:tc>
          <w:tcPr>
            <w:tcW w:w="1276" w:type="dxa"/>
            <w:tcBorders>
              <w:top w:val="single" w:sz="4" w:space="0" w:color="auto"/>
              <w:bottom w:val="single" w:sz="12" w:space="0" w:color="auto"/>
            </w:tcBorders>
          </w:tcPr>
          <w:p w14:paraId="0AFEE864" w14:textId="77777777" w:rsidR="00132EA9" w:rsidRPr="00950D73" w:rsidRDefault="00132EA9" w:rsidP="00F01738">
            <w:pPr>
              <w:spacing w:before="120"/>
              <w:jc w:val="center"/>
              <w:rPr>
                <w:rFonts w:asciiTheme="majorBidi" w:hAnsiTheme="majorBidi" w:cstheme="majorBidi"/>
              </w:rPr>
            </w:pPr>
            <w:r w:rsidRPr="00950D73">
              <w:rPr>
                <w:rFonts w:asciiTheme="majorBidi" w:hAnsiTheme="majorBidi" w:cstheme="majorBidi"/>
                <w:noProof/>
                <w:lang w:eastAsia="fr-CH"/>
              </w:rPr>
              <w:drawing>
                <wp:inline distT="0" distB="0" distL="0" distR="0" wp14:anchorId="676B020F" wp14:editId="0F3AE28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025FE3F" w14:textId="77777777" w:rsidR="00132EA9" w:rsidRPr="00950D73" w:rsidRDefault="00132EA9" w:rsidP="00F01738">
            <w:pPr>
              <w:spacing w:before="120" w:line="420" w:lineRule="exact"/>
              <w:rPr>
                <w:rFonts w:asciiTheme="majorBidi" w:hAnsiTheme="majorBidi" w:cstheme="majorBidi"/>
                <w:b/>
                <w:sz w:val="40"/>
                <w:szCs w:val="40"/>
              </w:rPr>
            </w:pPr>
            <w:r w:rsidRPr="00950D73">
              <w:rPr>
                <w:rFonts w:asciiTheme="majorBidi" w:hAnsiTheme="majorBidi" w:cstheme="majorBidi"/>
                <w:b/>
                <w:sz w:val="40"/>
                <w:szCs w:val="40"/>
              </w:rPr>
              <w:t>Secrétariat</w:t>
            </w:r>
          </w:p>
        </w:tc>
        <w:tc>
          <w:tcPr>
            <w:tcW w:w="2835" w:type="dxa"/>
            <w:tcBorders>
              <w:top w:val="single" w:sz="4" w:space="0" w:color="auto"/>
              <w:bottom w:val="single" w:sz="12" w:space="0" w:color="auto"/>
            </w:tcBorders>
          </w:tcPr>
          <w:p w14:paraId="7C97A062" w14:textId="77777777" w:rsidR="00132EA9" w:rsidRPr="00950D73" w:rsidRDefault="001B62A4" w:rsidP="001B62A4">
            <w:pPr>
              <w:spacing w:before="240" w:line="240" w:lineRule="exact"/>
              <w:rPr>
                <w:rFonts w:asciiTheme="majorBidi" w:hAnsiTheme="majorBidi" w:cstheme="majorBidi"/>
              </w:rPr>
            </w:pPr>
            <w:proofErr w:type="spellStart"/>
            <w:r w:rsidRPr="00950D73">
              <w:rPr>
                <w:rFonts w:asciiTheme="majorBidi" w:hAnsiTheme="majorBidi" w:cstheme="majorBidi"/>
              </w:rPr>
              <w:t>Distr</w:t>
            </w:r>
            <w:proofErr w:type="spellEnd"/>
            <w:r w:rsidRPr="00950D73">
              <w:rPr>
                <w:rFonts w:asciiTheme="majorBidi" w:hAnsiTheme="majorBidi" w:cstheme="majorBidi"/>
              </w:rPr>
              <w:t>. générale</w:t>
            </w:r>
          </w:p>
          <w:p w14:paraId="5FF0C636" w14:textId="1F8F4511" w:rsidR="001B62A4" w:rsidRPr="00950D73" w:rsidRDefault="00A7351A" w:rsidP="001B62A4">
            <w:pPr>
              <w:spacing w:line="240" w:lineRule="exact"/>
              <w:rPr>
                <w:rFonts w:asciiTheme="majorBidi" w:hAnsiTheme="majorBidi" w:cstheme="majorBidi"/>
              </w:rPr>
            </w:pPr>
            <w:r w:rsidRPr="00A7351A">
              <w:rPr>
                <w:rFonts w:asciiTheme="majorBidi" w:hAnsiTheme="majorBidi" w:cstheme="majorBidi"/>
              </w:rPr>
              <w:t>2</w:t>
            </w:r>
            <w:r w:rsidR="007070E4">
              <w:rPr>
                <w:rFonts w:asciiTheme="majorBidi" w:hAnsiTheme="majorBidi" w:cstheme="majorBidi"/>
              </w:rPr>
              <w:t>7</w:t>
            </w:r>
            <w:r w:rsidR="001B62A4" w:rsidRPr="00A7351A">
              <w:rPr>
                <w:rFonts w:asciiTheme="majorBidi" w:hAnsiTheme="majorBidi" w:cstheme="majorBidi"/>
              </w:rPr>
              <w:t xml:space="preserve"> </w:t>
            </w:r>
            <w:r w:rsidR="00E22843" w:rsidRPr="00A7351A">
              <w:rPr>
                <w:rFonts w:asciiTheme="majorBidi" w:hAnsiTheme="majorBidi" w:cstheme="majorBidi"/>
              </w:rPr>
              <w:t>février</w:t>
            </w:r>
            <w:r w:rsidR="001B62A4" w:rsidRPr="00A7351A">
              <w:rPr>
                <w:rFonts w:asciiTheme="majorBidi" w:hAnsiTheme="majorBidi" w:cstheme="majorBidi"/>
              </w:rPr>
              <w:t xml:space="preserve"> 2023</w:t>
            </w:r>
          </w:p>
          <w:p w14:paraId="32F0F423" w14:textId="77777777" w:rsidR="001B62A4" w:rsidRPr="00950D73" w:rsidRDefault="001B62A4" w:rsidP="001B62A4">
            <w:pPr>
              <w:spacing w:line="240" w:lineRule="exact"/>
              <w:rPr>
                <w:rFonts w:asciiTheme="majorBidi" w:hAnsiTheme="majorBidi" w:cstheme="majorBidi"/>
              </w:rPr>
            </w:pPr>
          </w:p>
          <w:p w14:paraId="60D2B97B" w14:textId="659FC82D" w:rsidR="001B62A4" w:rsidRPr="00950D73" w:rsidRDefault="001B62A4" w:rsidP="001B62A4">
            <w:pPr>
              <w:spacing w:line="240" w:lineRule="exact"/>
              <w:rPr>
                <w:rFonts w:asciiTheme="majorBidi" w:hAnsiTheme="majorBidi" w:cstheme="majorBidi"/>
              </w:rPr>
            </w:pPr>
            <w:r w:rsidRPr="00950D73">
              <w:rPr>
                <w:rFonts w:asciiTheme="majorBidi" w:hAnsiTheme="majorBidi" w:cstheme="majorBidi"/>
              </w:rPr>
              <w:t xml:space="preserve">Original : </w:t>
            </w:r>
            <w:r w:rsidR="00BE396F" w:rsidRPr="00950D73">
              <w:rPr>
                <w:rFonts w:asciiTheme="majorBidi" w:hAnsiTheme="majorBidi" w:cstheme="majorBidi"/>
              </w:rPr>
              <w:t xml:space="preserve">anglais et </w:t>
            </w:r>
            <w:r w:rsidRPr="00950D73">
              <w:rPr>
                <w:rFonts w:asciiTheme="majorBidi" w:hAnsiTheme="majorBidi" w:cstheme="majorBidi"/>
              </w:rPr>
              <w:t>français</w:t>
            </w:r>
          </w:p>
        </w:tc>
      </w:tr>
    </w:tbl>
    <w:p w14:paraId="18645787" w14:textId="77777777" w:rsidR="00BE396F" w:rsidRDefault="00BE396F" w:rsidP="007513FE">
      <w:pPr>
        <w:spacing w:before="120"/>
        <w:rPr>
          <w:rFonts w:asciiTheme="majorBidi" w:hAnsiTheme="majorBidi" w:cstheme="majorBidi"/>
          <w:b/>
          <w:sz w:val="24"/>
          <w:szCs w:val="24"/>
        </w:rPr>
      </w:pPr>
      <w:r w:rsidRPr="00950D73">
        <w:rPr>
          <w:rFonts w:asciiTheme="majorBidi" w:hAnsiTheme="majorBidi" w:cstheme="majorBidi"/>
          <w:b/>
          <w:sz w:val="24"/>
          <w:szCs w:val="24"/>
        </w:rPr>
        <w:t>Comité d’experts du transport des marchandises dangereuses</w:t>
      </w:r>
      <w:r w:rsidRPr="00950D73">
        <w:rPr>
          <w:rFonts w:asciiTheme="majorBidi" w:hAnsiTheme="majorBidi" w:cstheme="majorBidi"/>
          <w:b/>
          <w:sz w:val="24"/>
          <w:szCs w:val="24"/>
        </w:rPr>
        <w:br/>
        <w:t>et du Système général harmonisé de classification</w:t>
      </w:r>
      <w:r w:rsidRPr="00950D73">
        <w:rPr>
          <w:rFonts w:asciiTheme="majorBidi" w:hAnsiTheme="majorBidi" w:cstheme="majorBidi"/>
          <w:b/>
          <w:sz w:val="24"/>
          <w:szCs w:val="24"/>
        </w:rPr>
        <w:br/>
        <w:t>et d’étiquetage des produits chimiques</w:t>
      </w:r>
    </w:p>
    <w:p w14:paraId="140B65D1" w14:textId="43C2CBD3" w:rsidR="00E40640" w:rsidRPr="00584C53" w:rsidRDefault="00E40640" w:rsidP="00E40640">
      <w:pPr>
        <w:pStyle w:val="HChG"/>
        <w:rPr>
          <w:lang w:val="fr-FR"/>
        </w:rPr>
      </w:pPr>
      <w:r>
        <w:rPr>
          <w:lang w:val="fr-FR"/>
        </w:rPr>
        <w:tab/>
      </w:r>
      <w:r>
        <w:rPr>
          <w:lang w:val="fr-FR"/>
        </w:rPr>
        <w:tab/>
      </w:r>
      <w:r w:rsidRPr="00584C53">
        <w:rPr>
          <w:lang w:val="fr-FR"/>
        </w:rPr>
        <w:t>Rapport du Comité d’experts du transport des marchandises dangereuses et du Système général harmonisé de classification et d’étiquetage des produits chimiques sur sa onzième session</w:t>
      </w:r>
    </w:p>
    <w:p w14:paraId="144DB774" w14:textId="2BEF31F6" w:rsidR="00E40640" w:rsidRPr="005A0EF2" w:rsidRDefault="00E40640" w:rsidP="00E40640">
      <w:pPr>
        <w:rPr>
          <w:lang w:val="fr-FR"/>
        </w:rPr>
      </w:pPr>
      <w:r w:rsidRPr="00584C53">
        <w:rPr>
          <w:lang w:val="fr-FR"/>
        </w:rPr>
        <w:tab/>
      </w:r>
      <w:r w:rsidRPr="00584C53">
        <w:rPr>
          <w:lang w:val="fr-FR"/>
        </w:rPr>
        <w:tab/>
        <w:t xml:space="preserve">tenue à Genève le </w:t>
      </w:r>
      <w:r w:rsidR="004E14FD" w:rsidRPr="00584C53">
        <w:rPr>
          <w:lang w:val="fr-FR"/>
        </w:rPr>
        <w:t>9</w:t>
      </w:r>
      <w:r w:rsidRPr="00584C53">
        <w:rPr>
          <w:lang w:val="fr-FR"/>
        </w:rPr>
        <w:t xml:space="preserve"> décembre </w:t>
      </w:r>
      <w:r w:rsidR="004E14FD" w:rsidRPr="00584C53">
        <w:rPr>
          <w:lang w:val="fr-FR"/>
        </w:rPr>
        <w:t>2022</w:t>
      </w:r>
    </w:p>
    <w:p w14:paraId="04839D48" w14:textId="77777777" w:rsidR="00E40640" w:rsidRPr="005A0EF2" w:rsidRDefault="00E40640" w:rsidP="00E40640">
      <w:pPr>
        <w:pStyle w:val="H23G"/>
        <w:rPr>
          <w:lang w:val="fr-FR"/>
        </w:rPr>
      </w:pPr>
      <w:r w:rsidRPr="005A0EF2">
        <w:rPr>
          <w:lang w:val="fr-FR"/>
        </w:rPr>
        <w:tab/>
      </w:r>
      <w:r w:rsidRPr="005A0EF2">
        <w:rPr>
          <w:lang w:val="fr-FR"/>
        </w:rPr>
        <w:tab/>
        <w:t>Additif</w:t>
      </w:r>
    </w:p>
    <w:p w14:paraId="48359937" w14:textId="77777777" w:rsidR="00E40640" w:rsidRPr="005A0EF2" w:rsidRDefault="00E40640" w:rsidP="00E40640">
      <w:pPr>
        <w:pStyle w:val="H1G"/>
        <w:rPr>
          <w:lang w:val="fr-FR"/>
        </w:rPr>
      </w:pPr>
      <w:r w:rsidRPr="005A0EF2">
        <w:rPr>
          <w:lang w:val="fr-FR"/>
        </w:rPr>
        <w:tab/>
      </w:r>
      <w:r w:rsidRPr="005A0EF2">
        <w:rPr>
          <w:lang w:val="fr-FR"/>
        </w:rPr>
        <w:tab/>
        <w:t>Annexe III</w:t>
      </w:r>
    </w:p>
    <w:p w14:paraId="4B43A673" w14:textId="413C496A" w:rsidR="00E40640" w:rsidRPr="005A0EF2" w:rsidRDefault="00E40640" w:rsidP="00E40640">
      <w:pPr>
        <w:pStyle w:val="H1G"/>
        <w:rPr>
          <w:lang w:val="fr-FR"/>
        </w:rPr>
      </w:pPr>
      <w:r w:rsidRPr="005A0EF2">
        <w:rPr>
          <w:lang w:val="fr-FR"/>
        </w:rPr>
        <w:tab/>
      </w:r>
      <w:r w:rsidRPr="005A0EF2">
        <w:rPr>
          <w:lang w:val="fr-FR"/>
        </w:rPr>
        <w:tab/>
        <w:t xml:space="preserve">Amendements à la </w:t>
      </w:r>
      <w:r>
        <w:rPr>
          <w:lang w:val="fr-FR"/>
        </w:rPr>
        <w:t>neuvième</w:t>
      </w:r>
      <w:r w:rsidRPr="005A0EF2">
        <w:rPr>
          <w:lang w:val="fr-FR"/>
        </w:rPr>
        <w:t xml:space="preserve"> édition révisée du Système général harmonisé de classification et d’étiquetage des produits chimiques (SGH) (ST/SG/AC.10/30/Rev.</w:t>
      </w:r>
      <w:r>
        <w:rPr>
          <w:lang w:val="fr-FR"/>
        </w:rPr>
        <w:t>9</w:t>
      </w:r>
      <w:r w:rsidRPr="005A0EF2">
        <w:rPr>
          <w:lang w:val="fr-FR"/>
        </w:rPr>
        <w:t>)</w:t>
      </w:r>
    </w:p>
    <w:p w14:paraId="7DAB26F3" w14:textId="77777777" w:rsidR="00E40640" w:rsidRPr="00950D73" w:rsidRDefault="00E40640" w:rsidP="007513FE">
      <w:pPr>
        <w:spacing w:before="120"/>
        <w:rPr>
          <w:rFonts w:asciiTheme="majorBidi" w:hAnsiTheme="majorBidi" w:cstheme="majorBidi"/>
          <w:b/>
          <w:sz w:val="24"/>
          <w:szCs w:val="24"/>
        </w:rPr>
      </w:pPr>
    </w:p>
    <w:p w14:paraId="3B2A78D9" w14:textId="0E29308D" w:rsidR="00363217" w:rsidRPr="00950D73" w:rsidRDefault="00363217">
      <w:pPr>
        <w:rPr>
          <w:rFonts w:asciiTheme="majorBidi" w:hAnsiTheme="majorBidi" w:cstheme="majorBidi"/>
        </w:rPr>
      </w:pPr>
      <w:r w:rsidRPr="00950D73">
        <w:rPr>
          <w:rFonts w:asciiTheme="majorBidi" w:hAnsiTheme="majorBidi" w:cstheme="majorBidi"/>
        </w:rPr>
        <w:lastRenderedPageBreak/>
        <w:br w:type="page"/>
      </w:r>
    </w:p>
    <w:p w14:paraId="295A1284" w14:textId="4A29C354" w:rsidR="00A372DA" w:rsidRPr="00950D73" w:rsidRDefault="00A372DA" w:rsidP="00A372DA">
      <w:pPr>
        <w:pStyle w:val="H1G"/>
        <w:rPr>
          <w:rFonts w:asciiTheme="majorBidi" w:hAnsiTheme="majorBidi" w:cstheme="majorBidi"/>
        </w:rPr>
      </w:pPr>
      <w:r w:rsidRPr="00950D73">
        <w:rPr>
          <w:rFonts w:asciiTheme="majorBidi" w:hAnsiTheme="majorBidi" w:cstheme="majorBidi"/>
        </w:rPr>
        <w:lastRenderedPageBreak/>
        <w:tab/>
      </w:r>
      <w:r w:rsidRPr="00950D73">
        <w:rPr>
          <w:rFonts w:asciiTheme="majorBidi" w:hAnsiTheme="majorBidi" w:cstheme="majorBidi"/>
        </w:rPr>
        <w:tab/>
        <w:t>Chapitre 1.2</w:t>
      </w:r>
    </w:p>
    <w:p w14:paraId="2AE6E5F1" w14:textId="4BBC9064" w:rsidR="00A372DA" w:rsidRPr="00950D73" w:rsidRDefault="00A372DA" w:rsidP="00A372DA">
      <w:pPr>
        <w:pStyle w:val="SingleTxtG"/>
        <w:rPr>
          <w:rFonts w:asciiTheme="majorBidi" w:hAnsiTheme="majorBidi" w:cstheme="majorBidi"/>
        </w:rPr>
      </w:pPr>
      <w:r w:rsidRPr="00950D73">
        <w:rPr>
          <w:rFonts w:asciiTheme="majorBidi" w:hAnsiTheme="majorBidi" w:cstheme="majorBidi"/>
        </w:rPr>
        <w:t xml:space="preserve">Ajouter </w:t>
      </w:r>
      <w:r w:rsidR="00981E54" w:rsidRPr="00950D73">
        <w:rPr>
          <w:rFonts w:asciiTheme="majorBidi" w:hAnsiTheme="majorBidi" w:cstheme="majorBidi"/>
        </w:rPr>
        <w:t xml:space="preserve">les </w:t>
      </w:r>
      <w:r w:rsidRPr="00950D73">
        <w:rPr>
          <w:rFonts w:asciiTheme="majorBidi" w:hAnsiTheme="majorBidi" w:cstheme="majorBidi"/>
        </w:rPr>
        <w:t>définition</w:t>
      </w:r>
      <w:r w:rsidR="00981E54" w:rsidRPr="00950D73">
        <w:rPr>
          <w:rFonts w:asciiTheme="majorBidi" w:hAnsiTheme="majorBidi" w:cstheme="majorBidi"/>
        </w:rPr>
        <w:t>s</w:t>
      </w:r>
      <w:r w:rsidRPr="00950D73">
        <w:rPr>
          <w:rFonts w:asciiTheme="majorBidi" w:hAnsiTheme="majorBidi" w:cstheme="majorBidi"/>
        </w:rPr>
        <w:t xml:space="preserve"> suivante</w:t>
      </w:r>
      <w:r w:rsidR="00981E54" w:rsidRPr="00950D73">
        <w:rPr>
          <w:rFonts w:asciiTheme="majorBidi" w:hAnsiTheme="majorBidi" w:cstheme="majorBidi"/>
        </w:rPr>
        <w:t>s</w:t>
      </w:r>
      <w:r w:rsidRPr="00950D73">
        <w:rPr>
          <w:rFonts w:asciiTheme="majorBidi" w:hAnsiTheme="majorBidi" w:cstheme="majorBidi"/>
        </w:rPr>
        <w:t xml:space="preserve"> dans l’ordre alphabétique : </w:t>
      </w:r>
    </w:p>
    <w:p w14:paraId="26DF5316" w14:textId="7DB452CF" w:rsidR="00B636A3" w:rsidRPr="00464F7A" w:rsidRDefault="00B636A3" w:rsidP="00B636A3">
      <w:pPr>
        <w:pStyle w:val="SingleTxtG"/>
        <w:ind w:left="2268" w:hanging="1134"/>
        <w:rPr>
          <w:rFonts w:asciiTheme="majorBidi" w:eastAsiaTheme="minorEastAsia" w:hAnsiTheme="majorBidi" w:cstheme="majorBidi"/>
          <w:lang w:val="en-US"/>
        </w:rPr>
      </w:pPr>
      <w:r w:rsidRPr="00464F7A">
        <w:rPr>
          <w:rFonts w:asciiTheme="majorBidi" w:hAnsiTheme="majorBidi" w:cstheme="majorBidi"/>
          <w:lang w:val="en-US"/>
        </w:rPr>
        <w:t>« </w:t>
      </w:r>
      <w:r w:rsidRPr="00464F7A">
        <w:rPr>
          <w:rFonts w:asciiTheme="majorBidi" w:hAnsiTheme="majorBidi" w:cstheme="majorBidi"/>
          <w:b/>
          <w:bCs/>
          <w:i/>
          <w:iCs/>
          <w:lang w:val="en-US"/>
        </w:rPr>
        <w:t>IATA</w:t>
      </w:r>
      <w:r w:rsidRPr="00464F7A">
        <w:rPr>
          <w:rFonts w:asciiTheme="majorBidi" w:hAnsiTheme="majorBidi" w:cstheme="majorBidi"/>
          <w:lang w:val="en-US"/>
        </w:rPr>
        <w:t xml:space="preserve">, </w:t>
      </w:r>
      <w:proofErr w:type="spellStart"/>
      <w:r w:rsidRPr="00464F7A">
        <w:rPr>
          <w:rFonts w:asciiTheme="majorBidi" w:hAnsiTheme="majorBidi" w:cstheme="majorBidi"/>
          <w:lang w:val="en-US"/>
        </w:rPr>
        <w:t>l’abréviation</w:t>
      </w:r>
      <w:proofErr w:type="spellEnd"/>
      <w:r w:rsidRPr="00464F7A">
        <w:rPr>
          <w:rFonts w:asciiTheme="majorBidi" w:hAnsiTheme="majorBidi" w:cstheme="majorBidi"/>
          <w:lang w:val="en-US"/>
        </w:rPr>
        <w:t xml:space="preserve"> de </w:t>
      </w:r>
      <w:r w:rsidR="00717F51" w:rsidRPr="00464F7A">
        <w:rPr>
          <w:rFonts w:asciiTheme="majorBidi" w:hAnsiTheme="majorBidi" w:cstheme="majorBidi"/>
          <w:lang w:val="en-US"/>
        </w:rPr>
        <w:t>« </w:t>
      </w:r>
      <w:r w:rsidRPr="00464F7A">
        <w:rPr>
          <w:rFonts w:asciiTheme="majorBidi" w:hAnsiTheme="majorBidi" w:cstheme="majorBidi"/>
          <w:lang w:val="en-US"/>
        </w:rPr>
        <w:t>Integrated Approach on Testing and Assessment</w:t>
      </w:r>
      <w:r w:rsidR="00717F51" w:rsidRPr="00464F7A">
        <w:rPr>
          <w:rFonts w:asciiTheme="majorBidi" w:hAnsiTheme="majorBidi" w:cstheme="majorBidi"/>
          <w:lang w:val="en-US"/>
        </w:rPr>
        <w:t> »</w:t>
      </w:r>
      <w:r w:rsidRPr="00464F7A">
        <w:rPr>
          <w:rFonts w:asciiTheme="majorBidi" w:hAnsiTheme="majorBidi" w:cstheme="majorBidi"/>
          <w:lang w:val="en-US"/>
        </w:rPr>
        <w:t> ; ».</w:t>
      </w:r>
    </w:p>
    <w:p w14:paraId="02AC3B00" w14:textId="7EDCAC14" w:rsidR="00216CE9" w:rsidRPr="00950D73" w:rsidRDefault="000B0D07" w:rsidP="000B0D07">
      <w:pPr>
        <w:pStyle w:val="SingleTxtG"/>
        <w:tabs>
          <w:tab w:val="clear" w:pos="2268"/>
        </w:tabs>
        <w:rPr>
          <w:rFonts w:asciiTheme="majorBidi" w:eastAsiaTheme="minorEastAsia" w:hAnsiTheme="majorBidi" w:cstheme="majorBidi"/>
        </w:rPr>
      </w:pPr>
      <w:r w:rsidRPr="00950D73">
        <w:rPr>
          <w:rFonts w:asciiTheme="majorBidi" w:eastAsiaTheme="minorEastAsia" w:hAnsiTheme="majorBidi" w:cstheme="majorBidi"/>
        </w:rPr>
        <w:t>«</w:t>
      </w:r>
      <w:r w:rsidR="00B636A3" w:rsidRPr="00950D73">
        <w:rPr>
          <w:rFonts w:asciiTheme="majorBidi" w:eastAsiaTheme="minorEastAsia" w:hAnsiTheme="majorBidi" w:cstheme="majorBidi"/>
        </w:rPr>
        <w:t> </w:t>
      </w:r>
      <w:r w:rsidRPr="00950D73">
        <w:rPr>
          <w:rFonts w:asciiTheme="majorBidi" w:eastAsiaTheme="minorEastAsia" w:hAnsiTheme="majorBidi" w:cstheme="majorBidi"/>
          <w:b/>
          <w:bCs/>
          <w:i/>
          <w:iCs/>
        </w:rPr>
        <w:t>Méthode définie</w:t>
      </w:r>
      <w:r w:rsidRPr="00950D73">
        <w:rPr>
          <w:rFonts w:asciiTheme="majorBidi" w:eastAsiaTheme="minorEastAsia" w:hAnsiTheme="majorBidi" w:cstheme="majorBidi"/>
        </w:rPr>
        <w:t>, une méthode d’essai et d’évaluation qui consiste à appliquer une procédure déterminée d’interprétation des données pour interpréter les données obtenues à partir d’un ensemble défini de sources d’information, qui peut être utilisée seule ou avec d’autres sources d’information dans le cadre d’une évaluation globale de la force probante des données, de façon à répondre à un besoin particulier en matière de réglementation ; ».</w:t>
      </w:r>
    </w:p>
    <w:p w14:paraId="2068D169" w14:textId="4C999B1A" w:rsidR="005D2F9E" w:rsidRPr="00950D73" w:rsidRDefault="005D2F9E" w:rsidP="005D2F9E">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1.3</w:t>
      </w:r>
    </w:p>
    <w:p w14:paraId="3F5AFB55" w14:textId="64DBB0FE" w:rsidR="005D2F9E" w:rsidRPr="00950D73" w:rsidRDefault="00BA6DCB" w:rsidP="00BA6DCB">
      <w:pPr>
        <w:pStyle w:val="SingleTxtG"/>
        <w:rPr>
          <w:rFonts w:asciiTheme="majorBidi" w:hAnsiTheme="majorBidi" w:cstheme="majorBidi"/>
        </w:rPr>
      </w:pPr>
      <w:r w:rsidRPr="00950D73">
        <w:rPr>
          <w:rFonts w:asciiTheme="majorBidi" w:hAnsiTheme="majorBidi" w:cstheme="majorBidi"/>
        </w:rPr>
        <w:t xml:space="preserve">1.3.2.4.8 </w:t>
      </w:r>
      <w:r w:rsidRPr="00950D73">
        <w:rPr>
          <w:rFonts w:asciiTheme="majorBidi" w:hAnsiTheme="majorBidi" w:cstheme="majorBidi"/>
        </w:rPr>
        <w:tab/>
        <w:t>Modification sans objet en français.</w:t>
      </w:r>
    </w:p>
    <w:p w14:paraId="4BFFA3BD" w14:textId="2EB1CECB" w:rsidR="00610214" w:rsidRPr="00950D73" w:rsidRDefault="00610214" w:rsidP="00610214">
      <w:pPr>
        <w:pStyle w:val="SingleTxtG"/>
        <w:rPr>
          <w:rFonts w:asciiTheme="majorBidi" w:hAnsiTheme="majorBidi" w:cstheme="majorBidi"/>
        </w:rPr>
      </w:pPr>
      <w:r w:rsidRPr="00950D73">
        <w:rPr>
          <w:rFonts w:asciiTheme="majorBidi" w:hAnsiTheme="majorBidi" w:cstheme="majorBidi"/>
        </w:rPr>
        <w:t>1.3.2.4.9.2</w:t>
      </w:r>
      <w:r w:rsidRPr="00950D73">
        <w:rPr>
          <w:rFonts w:asciiTheme="majorBidi" w:hAnsiTheme="majorBidi" w:cstheme="majorBidi"/>
        </w:rPr>
        <w:tab/>
        <w:t xml:space="preserve">Remplacer « déterminer » par « évaluer » dans la dernière phrase. </w:t>
      </w:r>
    </w:p>
    <w:p w14:paraId="3E90C6FF" w14:textId="7116743E" w:rsidR="00BA6DCB" w:rsidRPr="00950D73" w:rsidRDefault="00357C0F" w:rsidP="00BA6DCB">
      <w:pPr>
        <w:pStyle w:val="SingleTxtG"/>
        <w:rPr>
          <w:rFonts w:asciiTheme="majorBidi" w:hAnsiTheme="majorBidi" w:cstheme="majorBidi"/>
        </w:rPr>
      </w:pPr>
      <w:r w:rsidRPr="00950D73">
        <w:rPr>
          <w:rFonts w:asciiTheme="majorBidi" w:hAnsiTheme="majorBidi" w:cstheme="majorBidi"/>
        </w:rPr>
        <w:t>1.3.2.4.9.5</w:t>
      </w:r>
      <w:r w:rsidRPr="00950D73">
        <w:rPr>
          <w:rFonts w:asciiTheme="majorBidi" w:hAnsiTheme="majorBidi" w:cstheme="majorBidi"/>
        </w:rPr>
        <w:tab/>
        <w:t>Remplacer « déterminer » par « évaluer » dans la première phrase.</w:t>
      </w:r>
    </w:p>
    <w:p w14:paraId="0AC54403" w14:textId="330149C9" w:rsidR="000F4706" w:rsidRPr="00950D73" w:rsidRDefault="000F4706" w:rsidP="000F4706">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w:t>
      </w:r>
    </w:p>
    <w:p w14:paraId="2726590B" w14:textId="7F232DA8" w:rsidR="00106F46" w:rsidRPr="00950D73" w:rsidRDefault="00106F46" w:rsidP="007801DF">
      <w:pPr>
        <w:pStyle w:val="SingleTxtG"/>
        <w:ind w:left="2268" w:hanging="1134"/>
        <w:rPr>
          <w:rFonts w:asciiTheme="majorBidi" w:hAnsiTheme="majorBidi" w:cstheme="majorBidi"/>
        </w:rPr>
      </w:pPr>
      <w:r w:rsidRPr="005263CC">
        <w:rPr>
          <w:rFonts w:asciiTheme="majorBidi" w:hAnsiTheme="majorBidi" w:cstheme="majorBidi"/>
        </w:rPr>
        <w:t>2.1.1.1</w:t>
      </w:r>
      <w:r w:rsidRPr="005263CC">
        <w:rPr>
          <w:rFonts w:asciiTheme="majorBidi" w:hAnsiTheme="majorBidi" w:cstheme="majorBidi"/>
        </w:rPr>
        <w:tab/>
      </w:r>
      <w:r w:rsidRPr="005263CC">
        <w:rPr>
          <w:rFonts w:asciiTheme="majorBidi" w:hAnsiTheme="majorBidi" w:cstheme="majorBidi"/>
        </w:rPr>
        <w:tab/>
      </w:r>
      <w:r w:rsidR="008664C8" w:rsidRPr="005263CC">
        <w:rPr>
          <w:rFonts w:asciiTheme="majorBidi" w:hAnsiTheme="majorBidi" w:cstheme="majorBidi"/>
        </w:rPr>
        <w:t xml:space="preserve">Modifier le début de la </w:t>
      </w:r>
      <w:r w:rsidR="00E342DC" w:rsidRPr="005263CC">
        <w:rPr>
          <w:rFonts w:asciiTheme="majorBidi" w:hAnsiTheme="majorBidi" w:cstheme="majorBidi"/>
        </w:rPr>
        <w:t xml:space="preserve">définition de matière pyrotechnique, </w:t>
      </w:r>
      <w:r w:rsidR="008664C8" w:rsidRPr="005263CC">
        <w:rPr>
          <w:rFonts w:asciiTheme="majorBidi" w:hAnsiTheme="majorBidi" w:cstheme="majorBidi"/>
        </w:rPr>
        <w:t xml:space="preserve">pour lire comme suit : </w:t>
      </w:r>
      <w:r w:rsidR="0028446F" w:rsidRPr="005263CC">
        <w:rPr>
          <w:rFonts w:asciiTheme="majorBidi" w:hAnsiTheme="majorBidi" w:cstheme="majorBidi"/>
        </w:rPr>
        <w:t xml:space="preserve">« Par </w:t>
      </w:r>
      <w:r w:rsidR="0028446F" w:rsidRPr="005263CC">
        <w:rPr>
          <w:rFonts w:asciiTheme="majorBidi" w:hAnsiTheme="majorBidi" w:cstheme="majorBidi"/>
          <w:i/>
          <w:iCs/>
        </w:rPr>
        <w:t>matière pyrotechnique</w:t>
      </w:r>
      <w:r w:rsidR="0028446F" w:rsidRPr="005263CC">
        <w:rPr>
          <w:rFonts w:asciiTheme="majorBidi" w:hAnsiTheme="majorBidi" w:cstheme="majorBidi"/>
        </w:rPr>
        <w:t xml:space="preserve">, on entend </w:t>
      </w:r>
      <w:r w:rsidR="007801DF" w:rsidRPr="005263CC">
        <w:rPr>
          <w:rFonts w:asciiTheme="majorBidi" w:hAnsiTheme="majorBidi" w:cstheme="majorBidi"/>
        </w:rPr>
        <w:t xml:space="preserve"> u</w:t>
      </w:r>
      <w:r w:rsidR="0028446F" w:rsidRPr="005263CC">
        <w:rPr>
          <w:rFonts w:asciiTheme="majorBidi" w:hAnsiTheme="majorBidi" w:cstheme="majorBidi"/>
        </w:rPr>
        <w:t xml:space="preserve">ne substance ou un mélange de substances explosibles destinées </w:t>
      </w:r>
      <w:r w:rsidR="007801DF" w:rsidRPr="005263CC">
        <w:rPr>
          <w:rFonts w:asciiTheme="majorBidi" w:hAnsiTheme="majorBidi" w:cstheme="majorBidi"/>
        </w:rPr>
        <w:t>… »</w:t>
      </w:r>
      <w:r w:rsidR="0044195C" w:rsidRPr="005263CC">
        <w:rPr>
          <w:rFonts w:asciiTheme="majorBidi" w:hAnsiTheme="majorBidi" w:cstheme="majorBidi"/>
        </w:rPr>
        <w:t>.</w:t>
      </w:r>
      <w:r w:rsidR="007801DF" w:rsidRPr="005263CC">
        <w:rPr>
          <w:rFonts w:asciiTheme="majorBidi" w:hAnsiTheme="majorBidi" w:cstheme="majorBidi"/>
        </w:rPr>
        <w:t xml:space="preserve"> </w:t>
      </w:r>
    </w:p>
    <w:p w14:paraId="4FD3E156" w14:textId="067F18BE" w:rsidR="00087E0B" w:rsidRPr="00950D73" w:rsidRDefault="00087E0B" w:rsidP="003229BF">
      <w:pPr>
        <w:pStyle w:val="SingleTxtG"/>
        <w:ind w:left="2268"/>
        <w:rPr>
          <w:rFonts w:asciiTheme="majorBidi" w:hAnsiTheme="majorBidi" w:cstheme="majorBidi"/>
        </w:rPr>
      </w:pPr>
      <w:r w:rsidRPr="00950D73">
        <w:rPr>
          <w:rFonts w:asciiTheme="majorBidi" w:hAnsiTheme="majorBidi" w:cstheme="majorBidi"/>
        </w:rPr>
        <w:t>Insérer la nouvelle définition suivante :</w:t>
      </w:r>
    </w:p>
    <w:p w14:paraId="3121AD27" w14:textId="158515EE" w:rsidR="00F33F0A" w:rsidRPr="00950D73" w:rsidRDefault="00F33F0A" w:rsidP="003229BF">
      <w:pPr>
        <w:pStyle w:val="SingleTxtG"/>
        <w:ind w:left="2268"/>
        <w:rPr>
          <w:rFonts w:asciiTheme="majorBidi" w:hAnsiTheme="majorBidi" w:cstheme="majorBidi"/>
        </w:rPr>
      </w:pPr>
      <w:r w:rsidRPr="00950D73">
        <w:rPr>
          <w:rFonts w:asciiTheme="majorBidi" w:hAnsiTheme="majorBidi" w:cstheme="majorBidi"/>
        </w:rPr>
        <w:t xml:space="preserve">« Par </w:t>
      </w:r>
      <w:r w:rsidRPr="00950D73">
        <w:rPr>
          <w:rFonts w:asciiTheme="majorBidi" w:hAnsiTheme="majorBidi" w:cstheme="majorBidi"/>
          <w:i/>
          <w:iCs/>
        </w:rPr>
        <w:t xml:space="preserve">effet par explosion </w:t>
      </w:r>
      <w:r w:rsidRPr="00950D73">
        <w:rPr>
          <w:rFonts w:asciiTheme="majorBidi" w:hAnsiTheme="majorBidi" w:cstheme="majorBidi"/>
        </w:rPr>
        <w:t>ou</w:t>
      </w:r>
      <w:r w:rsidRPr="00950D73">
        <w:rPr>
          <w:rFonts w:asciiTheme="majorBidi" w:hAnsiTheme="majorBidi" w:cstheme="majorBidi"/>
          <w:i/>
          <w:iCs/>
        </w:rPr>
        <w:t xml:space="preserve"> effet pyrotechnique</w:t>
      </w:r>
      <w:r w:rsidRPr="00950D73">
        <w:rPr>
          <w:rFonts w:asciiTheme="majorBidi" w:hAnsiTheme="majorBidi" w:cstheme="majorBidi"/>
        </w:rPr>
        <w:t xml:space="preserve"> au sens du 2.1.1.2.1 c), on entend un </w:t>
      </w:r>
      <w:r w:rsidRPr="00950D73">
        <w:rPr>
          <w:rFonts w:asciiTheme="majorBidi" w:hAnsiTheme="majorBidi" w:cstheme="majorBidi"/>
        </w:rPr>
        <w:lastRenderedPageBreak/>
        <w:t>effet produit par des réactions chimiques exothermiques auto-entretenues, y compris un effet de choc, de souffle, de fragmentation ou de projection ou un effet calorifique, lumineux, sonore, gazeux ou fumigène. ».</w:t>
      </w:r>
    </w:p>
    <w:p w14:paraId="10384D9F" w14:textId="3C89A2C6" w:rsidR="00EE232A" w:rsidRPr="00950D73" w:rsidRDefault="00EE232A" w:rsidP="00EE232A">
      <w:pPr>
        <w:pStyle w:val="SingleTxtG"/>
        <w:ind w:left="2268" w:hanging="1134"/>
        <w:rPr>
          <w:rFonts w:asciiTheme="majorBidi" w:hAnsiTheme="majorBidi" w:cstheme="majorBidi"/>
        </w:rPr>
      </w:pPr>
      <w:r w:rsidRPr="00950D73">
        <w:rPr>
          <w:rFonts w:asciiTheme="majorBidi" w:hAnsiTheme="majorBidi" w:cstheme="majorBidi"/>
        </w:rPr>
        <w:t>2.1.3</w:t>
      </w:r>
      <w:r w:rsidRPr="00950D73">
        <w:rPr>
          <w:rFonts w:asciiTheme="majorBidi" w:hAnsiTheme="majorBidi" w:cstheme="majorBidi"/>
        </w:rPr>
        <w:tab/>
      </w:r>
      <w:r w:rsidRPr="00950D73">
        <w:rPr>
          <w:rFonts w:asciiTheme="majorBidi" w:hAnsiTheme="majorBidi" w:cstheme="majorBidi"/>
        </w:rPr>
        <w:tab/>
      </w:r>
      <w:r w:rsidR="00684626"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684626" w:rsidRPr="00950D73">
        <w:rPr>
          <w:rFonts w:asciiTheme="majorBidi" w:hAnsiTheme="majorBidi" w:cstheme="majorBidi"/>
        </w:rPr>
        <w:t> :</w:t>
      </w:r>
      <w:r w:rsidRPr="00950D73">
        <w:rPr>
          <w:rFonts w:asciiTheme="majorBidi" w:hAnsiTheme="majorBidi" w:cstheme="majorBidi"/>
        </w:rPr>
        <w:t xml:space="preserve"> « Le tableau 2.1.2 présente les éléments d’étiquetage attribués aux </w:t>
      </w:r>
      <w:r w:rsidR="009C1332" w:rsidRPr="00950D73">
        <w:rPr>
          <w:rFonts w:asciiTheme="majorBidi" w:hAnsiTheme="majorBidi" w:cstheme="majorBidi"/>
        </w:rPr>
        <w:t>matières</w:t>
      </w:r>
      <w:r w:rsidRPr="00950D73">
        <w:rPr>
          <w:rFonts w:asciiTheme="majorBidi" w:hAnsiTheme="majorBidi" w:cstheme="majorBidi"/>
        </w:rPr>
        <w:t xml:space="preserve"> classé</w:t>
      </w:r>
      <w:r w:rsidR="00F140A6"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 ».</w:t>
      </w:r>
    </w:p>
    <w:p w14:paraId="79592996" w14:textId="77777777" w:rsidR="00EE232A" w:rsidRPr="00950D73" w:rsidRDefault="00EE232A" w:rsidP="00EE232A">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2.2</w:t>
      </w:r>
    </w:p>
    <w:p w14:paraId="13A65AB5" w14:textId="75EE8905" w:rsidR="00B22639" w:rsidRPr="00950D73" w:rsidRDefault="00B22639" w:rsidP="00234699">
      <w:pPr>
        <w:pStyle w:val="SingleTxtG"/>
        <w:ind w:left="2268" w:hanging="1134"/>
        <w:rPr>
          <w:rFonts w:asciiTheme="majorBidi" w:hAnsiTheme="majorBidi" w:cstheme="majorBidi"/>
        </w:rPr>
      </w:pPr>
      <w:r w:rsidRPr="00950D73">
        <w:rPr>
          <w:rFonts w:asciiTheme="majorBidi" w:hAnsiTheme="majorBidi" w:cstheme="majorBidi"/>
        </w:rPr>
        <w:t>2.2.3.1</w:t>
      </w:r>
      <w:r w:rsidRPr="00950D73">
        <w:rPr>
          <w:rFonts w:asciiTheme="majorBidi" w:hAnsiTheme="majorBidi" w:cstheme="majorBidi"/>
        </w:rPr>
        <w:tab/>
      </w:r>
      <w:r w:rsidRPr="00950D73">
        <w:rPr>
          <w:rFonts w:asciiTheme="majorBidi" w:hAnsiTheme="majorBidi" w:cstheme="majorBidi"/>
        </w:rPr>
        <w:tab/>
      </w:r>
      <w:r w:rsidR="00DE7B88" w:rsidRPr="00950D73">
        <w:rPr>
          <w:rFonts w:asciiTheme="majorBidi" w:hAnsiTheme="majorBidi" w:cstheme="majorBidi"/>
        </w:rPr>
        <w:t>A</w:t>
      </w:r>
      <w:r w:rsidRPr="00950D73">
        <w:rPr>
          <w:rFonts w:asciiTheme="majorBidi" w:hAnsiTheme="majorBidi" w:cstheme="majorBidi"/>
        </w:rPr>
        <w:t xml:space="preserve">jouter </w:t>
      </w:r>
      <w:r w:rsidR="00DE7B88" w:rsidRPr="00950D73">
        <w:rPr>
          <w:rFonts w:asciiTheme="majorBidi" w:hAnsiTheme="majorBidi" w:cstheme="majorBidi"/>
        </w:rPr>
        <w:t xml:space="preserve">la phrase suivante </w:t>
      </w:r>
      <w:r w:rsidR="00234699" w:rsidRPr="00950D73">
        <w:rPr>
          <w:rFonts w:asciiTheme="majorBidi" w:hAnsiTheme="majorBidi" w:cstheme="majorBidi"/>
        </w:rPr>
        <w:t>à la fin du paragraphe</w:t>
      </w:r>
      <w:r w:rsidR="00DE7B88" w:rsidRPr="00950D73">
        <w:rPr>
          <w:rFonts w:asciiTheme="majorBidi" w:hAnsiTheme="majorBidi" w:cstheme="majorBidi"/>
        </w:rPr>
        <w:t> :</w:t>
      </w:r>
      <w:r w:rsidR="00234699" w:rsidRPr="00950D73">
        <w:rPr>
          <w:rFonts w:asciiTheme="majorBidi" w:hAnsiTheme="majorBidi" w:cstheme="majorBidi"/>
        </w:rPr>
        <w:t xml:space="preserve"> « Le tableau 2.2.2 présente les éléments d’étiquetage attribués aux </w:t>
      </w:r>
      <w:r w:rsidR="00F140A6" w:rsidRPr="00950D73">
        <w:rPr>
          <w:rFonts w:asciiTheme="majorBidi" w:hAnsiTheme="majorBidi" w:cstheme="majorBidi"/>
        </w:rPr>
        <w:t>matières</w:t>
      </w:r>
      <w:r w:rsidR="00234699" w:rsidRPr="00950D73">
        <w:rPr>
          <w:rFonts w:asciiTheme="majorBidi" w:hAnsiTheme="majorBidi" w:cstheme="majorBidi"/>
        </w:rPr>
        <w:t xml:space="preserve"> classé</w:t>
      </w:r>
      <w:r w:rsidR="00F140A6" w:rsidRPr="00950D73">
        <w:rPr>
          <w:rFonts w:asciiTheme="majorBidi" w:hAnsiTheme="majorBidi" w:cstheme="majorBidi"/>
        </w:rPr>
        <w:t>e</w:t>
      </w:r>
      <w:r w:rsidR="00234699" w:rsidRPr="00950D73">
        <w:rPr>
          <w:rFonts w:asciiTheme="majorBidi" w:hAnsiTheme="majorBidi" w:cstheme="majorBidi"/>
        </w:rPr>
        <w:t>s dans cette classe de danger d’après les critères exposés dans le présent chapitre. ».</w:t>
      </w:r>
    </w:p>
    <w:p w14:paraId="3D946B8C" w14:textId="1EE665EB" w:rsidR="00635620" w:rsidRPr="00950D73" w:rsidRDefault="00635620" w:rsidP="00635620">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2.3</w:t>
      </w:r>
    </w:p>
    <w:p w14:paraId="2DD41E20" w14:textId="5B2F047C" w:rsidR="00635620" w:rsidRPr="00950D73" w:rsidRDefault="00137CF2" w:rsidP="00137CF2">
      <w:pPr>
        <w:pStyle w:val="SingleTxtG"/>
        <w:ind w:left="2268" w:hanging="1134"/>
        <w:rPr>
          <w:rFonts w:asciiTheme="majorBidi" w:hAnsiTheme="majorBidi" w:cstheme="majorBidi"/>
        </w:rPr>
      </w:pPr>
      <w:r w:rsidRPr="00950D73">
        <w:rPr>
          <w:rFonts w:asciiTheme="majorBidi" w:hAnsiTheme="majorBidi" w:cstheme="majorBidi"/>
        </w:rPr>
        <w:t>2.3.1.3</w:t>
      </w:r>
      <w:r w:rsidRPr="00950D73">
        <w:rPr>
          <w:rFonts w:asciiTheme="majorBidi" w:hAnsiTheme="majorBidi" w:cstheme="majorBidi"/>
        </w:rPr>
        <w:tab/>
      </w:r>
      <w:r w:rsidRPr="00950D73">
        <w:rPr>
          <w:rFonts w:asciiTheme="majorBidi" w:hAnsiTheme="majorBidi" w:cstheme="majorBidi"/>
        </w:rPr>
        <w:tab/>
      </w:r>
      <w:r w:rsidR="00CF50C1"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CF50C1" w:rsidRPr="00950D73">
        <w:rPr>
          <w:rFonts w:asciiTheme="majorBidi" w:hAnsiTheme="majorBidi" w:cstheme="majorBidi"/>
        </w:rPr>
        <w:t xml:space="preserve"> : </w:t>
      </w:r>
      <w:r w:rsidRPr="00950D73">
        <w:rPr>
          <w:rFonts w:asciiTheme="majorBidi" w:hAnsiTheme="majorBidi" w:cstheme="majorBidi"/>
        </w:rPr>
        <w:t xml:space="preserve">« Le tableau 2.3.2 présente les éléments d’étiquetage attribués aux </w:t>
      </w:r>
      <w:r w:rsidR="00F140A6" w:rsidRPr="00950D73">
        <w:rPr>
          <w:rFonts w:asciiTheme="majorBidi" w:hAnsiTheme="majorBidi" w:cstheme="majorBidi"/>
        </w:rPr>
        <w:t>matières</w:t>
      </w:r>
      <w:r w:rsidRPr="00950D73">
        <w:rPr>
          <w:rFonts w:asciiTheme="majorBidi" w:hAnsiTheme="majorBidi" w:cstheme="majorBidi"/>
        </w:rPr>
        <w:t xml:space="preserve"> classé</w:t>
      </w:r>
      <w:r w:rsidR="00F140A6"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w:t>
      </w:r>
      <w:r w:rsidR="00E86751" w:rsidRPr="00950D73">
        <w:rPr>
          <w:rFonts w:asciiTheme="majorBidi" w:hAnsiTheme="majorBidi" w:cstheme="majorBidi"/>
        </w:rPr>
        <w:t> </w:t>
      </w:r>
      <w:r w:rsidRPr="00950D73">
        <w:rPr>
          <w:rFonts w:asciiTheme="majorBidi" w:hAnsiTheme="majorBidi" w:cstheme="majorBidi"/>
        </w:rPr>
        <w:t>».</w:t>
      </w:r>
    </w:p>
    <w:p w14:paraId="57CA9393" w14:textId="055E3A62" w:rsidR="005F1887" w:rsidRPr="00950D73" w:rsidRDefault="00A1160A" w:rsidP="00A1160A">
      <w:pPr>
        <w:pStyle w:val="SingleTxtG"/>
        <w:ind w:left="2268" w:hanging="1134"/>
        <w:rPr>
          <w:rFonts w:asciiTheme="majorBidi" w:hAnsiTheme="majorBidi" w:cstheme="majorBidi"/>
        </w:rPr>
      </w:pPr>
      <w:r w:rsidRPr="00950D73">
        <w:rPr>
          <w:rFonts w:asciiTheme="majorBidi" w:hAnsiTheme="majorBidi" w:cstheme="majorBidi"/>
        </w:rPr>
        <w:t>2.3.2.3</w:t>
      </w:r>
      <w:r w:rsidRPr="00950D73">
        <w:rPr>
          <w:rFonts w:asciiTheme="majorBidi" w:hAnsiTheme="majorBidi" w:cstheme="majorBidi"/>
        </w:rPr>
        <w:tab/>
      </w:r>
      <w:r w:rsidRPr="00950D73">
        <w:rPr>
          <w:rFonts w:asciiTheme="majorBidi" w:hAnsiTheme="majorBidi" w:cstheme="majorBidi"/>
        </w:rPr>
        <w:tab/>
      </w:r>
      <w:r w:rsidR="00F51DAE"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F51DAE" w:rsidRPr="00950D73">
        <w:rPr>
          <w:rFonts w:asciiTheme="majorBidi" w:hAnsiTheme="majorBidi" w:cstheme="majorBidi"/>
        </w:rPr>
        <w:t> :</w:t>
      </w:r>
      <w:r w:rsidRPr="00950D73">
        <w:rPr>
          <w:rFonts w:asciiTheme="majorBidi" w:hAnsiTheme="majorBidi" w:cstheme="majorBidi"/>
        </w:rPr>
        <w:t xml:space="preserve"> « Le tableau 2.3.4 présente les éléments d’étiquetage attribués aux </w:t>
      </w:r>
      <w:r w:rsidR="00F140A6" w:rsidRPr="00950D73">
        <w:rPr>
          <w:rFonts w:asciiTheme="majorBidi" w:hAnsiTheme="majorBidi" w:cstheme="majorBidi"/>
        </w:rPr>
        <w:t>matières</w:t>
      </w:r>
      <w:r w:rsidRPr="00950D73">
        <w:rPr>
          <w:rFonts w:asciiTheme="majorBidi" w:hAnsiTheme="majorBidi" w:cstheme="majorBidi"/>
        </w:rPr>
        <w:t xml:space="preserve"> classé</w:t>
      </w:r>
      <w:r w:rsidR="00F140A6"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w:t>
      </w:r>
      <w:r w:rsidR="00E86751" w:rsidRPr="00950D73">
        <w:rPr>
          <w:rFonts w:asciiTheme="majorBidi" w:hAnsiTheme="majorBidi" w:cstheme="majorBidi"/>
        </w:rPr>
        <w:t> </w:t>
      </w:r>
      <w:r w:rsidRPr="00950D73">
        <w:rPr>
          <w:rFonts w:asciiTheme="majorBidi" w:hAnsiTheme="majorBidi" w:cstheme="majorBidi"/>
        </w:rPr>
        <w:t>».</w:t>
      </w:r>
    </w:p>
    <w:p w14:paraId="318B6A6E" w14:textId="1CBBB967" w:rsidR="005F56ED" w:rsidRPr="00950D73" w:rsidRDefault="005F56ED" w:rsidP="005F56ED">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2.4</w:t>
      </w:r>
    </w:p>
    <w:p w14:paraId="282F16D3" w14:textId="1C2E3266" w:rsidR="005F56ED" w:rsidRPr="00950D73" w:rsidRDefault="00C10303" w:rsidP="00C10303">
      <w:pPr>
        <w:pStyle w:val="SingleTxtG"/>
        <w:ind w:left="2268" w:hanging="1134"/>
        <w:rPr>
          <w:rFonts w:asciiTheme="majorBidi" w:hAnsiTheme="majorBidi" w:cstheme="majorBidi"/>
        </w:rPr>
      </w:pPr>
      <w:r w:rsidRPr="00950D73">
        <w:rPr>
          <w:rFonts w:asciiTheme="majorBidi" w:hAnsiTheme="majorBidi" w:cstheme="majorBidi"/>
        </w:rPr>
        <w:t>2.4.3</w:t>
      </w:r>
      <w:r w:rsidRPr="00950D73">
        <w:rPr>
          <w:rFonts w:asciiTheme="majorBidi" w:hAnsiTheme="majorBidi" w:cstheme="majorBidi"/>
        </w:rPr>
        <w:tab/>
      </w:r>
      <w:r w:rsidRPr="00950D73">
        <w:rPr>
          <w:rFonts w:asciiTheme="majorBidi" w:hAnsiTheme="majorBidi" w:cstheme="majorBidi"/>
        </w:rPr>
        <w:tab/>
      </w:r>
      <w:r w:rsidR="00E67912"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E67912" w:rsidRPr="00950D73">
        <w:rPr>
          <w:rFonts w:asciiTheme="majorBidi" w:hAnsiTheme="majorBidi" w:cstheme="majorBidi"/>
        </w:rPr>
        <w:t> :</w:t>
      </w:r>
      <w:r w:rsidRPr="00950D73">
        <w:rPr>
          <w:rFonts w:asciiTheme="majorBidi" w:hAnsiTheme="majorBidi" w:cstheme="majorBidi"/>
        </w:rPr>
        <w:t xml:space="preserve"> « Le tableau 2.4.2 présente les éléments d’étiquetage attribués aux </w:t>
      </w:r>
      <w:r w:rsidR="00F140A6" w:rsidRPr="00950D73">
        <w:rPr>
          <w:rFonts w:asciiTheme="majorBidi" w:hAnsiTheme="majorBidi" w:cstheme="majorBidi"/>
        </w:rPr>
        <w:t>matières</w:t>
      </w:r>
      <w:r w:rsidRPr="00950D73">
        <w:rPr>
          <w:rFonts w:asciiTheme="majorBidi" w:hAnsiTheme="majorBidi" w:cstheme="majorBidi"/>
        </w:rPr>
        <w:t xml:space="preserve"> classé</w:t>
      </w:r>
      <w:r w:rsidR="00F140A6"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w:t>
      </w:r>
      <w:r w:rsidR="00E86751" w:rsidRPr="00950D73">
        <w:rPr>
          <w:rFonts w:asciiTheme="majorBidi" w:hAnsiTheme="majorBidi" w:cstheme="majorBidi"/>
        </w:rPr>
        <w:t> </w:t>
      </w:r>
      <w:r w:rsidRPr="00950D73">
        <w:rPr>
          <w:rFonts w:asciiTheme="majorBidi" w:hAnsiTheme="majorBidi" w:cstheme="majorBidi"/>
        </w:rPr>
        <w:t>».</w:t>
      </w:r>
    </w:p>
    <w:p w14:paraId="1CF7A652" w14:textId="1E2522EA" w:rsidR="0033522A" w:rsidRPr="00950D73" w:rsidRDefault="0033522A" w:rsidP="0033522A">
      <w:pPr>
        <w:pStyle w:val="H1G"/>
        <w:rPr>
          <w:rFonts w:asciiTheme="majorBidi" w:hAnsiTheme="majorBidi" w:cstheme="majorBidi"/>
        </w:rPr>
      </w:pPr>
      <w:r w:rsidRPr="00950D73">
        <w:rPr>
          <w:rFonts w:asciiTheme="majorBidi" w:hAnsiTheme="majorBidi" w:cstheme="majorBidi"/>
        </w:rPr>
        <w:lastRenderedPageBreak/>
        <w:tab/>
      </w:r>
      <w:r w:rsidRPr="00950D73">
        <w:rPr>
          <w:rFonts w:asciiTheme="majorBidi" w:hAnsiTheme="majorBidi" w:cstheme="majorBidi"/>
        </w:rPr>
        <w:tab/>
        <w:t>Chapitre 2.5</w:t>
      </w:r>
    </w:p>
    <w:p w14:paraId="3E09EAA9" w14:textId="1FD56851" w:rsidR="00503FCC" w:rsidRPr="00950D73" w:rsidRDefault="0033522A" w:rsidP="00503FCC">
      <w:pPr>
        <w:pStyle w:val="SingleTxtG"/>
        <w:ind w:left="2268" w:hanging="1134"/>
        <w:rPr>
          <w:rFonts w:asciiTheme="majorBidi" w:hAnsiTheme="majorBidi" w:cstheme="majorBidi"/>
        </w:rPr>
      </w:pPr>
      <w:r w:rsidRPr="00950D73">
        <w:rPr>
          <w:rFonts w:asciiTheme="majorBidi" w:hAnsiTheme="majorBidi" w:cstheme="majorBidi"/>
        </w:rPr>
        <w:t>2.</w:t>
      </w:r>
      <w:r w:rsidR="00BC08FB" w:rsidRPr="00950D73">
        <w:rPr>
          <w:rFonts w:asciiTheme="majorBidi" w:hAnsiTheme="majorBidi" w:cstheme="majorBidi"/>
        </w:rPr>
        <w:t>5.</w:t>
      </w:r>
      <w:r w:rsidRPr="00950D73">
        <w:rPr>
          <w:rFonts w:asciiTheme="majorBidi" w:hAnsiTheme="majorBidi" w:cstheme="majorBidi"/>
        </w:rPr>
        <w:t>3</w:t>
      </w:r>
      <w:r w:rsidRPr="00950D73">
        <w:rPr>
          <w:rFonts w:asciiTheme="majorBidi" w:hAnsiTheme="majorBidi" w:cstheme="majorBidi"/>
        </w:rPr>
        <w:tab/>
      </w:r>
      <w:r w:rsidRPr="00950D73">
        <w:rPr>
          <w:rFonts w:asciiTheme="majorBidi" w:hAnsiTheme="majorBidi" w:cstheme="majorBidi"/>
        </w:rPr>
        <w:tab/>
      </w:r>
      <w:r w:rsidR="00B815EC" w:rsidRPr="00950D73">
        <w:rPr>
          <w:rFonts w:asciiTheme="majorBidi" w:hAnsiTheme="majorBidi" w:cstheme="majorBidi"/>
        </w:rPr>
        <w:t xml:space="preserve">Ajouter la phrase suivante à </w:t>
      </w:r>
      <w:r w:rsidR="00503FCC" w:rsidRPr="00950D73">
        <w:rPr>
          <w:rFonts w:asciiTheme="majorBidi" w:hAnsiTheme="majorBidi" w:cstheme="majorBidi"/>
        </w:rPr>
        <w:t>la fin du paragraphe</w:t>
      </w:r>
      <w:r w:rsidR="00B815EC" w:rsidRPr="00950D73">
        <w:rPr>
          <w:rFonts w:asciiTheme="majorBidi" w:hAnsiTheme="majorBidi" w:cstheme="majorBidi"/>
        </w:rPr>
        <w:t xml:space="preserve"> : </w:t>
      </w:r>
      <w:r w:rsidR="00503FCC" w:rsidRPr="00950D73">
        <w:rPr>
          <w:rFonts w:asciiTheme="majorBidi" w:hAnsiTheme="majorBidi" w:cstheme="majorBidi"/>
        </w:rPr>
        <w:t xml:space="preserve">« Le tableau 2.5.2 présente les éléments d’étiquetage attribués aux </w:t>
      </w:r>
      <w:r w:rsidR="00F140A6" w:rsidRPr="00950D73">
        <w:rPr>
          <w:rFonts w:asciiTheme="majorBidi" w:hAnsiTheme="majorBidi" w:cstheme="majorBidi"/>
        </w:rPr>
        <w:t>matières</w:t>
      </w:r>
      <w:r w:rsidR="00503FCC" w:rsidRPr="00950D73">
        <w:rPr>
          <w:rFonts w:asciiTheme="majorBidi" w:hAnsiTheme="majorBidi" w:cstheme="majorBidi"/>
        </w:rPr>
        <w:t xml:space="preserve"> classé</w:t>
      </w:r>
      <w:r w:rsidR="00F140A6" w:rsidRPr="00950D73">
        <w:rPr>
          <w:rFonts w:asciiTheme="majorBidi" w:hAnsiTheme="majorBidi" w:cstheme="majorBidi"/>
        </w:rPr>
        <w:t>e</w:t>
      </w:r>
      <w:r w:rsidR="00503FCC" w:rsidRPr="00950D73">
        <w:rPr>
          <w:rFonts w:asciiTheme="majorBidi" w:hAnsiTheme="majorBidi" w:cstheme="majorBidi"/>
        </w:rPr>
        <w:t>s dans cette classe de danger d’après les critères exposés dans le présent chapitre. ».</w:t>
      </w:r>
    </w:p>
    <w:p w14:paraId="32631809" w14:textId="2FFE1E02" w:rsidR="003B6A50" w:rsidRPr="00950D73" w:rsidRDefault="003B6A50" w:rsidP="003B6A50">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2.6</w:t>
      </w:r>
    </w:p>
    <w:p w14:paraId="39D65B50" w14:textId="5359FFF7" w:rsidR="00146D79" w:rsidRPr="00950D73" w:rsidRDefault="003B6A50" w:rsidP="00146D79">
      <w:pPr>
        <w:pStyle w:val="SingleTxtG"/>
        <w:ind w:left="2268" w:hanging="1134"/>
        <w:rPr>
          <w:rFonts w:asciiTheme="majorBidi" w:hAnsiTheme="majorBidi" w:cstheme="majorBidi"/>
        </w:rPr>
      </w:pPr>
      <w:r w:rsidRPr="00950D73">
        <w:rPr>
          <w:rFonts w:asciiTheme="majorBidi" w:hAnsiTheme="majorBidi" w:cstheme="majorBidi"/>
        </w:rPr>
        <w:t>2.6.3</w:t>
      </w:r>
      <w:r w:rsidRPr="00950D73">
        <w:rPr>
          <w:rFonts w:asciiTheme="majorBidi" w:hAnsiTheme="majorBidi" w:cstheme="majorBidi"/>
        </w:rPr>
        <w:tab/>
      </w:r>
      <w:r w:rsidRPr="00950D73">
        <w:rPr>
          <w:rFonts w:asciiTheme="majorBidi" w:hAnsiTheme="majorBidi" w:cstheme="majorBidi"/>
        </w:rPr>
        <w:tab/>
      </w:r>
      <w:r w:rsidR="00B815EC" w:rsidRPr="00950D73">
        <w:rPr>
          <w:rFonts w:asciiTheme="majorBidi" w:hAnsiTheme="majorBidi" w:cstheme="majorBidi"/>
        </w:rPr>
        <w:t>Ajouter la phrase suivante à</w:t>
      </w:r>
      <w:r w:rsidR="00146D79" w:rsidRPr="00950D73">
        <w:rPr>
          <w:rFonts w:asciiTheme="majorBidi" w:hAnsiTheme="majorBidi" w:cstheme="majorBidi"/>
        </w:rPr>
        <w:t xml:space="preserve"> la fin du paragraphe</w:t>
      </w:r>
      <w:r w:rsidR="00B815EC" w:rsidRPr="00950D73">
        <w:rPr>
          <w:rFonts w:asciiTheme="majorBidi" w:hAnsiTheme="majorBidi" w:cstheme="majorBidi"/>
        </w:rPr>
        <w:t> :</w:t>
      </w:r>
      <w:r w:rsidR="00146D79" w:rsidRPr="00950D73">
        <w:rPr>
          <w:rFonts w:asciiTheme="majorBidi" w:hAnsiTheme="majorBidi" w:cstheme="majorBidi"/>
        </w:rPr>
        <w:t xml:space="preserve"> « Le tableau 2.6.2 présente les éléments d’étiquetage attribués aux </w:t>
      </w:r>
      <w:r w:rsidR="00F140A6" w:rsidRPr="00950D73">
        <w:rPr>
          <w:rFonts w:asciiTheme="majorBidi" w:hAnsiTheme="majorBidi" w:cstheme="majorBidi"/>
        </w:rPr>
        <w:t>matières</w:t>
      </w:r>
      <w:r w:rsidR="00146D79" w:rsidRPr="00950D73">
        <w:rPr>
          <w:rFonts w:asciiTheme="majorBidi" w:hAnsiTheme="majorBidi" w:cstheme="majorBidi"/>
        </w:rPr>
        <w:t xml:space="preserve"> classé</w:t>
      </w:r>
      <w:r w:rsidR="00F140A6" w:rsidRPr="00950D73">
        <w:rPr>
          <w:rFonts w:asciiTheme="majorBidi" w:hAnsiTheme="majorBidi" w:cstheme="majorBidi"/>
        </w:rPr>
        <w:t>e</w:t>
      </w:r>
      <w:r w:rsidR="00146D79" w:rsidRPr="00950D73">
        <w:rPr>
          <w:rFonts w:asciiTheme="majorBidi" w:hAnsiTheme="majorBidi" w:cstheme="majorBidi"/>
        </w:rPr>
        <w:t>s dans cette classe de danger d’après les critères exposés dans le présent chapitre.</w:t>
      </w:r>
      <w:r w:rsidR="00E86751" w:rsidRPr="00950D73">
        <w:rPr>
          <w:rFonts w:asciiTheme="majorBidi" w:hAnsiTheme="majorBidi" w:cstheme="majorBidi"/>
        </w:rPr>
        <w:t> </w:t>
      </w:r>
      <w:r w:rsidR="00146D79" w:rsidRPr="00950D73">
        <w:rPr>
          <w:rFonts w:asciiTheme="majorBidi" w:hAnsiTheme="majorBidi" w:cstheme="majorBidi"/>
        </w:rPr>
        <w:t xml:space="preserve">». </w:t>
      </w:r>
    </w:p>
    <w:p w14:paraId="766A0007" w14:textId="34E59260" w:rsidR="002F2192" w:rsidRPr="00950D73" w:rsidRDefault="004923D1" w:rsidP="004A7C71">
      <w:pPr>
        <w:pStyle w:val="SingleTxtG"/>
        <w:ind w:left="2268" w:hanging="1134"/>
        <w:rPr>
          <w:rFonts w:asciiTheme="majorBidi" w:hAnsiTheme="majorBidi" w:cstheme="majorBidi"/>
        </w:rPr>
      </w:pPr>
      <w:r w:rsidRPr="00950D73">
        <w:rPr>
          <w:rFonts w:asciiTheme="majorBidi" w:hAnsiTheme="majorBidi" w:cstheme="majorBidi"/>
        </w:rPr>
        <w:t>2.6.4.2.4</w:t>
      </w:r>
      <w:r w:rsidRPr="00950D73">
        <w:rPr>
          <w:rFonts w:asciiTheme="majorBidi" w:hAnsiTheme="majorBidi" w:cstheme="majorBidi"/>
        </w:rPr>
        <w:tab/>
      </w:r>
      <w:r w:rsidR="002F2192" w:rsidRPr="00950D73">
        <w:rPr>
          <w:rFonts w:asciiTheme="majorBidi" w:hAnsiTheme="majorBidi" w:cstheme="majorBidi"/>
        </w:rPr>
        <w:t>Dans la première phrase remplacer « </w:t>
      </w:r>
      <w:r w:rsidR="00D759C3" w:rsidRPr="00950D73">
        <w:rPr>
          <w:rFonts w:asciiTheme="majorBidi" w:hAnsiTheme="majorBidi" w:cstheme="majorBidi"/>
        </w:rPr>
        <w:t>doiven</w:t>
      </w:r>
      <w:r w:rsidR="004F23CD" w:rsidRPr="00950D73">
        <w:rPr>
          <w:rFonts w:asciiTheme="majorBidi" w:hAnsiTheme="majorBidi" w:cstheme="majorBidi"/>
        </w:rPr>
        <w:t xml:space="preserve">t » par </w:t>
      </w:r>
      <w:r w:rsidR="00D759C3" w:rsidRPr="00950D73">
        <w:rPr>
          <w:rFonts w:asciiTheme="majorBidi" w:hAnsiTheme="majorBidi" w:cstheme="majorBidi"/>
        </w:rPr>
        <w:t>« devraient</w:t>
      </w:r>
      <w:r w:rsidR="004F23CD" w:rsidRPr="00950D73">
        <w:rPr>
          <w:rFonts w:asciiTheme="majorBidi" w:hAnsiTheme="majorBidi" w:cstheme="majorBidi"/>
        </w:rPr>
        <w:t xml:space="preserve"> » et dans la </w:t>
      </w:r>
      <w:r w:rsidR="00D759C3" w:rsidRPr="00950D73">
        <w:rPr>
          <w:rFonts w:asciiTheme="majorBidi" w:hAnsiTheme="majorBidi" w:cstheme="majorBidi"/>
        </w:rPr>
        <w:t>deuxième phrase remplacer « </w:t>
      </w:r>
      <w:r w:rsidR="004F23CD" w:rsidRPr="00950D73">
        <w:rPr>
          <w:rFonts w:asciiTheme="majorBidi" w:hAnsiTheme="majorBidi" w:cstheme="majorBidi"/>
        </w:rPr>
        <w:t xml:space="preserve">doit » par « devrait ». </w:t>
      </w:r>
    </w:p>
    <w:p w14:paraId="0899F05F" w14:textId="07ACB64B" w:rsidR="009234A6" w:rsidRPr="00950D73" w:rsidRDefault="004F23CD" w:rsidP="00615AB5">
      <w:pPr>
        <w:pStyle w:val="SingleTxtG"/>
        <w:ind w:left="2268" w:hanging="1134"/>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r>
      <w:r w:rsidR="00615AB5" w:rsidRPr="00950D73">
        <w:rPr>
          <w:rFonts w:asciiTheme="majorBidi" w:hAnsiTheme="majorBidi" w:cstheme="majorBidi"/>
        </w:rPr>
        <w:t xml:space="preserve">Remplacer la dernière phrase par </w:t>
      </w:r>
      <w:r w:rsidR="00C015EE" w:rsidRPr="00950D73">
        <w:rPr>
          <w:rFonts w:asciiTheme="majorBidi" w:hAnsiTheme="majorBidi" w:cstheme="majorBidi"/>
        </w:rPr>
        <w:t>ce qui suit</w:t>
      </w:r>
      <w:r w:rsidR="00615AB5" w:rsidRPr="00950D73">
        <w:rPr>
          <w:rFonts w:asciiTheme="majorBidi" w:hAnsiTheme="majorBidi" w:cstheme="majorBidi"/>
        </w:rPr>
        <w:t xml:space="preserve">: </w:t>
      </w:r>
    </w:p>
    <w:p w14:paraId="1D5D9FCB" w14:textId="0719C957" w:rsidR="009234A6" w:rsidRPr="00950D73" w:rsidRDefault="009234A6" w:rsidP="004923D1">
      <w:pPr>
        <w:pStyle w:val="SingleTxtG"/>
        <w:tabs>
          <w:tab w:val="clear" w:pos="1701"/>
          <w:tab w:val="clear" w:pos="2268"/>
          <w:tab w:val="clear" w:pos="2835"/>
        </w:tabs>
        <w:ind w:left="2268"/>
        <w:rPr>
          <w:rFonts w:asciiTheme="majorBidi" w:hAnsiTheme="majorBidi" w:cstheme="majorBidi"/>
        </w:rPr>
      </w:pPr>
      <w:r w:rsidRPr="00950D73">
        <w:rPr>
          <w:rFonts w:asciiTheme="majorBidi" w:hAnsiTheme="majorBidi" w:cstheme="majorBidi"/>
        </w:rPr>
        <w:t>«</w:t>
      </w:r>
      <w:r w:rsidR="004923D1" w:rsidRPr="00950D73">
        <w:rPr>
          <w:rFonts w:asciiTheme="majorBidi" w:hAnsiTheme="majorBidi" w:cstheme="majorBidi"/>
        </w:rPr>
        <w:t> </w:t>
      </w:r>
      <w:r w:rsidRPr="00950D73">
        <w:rPr>
          <w:rFonts w:asciiTheme="majorBidi" w:hAnsiTheme="majorBidi" w:cstheme="majorBidi"/>
        </w:rPr>
        <w:t xml:space="preserve">Les essais en creuset ouvert sont acceptables pour les liquides qui ne peuvent pas être soumis à des épreuves en creuset fermé (par exemple, en raison de leur viscosité) ou </w:t>
      </w:r>
      <w:r w:rsidR="00E65539" w:rsidRPr="00950D73">
        <w:rPr>
          <w:rFonts w:asciiTheme="majorBidi" w:hAnsiTheme="majorBidi" w:cstheme="majorBidi"/>
        </w:rPr>
        <w:t xml:space="preserve">lorsque </w:t>
      </w:r>
      <w:r w:rsidR="000E3545" w:rsidRPr="00950D73">
        <w:rPr>
          <w:rFonts w:asciiTheme="majorBidi" w:hAnsiTheme="majorBidi" w:cstheme="majorBidi"/>
        </w:rPr>
        <w:t>d</w:t>
      </w:r>
      <w:r w:rsidR="00E65539" w:rsidRPr="00950D73">
        <w:rPr>
          <w:rFonts w:asciiTheme="majorBidi" w:hAnsiTheme="majorBidi" w:cstheme="majorBidi"/>
        </w:rPr>
        <w:t xml:space="preserve">es données </w:t>
      </w:r>
      <w:r w:rsidR="00D80539" w:rsidRPr="00950D73">
        <w:rPr>
          <w:rFonts w:asciiTheme="majorBidi" w:hAnsiTheme="majorBidi" w:cstheme="majorBidi"/>
        </w:rPr>
        <w:t xml:space="preserve">provenant des essais en creuset ouvert sont déjà </w:t>
      </w:r>
      <w:r w:rsidRPr="00950D73">
        <w:rPr>
          <w:rFonts w:asciiTheme="majorBidi" w:hAnsiTheme="majorBidi" w:cstheme="majorBidi"/>
        </w:rPr>
        <w:t xml:space="preserve">disponibles. Dans ces cas, il </w:t>
      </w:r>
      <w:r w:rsidR="00EE056D" w:rsidRPr="00950D73">
        <w:rPr>
          <w:rFonts w:asciiTheme="majorBidi" w:hAnsiTheme="majorBidi" w:cstheme="majorBidi"/>
        </w:rPr>
        <w:t xml:space="preserve">faudrait </w:t>
      </w:r>
      <w:r w:rsidRPr="00950D73">
        <w:rPr>
          <w:rFonts w:asciiTheme="majorBidi" w:hAnsiTheme="majorBidi" w:cstheme="majorBidi"/>
        </w:rPr>
        <w:t>soustraire 5</w:t>
      </w:r>
      <w:r w:rsidR="00E77F98" w:rsidRPr="00950D73">
        <w:rPr>
          <w:rFonts w:asciiTheme="majorBidi" w:hAnsiTheme="majorBidi" w:cstheme="majorBidi"/>
        </w:rPr>
        <w:t>,6</w:t>
      </w:r>
      <w:r w:rsidRPr="00950D73">
        <w:rPr>
          <w:rFonts w:asciiTheme="majorBidi" w:hAnsiTheme="majorBidi" w:cstheme="majorBidi"/>
        </w:rPr>
        <w:t> °C de la valeur mesurée, car les valeurs obtenues avec les méthodes d’épreuve en creuset ouvert sont généralement plus élevées que celles obtenues avec les méthodes d’épreuve en creuset fermé. ».</w:t>
      </w:r>
    </w:p>
    <w:p w14:paraId="7FA036A9" w14:textId="177DD86E" w:rsidR="00B65F7B" w:rsidRPr="00950D73" w:rsidRDefault="00B65F7B" w:rsidP="00B65F7B">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2.7</w:t>
      </w:r>
    </w:p>
    <w:p w14:paraId="3163BCF6" w14:textId="46998060" w:rsidR="00F31D2E" w:rsidRPr="00950D73" w:rsidRDefault="00F31D2E" w:rsidP="00F31D2E">
      <w:pPr>
        <w:pStyle w:val="SingleTxtG"/>
        <w:tabs>
          <w:tab w:val="clear" w:pos="1701"/>
        </w:tabs>
        <w:ind w:left="2268" w:hanging="1134"/>
        <w:rPr>
          <w:rFonts w:asciiTheme="majorBidi" w:hAnsiTheme="majorBidi" w:cstheme="majorBidi"/>
        </w:rPr>
      </w:pPr>
      <w:r w:rsidRPr="00950D73">
        <w:rPr>
          <w:rFonts w:asciiTheme="majorBidi" w:hAnsiTheme="majorBidi" w:cstheme="majorBidi"/>
        </w:rPr>
        <w:t>2.7.1</w:t>
      </w:r>
      <w:r w:rsidRPr="00950D73">
        <w:rPr>
          <w:rFonts w:asciiTheme="majorBidi" w:hAnsiTheme="majorBidi" w:cstheme="majorBidi"/>
        </w:rPr>
        <w:tab/>
        <w:t>Ajouter la définition suivante sous celle des matières solides facilement inflammables : “Les poudres métalliques sont des poudres de métaux ou d’alliages métalliques”.</w:t>
      </w:r>
    </w:p>
    <w:p w14:paraId="16420ADF" w14:textId="27B61588" w:rsidR="00F31D2E" w:rsidRPr="00950D73" w:rsidRDefault="00426BE6" w:rsidP="00426BE6">
      <w:pPr>
        <w:pStyle w:val="SingleTxtG"/>
        <w:tabs>
          <w:tab w:val="clear" w:pos="1701"/>
        </w:tabs>
        <w:ind w:left="2268" w:hanging="1134"/>
        <w:rPr>
          <w:rFonts w:asciiTheme="majorBidi" w:hAnsiTheme="majorBidi" w:cstheme="majorBidi"/>
        </w:rPr>
      </w:pPr>
      <w:r w:rsidRPr="00950D73">
        <w:rPr>
          <w:rFonts w:asciiTheme="majorBidi" w:hAnsiTheme="majorBidi" w:cstheme="majorBidi"/>
        </w:rPr>
        <w:t>2.7.2.2</w:t>
      </w:r>
      <w:r w:rsidRPr="00950D73">
        <w:rPr>
          <w:rFonts w:asciiTheme="majorBidi" w:hAnsiTheme="majorBidi" w:cstheme="majorBidi"/>
        </w:rPr>
        <w:tab/>
        <w:t>Remplacer “Poudres de métaux ou d’alliages métalliques” par “Poudres métalliques”. ».</w:t>
      </w:r>
    </w:p>
    <w:p w14:paraId="405DEBD4" w14:textId="306F2E58" w:rsidR="00B65F7B" w:rsidRPr="00950D73" w:rsidRDefault="00B65F7B" w:rsidP="00F23E9A">
      <w:pPr>
        <w:pStyle w:val="SingleTxtG"/>
        <w:ind w:left="2268" w:hanging="1134"/>
        <w:rPr>
          <w:rFonts w:asciiTheme="majorBidi" w:hAnsiTheme="majorBidi" w:cstheme="majorBidi"/>
        </w:rPr>
      </w:pPr>
      <w:r w:rsidRPr="00950D73">
        <w:rPr>
          <w:rFonts w:asciiTheme="majorBidi" w:hAnsiTheme="majorBidi" w:cstheme="majorBidi"/>
        </w:rPr>
        <w:lastRenderedPageBreak/>
        <w:t>2.7.3</w:t>
      </w:r>
      <w:r w:rsidRPr="00950D73">
        <w:rPr>
          <w:rFonts w:asciiTheme="majorBidi" w:hAnsiTheme="majorBidi" w:cstheme="majorBidi"/>
        </w:rPr>
        <w:tab/>
      </w:r>
      <w:r w:rsidRPr="00950D73">
        <w:rPr>
          <w:rFonts w:asciiTheme="majorBidi" w:hAnsiTheme="majorBidi" w:cstheme="majorBidi"/>
        </w:rPr>
        <w:tab/>
      </w:r>
      <w:r w:rsidR="00F23E9A"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F23E9A" w:rsidRPr="00950D73">
        <w:rPr>
          <w:rFonts w:asciiTheme="majorBidi" w:hAnsiTheme="majorBidi" w:cstheme="majorBidi"/>
        </w:rPr>
        <w:t xml:space="preserve"> : </w:t>
      </w:r>
      <w:r w:rsidR="00C20E2C" w:rsidRPr="00950D73">
        <w:rPr>
          <w:rFonts w:asciiTheme="majorBidi" w:hAnsiTheme="majorBidi" w:cstheme="majorBidi"/>
        </w:rPr>
        <w:t>« Le tableau</w:t>
      </w:r>
      <w:r w:rsidR="003112BC" w:rsidRPr="00950D73">
        <w:rPr>
          <w:rFonts w:asciiTheme="majorBidi" w:hAnsiTheme="majorBidi" w:cstheme="majorBidi"/>
        </w:rPr>
        <w:t> </w:t>
      </w:r>
      <w:r w:rsidR="00C20E2C" w:rsidRPr="00950D73">
        <w:rPr>
          <w:rFonts w:asciiTheme="majorBidi" w:hAnsiTheme="majorBidi" w:cstheme="majorBidi"/>
        </w:rPr>
        <w:t xml:space="preserve">2.7.2 présente les éléments d’étiquetage attribués aux </w:t>
      </w:r>
      <w:r w:rsidR="00842A2E" w:rsidRPr="00950D73">
        <w:rPr>
          <w:rFonts w:asciiTheme="majorBidi" w:hAnsiTheme="majorBidi" w:cstheme="majorBidi"/>
        </w:rPr>
        <w:t>matières</w:t>
      </w:r>
      <w:r w:rsidR="00C20E2C" w:rsidRPr="00950D73">
        <w:rPr>
          <w:rFonts w:asciiTheme="majorBidi" w:hAnsiTheme="majorBidi" w:cstheme="majorBidi"/>
        </w:rPr>
        <w:t xml:space="preserve"> classé</w:t>
      </w:r>
      <w:r w:rsidR="00842A2E" w:rsidRPr="00950D73">
        <w:rPr>
          <w:rFonts w:asciiTheme="majorBidi" w:hAnsiTheme="majorBidi" w:cstheme="majorBidi"/>
        </w:rPr>
        <w:t>e</w:t>
      </w:r>
      <w:r w:rsidR="00C20E2C" w:rsidRPr="00950D73">
        <w:rPr>
          <w:rFonts w:asciiTheme="majorBidi" w:hAnsiTheme="majorBidi" w:cstheme="majorBidi"/>
        </w:rPr>
        <w:t>s dans cette classe de danger d’après les critères exposés dans le présent chapitre.</w:t>
      </w:r>
      <w:r w:rsidR="00F23E9A" w:rsidRPr="00950D73">
        <w:rPr>
          <w:rFonts w:asciiTheme="majorBidi" w:hAnsiTheme="majorBidi" w:cstheme="majorBidi"/>
        </w:rPr>
        <w:t> </w:t>
      </w:r>
      <w:r w:rsidR="00C20E2C" w:rsidRPr="00950D73">
        <w:rPr>
          <w:rFonts w:asciiTheme="majorBidi" w:hAnsiTheme="majorBidi" w:cstheme="majorBidi"/>
        </w:rPr>
        <w:t>».</w:t>
      </w:r>
      <w:r w:rsidRPr="00950D73">
        <w:rPr>
          <w:rFonts w:asciiTheme="majorBidi" w:hAnsiTheme="majorBidi" w:cstheme="majorBidi"/>
        </w:rPr>
        <w:t xml:space="preserve"> </w:t>
      </w:r>
    </w:p>
    <w:p w14:paraId="05B20696" w14:textId="79B53975" w:rsidR="00B315BF" w:rsidRPr="00950D73" w:rsidRDefault="00B315BF" w:rsidP="00B315BF">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2.8</w:t>
      </w:r>
    </w:p>
    <w:p w14:paraId="671855F0" w14:textId="06B87B01" w:rsidR="00C1224B" w:rsidRPr="00950D73" w:rsidRDefault="00C1224B" w:rsidP="00C1224B">
      <w:pPr>
        <w:pStyle w:val="SingleTxtG"/>
        <w:ind w:left="2268" w:hanging="1134"/>
        <w:rPr>
          <w:rFonts w:asciiTheme="majorBidi" w:hAnsiTheme="majorBidi" w:cstheme="majorBidi"/>
        </w:rPr>
      </w:pPr>
      <w:r w:rsidRPr="00950D73">
        <w:rPr>
          <w:rFonts w:asciiTheme="majorBidi" w:hAnsiTheme="majorBidi" w:cstheme="majorBidi"/>
        </w:rPr>
        <w:t>2.8.3</w:t>
      </w:r>
      <w:r w:rsidRPr="00950D73">
        <w:rPr>
          <w:rFonts w:asciiTheme="majorBidi" w:hAnsiTheme="majorBidi" w:cstheme="majorBidi"/>
        </w:rPr>
        <w:tab/>
      </w:r>
      <w:r w:rsidRPr="00950D73">
        <w:rPr>
          <w:rFonts w:asciiTheme="majorBidi" w:hAnsiTheme="majorBidi" w:cstheme="majorBidi"/>
        </w:rPr>
        <w:tab/>
      </w:r>
      <w:r w:rsidR="000903BA"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0903BA" w:rsidRPr="00950D73">
        <w:rPr>
          <w:rFonts w:asciiTheme="majorBidi" w:hAnsiTheme="majorBidi" w:cstheme="majorBidi"/>
        </w:rPr>
        <w:t xml:space="preserve"> : </w:t>
      </w:r>
      <w:r w:rsidRPr="00950D73">
        <w:rPr>
          <w:rFonts w:asciiTheme="majorBidi" w:hAnsiTheme="majorBidi" w:cstheme="majorBidi"/>
        </w:rPr>
        <w:t xml:space="preserve"> « Le tableau 2.8.1 présente les éléments d’étiquetage attribués aux </w:t>
      </w:r>
      <w:r w:rsidR="00842A2E" w:rsidRPr="00950D73">
        <w:rPr>
          <w:rFonts w:asciiTheme="majorBidi" w:hAnsiTheme="majorBidi" w:cstheme="majorBidi"/>
        </w:rPr>
        <w:t>matières</w:t>
      </w:r>
      <w:r w:rsidRPr="00950D73">
        <w:rPr>
          <w:rFonts w:asciiTheme="majorBidi" w:hAnsiTheme="majorBidi" w:cstheme="majorBidi"/>
        </w:rPr>
        <w:t xml:space="preserve"> classé</w:t>
      </w:r>
      <w:r w:rsidR="00842A2E"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 ».</w:t>
      </w:r>
    </w:p>
    <w:p w14:paraId="40D7913B" w14:textId="70A300E3" w:rsidR="00D4656D" w:rsidRPr="00950D73" w:rsidRDefault="00D4656D" w:rsidP="00D4656D">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2.9</w:t>
      </w:r>
    </w:p>
    <w:p w14:paraId="28EB63AB" w14:textId="597F4B28" w:rsidR="00D4656D" w:rsidRPr="00950D73" w:rsidRDefault="00D4656D" w:rsidP="00D4656D">
      <w:pPr>
        <w:pStyle w:val="SingleTxtG"/>
        <w:ind w:left="2268" w:hanging="1134"/>
        <w:rPr>
          <w:rFonts w:asciiTheme="majorBidi" w:hAnsiTheme="majorBidi" w:cstheme="majorBidi"/>
        </w:rPr>
      </w:pPr>
      <w:r w:rsidRPr="00950D73">
        <w:rPr>
          <w:rFonts w:asciiTheme="majorBidi" w:hAnsiTheme="majorBidi" w:cstheme="majorBidi"/>
        </w:rPr>
        <w:t>2.9.3</w:t>
      </w:r>
      <w:r w:rsidRPr="00950D73">
        <w:rPr>
          <w:rFonts w:asciiTheme="majorBidi" w:hAnsiTheme="majorBidi" w:cstheme="majorBidi"/>
        </w:rPr>
        <w:tab/>
      </w:r>
      <w:r w:rsidRPr="00950D73">
        <w:rPr>
          <w:rFonts w:asciiTheme="majorBidi" w:hAnsiTheme="majorBidi" w:cstheme="majorBidi"/>
        </w:rPr>
        <w:tab/>
      </w:r>
      <w:r w:rsidR="002C6422"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2C6422" w:rsidRPr="00950D73">
        <w:rPr>
          <w:rFonts w:asciiTheme="majorBidi" w:hAnsiTheme="majorBidi" w:cstheme="majorBidi"/>
        </w:rPr>
        <w:t> :</w:t>
      </w:r>
      <w:r w:rsidRPr="00950D73">
        <w:rPr>
          <w:rFonts w:asciiTheme="majorBidi" w:hAnsiTheme="majorBidi" w:cstheme="majorBidi"/>
        </w:rPr>
        <w:t xml:space="preserve"> </w:t>
      </w:r>
      <w:r w:rsidR="008B1ED6" w:rsidRPr="00950D73">
        <w:rPr>
          <w:rFonts w:asciiTheme="majorBidi" w:hAnsiTheme="majorBidi" w:cstheme="majorBidi"/>
        </w:rPr>
        <w:t>«</w:t>
      </w:r>
      <w:r w:rsidR="006B2121" w:rsidRPr="00950D73">
        <w:rPr>
          <w:rFonts w:asciiTheme="majorBidi" w:hAnsiTheme="majorBidi" w:cstheme="majorBidi"/>
        </w:rPr>
        <w:t> </w:t>
      </w:r>
      <w:r w:rsidR="008B1ED6" w:rsidRPr="00950D73">
        <w:rPr>
          <w:rFonts w:asciiTheme="majorBidi" w:hAnsiTheme="majorBidi" w:cstheme="majorBidi"/>
        </w:rPr>
        <w:t xml:space="preserve">Le tableau 2.9.2 présente les éléments d’étiquetage attribués aux </w:t>
      </w:r>
      <w:r w:rsidR="00842A2E" w:rsidRPr="00950D73">
        <w:rPr>
          <w:rFonts w:asciiTheme="majorBidi" w:hAnsiTheme="majorBidi" w:cstheme="majorBidi"/>
        </w:rPr>
        <w:t>matières</w:t>
      </w:r>
      <w:r w:rsidR="008B1ED6" w:rsidRPr="00950D73">
        <w:rPr>
          <w:rFonts w:asciiTheme="majorBidi" w:hAnsiTheme="majorBidi" w:cstheme="majorBidi"/>
        </w:rPr>
        <w:t xml:space="preserve"> classé</w:t>
      </w:r>
      <w:r w:rsidR="00842A2E" w:rsidRPr="00950D73">
        <w:rPr>
          <w:rFonts w:asciiTheme="majorBidi" w:hAnsiTheme="majorBidi" w:cstheme="majorBidi"/>
        </w:rPr>
        <w:t>e</w:t>
      </w:r>
      <w:r w:rsidR="008B1ED6" w:rsidRPr="00950D73">
        <w:rPr>
          <w:rFonts w:asciiTheme="majorBidi" w:hAnsiTheme="majorBidi" w:cstheme="majorBidi"/>
        </w:rPr>
        <w:t>s dans cette classe de danger d’après les critères exposés dans le présent chapitre.</w:t>
      </w:r>
      <w:r w:rsidR="006B2121" w:rsidRPr="00950D73">
        <w:rPr>
          <w:rFonts w:asciiTheme="majorBidi" w:hAnsiTheme="majorBidi" w:cstheme="majorBidi"/>
        </w:rPr>
        <w:t> </w:t>
      </w:r>
      <w:r w:rsidR="008B1ED6" w:rsidRPr="00950D73">
        <w:rPr>
          <w:rFonts w:asciiTheme="majorBidi" w:hAnsiTheme="majorBidi" w:cstheme="majorBidi"/>
        </w:rPr>
        <w:t>».</w:t>
      </w:r>
    </w:p>
    <w:p w14:paraId="5B46DC90" w14:textId="344163D0" w:rsidR="00265F23" w:rsidRPr="00950D73" w:rsidRDefault="00265F23" w:rsidP="00265F23">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2.10</w:t>
      </w:r>
    </w:p>
    <w:p w14:paraId="488866BD" w14:textId="1782F218" w:rsidR="00265F23" w:rsidRPr="00950D73" w:rsidRDefault="00265F23" w:rsidP="00265F23">
      <w:pPr>
        <w:pStyle w:val="SingleTxtG"/>
        <w:ind w:left="2268" w:hanging="1134"/>
        <w:rPr>
          <w:rFonts w:asciiTheme="majorBidi" w:hAnsiTheme="majorBidi" w:cstheme="majorBidi"/>
        </w:rPr>
      </w:pPr>
      <w:r w:rsidRPr="00950D73">
        <w:rPr>
          <w:rFonts w:asciiTheme="majorBidi" w:hAnsiTheme="majorBidi" w:cstheme="majorBidi"/>
        </w:rPr>
        <w:t>2.10.3</w:t>
      </w:r>
      <w:r w:rsidRPr="00950D73">
        <w:rPr>
          <w:rFonts w:asciiTheme="majorBidi" w:hAnsiTheme="majorBidi" w:cstheme="majorBidi"/>
        </w:rPr>
        <w:tab/>
      </w:r>
      <w:r w:rsidRPr="00950D73">
        <w:rPr>
          <w:rFonts w:asciiTheme="majorBidi" w:hAnsiTheme="majorBidi" w:cstheme="majorBidi"/>
        </w:rPr>
        <w:tab/>
      </w:r>
      <w:r w:rsidR="00594092" w:rsidRPr="00950D73">
        <w:rPr>
          <w:rFonts w:asciiTheme="majorBidi" w:hAnsiTheme="majorBidi" w:cstheme="majorBidi"/>
        </w:rPr>
        <w:t>Ajouter la phrase suivante à</w:t>
      </w:r>
      <w:r w:rsidR="00685DEC" w:rsidRPr="00950D73">
        <w:rPr>
          <w:rFonts w:asciiTheme="majorBidi" w:hAnsiTheme="majorBidi" w:cstheme="majorBidi"/>
        </w:rPr>
        <w:t xml:space="preserve"> la fin du paragraphe</w:t>
      </w:r>
      <w:r w:rsidR="00594092" w:rsidRPr="00950D73">
        <w:rPr>
          <w:rFonts w:asciiTheme="majorBidi" w:hAnsiTheme="majorBidi" w:cstheme="majorBidi"/>
        </w:rPr>
        <w:t xml:space="preserve"> : </w:t>
      </w:r>
      <w:r w:rsidR="00685DEC" w:rsidRPr="00950D73">
        <w:rPr>
          <w:rFonts w:asciiTheme="majorBidi" w:hAnsiTheme="majorBidi" w:cstheme="majorBidi"/>
        </w:rPr>
        <w:t xml:space="preserve">« Le tableau 2.10.2 présente les éléments d’étiquetage attribués aux </w:t>
      </w:r>
      <w:r w:rsidR="00277A33" w:rsidRPr="00950D73">
        <w:rPr>
          <w:rFonts w:asciiTheme="majorBidi" w:hAnsiTheme="majorBidi" w:cstheme="majorBidi"/>
        </w:rPr>
        <w:t xml:space="preserve">matières </w:t>
      </w:r>
      <w:r w:rsidR="00685DEC" w:rsidRPr="00950D73">
        <w:rPr>
          <w:rFonts w:asciiTheme="majorBidi" w:hAnsiTheme="majorBidi" w:cstheme="majorBidi"/>
        </w:rPr>
        <w:t>classé</w:t>
      </w:r>
      <w:r w:rsidR="00277A33" w:rsidRPr="00950D73">
        <w:rPr>
          <w:rFonts w:asciiTheme="majorBidi" w:hAnsiTheme="majorBidi" w:cstheme="majorBidi"/>
        </w:rPr>
        <w:t>e</w:t>
      </w:r>
      <w:r w:rsidR="00685DEC" w:rsidRPr="00950D73">
        <w:rPr>
          <w:rFonts w:asciiTheme="majorBidi" w:hAnsiTheme="majorBidi" w:cstheme="majorBidi"/>
        </w:rPr>
        <w:t>s dans cette classe de danger d’après les critères exposés dans le présent chapitre. ».</w:t>
      </w:r>
    </w:p>
    <w:p w14:paraId="144201CE" w14:textId="44E5B15E" w:rsidR="00690068" w:rsidRPr="00950D73" w:rsidRDefault="00690068" w:rsidP="00690068">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2.11</w:t>
      </w:r>
    </w:p>
    <w:p w14:paraId="434BEA84" w14:textId="667BA4ED" w:rsidR="00690068" w:rsidRPr="00950D73" w:rsidRDefault="00690068" w:rsidP="00DE7EB9">
      <w:pPr>
        <w:pStyle w:val="SingleTxtG"/>
        <w:ind w:left="2268" w:hanging="1134"/>
        <w:rPr>
          <w:rFonts w:asciiTheme="majorBidi" w:hAnsiTheme="majorBidi" w:cstheme="majorBidi"/>
        </w:rPr>
      </w:pPr>
      <w:r w:rsidRPr="00950D73">
        <w:rPr>
          <w:rFonts w:asciiTheme="majorBidi" w:hAnsiTheme="majorBidi" w:cstheme="majorBidi"/>
        </w:rPr>
        <w:t>2.1</w:t>
      </w:r>
      <w:r w:rsidR="007E0A25" w:rsidRPr="00950D73">
        <w:rPr>
          <w:rFonts w:asciiTheme="majorBidi" w:hAnsiTheme="majorBidi" w:cstheme="majorBidi"/>
        </w:rPr>
        <w:t>1</w:t>
      </w:r>
      <w:r w:rsidRPr="00950D73">
        <w:rPr>
          <w:rFonts w:asciiTheme="majorBidi" w:hAnsiTheme="majorBidi" w:cstheme="majorBidi"/>
        </w:rPr>
        <w:t>.3</w:t>
      </w:r>
      <w:r w:rsidRPr="00950D73">
        <w:rPr>
          <w:rFonts w:asciiTheme="majorBidi" w:hAnsiTheme="majorBidi" w:cstheme="majorBidi"/>
        </w:rPr>
        <w:tab/>
      </w:r>
      <w:r w:rsidRPr="00950D73">
        <w:rPr>
          <w:rFonts w:asciiTheme="majorBidi" w:hAnsiTheme="majorBidi" w:cstheme="majorBidi"/>
        </w:rPr>
        <w:tab/>
      </w:r>
      <w:r w:rsidR="00DE7EB9"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DE7EB9" w:rsidRPr="00950D73">
        <w:rPr>
          <w:rFonts w:asciiTheme="majorBidi" w:hAnsiTheme="majorBidi" w:cstheme="majorBidi"/>
        </w:rPr>
        <w:t> :</w:t>
      </w:r>
      <w:r w:rsidRPr="00950D73">
        <w:rPr>
          <w:rFonts w:asciiTheme="majorBidi" w:hAnsiTheme="majorBidi" w:cstheme="majorBidi"/>
        </w:rPr>
        <w:t xml:space="preserve"> </w:t>
      </w:r>
      <w:r w:rsidR="00A2341E" w:rsidRPr="00950D73">
        <w:rPr>
          <w:rFonts w:asciiTheme="majorBidi" w:hAnsiTheme="majorBidi" w:cstheme="majorBidi"/>
        </w:rPr>
        <w:t xml:space="preserve">« Le tableau 2.11.2 présente les éléments d’étiquetage attribués aux </w:t>
      </w:r>
      <w:r w:rsidR="00277A33" w:rsidRPr="00950D73">
        <w:rPr>
          <w:rFonts w:asciiTheme="majorBidi" w:hAnsiTheme="majorBidi" w:cstheme="majorBidi"/>
        </w:rPr>
        <w:t>matières</w:t>
      </w:r>
      <w:r w:rsidR="00A2341E" w:rsidRPr="00950D73">
        <w:rPr>
          <w:rFonts w:asciiTheme="majorBidi" w:hAnsiTheme="majorBidi" w:cstheme="majorBidi"/>
        </w:rPr>
        <w:t xml:space="preserve"> classé</w:t>
      </w:r>
      <w:r w:rsidR="00277A33" w:rsidRPr="00950D73">
        <w:rPr>
          <w:rFonts w:asciiTheme="majorBidi" w:hAnsiTheme="majorBidi" w:cstheme="majorBidi"/>
        </w:rPr>
        <w:t>e</w:t>
      </w:r>
      <w:r w:rsidR="00A2341E" w:rsidRPr="00950D73">
        <w:rPr>
          <w:rFonts w:asciiTheme="majorBidi" w:hAnsiTheme="majorBidi" w:cstheme="majorBidi"/>
        </w:rPr>
        <w:t>s dans cette classe de danger d’après les critères exposés dans le présent chapitre. ».</w:t>
      </w:r>
    </w:p>
    <w:p w14:paraId="3448EC89" w14:textId="7859F0B9" w:rsidR="004C35FC" w:rsidRPr="00950D73" w:rsidRDefault="004C35FC" w:rsidP="004C35FC">
      <w:pPr>
        <w:pStyle w:val="H1G"/>
        <w:rPr>
          <w:rFonts w:asciiTheme="majorBidi" w:hAnsiTheme="majorBidi" w:cstheme="majorBidi"/>
        </w:rPr>
      </w:pPr>
      <w:r w:rsidRPr="00950D73">
        <w:rPr>
          <w:rFonts w:asciiTheme="majorBidi" w:hAnsiTheme="majorBidi" w:cstheme="majorBidi"/>
        </w:rPr>
        <w:lastRenderedPageBreak/>
        <w:tab/>
      </w:r>
      <w:r w:rsidRPr="00950D73">
        <w:rPr>
          <w:rFonts w:asciiTheme="majorBidi" w:hAnsiTheme="majorBidi" w:cstheme="majorBidi"/>
        </w:rPr>
        <w:tab/>
        <w:t>Chapitre 2.12</w:t>
      </w:r>
    </w:p>
    <w:p w14:paraId="61BFF110" w14:textId="36DCD00B" w:rsidR="00C1224B" w:rsidRPr="00950D73" w:rsidRDefault="009931F6" w:rsidP="003229BF">
      <w:pPr>
        <w:pStyle w:val="SingleTxtG"/>
        <w:ind w:left="2268" w:hanging="1134"/>
        <w:rPr>
          <w:rFonts w:asciiTheme="majorBidi" w:hAnsiTheme="majorBidi" w:cstheme="majorBidi"/>
        </w:rPr>
      </w:pPr>
      <w:r w:rsidRPr="00950D73">
        <w:rPr>
          <w:rFonts w:asciiTheme="majorBidi" w:hAnsiTheme="majorBidi" w:cstheme="majorBidi"/>
        </w:rPr>
        <w:t>2.12.3</w:t>
      </w:r>
      <w:r w:rsidRPr="00950D73">
        <w:rPr>
          <w:rFonts w:asciiTheme="majorBidi" w:hAnsiTheme="majorBidi" w:cstheme="majorBidi"/>
        </w:rPr>
        <w:tab/>
      </w:r>
      <w:r w:rsidRPr="00950D73">
        <w:rPr>
          <w:rFonts w:asciiTheme="majorBidi" w:hAnsiTheme="majorBidi" w:cstheme="majorBidi"/>
        </w:rPr>
        <w:tab/>
      </w:r>
      <w:r w:rsidR="00410B9E"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410B9E" w:rsidRPr="00950D73">
        <w:rPr>
          <w:rFonts w:asciiTheme="majorBidi" w:hAnsiTheme="majorBidi" w:cstheme="majorBidi"/>
        </w:rPr>
        <w:t> :</w:t>
      </w:r>
      <w:r w:rsidRPr="00950D73">
        <w:rPr>
          <w:rFonts w:asciiTheme="majorBidi" w:hAnsiTheme="majorBidi" w:cstheme="majorBidi"/>
        </w:rPr>
        <w:t xml:space="preserve"> « Le tableau 2.12.2 présente les éléments d’étiquetage attribués aux </w:t>
      </w:r>
      <w:r w:rsidR="00277A33" w:rsidRPr="00950D73">
        <w:rPr>
          <w:rFonts w:asciiTheme="majorBidi" w:hAnsiTheme="majorBidi" w:cstheme="majorBidi"/>
        </w:rPr>
        <w:t>matières</w:t>
      </w:r>
      <w:r w:rsidRPr="00950D73">
        <w:rPr>
          <w:rFonts w:asciiTheme="majorBidi" w:hAnsiTheme="majorBidi" w:cstheme="majorBidi"/>
        </w:rPr>
        <w:t xml:space="preserve"> classé</w:t>
      </w:r>
      <w:r w:rsidR="00277A33"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w:t>
      </w:r>
      <w:r w:rsidR="00410B9E" w:rsidRPr="00950D73">
        <w:rPr>
          <w:rFonts w:asciiTheme="majorBidi" w:hAnsiTheme="majorBidi" w:cstheme="majorBidi"/>
        </w:rPr>
        <w:t> </w:t>
      </w:r>
      <w:r w:rsidRPr="00950D73">
        <w:rPr>
          <w:rFonts w:asciiTheme="majorBidi" w:hAnsiTheme="majorBidi" w:cstheme="majorBidi"/>
        </w:rPr>
        <w:t>».</w:t>
      </w:r>
    </w:p>
    <w:p w14:paraId="7905D8FF" w14:textId="75D75D3F" w:rsidR="00371441" w:rsidRPr="00950D73" w:rsidRDefault="00371441" w:rsidP="00371441">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2.13</w:t>
      </w:r>
    </w:p>
    <w:p w14:paraId="53F4FFCA" w14:textId="1B5E29B1" w:rsidR="00371441" w:rsidRPr="00950D73" w:rsidRDefault="002C16B0" w:rsidP="002C16B0">
      <w:pPr>
        <w:pStyle w:val="SingleTxtG"/>
        <w:ind w:left="2268" w:hanging="1134"/>
        <w:rPr>
          <w:rFonts w:asciiTheme="majorBidi" w:hAnsiTheme="majorBidi" w:cstheme="majorBidi"/>
        </w:rPr>
      </w:pPr>
      <w:r w:rsidRPr="00950D73">
        <w:rPr>
          <w:rFonts w:asciiTheme="majorBidi" w:hAnsiTheme="majorBidi" w:cstheme="majorBidi"/>
        </w:rPr>
        <w:t>2.13.3</w:t>
      </w:r>
      <w:r w:rsidRPr="00950D73">
        <w:rPr>
          <w:rFonts w:asciiTheme="majorBidi" w:hAnsiTheme="majorBidi" w:cstheme="majorBidi"/>
        </w:rPr>
        <w:tab/>
      </w:r>
      <w:r w:rsidRPr="00950D73">
        <w:rPr>
          <w:rFonts w:asciiTheme="majorBidi" w:hAnsiTheme="majorBidi" w:cstheme="majorBidi"/>
        </w:rPr>
        <w:tab/>
      </w:r>
      <w:r w:rsidR="00AC435E" w:rsidRPr="00950D73">
        <w:rPr>
          <w:rFonts w:asciiTheme="majorBidi" w:hAnsiTheme="majorBidi" w:cstheme="majorBidi"/>
        </w:rPr>
        <w:t xml:space="preserve">Ajouter la phrase suivante à </w:t>
      </w:r>
      <w:r w:rsidRPr="00950D73">
        <w:rPr>
          <w:rFonts w:asciiTheme="majorBidi" w:hAnsiTheme="majorBidi" w:cstheme="majorBidi"/>
        </w:rPr>
        <w:t>la fin du paragraphe</w:t>
      </w:r>
      <w:r w:rsidR="00AC435E" w:rsidRPr="00950D73">
        <w:rPr>
          <w:rFonts w:asciiTheme="majorBidi" w:hAnsiTheme="majorBidi" w:cstheme="majorBidi"/>
        </w:rPr>
        <w:t> :</w:t>
      </w:r>
      <w:r w:rsidRPr="00950D73">
        <w:rPr>
          <w:rFonts w:asciiTheme="majorBidi" w:hAnsiTheme="majorBidi" w:cstheme="majorBidi"/>
        </w:rPr>
        <w:t xml:space="preserve"> «</w:t>
      </w:r>
      <w:r w:rsidR="006B2121" w:rsidRPr="00950D73">
        <w:rPr>
          <w:rFonts w:asciiTheme="majorBidi" w:hAnsiTheme="majorBidi" w:cstheme="majorBidi"/>
        </w:rPr>
        <w:t> </w:t>
      </w:r>
      <w:r w:rsidRPr="00950D73">
        <w:rPr>
          <w:rFonts w:asciiTheme="majorBidi" w:hAnsiTheme="majorBidi" w:cstheme="majorBidi"/>
        </w:rPr>
        <w:t xml:space="preserve">Le tableau 2.13.2 présente les éléments d’étiquetage attribués aux </w:t>
      </w:r>
      <w:r w:rsidR="00277A33" w:rsidRPr="00950D73">
        <w:rPr>
          <w:rFonts w:asciiTheme="majorBidi" w:hAnsiTheme="majorBidi" w:cstheme="majorBidi"/>
        </w:rPr>
        <w:t>matières</w:t>
      </w:r>
      <w:r w:rsidRPr="00950D73">
        <w:rPr>
          <w:rFonts w:asciiTheme="majorBidi" w:hAnsiTheme="majorBidi" w:cstheme="majorBidi"/>
        </w:rPr>
        <w:t xml:space="preserve"> classé</w:t>
      </w:r>
      <w:r w:rsidR="00277A33"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w:t>
      </w:r>
      <w:r w:rsidR="006B2121" w:rsidRPr="00950D73">
        <w:rPr>
          <w:rFonts w:asciiTheme="majorBidi" w:hAnsiTheme="majorBidi" w:cstheme="majorBidi"/>
        </w:rPr>
        <w:t> </w:t>
      </w:r>
      <w:r w:rsidRPr="00950D73">
        <w:rPr>
          <w:rFonts w:asciiTheme="majorBidi" w:hAnsiTheme="majorBidi" w:cstheme="majorBidi"/>
        </w:rPr>
        <w:t>».</w:t>
      </w:r>
    </w:p>
    <w:p w14:paraId="7A4AB6B3" w14:textId="63C7FE71" w:rsidR="00EB7C6C" w:rsidRPr="00950D73" w:rsidRDefault="00EB7C6C" w:rsidP="00EB7C6C">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2.14</w:t>
      </w:r>
    </w:p>
    <w:p w14:paraId="64B13AF9" w14:textId="5A45F05F" w:rsidR="00EB7C6C" w:rsidRPr="00950D73" w:rsidRDefault="00EB7C6C" w:rsidP="00EB7C6C">
      <w:pPr>
        <w:pStyle w:val="SingleTxtG"/>
        <w:ind w:left="2268" w:hanging="1134"/>
        <w:rPr>
          <w:rFonts w:asciiTheme="majorBidi" w:hAnsiTheme="majorBidi" w:cstheme="majorBidi"/>
        </w:rPr>
      </w:pPr>
      <w:r w:rsidRPr="00950D73">
        <w:rPr>
          <w:rFonts w:asciiTheme="majorBidi" w:hAnsiTheme="majorBidi" w:cstheme="majorBidi"/>
        </w:rPr>
        <w:t>2.14.3</w:t>
      </w:r>
      <w:r w:rsidRPr="00950D73">
        <w:rPr>
          <w:rFonts w:asciiTheme="majorBidi" w:hAnsiTheme="majorBidi" w:cstheme="majorBidi"/>
        </w:rPr>
        <w:tab/>
      </w:r>
      <w:r w:rsidRPr="00950D73">
        <w:rPr>
          <w:rFonts w:asciiTheme="majorBidi" w:hAnsiTheme="majorBidi" w:cstheme="majorBidi"/>
        </w:rPr>
        <w:tab/>
      </w:r>
      <w:r w:rsidR="008D0024"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8D0024" w:rsidRPr="00950D73">
        <w:rPr>
          <w:rFonts w:asciiTheme="majorBidi" w:hAnsiTheme="majorBidi" w:cstheme="majorBidi"/>
        </w:rPr>
        <w:t> :</w:t>
      </w:r>
      <w:r w:rsidRPr="00950D73">
        <w:rPr>
          <w:rFonts w:asciiTheme="majorBidi" w:hAnsiTheme="majorBidi" w:cstheme="majorBidi"/>
        </w:rPr>
        <w:t xml:space="preserve"> « Le tableau 2.14.2 présente les éléments d’étiquetage attribués aux </w:t>
      </w:r>
      <w:r w:rsidR="00277A33" w:rsidRPr="00950D73">
        <w:rPr>
          <w:rFonts w:asciiTheme="majorBidi" w:hAnsiTheme="majorBidi" w:cstheme="majorBidi"/>
        </w:rPr>
        <w:t>matières</w:t>
      </w:r>
      <w:r w:rsidRPr="00950D73">
        <w:rPr>
          <w:rFonts w:asciiTheme="majorBidi" w:hAnsiTheme="majorBidi" w:cstheme="majorBidi"/>
        </w:rPr>
        <w:t xml:space="preserve"> classé</w:t>
      </w:r>
      <w:r w:rsidR="00277A33"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 ».</w:t>
      </w:r>
    </w:p>
    <w:p w14:paraId="31ACCA71" w14:textId="77BAC55D" w:rsidR="00D7442E" w:rsidRPr="00950D73" w:rsidRDefault="00D7442E" w:rsidP="00D7442E">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2.15</w:t>
      </w:r>
    </w:p>
    <w:p w14:paraId="25C715E4" w14:textId="77A7CCD5" w:rsidR="002B0985" w:rsidRPr="00950D73" w:rsidRDefault="002B0985" w:rsidP="002B0985">
      <w:pPr>
        <w:pStyle w:val="SingleTxtG"/>
        <w:ind w:left="2268" w:hanging="1134"/>
        <w:rPr>
          <w:rFonts w:asciiTheme="majorBidi" w:hAnsiTheme="majorBidi" w:cstheme="majorBidi"/>
        </w:rPr>
      </w:pPr>
      <w:r w:rsidRPr="00950D73">
        <w:rPr>
          <w:rFonts w:asciiTheme="majorBidi" w:hAnsiTheme="majorBidi" w:cstheme="majorBidi"/>
        </w:rPr>
        <w:t>2.15.3</w:t>
      </w:r>
      <w:r w:rsidRPr="00950D73">
        <w:rPr>
          <w:rFonts w:asciiTheme="majorBidi" w:hAnsiTheme="majorBidi" w:cstheme="majorBidi"/>
        </w:rPr>
        <w:tab/>
      </w:r>
      <w:r w:rsidRPr="00950D73">
        <w:rPr>
          <w:rFonts w:asciiTheme="majorBidi" w:hAnsiTheme="majorBidi" w:cstheme="majorBidi"/>
        </w:rPr>
        <w:tab/>
      </w:r>
      <w:r w:rsidR="008D0024"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8D0024" w:rsidRPr="00950D73">
        <w:rPr>
          <w:rFonts w:asciiTheme="majorBidi" w:hAnsiTheme="majorBidi" w:cstheme="majorBidi"/>
        </w:rPr>
        <w:t xml:space="preserve"> : </w:t>
      </w:r>
      <w:r w:rsidRPr="00950D73">
        <w:rPr>
          <w:rFonts w:asciiTheme="majorBidi" w:hAnsiTheme="majorBidi" w:cstheme="majorBidi"/>
        </w:rPr>
        <w:t xml:space="preserve">« Le tableau 2.15.1 présente les éléments d’étiquetage attribués aux </w:t>
      </w:r>
      <w:r w:rsidR="00277A33" w:rsidRPr="00950D73">
        <w:rPr>
          <w:rFonts w:asciiTheme="majorBidi" w:hAnsiTheme="majorBidi" w:cstheme="majorBidi"/>
        </w:rPr>
        <w:t>matières</w:t>
      </w:r>
      <w:r w:rsidRPr="00950D73">
        <w:rPr>
          <w:rFonts w:asciiTheme="majorBidi" w:hAnsiTheme="majorBidi" w:cstheme="majorBidi"/>
        </w:rPr>
        <w:t xml:space="preserve"> classé</w:t>
      </w:r>
      <w:r w:rsidR="00277A33"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 ».</w:t>
      </w:r>
    </w:p>
    <w:p w14:paraId="3F0A5CFA" w14:textId="2F96AFD3" w:rsidR="00C91A78" w:rsidRPr="00950D73" w:rsidRDefault="00C91A78" w:rsidP="00C91A78">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2.16</w:t>
      </w:r>
    </w:p>
    <w:p w14:paraId="2D79BEC5" w14:textId="1DCF9E4E" w:rsidR="00C37CC6" w:rsidRPr="00950D73" w:rsidRDefault="00C37CC6" w:rsidP="00C37CC6">
      <w:pPr>
        <w:pStyle w:val="SingleTxtG"/>
        <w:ind w:left="2268" w:hanging="1134"/>
        <w:rPr>
          <w:rFonts w:asciiTheme="majorBidi" w:hAnsiTheme="majorBidi" w:cstheme="majorBidi"/>
        </w:rPr>
      </w:pPr>
      <w:r w:rsidRPr="00950D73">
        <w:rPr>
          <w:rFonts w:asciiTheme="majorBidi" w:hAnsiTheme="majorBidi" w:cstheme="majorBidi"/>
        </w:rPr>
        <w:t>2.16.3</w:t>
      </w:r>
      <w:r w:rsidRPr="00950D73">
        <w:rPr>
          <w:rFonts w:asciiTheme="majorBidi" w:hAnsiTheme="majorBidi" w:cstheme="majorBidi"/>
        </w:rPr>
        <w:tab/>
      </w:r>
      <w:r w:rsidRPr="00950D73">
        <w:rPr>
          <w:rFonts w:asciiTheme="majorBidi" w:hAnsiTheme="majorBidi" w:cstheme="majorBidi"/>
        </w:rPr>
        <w:tab/>
      </w:r>
      <w:r w:rsidR="00697DD5"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697DD5" w:rsidRPr="00950D73">
        <w:rPr>
          <w:rFonts w:asciiTheme="majorBidi" w:hAnsiTheme="majorBidi" w:cstheme="majorBidi"/>
        </w:rPr>
        <w:t> :</w:t>
      </w:r>
      <w:r w:rsidRPr="00950D73">
        <w:rPr>
          <w:rFonts w:asciiTheme="majorBidi" w:hAnsiTheme="majorBidi" w:cstheme="majorBidi"/>
        </w:rPr>
        <w:t xml:space="preserve"> «</w:t>
      </w:r>
      <w:r w:rsidR="00FF5FF2" w:rsidRPr="00950D73">
        <w:rPr>
          <w:rFonts w:asciiTheme="majorBidi" w:hAnsiTheme="majorBidi" w:cstheme="majorBidi"/>
        </w:rPr>
        <w:t> </w:t>
      </w:r>
      <w:r w:rsidRPr="00950D73">
        <w:rPr>
          <w:rFonts w:asciiTheme="majorBidi" w:hAnsiTheme="majorBidi" w:cstheme="majorBidi"/>
        </w:rPr>
        <w:t xml:space="preserve">Le tableau 2.16.2 présente les éléments d’étiquetage attribués aux </w:t>
      </w:r>
      <w:r w:rsidR="00277A33" w:rsidRPr="00950D73">
        <w:rPr>
          <w:rFonts w:asciiTheme="majorBidi" w:hAnsiTheme="majorBidi" w:cstheme="majorBidi"/>
        </w:rPr>
        <w:t>matières</w:t>
      </w:r>
      <w:r w:rsidRPr="00950D73">
        <w:rPr>
          <w:rFonts w:asciiTheme="majorBidi" w:hAnsiTheme="majorBidi" w:cstheme="majorBidi"/>
        </w:rPr>
        <w:t xml:space="preserve"> classé</w:t>
      </w:r>
      <w:r w:rsidR="00277A33" w:rsidRPr="00950D73">
        <w:rPr>
          <w:rFonts w:asciiTheme="majorBidi" w:hAnsiTheme="majorBidi" w:cstheme="majorBidi"/>
        </w:rPr>
        <w:t>e</w:t>
      </w:r>
      <w:r w:rsidRPr="00950D73">
        <w:rPr>
          <w:rFonts w:asciiTheme="majorBidi" w:hAnsiTheme="majorBidi" w:cstheme="majorBidi"/>
        </w:rPr>
        <w:t xml:space="preserve">s dans cette classe de danger </w:t>
      </w:r>
      <w:r w:rsidRPr="00950D73">
        <w:rPr>
          <w:rFonts w:asciiTheme="majorBidi" w:hAnsiTheme="majorBidi" w:cstheme="majorBidi"/>
        </w:rPr>
        <w:lastRenderedPageBreak/>
        <w:t>d’après les critères exposés dans le présent chapitre.</w:t>
      </w:r>
      <w:r w:rsidR="00FF5FF2" w:rsidRPr="00950D73">
        <w:rPr>
          <w:rFonts w:asciiTheme="majorBidi" w:hAnsiTheme="majorBidi" w:cstheme="majorBidi"/>
        </w:rPr>
        <w:t> </w:t>
      </w:r>
      <w:r w:rsidRPr="00950D73">
        <w:rPr>
          <w:rFonts w:asciiTheme="majorBidi" w:hAnsiTheme="majorBidi" w:cstheme="majorBidi"/>
        </w:rPr>
        <w:t>».</w:t>
      </w:r>
    </w:p>
    <w:p w14:paraId="24B04DFB" w14:textId="3F7D02BF" w:rsidR="00EA6486" w:rsidRPr="00950D73" w:rsidRDefault="00EA6486" w:rsidP="00EA6486">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2.17</w:t>
      </w:r>
    </w:p>
    <w:p w14:paraId="7918A019" w14:textId="58D2089E" w:rsidR="006E4ED5" w:rsidRPr="00950D73" w:rsidRDefault="006E4ED5" w:rsidP="00E1672F">
      <w:pPr>
        <w:pStyle w:val="SingleTxtG"/>
        <w:ind w:left="2268" w:hanging="1134"/>
        <w:rPr>
          <w:rFonts w:asciiTheme="majorBidi" w:hAnsiTheme="majorBidi" w:cstheme="majorBidi"/>
        </w:rPr>
      </w:pPr>
      <w:r w:rsidRPr="00950D73">
        <w:rPr>
          <w:rFonts w:asciiTheme="majorBidi" w:hAnsiTheme="majorBidi" w:cstheme="majorBidi"/>
        </w:rPr>
        <w:t>2.17.1.1</w:t>
      </w:r>
      <w:r w:rsidRPr="00950D73">
        <w:rPr>
          <w:rFonts w:asciiTheme="majorBidi" w:hAnsiTheme="majorBidi" w:cstheme="majorBidi"/>
        </w:rPr>
        <w:tab/>
        <w:t>Modifier pour lire comme suit :</w:t>
      </w:r>
    </w:p>
    <w:p w14:paraId="1AA4A222" w14:textId="4362BD6B" w:rsidR="00E1672F" w:rsidRPr="00950D73" w:rsidRDefault="006E4ED5" w:rsidP="009B4275">
      <w:pPr>
        <w:pStyle w:val="SingleTxtG"/>
        <w:ind w:left="2268" w:hanging="1134"/>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r>
      <w:r w:rsidR="00E1672F" w:rsidRPr="00950D73">
        <w:rPr>
          <w:rFonts w:asciiTheme="majorBidi" w:hAnsiTheme="majorBidi" w:cstheme="majorBidi"/>
        </w:rPr>
        <w:t>«</w:t>
      </w:r>
      <w:r w:rsidR="002D52DE" w:rsidRPr="00950D73">
        <w:rPr>
          <w:rFonts w:asciiTheme="majorBidi" w:hAnsiTheme="majorBidi" w:cstheme="majorBidi"/>
        </w:rPr>
        <w:t> </w:t>
      </w:r>
      <w:r w:rsidR="00E1672F" w:rsidRPr="00950D73">
        <w:rPr>
          <w:rFonts w:asciiTheme="majorBidi" w:hAnsiTheme="majorBidi" w:cstheme="majorBidi"/>
        </w:rPr>
        <w:t xml:space="preserve">Par </w:t>
      </w:r>
      <w:r w:rsidR="00E1672F" w:rsidRPr="00950D73">
        <w:rPr>
          <w:rFonts w:asciiTheme="majorBidi" w:hAnsiTheme="majorBidi" w:cstheme="majorBidi"/>
          <w:i/>
          <w:iCs/>
        </w:rPr>
        <w:t>matière explosible désensibilisée</w:t>
      </w:r>
      <w:r w:rsidR="00E1672F" w:rsidRPr="00950D73">
        <w:rPr>
          <w:rFonts w:asciiTheme="majorBidi" w:hAnsiTheme="majorBidi" w:cstheme="majorBidi"/>
        </w:rPr>
        <w:t>, on entend une substance ou un mélange de substances relevant du chapitre 2.1, qui a été désensibilisé pour neutraliser ses propriétés explosives, de telle sorte qu’il répond aux critères du 2.17.2 et qu’il ne relève donc pas de la classe de danger « Matières explosibles</w:t>
      </w:r>
      <w:r w:rsidR="00FF5FF2" w:rsidRPr="00950D73">
        <w:rPr>
          <w:rFonts w:asciiTheme="majorBidi" w:hAnsiTheme="majorBidi" w:cstheme="majorBidi"/>
        </w:rPr>
        <w:t> </w:t>
      </w:r>
      <w:r w:rsidR="00E1672F" w:rsidRPr="00950D73">
        <w:rPr>
          <w:rFonts w:asciiTheme="majorBidi" w:hAnsiTheme="majorBidi" w:cstheme="majorBidi"/>
        </w:rPr>
        <w:t>» (</w:t>
      </w:r>
      <w:r w:rsidR="00862043" w:rsidRPr="00950D73">
        <w:rPr>
          <w:rFonts w:asciiTheme="majorBidi" w:hAnsiTheme="majorBidi" w:cstheme="majorBidi"/>
        </w:rPr>
        <w:t xml:space="preserve">voir </w:t>
      </w:r>
      <w:r w:rsidR="00E1672F" w:rsidRPr="00950D73">
        <w:rPr>
          <w:rFonts w:asciiTheme="majorBidi" w:hAnsiTheme="majorBidi" w:cstheme="majorBidi"/>
        </w:rPr>
        <w:t>chapitre 2.1 ; paragraphe 2.1.1.2.2). ».</w:t>
      </w:r>
    </w:p>
    <w:p w14:paraId="38ECBA0F" w14:textId="1715A69D" w:rsidR="00E1672F" w:rsidRPr="00950D73" w:rsidRDefault="00E1672F" w:rsidP="003229BF">
      <w:pPr>
        <w:pStyle w:val="SingleTxtG"/>
        <w:ind w:left="2268"/>
        <w:rPr>
          <w:rFonts w:asciiTheme="majorBidi" w:hAnsiTheme="majorBidi" w:cstheme="majorBidi"/>
        </w:rPr>
      </w:pPr>
      <w:r w:rsidRPr="00950D73">
        <w:rPr>
          <w:rFonts w:asciiTheme="majorBidi" w:hAnsiTheme="majorBidi" w:cstheme="majorBidi"/>
        </w:rPr>
        <w:t>Supprimer la note de bas de page 1.</w:t>
      </w:r>
    </w:p>
    <w:p w14:paraId="6CAAA4C4" w14:textId="6F0378CB" w:rsidR="00E1672F" w:rsidRPr="00950D73" w:rsidRDefault="00E1672F" w:rsidP="003229BF">
      <w:pPr>
        <w:pStyle w:val="SingleTxtG"/>
        <w:tabs>
          <w:tab w:val="clear" w:pos="1701"/>
        </w:tabs>
        <w:rPr>
          <w:rFonts w:asciiTheme="majorBidi" w:hAnsiTheme="majorBidi" w:cstheme="majorBidi"/>
        </w:rPr>
      </w:pPr>
      <w:r w:rsidRPr="00950D73">
        <w:rPr>
          <w:rFonts w:asciiTheme="majorBidi" w:hAnsiTheme="majorBidi" w:cstheme="majorBidi"/>
        </w:rPr>
        <w:t>2.17.2</w:t>
      </w:r>
      <w:r w:rsidR="0050429B" w:rsidRPr="00950D73">
        <w:rPr>
          <w:rFonts w:asciiTheme="majorBidi" w:hAnsiTheme="majorBidi" w:cstheme="majorBidi"/>
        </w:rPr>
        <w:tab/>
        <w:t>R</w:t>
      </w:r>
      <w:r w:rsidRPr="00950D73">
        <w:rPr>
          <w:rFonts w:asciiTheme="majorBidi" w:hAnsiTheme="majorBidi" w:cstheme="majorBidi"/>
        </w:rPr>
        <w:t>emplacer le texte actuel par ce qui suit :</w:t>
      </w:r>
    </w:p>
    <w:p w14:paraId="697FF2CE" w14:textId="77777777" w:rsidR="00E1672F" w:rsidRPr="00950D73" w:rsidRDefault="00E1672F" w:rsidP="003229BF">
      <w:pPr>
        <w:pStyle w:val="SingleTxtG"/>
        <w:tabs>
          <w:tab w:val="clear" w:pos="1701"/>
          <w:tab w:val="clear" w:pos="2268"/>
        </w:tabs>
        <w:ind w:left="2268"/>
        <w:rPr>
          <w:rFonts w:asciiTheme="majorBidi" w:hAnsiTheme="majorBidi" w:cstheme="majorBidi"/>
          <w:b/>
        </w:rPr>
      </w:pPr>
      <w:r w:rsidRPr="00950D73">
        <w:rPr>
          <w:rFonts w:asciiTheme="majorBidi" w:hAnsiTheme="majorBidi" w:cstheme="majorBidi"/>
        </w:rPr>
        <w:t>« </w:t>
      </w:r>
      <w:r w:rsidRPr="00950D73">
        <w:rPr>
          <w:rFonts w:asciiTheme="majorBidi" w:hAnsiTheme="majorBidi" w:cstheme="majorBidi"/>
          <w:b/>
        </w:rPr>
        <w:t>2.17.2</w:t>
      </w:r>
      <w:r w:rsidRPr="00950D73">
        <w:rPr>
          <w:rFonts w:asciiTheme="majorBidi" w:hAnsiTheme="majorBidi" w:cstheme="majorBidi"/>
        </w:rPr>
        <w:tab/>
      </w:r>
      <w:r w:rsidRPr="00950D73">
        <w:rPr>
          <w:rFonts w:asciiTheme="majorBidi" w:hAnsiTheme="majorBidi" w:cstheme="majorBidi"/>
          <w:b/>
        </w:rPr>
        <w:t>Critères de classification</w:t>
      </w:r>
    </w:p>
    <w:p w14:paraId="6C92AF8F" w14:textId="11144C32" w:rsidR="00E1672F" w:rsidRPr="00950D73" w:rsidRDefault="00E1672F" w:rsidP="003229BF">
      <w:pPr>
        <w:pStyle w:val="SingleTxtG"/>
        <w:tabs>
          <w:tab w:val="clear" w:pos="1701"/>
          <w:tab w:val="clear" w:pos="2268"/>
        </w:tabs>
        <w:ind w:left="2268"/>
        <w:rPr>
          <w:rFonts w:asciiTheme="majorBidi" w:hAnsiTheme="majorBidi" w:cstheme="majorBidi"/>
        </w:rPr>
      </w:pPr>
      <w:r w:rsidRPr="00950D73">
        <w:rPr>
          <w:rFonts w:asciiTheme="majorBidi" w:hAnsiTheme="majorBidi" w:cstheme="majorBidi"/>
        </w:rPr>
        <w:t>2.17.2.1</w:t>
      </w:r>
      <w:r w:rsidRPr="00950D73">
        <w:rPr>
          <w:rFonts w:asciiTheme="majorBidi" w:hAnsiTheme="majorBidi" w:cstheme="majorBidi"/>
        </w:rPr>
        <w:tab/>
        <w:t xml:space="preserve">Toute matière explosible désensibilisée </w:t>
      </w:r>
      <w:r w:rsidR="00FB0B5D" w:rsidRPr="00950D73">
        <w:rPr>
          <w:rFonts w:asciiTheme="majorBidi" w:hAnsiTheme="majorBidi" w:cstheme="majorBidi"/>
        </w:rPr>
        <w:t xml:space="preserve">peut relever de </w:t>
      </w:r>
      <w:r w:rsidRPr="00950D73">
        <w:rPr>
          <w:rFonts w:asciiTheme="majorBidi" w:hAnsiTheme="majorBidi" w:cstheme="majorBidi"/>
        </w:rPr>
        <w:t xml:space="preserve">cette classe si, dans cet état, </w:t>
      </w:r>
      <w:bookmarkStart w:id="0" w:name="_Hlk115280110"/>
      <w:r w:rsidRPr="00950D73">
        <w:rPr>
          <w:rFonts w:asciiTheme="majorBidi" w:hAnsiTheme="majorBidi" w:cstheme="majorBidi"/>
        </w:rPr>
        <w:t xml:space="preserve">l’énergie de décomposition exothermique est </w:t>
      </w:r>
      <w:r w:rsidR="00B53F87" w:rsidRPr="00464F7A">
        <w:rPr>
          <w:rFonts w:asciiTheme="majorBidi" w:hAnsiTheme="majorBidi" w:cstheme="majorBidi"/>
        </w:rPr>
        <w:t>≥</w:t>
      </w:r>
      <w:r w:rsidRPr="00950D73">
        <w:rPr>
          <w:rFonts w:asciiTheme="majorBidi" w:hAnsiTheme="majorBidi" w:cstheme="majorBidi"/>
        </w:rPr>
        <w:t xml:space="preserve"> 300 J/g</w:t>
      </w:r>
      <w:bookmarkEnd w:id="0"/>
      <w:r w:rsidRPr="00950D73">
        <w:rPr>
          <w:rFonts w:asciiTheme="majorBidi" w:hAnsiTheme="majorBidi" w:cstheme="majorBidi"/>
        </w:rPr>
        <w:t>.</w:t>
      </w:r>
    </w:p>
    <w:p w14:paraId="52660246" w14:textId="77777777" w:rsidR="00E1672F" w:rsidRPr="00950D73" w:rsidRDefault="00E1672F" w:rsidP="003229BF">
      <w:pPr>
        <w:pStyle w:val="SingleTxtG"/>
        <w:tabs>
          <w:tab w:val="clear" w:pos="1701"/>
          <w:tab w:val="clear" w:pos="2268"/>
        </w:tabs>
        <w:ind w:left="2268"/>
        <w:rPr>
          <w:rFonts w:asciiTheme="majorBidi" w:hAnsiTheme="majorBidi" w:cstheme="majorBidi"/>
          <w:i/>
          <w:iCs/>
        </w:rPr>
      </w:pPr>
      <w:r w:rsidRPr="00950D73">
        <w:rPr>
          <w:rFonts w:asciiTheme="majorBidi" w:hAnsiTheme="majorBidi" w:cstheme="majorBidi"/>
          <w:b/>
          <w:i/>
          <w:iCs/>
        </w:rPr>
        <w:t>NOTA 1</w:t>
      </w:r>
      <w:r w:rsidRPr="00950D73">
        <w:rPr>
          <w:rFonts w:asciiTheme="majorBidi" w:hAnsiTheme="majorBidi" w:cstheme="majorBidi"/>
          <w:bCs/>
          <w:i/>
          <w:iCs/>
        </w:rPr>
        <w:t> :</w:t>
      </w:r>
      <w:r w:rsidRPr="00950D73">
        <w:rPr>
          <w:rFonts w:asciiTheme="majorBidi" w:hAnsiTheme="majorBidi" w:cstheme="majorBidi"/>
        </w:rPr>
        <w:tab/>
      </w:r>
      <w:r w:rsidRPr="00950D73">
        <w:rPr>
          <w:rFonts w:asciiTheme="majorBidi" w:hAnsiTheme="majorBidi" w:cstheme="majorBidi"/>
          <w:i/>
          <w:iCs/>
        </w:rPr>
        <w:t>L’énergie de décomposition exothermique peut être estimée en utilisant une technique calorimétrique appropriée (voir la section 20, sous-section 20.3.3.3 de la deuxième partie du Manuel d’épreuves et de critères).</w:t>
      </w:r>
    </w:p>
    <w:p w14:paraId="2E72250D" w14:textId="32AB8A7F" w:rsidR="00E1672F" w:rsidRPr="00950D73" w:rsidRDefault="00BD6DE4" w:rsidP="003229BF">
      <w:pPr>
        <w:pStyle w:val="SingleTxtG"/>
        <w:tabs>
          <w:tab w:val="clear" w:pos="1701"/>
          <w:tab w:val="clear" w:pos="2268"/>
        </w:tabs>
        <w:ind w:left="2268"/>
        <w:rPr>
          <w:rFonts w:asciiTheme="majorBidi" w:hAnsiTheme="majorBidi" w:cstheme="majorBidi"/>
          <w:i/>
          <w:iCs/>
        </w:rPr>
      </w:pPr>
      <w:r w:rsidRPr="00950D73">
        <w:rPr>
          <w:rFonts w:asciiTheme="majorBidi" w:hAnsiTheme="majorBidi" w:cstheme="majorBidi"/>
          <w:b/>
          <w:i/>
          <w:iCs/>
        </w:rPr>
        <w:tab/>
      </w:r>
      <w:r w:rsidR="00E1672F" w:rsidRPr="00950D73">
        <w:rPr>
          <w:rFonts w:asciiTheme="majorBidi" w:hAnsiTheme="majorBidi" w:cstheme="majorBidi"/>
          <w:b/>
          <w:i/>
          <w:iCs/>
        </w:rPr>
        <w:t>2</w:t>
      </w:r>
      <w:r w:rsidR="00E1672F" w:rsidRPr="00950D73">
        <w:rPr>
          <w:rFonts w:asciiTheme="majorBidi" w:hAnsiTheme="majorBidi" w:cstheme="majorBidi"/>
          <w:bCs/>
        </w:rPr>
        <w:t> </w:t>
      </w:r>
      <w:r w:rsidR="00E1672F" w:rsidRPr="00950D73">
        <w:rPr>
          <w:rFonts w:asciiTheme="majorBidi" w:hAnsiTheme="majorBidi" w:cstheme="majorBidi"/>
          <w:bCs/>
          <w:i/>
          <w:iCs/>
        </w:rPr>
        <w:t>:</w:t>
      </w:r>
      <w:r w:rsidR="00E1672F" w:rsidRPr="00950D73">
        <w:rPr>
          <w:rFonts w:asciiTheme="majorBidi" w:hAnsiTheme="majorBidi" w:cstheme="majorBidi"/>
        </w:rPr>
        <w:tab/>
      </w:r>
      <w:r w:rsidR="00E1672F" w:rsidRPr="00950D73">
        <w:rPr>
          <w:rFonts w:asciiTheme="majorBidi" w:hAnsiTheme="majorBidi" w:cstheme="majorBidi"/>
          <w:i/>
          <w:iCs/>
        </w:rPr>
        <w:t xml:space="preserve">Les matières ayant une énergie de décomposition exothermique </w:t>
      </w:r>
      <w:r w:rsidR="002D2F90" w:rsidRPr="00464F7A">
        <w:rPr>
          <w:rFonts w:asciiTheme="majorBidi" w:hAnsiTheme="majorBidi" w:cstheme="majorBidi"/>
          <w:i/>
          <w:iCs/>
        </w:rPr>
        <w:t>&lt; </w:t>
      </w:r>
      <w:r w:rsidR="00E1672F" w:rsidRPr="00950D73">
        <w:rPr>
          <w:rFonts w:asciiTheme="majorBidi" w:hAnsiTheme="majorBidi" w:cstheme="majorBidi"/>
          <w:i/>
          <w:iCs/>
        </w:rPr>
        <w:t xml:space="preserve"> 300 J/g </w:t>
      </w:r>
      <w:r w:rsidR="00E6694D" w:rsidRPr="00950D73">
        <w:rPr>
          <w:rFonts w:asciiTheme="majorBidi" w:hAnsiTheme="majorBidi" w:cstheme="majorBidi"/>
          <w:i/>
          <w:iCs/>
        </w:rPr>
        <w:t xml:space="preserve">devraient </w:t>
      </w:r>
      <w:r w:rsidR="00E1672F" w:rsidRPr="00950D73">
        <w:rPr>
          <w:rFonts w:asciiTheme="majorBidi" w:hAnsiTheme="majorBidi" w:cstheme="majorBidi"/>
          <w:i/>
          <w:iCs/>
        </w:rPr>
        <w:t>être considérées comme relevant d’autres classes de danger physique (par exemple, liquides ou solides inflammables).</w:t>
      </w:r>
    </w:p>
    <w:p w14:paraId="6C043398" w14:textId="31BC7205" w:rsidR="00E1672F" w:rsidRPr="00950D73" w:rsidRDefault="00E1672F" w:rsidP="003229BF">
      <w:pPr>
        <w:pStyle w:val="SingleTxtG"/>
        <w:tabs>
          <w:tab w:val="clear" w:pos="1701"/>
          <w:tab w:val="clear" w:pos="2268"/>
        </w:tabs>
        <w:ind w:left="2268"/>
        <w:rPr>
          <w:rFonts w:asciiTheme="majorBidi" w:hAnsiTheme="majorBidi" w:cstheme="majorBidi"/>
        </w:rPr>
      </w:pPr>
      <w:r w:rsidRPr="00950D73">
        <w:rPr>
          <w:rFonts w:asciiTheme="majorBidi" w:hAnsiTheme="majorBidi" w:cstheme="majorBidi"/>
        </w:rPr>
        <w:t>2.17.2.2</w:t>
      </w:r>
      <w:r w:rsidRPr="00950D73">
        <w:rPr>
          <w:rFonts w:asciiTheme="majorBidi" w:hAnsiTheme="majorBidi" w:cstheme="majorBidi"/>
        </w:rPr>
        <w:tab/>
        <w:t xml:space="preserve">Toute matière explosible désensibilisée </w:t>
      </w:r>
      <w:r w:rsidR="00332B7E" w:rsidRPr="00950D73">
        <w:rPr>
          <w:rFonts w:asciiTheme="majorBidi" w:hAnsiTheme="majorBidi" w:cstheme="majorBidi"/>
        </w:rPr>
        <w:t xml:space="preserve">devrait être </w:t>
      </w:r>
      <w:r w:rsidRPr="00950D73">
        <w:rPr>
          <w:rFonts w:asciiTheme="majorBidi" w:hAnsiTheme="majorBidi" w:cstheme="majorBidi"/>
        </w:rPr>
        <w:t>considérée comme relevant de cette classe si, dans cet état, elle satisfait aux critères suivants :</w:t>
      </w:r>
    </w:p>
    <w:p w14:paraId="783C402E" w14:textId="77777777" w:rsidR="00E1672F" w:rsidRPr="00950D73" w:rsidRDefault="00E1672F" w:rsidP="003229BF">
      <w:pPr>
        <w:pStyle w:val="SingleTxtG"/>
        <w:tabs>
          <w:tab w:val="clear" w:pos="1701"/>
        </w:tabs>
        <w:ind w:left="2835" w:hanging="567"/>
        <w:rPr>
          <w:rFonts w:asciiTheme="majorBidi" w:hAnsiTheme="majorBidi" w:cstheme="majorBidi"/>
        </w:rPr>
      </w:pPr>
      <w:r w:rsidRPr="00950D73">
        <w:rPr>
          <w:rFonts w:asciiTheme="majorBidi" w:hAnsiTheme="majorBidi" w:cstheme="majorBidi"/>
        </w:rPr>
        <w:lastRenderedPageBreak/>
        <w:t>a)</w:t>
      </w:r>
      <w:r w:rsidRPr="00950D73">
        <w:rPr>
          <w:rFonts w:asciiTheme="majorBidi" w:hAnsiTheme="majorBidi" w:cstheme="majorBidi"/>
        </w:rPr>
        <w:tab/>
        <w:t>Elle n’est pas fabriquée en vue de produire un effet pratique explosif ou pyrotechnique ; et</w:t>
      </w:r>
    </w:p>
    <w:p w14:paraId="3A772F8E" w14:textId="77777777" w:rsidR="00E1672F" w:rsidRPr="00950D73" w:rsidRDefault="00E1672F" w:rsidP="003229BF">
      <w:pPr>
        <w:pStyle w:val="SingleTxtG"/>
        <w:tabs>
          <w:tab w:val="clear" w:pos="1701"/>
        </w:tabs>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Elle est désensibilisée de telle sorte qu’elle :</w:t>
      </w:r>
    </w:p>
    <w:p w14:paraId="09682465" w14:textId="77777777" w:rsidR="00E1672F" w:rsidRPr="00950D73" w:rsidRDefault="00E1672F" w:rsidP="00E1672F">
      <w:pPr>
        <w:pStyle w:val="SingleTxtG"/>
        <w:ind w:left="3402" w:hanging="567"/>
        <w:rPr>
          <w:rFonts w:asciiTheme="majorBidi" w:hAnsiTheme="majorBidi" w:cstheme="majorBidi"/>
        </w:rPr>
      </w:pPr>
      <w:r w:rsidRPr="00950D73">
        <w:rPr>
          <w:rFonts w:asciiTheme="majorBidi" w:hAnsiTheme="majorBidi" w:cstheme="majorBidi"/>
        </w:rPr>
        <w:t>i)</w:t>
      </w:r>
      <w:r w:rsidRPr="00950D73">
        <w:rPr>
          <w:rFonts w:asciiTheme="majorBidi" w:hAnsiTheme="majorBidi" w:cstheme="majorBidi"/>
        </w:rPr>
        <w:tab/>
        <w:t xml:space="preserve">Ne présente pas un danger d’explosion en masse, tel que défini par les épreuves 6 a) ou 6 b) du </w:t>
      </w:r>
      <w:r w:rsidRPr="00950D73">
        <w:rPr>
          <w:rFonts w:asciiTheme="majorBidi" w:hAnsiTheme="majorBidi" w:cstheme="majorBidi"/>
          <w:i/>
          <w:iCs/>
        </w:rPr>
        <w:t>Manuel d’épreuves et de critères</w:t>
      </w:r>
      <w:r w:rsidRPr="00950D73">
        <w:rPr>
          <w:rFonts w:asciiTheme="majorBidi" w:hAnsiTheme="majorBidi" w:cstheme="majorBidi"/>
        </w:rPr>
        <w:t> ; et</w:t>
      </w:r>
    </w:p>
    <w:p w14:paraId="7B48E6F1" w14:textId="77777777" w:rsidR="00E1672F" w:rsidRPr="00950D73" w:rsidRDefault="00E1672F" w:rsidP="00E1672F">
      <w:pPr>
        <w:pStyle w:val="SingleTxtG"/>
        <w:ind w:left="3402" w:hanging="567"/>
        <w:rPr>
          <w:rFonts w:asciiTheme="majorBidi" w:hAnsiTheme="majorBidi" w:cstheme="majorBidi"/>
        </w:rPr>
      </w:pPr>
      <w:r w:rsidRPr="00950D73">
        <w:rPr>
          <w:rFonts w:asciiTheme="majorBidi" w:hAnsiTheme="majorBidi" w:cstheme="majorBidi"/>
        </w:rPr>
        <w:t>ii)</w:t>
      </w:r>
      <w:r w:rsidRPr="00950D73">
        <w:rPr>
          <w:rFonts w:asciiTheme="majorBidi" w:hAnsiTheme="majorBidi" w:cstheme="majorBidi"/>
        </w:rPr>
        <w:tab/>
        <w:t xml:space="preserve">N’est pas trop sensible ou thermiquement instable selon les résultats de la série 3 d’épreuves du </w:t>
      </w:r>
      <w:r w:rsidRPr="00950D73">
        <w:rPr>
          <w:rFonts w:asciiTheme="majorBidi" w:hAnsiTheme="majorBidi" w:cstheme="majorBidi"/>
          <w:i/>
          <w:iCs/>
        </w:rPr>
        <w:t>Manuel d’épreuves et de critères</w:t>
      </w:r>
      <w:r w:rsidRPr="00950D73">
        <w:rPr>
          <w:rFonts w:asciiTheme="majorBidi" w:hAnsiTheme="majorBidi" w:cstheme="majorBidi"/>
        </w:rPr>
        <w:t> ;</w:t>
      </w:r>
    </w:p>
    <w:p w14:paraId="36D0AADB" w14:textId="6644DAEB" w:rsidR="00E1672F" w:rsidRPr="00950D73" w:rsidRDefault="00E1672F" w:rsidP="00E1672F">
      <w:pPr>
        <w:pStyle w:val="SingleTxtG"/>
        <w:ind w:left="3402" w:hanging="567"/>
        <w:rPr>
          <w:rFonts w:asciiTheme="majorBidi" w:hAnsiTheme="majorBidi" w:cstheme="majorBidi"/>
        </w:rPr>
      </w:pPr>
      <w:r w:rsidRPr="00950D73">
        <w:rPr>
          <w:rFonts w:asciiTheme="majorBidi" w:hAnsiTheme="majorBidi" w:cstheme="majorBidi"/>
        </w:rPr>
        <w:t>ou</w:t>
      </w:r>
    </w:p>
    <w:p w14:paraId="7E375E69" w14:textId="77777777" w:rsidR="00E1672F" w:rsidRPr="00950D73" w:rsidRDefault="00E1672F" w:rsidP="00E1672F">
      <w:pPr>
        <w:pStyle w:val="SingleTxtG"/>
        <w:ind w:left="3402" w:hanging="567"/>
        <w:rPr>
          <w:rFonts w:asciiTheme="majorBidi" w:hAnsiTheme="majorBidi" w:cstheme="majorBidi"/>
        </w:rPr>
      </w:pPr>
      <w:r w:rsidRPr="00950D73">
        <w:rPr>
          <w:rFonts w:asciiTheme="majorBidi" w:hAnsiTheme="majorBidi" w:cstheme="majorBidi"/>
        </w:rPr>
        <w:t>iii)</w:t>
      </w:r>
      <w:r w:rsidRPr="00950D73">
        <w:rPr>
          <w:rFonts w:asciiTheme="majorBidi" w:hAnsiTheme="majorBidi" w:cstheme="majorBidi"/>
        </w:rPr>
        <w:tab/>
        <w:t xml:space="preserve">Est trop insensible pour être incluse dans la classe des matières explosibles conformément à la série 2 d’épreuves du </w:t>
      </w:r>
      <w:r w:rsidRPr="00950D73">
        <w:rPr>
          <w:rFonts w:asciiTheme="majorBidi" w:hAnsiTheme="majorBidi" w:cstheme="majorBidi"/>
          <w:i/>
          <w:iCs/>
        </w:rPr>
        <w:t>Manuel d’épreuves et de critères</w:t>
      </w:r>
      <w:r w:rsidRPr="00950D73">
        <w:rPr>
          <w:rFonts w:asciiTheme="majorBidi" w:hAnsiTheme="majorBidi" w:cstheme="majorBidi"/>
        </w:rPr>
        <w:t> ; et</w:t>
      </w:r>
    </w:p>
    <w:p w14:paraId="2D2DCD98" w14:textId="0930088A" w:rsidR="00E1672F" w:rsidRPr="00950D73" w:rsidRDefault="00E1672F" w:rsidP="00E1672F">
      <w:pPr>
        <w:pStyle w:val="SingleTxtG"/>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 xml:space="preserve">Elle ne présente aucun danger d’explosion en masse, et la vitesse de combustion corrigée, telle que définie par l’épreuve de vitesse de combustion décrite dans la sous-section 51.4 du </w:t>
      </w:r>
      <w:r w:rsidRPr="00950D73">
        <w:rPr>
          <w:rFonts w:asciiTheme="majorBidi" w:hAnsiTheme="majorBidi" w:cstheme="majorBidi"/>
          <w:i/>
          <w:iCs/>
        </w:rPr>
        <w:t>Manuel d’épreuves et de critères</w:t>
      </w:r>
      <w:r w:rsidRPr="00950D73">
        <w:rPr>
          <w:rFonts w:asciiTheme="majorBidi" w:hAnsiTheme="majorBidi" w:cstheme="majorBidi"/>
        </w:rPr>
        <w:t xml:space="preserve">, est </w:t>
      </w:r>
      <w:r w:rsidR="0050105E" w:rsidRPr="00464F7A">
        <w:rPr>
          <w:rFonts w:asciiTheme="majorBidi" w:hAnsiTheme="majorBidi" w:cstheme="majorBidi"/>
        </w:rPr>
        <w:t>≤ </w:t>
      </w:r>
      <w:r w:rsidRPr="00950D73">
        <w:rPr>
          <w:rFonts w:asciiTheme="majorBidi" w:hAnsiTheme="majorBidi" w:cstheme="majorBidi"/>
        </w:rPr>
        <w:t xml:space="preserve"> 1 200 kg/min.</w:t>
      </w:r>
    </w:p>
    <w:p w14:paraId="513505FA" w14:textId="7B65F290" w:rsidR="00E1672F" w:rsidRPr="00950D73" w:rsidRDefault="00E1672F" w:rsidP="00E1672F">
      <w:pPr>
        <w:pStyle w:val="SingleTxtG"/>
        <w:rPr>
          <w:rFonts w:asciiTheme="majorBidi" w:hAnsiTheme="majorBidi" w:cstheme="majorBidi"/>
          <w:i/>
          <w:iCs/>
        </w:rPr>
      </w:pPr>
      <w:r w:rsidRPr="00950D73">
        <w:rPr>
          <w:rFonts w:asciiTheme="majorBidi" w:hAnsiTheme="majorBidi" w:cstheme="majorBidi"/>
          <w:b/>
          <w:i/>
          <w:iCs/>
        </w:rPr>
        <w:t>NOTA</w:t>
      </w:r>
      <w:r w:rsidRPr="00950D73">
        <w:rPr>
          <w:rFonts w:asciiTheme="majorBidi" w:hAnsiTheme="majorBidi" w:cstheme="majorBidi"/>
          <w:bCs/>
          <w:i/>
          <w:iCs/>
        </w:rPr>
        <w:t> :</w:t>
      </w:r>
      <w:r w:rsidRPr="00950D73">
        <w:rPr>
          <w:rFonts w:asciiTheme="majorBidi" w:hAnsiTheme="majorBidi" w:cstheme="majorBidi"/>
        </w:rPr>
        <w:tab/>
      </w:r>
      <w:r w:rsidR="00ED2D4C" w:rsidRPr="00950D73">
        <w:rPr>
          <w:rFonts w:asciiTheme="majorBidi" w:hAnsiTheme="majorBidi" w:cstheme="majorBidi"/>
          <w:i/>
          <w:iCs/>
        </w:rPr>
        <w:t>Toute matière explosible désensibilisée</w:t>
      </w:r>
      <w:r w:rsidR="002E2D69" w:rsidRPr="00950D73">
        <w:rPr>
          <w:rFonts w:asciiTheme="majorBidi" w:hAnsiTheme="majorBidi" w:cstheme="majorBidi"/>
          <w:i/>
          <w:iCs/>
        </w:rPr>
        <w:t xml:space="preserve"> qui ne satisfait pas </w:t>
      </w:r>
      <w:r w:rsidRPr="00950D73">
        <w:rPr>
          <w:rFonts w:asciiTheme="majorBidi" w:hAnsiTheme="majorBidi" w:cstheme="majorBidi"/>
          <w:i/>
          <w:iCs/>
        </w:rPr>
        <w:t xml:space="preserve">aux critères du 2.17.2.2 </w:t>
      </w:r>
      <w:r w:rsidR="000B46C2" w:rsidRPr="00950D73">
        <w:rPr>
          <w:rFonts w:asciiTheme="majorBidi" w:hAnsiTheme="majorBidi" w:cstheme="majorBidi"/>
          <w:i/>
          <w:iCs/>
        </w:rPr>
        <w:t>devrai</w:t>
      </w:r>
      <w:r w:rsidR="003E71E5" w:rsidRPr="00950D73">
        <w:rPr>
          <w:rFonts w:asciiTheme="majorBidi" w:hAnsiTheme="majorBidi" w:cstheme="majorBidi"/>
          <w:i/>
          <w:iCs/>
        </w:rPr>
        <w:t>t</w:t>
      </w:r>
      <w:r w:rsidR="000B46C2" w:rsidRPr="00950D73">
        <w:rPr>
          <w:rFonts w:asciiTheme="majorBidi" w:hAnsiTheme="majorBidi" w:cstheme="majorBidi"/>
          <w:i/>
          <w:iCs/>
        </w:rPr>
        <w:t xml:space="preserve"> </w:t>
      </w:r>
      <w:r w:rsidRPr="00950D73">
        <w:rPr>
          <w:rFonts w:asciiTheme="majorBidi" w:hAnsiTheme="majorBidi" w:cstheme="majorBidi"/>
          <w:i/>
          <w:iCs/>
        </w:rPr>
        <w:t>être considérée comme relevant de la classe des matières explosibles (voir chap</w:t>
      </w:r>
      <w:r w:rsidR="00412A4E" w:rsidRPr="00950D73">
        <w:rPr>
          <w:rFonts w:asciiTheme="majorBidi" w:hAnsiTheme="majorBidi" w:cstheme="majorBidi"/>
          <w:i/>
          <w:iCs/>
        </w:rPr>
        <w:t>itre</w:t>
      </w:r>
      <w:r w:rsidRPr="00950D73">
        <w:rPr>
          <w:rFonts w:asciiTheme="majorBidi" w:hAnsiTheme="majorBidi" w:cstheme="majorBidi"/>
          <w:i/>
          <w:iCs/>
        </w:rPr>
        <w:t> 2.1).</w:t>
      </w:r>
    </w:p>
    <w:p w14:paraId="7A3325C7" w14:textId="2792FBD2" w:rsidR="00E1672F" w:rsidRPr="00950D73" w:rsidRDefault="00E1672F" w:rsidP="00826A72">
      <w:pPr>
        <w:pStyle w:val="SingleTxtG"/>
        <w:rPr>
          <w:rFonts w:asciiTheme="majorBidi" w:hAnsiTheme="majorBidi" w:cstheme="majorBidi"/>
        </w:rPr>
      </w:pPr>
      <w:r w:rsidRPr="00950D73">
        <w:rPr>
          <w:rFonts w:asciiTheme="majorBidi" w:hAnsiTheme="majorBidi" w:cstheme="majorBidi"/>
        </w:rPr>
        <w:t>2.17.2.3</w:t>
      </w:r>
      <w:r w:rsidRPr="00950D73">
        <w:rPr>
          <w:rFonts w:asciiTheme="majorBidi" w:hAnsiTheme="majorBidi" w:cstheme="majorBidi"/>
        </w:rPr>
        <w:tab/>
        <w:t xml:space="preserve">Outre qu’elle doit satisfaire aux critères énoncés aux 2.17.2.1 et 2.17.2.2, la nitrocellulose </w:t>
      </w:r>
      <w:r w:rsidR="008B7FA3" w:rsidRPr="00950D73">
        <w:rPr>
          <w:rFonts w:asciiTheme="majorBidi" w:hAnsiTheme="majorBidi" w:cstheme="majorBidi"/>
        </w:rPr>
        <w:t xml:space="preserve">devrait </w:t>
      </w:r>
      <w:r w:rsidRPr="00950D73">
        <w:rPr>
          <w:rFonts w:asciiTheme="majorBidi" w:hAnsiTheme="majorBidi" w:cstheme="majorBidi"/>
        </w:rPr>
        <w:t xml:space="preserve">être stable </w:t>
      </w:r>
      <w:r w:rsidR="006A4703" w:rsidRPr="00950D73">
        <w:rPr>
          <w:rFonts w:asciiTheme="majorBidi" w:hAnsiTheme="majorBidi" w:cstheme="majorBidi"/>
        </w:rPr>
        <w:t>telle que défini</w:t>
      </w:r>
      <w:r w:rsidR="009E2891" w:rsidRPr="00950D73">
        <w:rPr>
          <w:rFonts w:asciiTheme="majorBidi" w:hAnsiTheme="majorBidi" w:cstheme="majorBidi"/>
        </w:rPr>
        <w:t xml:space="preserve"> </w:t>
      </w:r>
      <w:r w:rsidRPr="00950D73">
        <w:rPr>
          <w:rFonts w:asciiTheme="majorBidi" w:hAnsiTheme="majorBidi" w:cstheme="majorBidi"/>
        </w:rPr>
        <w:t xml:space="preserve">à l’appendice 10 du </w:t>
      </w:r>
      <w:r w:rsidRPr="00950D73">
        <w:rPr>
          <w:rFonts w:asciiTheme="majorBidi" w:hAnsiTheme="majorBidi" w:cstheme="majorBidi"/>
          <w:i/>
          <w:iCs/>
        </w:rPr>
        <w:t>Manuel d’épreuves et de critères</w:t>
      </w:r>
      <w:r w:rsidRPr="00950D73">
        <w:rPr>
          <w:rFonts w:asciiTheme="majorBidi" w:hAnsiTheme="majorBidi" w:cstheme="majorBidi"/>
        </w:rPr>
        <w:t xml:space="preserve"> pour pouvoir être utilisée dans les mélanges de nitrocellulose</w:t>
      </w:r>
      <w:r w:rsidRPr="00950D73">
        <w:rPr>
          <w:rFonts w:asciiTheme="majorBidi" w:hAnsiTheme="majorBidi" w:cstheme="majorBidi"/>
          <w:i/>
          <w:iCs/>
        </w:rPr>
        <w:t xml:space="preserve"> </w:t>
      </w:r>
      <w:r w:rsidRPr="00950D73">
        <w:rPr>
          <w:rFonts w:asciiTheme="majorBidi" w:hAnsiTheme="majorBidi" w:cstheme="majorBidi"/>
        </w:rPr>
        <w:t>considérés comme relevant de cette classe.</w:t>
      </w:r>
    </w:p>
    <w:p w14:paraId="173D3AF5" w14:textId="77777777" w:rsidR="00E1672F" w:rsidRPr="00950D73" w:rsidRDefault="00E1672F" w:rsidP="00E1672F">
      <w:pPr>
        <w:pStyle w:val="SingleTxtG"/>
        <w:rPr>
          <w:rFonts w:asciiTheme="majorBidi" w:hAnsiTheme="majorBidi" w:cstheme="majorBidi"/>
          <w:i/>
          <w:iCs/>
        </w:rPr>
      </w:pPr>
      <w:r w:rsidRPr="00950D73">
        <w:rPr>
          <w:rFonts w:asciiTheme="majorBidi" w:hAnsiTheme="majorBidi" w:cstheme="majorBidi"/>
          <w:b/>
          <w:i/>
          <w:iCs/>
        </w:rPr>
        <w:t>NOTA</w:t>
      </w:r>
      <w:r w:rsidRPr="00950D73">
        <w:rPr>
          <w:rFonts w:asciiTheme="majorBidi" w:hAnsiTheme="majorBidi" w:cstheme="majorBidi"/>
          <w:bCs/>
          <w:i/>
          <w:iCs/>
        </w:rPr>
        <w:t> :</w:t>
      </w:r>
      <w:r w:rsidRPr="00950D73">
        <w:rPr>
          <w:rFonts w:asciiTheme="majorBidi" w:hAnsiTheme="majorBidi" w:cstheme="majorBidi"/>
        </w:rPr>
        <w:tab/>
      </w:r>
      <w:r w:rsidRPr="00950D73">
        <w:rPr>
          <w:rFonts w:asciiTheme="majorBidi" w:hAnsiTheme="majorBidi" w:cstheme="majorBidi"/>
          <w:i/>
          <w:iCs/>
        </w:rPr>
        <w:t xml:space="preserve">Les mélanges de nitrocellulose ne contenant pas </w:t>
      </w:r>
      <w:r w:rsidRPr="00950D73">
        <w:rPr>
          <w:rFonts w:asciiTheme="majorBidi" w:hAnsiTheme="majorBidi" w:cstheme="majorBidi"/>
          <w:i/>
          <w:iCs/>
        </w:rPr>
        <w:lastRenderedPageBreak/>
        <w:t>d’autres matières explosibles que la nitrocellulose ne doivent pas satisfaire au critère énoncé au 2.17.2.2 b) ii). </w:t>
      </w:r>
      <w:r w:rsidRPr="00950D73">
        <w:rPr>
          <w:rFonts w:asciiTheme="majorBidi" w:hAnsiTheme="majorBidi" w:cstheme="majorBidi"/>
        </w:rPr>
        <w:t>».</w:t>
      </w:r>
    </w:p>
    <w:p w14:paraId="5436F490" w14:textId="0AED8548" w:rsidR="00EE29F7" w:rsidRPr="00950D73" w:rsidRDefault="00BF02E4" w:rsidP="007D0AA3">
      <w:pPr>
        <w:pStyle w:val="SingleTxtG"/>
        <w:ind w:left="2268" w:hanging="1134"/>
        <w:rPr>
          <w:rFonts w:asciiTheme="majorBidi" w:hAnsiTheme="majorBidi" w:cstheme="majorBidi"/>
        </w:rPr>
      </w:pPr>
      <w:r w:rsidRPr="00950D73">
        <w:rPr>
          <w:rFonts w:asciiTheme="majorBidi" w:hAnsiTheme="majorBidi" w:cstheme="majorBidi"/>
        </w:rPr>
        <w:t>2.17.2.4 (</w:t>
      </w:r>
      <w:r w:rsidR="00123A47" w:rsidRPr="00950D73">
        <w:rPr>
          <w:rFonts w:asciiTheme="majorBidi" w:hAnsiTheme="majorBidi" w:cstheme="majorBidi"/>
        </w:rPr>
        <w:t xml:space="preserve">nouveau, ancien 2.17.2.2) </w:t>
      </w:r>
      <w:r w:rsidR="00123A47" w:rsidRPr="00950D73">
        <w:rPr>
          <w:rFonts w:asciiTheme="majorBidi" w:hAnsiTheme="majorBidi" w:cstheme="majorBidi"/>
        </w:rPr>
        <w:tab/>
      </w:r>
      <w:r w:rsidR="00E1672F" w:rsidRPr="00950D73">
        <w:rPr>
          <w:rFonts w:asciiTheme="majorBidi" w:hAnsiTheme="majorBidi" w:cstheme="majorBidi"/>
        </w:rPr>
        <w:t>Le paragraphe 2.17.2.2 actuel devient le paragraphe 2.17.2.4.</w:t>
      </w:r>
      <w:r w:rsidR="00875C26" w:rsidRPr="00950D73">
        <w:rPr>
          <w:rFonts w:asciiTheme="majorBidi" w:hAnsiTheme="majorBidi" w:cstheme="majorBidi"/>
        </w:rPr>
        <w:t xml:space="preserve"> </w:t>
      </w:r>
      <w:r w:rsidR="009260D4" w:rsidRPr="00950D73">
        <w:rPr>
          <w:rFonts w:asciiTheme="majorBidi" w:hAnsiTheme="majorBidi" w:cstheme="majorBidi"/>
        </w:rPr>
        <w:t xml:space="preserve">L’amendement au texte du paragraphe est sans objet en </w:t>
      </w:r>
      <w:r w:rsidR="000B444F" w:rsidRPr="00950D73">
        <w:rPr>
          <w:rFonts w:asciiTheme="majorBidi" w:hAnsiTheme="majorBidi" w:cstheme="majorBidi"/>
        </w:rPr>
        <w:t>fran</w:t>
      </w:r>
      <w:r w:rsidR="00A60A28" w:rsidRPr="00950D73">
        <w:rPr>
          <w:rFonts w:asciiTheme="majorBidi" w:hAnsiTheme="majorBidi" w:cstheme="majorBidi"/>
        </w:rPr>
        <w:t>çais.</w:t>
      </w:r>
    </w:p>
    <w:p w14:paraId="2D5B04C9" w14:textId="1C13F66F" w:rsidR="00A77517" w:rsidRPr="00950D73" w:rsidRDefault="00A77517" w:rsidP="00A77517">
      <w:pPr>
        <w:pStyle w:val="SingleTxtG"/>
        <w:ind w:left="2268" w:hanging="1134"/>
        <w:rPr>
          <w:rFonts w:asciiTheme="majorBidi" w:hAnsiTheme="majorBidi" w:cstheme="majorBidi"/>
        </w:rPr>
      </w:pPr>
      <w:r w:rsidRPr="00950D73">
        <w:rPr>
          <w:rFonts w:asciiTheme="majorBidi" w:hAnsiTheme="majorBidi" w:cstheme="majorBidi"/>
        </w:rPr>
        <w:t>2.17.3</w:t>
      </w:r>
      <w:r w:rsidRPr="00950D73">
        <w:rPr>
          <w:rFonts w:asciiTheme="majorBidi" w:hAnsiTheme="majorBidi" w:cstheme="majorBidi"/>
        </w:rPr>
        <w:tab/>
      </w:r>
      <w:r w:rsidRPr="00950D73">
        <w:rPr>
          <w:rFonts w:asciiTheme="majorBidi" w:hAnsiTheme="majorBidi" w:cstheme="majorBidi"/>
        </w:rPr>
        <w:tab/>
      </w:r>
      <w:r w:rsidR="0046440B"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46440B" w:rsidRPr="00950D73">
        <w:rPr>
          <w:rFonts w:asciiTheme="majorBidi" w:hAnsiTheme="majorBidi" w:cstheme="majorBidi"/>
        </w:rPr>
        <w:t> :</w:t>
      </w:r>
      <w:r w:rsidRPr="00950D73">
        <w:rPr>
          <w:rFonts w:asciiTheme="majorBidi" w:hAnsiTheme="majorBidi" w:cstheme="majorBidi"/>
        </w:rPr>
        <w:t xml:space="preserve"> « Le tableau 2.17.2 présente les éléments d’étiquetage attribués aux </w:t>
      </w:r>
      <w:r w:rsidR="00AE0E8A" w:rsidRPr="00950D73">
        <w:rPr>
          <w:rFonts w:asciiTheme="majorBidi" w:hAnsiTheme="majorBidi" w:cstheme="majorBidi"/>
        </w:rPr>
        <w:t>matières</w:t>
      </w:r>
      <w:r w:rsidRPr="00950D73">
        <w:rPr>
          <w:rFonts w:asciiTheme="majorBidi" w:hAnsiTheme="majorBidi" w:cstheme="majorBidi"/>
        </w:rPr>
        <w:t xml:space="preserve"> classé</w:t>
      </w:r>
      <w:r w:rsidR="00AE0E8A" w:rsidRPr="00950D73">
        <w:rPr>
          <w:rFonts w:asciiTheme="majorBidi" w:hAnsiTheme="majorBidi" w:cstheme="majorBidi"/>
        </w:rPr>
        <w:t>e</w:t>
      </w:r>
      <w:r w:rsidRPr="00950D73">
        <w:rPr>
          <w:rFonts w:asciiTheme="majorBidi" w:hAnsiTheme="majorBidi" w:cstheme="majorBidi"/>
        </w:rPr>
        <w:t>s dans cette classe de danger d’après les critères exposés dans le présent chapitre. ».</w:t>
      </w:r>
    </w:p>
    <w:p w14:paraId="204E1523" w14:textId="4349CABE" w:rsidR="008A7ED3" w:rsidRPr="00950D73" w:rsidRDefault="008A7ED3" w:rsidP="00273A4B">
      <w:pPr>
        <w:pStyle w:val="SingleTxtG"/>
        <w:rPr>
          <w:rFonts w:asciiTheme="majorBidi" w:hAnsiTheme="majorBidi" w:cstheme="majorBidi"/>
        </w:rPr>
      </w:pPr>
      <w:r w:rsidRPr="00950D73">
        <w:rPr>
          <w:rFonts w:asciiTheme="majorBidi" w:hAnsiTheme="majorBidi" w:cstheme="majorBidi"/>
        </w:rPr>
        <w:t xml:space="preserve">Le paragraphe 2.17.4 </w:t>
      </w:r>
      <w:r w:rsidR="002A45A5" w:rsidRPr="00950D73">
        <w:rPr>
          <w:rFonts w:asciiTheme="majorBidi" w:hAnsiTheme="majorBidi" w:cstheme="majorBidi"/>
        </w:rPr>
        <w:t xml:space="preserve">actuel </w:t>
      </w:r>
      <w:r w:rsidRPr="00950D73">
        <w:rPr>
          <w:rFonts w:asciiTheme="majorBidi" w:hAnsiTheme="majorBidi" w:cstheme="majorBidi"/>
        </w:rPr>
        <w:t>reste inchangé.</w:t>
      </w:r>
    </w:p>
    <w:p w14:paraId="331277DB" w14:textId="430DE219" w:rsidR="00E1672F" w:rsidRPr="00950D73" w:rsidRDefault="00E1672F" w:rsidP="00E1672F">
      <w:pPr>
        <w:pStyle w:val="SingleTxtG"/>
        <w:rPr>
          <w:rFonts w:asciiTheme="majorBidi" w:hAnsiTheme="majorBidi" w:cstheme="majorBidi"/>
        </w:rPr>
      </w:pPr>
      <w:r w:rsidRPr="00950D73">
        <w:rPr>
          <w:rFonts w:asciiTheme="majorBidi" w:hAnsiTheme="majorBidi" w:cstheme="majorBidi"/>
        </w:rPr>
        <w:t>2.17.4.1</w:t>
      </w:r>
      <w:r w:rsidR="00B557A6" w:rsidRPr="00950D73">
        <w:rPr>
          <w:rFonts w:asciiTheme="majorBidi" w:hAnsiTheme="majorBidi" w:cstheme="majorBidi"/>
        </w:rPr>
        <w:tab/>
        <w:t>Modifier pour lire comme suit :</w:t>
      </w:r>
    </w:p>
    <w:p w14:paraId="668CEA84" w14:textId="77777777" w:rsidR="00E1672F" w:rsidRPr="00950D73" w:rsidRDefault="00E1672F" w:rsidP="003229BF">
      <w:pPr>
        <w:pStyle w:val="SingleTxtG"/>
        <w:ind w:left="2268"/>
        <w:rPr>
          <w:rFonts w:asciiTheme="majorBidi" w:hAnsiTheme="majorBidi" w:cstheme="majorBidi"/>
          <w:b/>
          <w:i/>
          <w:color w:val="000000"/>
          <w:szCs w:val="22"/>
        </w:rPr>
      </w:pPr>
      <w:r w:rsidRPr="00950D73">
        <w:rPr>
          <w:rFonts w:asciiTheme="majorBidi" w:hAnsiTheme="majorBidi" w:cstheme="majorBidi"/>
        </w:rPr>
        <w:t>« </w:t>
      </w:r>
      <w:r w:rsidRPr="00950D73">
        <w:rPr>
          <w:rFonts w:asciiTheme="majorBidi" w:hAnsiTheme="majorBidi" w:cstheme="majorBidi"/>
          <w:b/>
        </w:rPr>
        <w:t>2.17.4.1</w:t>
      </w:r>
      <w:r w:rsidRPr="00950D73">
        <w:rPr>
          <w:rFonts w:asciiTheme="majorBidi" w:hAnsiTheme="majorBidi" w:cstheme="majorBidi"/>
        </w:rPr>
        <w:tab/>
      </w:r>
      <w:r w:rsidRPr="00950D73">
        <w:rPr>
          <w:rFonts w:asciiTheme="majorBidi" w:hAnsiTheme="majorBidi" w:cstheme="majorBidi"/>
          <w:b/>
          <w:i/>
          <w:iCs/>
        </w:rPr>
        <w:t>Procédure de décision</w:t>
      </w:r>
    </w:p>
    <w:p w14:paraId="4E64A6BE" w14:textId="5380DF9C" w:rsidR="00E1672F" w:rsidRPr="00950D73" w:rsidRDefault="00E1672F" w:rsidP="00313DB9">
      <w:pPr>
        <w:pStyle w:val="SingleTxtG"/>
        <w:tabs>
          <w:tab w:val="clear" w:pos="2268"/>
        </w:tabs>
        <w:ind w:left="2268" w:firstLine="1134"/>
        <w:rPr>
          <w:rFonts w:asciiTheme="majorBidi" w:hAnsiTheme="majorBidi" w:cstheme="majorBidi"/>
          <w:b/>
          <w:i/>
          <w:iCs/>
        </w:rPr>
      </w:pPr>
      <w:r w:rsidRPr="00950D73">
        <w:rPr>
          <w:rFonts w:asciiTheme="majorBidi" w:hAnsiTheme="majorBidi" w:cstheme="majorBidi"/>
        </w:rPr>
        <w:t xml:space="preserve">Pour classer les matières explosibles désensibilisées, on doit déterminer la sensibilité, la stabilité thermique, le danger d’explosion et la vitesse de combustion corrigée suivant la méthode décrite dans les première et cinquième parties du </w:t>
      </w:r>
      <w:r w:rsidRPr="00950D73">
        <w:rPr>
          <w:rFonts w:asciiTheme="majorBidi" w:hAnsiTheme="majorBidi" w:cstheme="majorBidi"/>
          <w:i/>
          <w:iCs/>
        </w:rPr>
        <w:t>Manuel d’épreuves et de critères</w:t>
      </w:r>
      <w:r w:rsidRPr="00950D73">
        <w:rPr>
          <w:rFonts w:asciiTheme="majorBidi" w:hAnsiTheme="majorBidi" w:cstheme="majorBidi"/>
        </w:rPr>
        <w:t xml:space="preserve">. </w:t>
      </w:r>
      <w:r w:rsidR="005854C0" w:rsidRPr="00950D73">
        <w:rPr>
          <w:rFonts w:asciiTheme="majorBidi" w:hAnsiTheme="majorBidi" w:cstheme="majorBidi"/>
        </w:rPr>
        <w:t>Lorsqu’un mélange contient de la nitrocellulose, des données supplémentaires pour la stabilité de cette matière</w:t>
      </w:r>
      <w:r w:rsidRPr="00950D73">
        <w:rPr>
          <w:rFonts w:asciiTheme="majorBidi" w:hAnsiTheme="majorBidi" w:cstheme="majorBidi"/>
        </w:rPr>
        <w:t xml:space="preserve"> présentées dans l’annexe 10 du </w:t>
      </w:r>
      <w:r w:rsidRPr="00950D73">
        <w:rPr>
          <w:rFonts w:asciiTheme="majorBidi" w:hAnsiTheme="majorBidi" w:cstheme="majorBidi"/>
          <w:i/>
          <w:iCs/>
        </w:rPr>
        <w:t>Manuel d’épreuves et de critères</w:t>
      </w:r>
      <w:r w:rsidRPr="00950D73">
        <w:rPr>
          <w:rFonts w:asciiTheme="majorBidi" w:hAnsiTheme="majorBidi" w:cstheme="majorBidi"/>
        </w:rPr>
        <w:t xml:space="preserve">, sont nécessaires pour qu’elle puisse être utilisée dans les mélanges de nitrocellulose considérés comme relevant de cette classe. </w:t>
      </w:r>
      <w:r w:rsidR="007D6DCC" w:rsidRPr="00950D73">
        <w:rPr>
          <w:rFonts w:asciiTheme="majorBidi" w:hAnsiTheme="majorBidi" w:cstheme="majorBidi"/>
        </w:rPr>
        <w:t>La classification</w:t>
      </w:r>
      <w:r w:rsidRPr="00950D73">
        <w:rPr>
          <w:rFonts w:asciiTheme="majorBidi" w:hAnsiTheme="majorBidi" w:cstheme="majorBidi"/>
        </w:rPr>
        <w:t xml:space="preserve"> </w:t>
      </w:r>
      <w:r w:rsidR="00CC5822" w:rsidRPr="00950D73">
        <w:rPr>
          <w:rFonts w:asciiTheme="majorBidi" w:hAnsiTheme="majorBidi" w:cstheme="majorBidi"/>
        </w:rPr>
        <w:t>s’effectue</w:t>
      </w:r>
      <w:r w:rsidRPr="00950D73">
        <w:rPr>
          <w:rFonts w:asciiTheme="majorBidi" w:hAnsiTheme="majorBidi" w:cstheme="majorBidi"/>
        </w:rPr>
        <w:t xml:space="preserve"> </w:t>
      </w:r>
      <w:r w:rsidR="00CC5822" w:rsidRPr="00950D73">
        <w:rPr>
          <w:rFonts w:asciiTheme="majorBidi" w:hAnsiTheme="majorBidi" w:cstheme="majorBidi"/>
        </w:rPr>
        <w:t xml:space="preserve">conformément </w:t>
      </w:r>
      <w:r w:rsidR="003109FA" w:rsidRPr="00950D73">
        <w:rPr>
          <w:rFonts w:asciiTheme="majorBidi" w:hAnsiTheme="majorBidi" w:cstheme="majorBidi"/>
        </w:rPr>
        <w:t xml:space="preserve">au </w:t>
      </w:r>
      <w:r w:rsidRPr="00950D73">
        <w:rPr>
          <w:rFonts w:asciiTheme="majorBidi" w:hAnsiTheme="majorBidi" w:cstheme="majorBidi"/>
        </w:rPr>
        <w:t>diagramme de décision 2.17.1.</w:t>
      </w:r>
      <w:r w:rsidRPr="00950D73">
        <w:rPr>
          <w:rFonts w:asciiTheme="majorBidi" w:hAnsiTheme="majorBidi" w:cstheme="majorBidi"/>
          <w:b/>
          <w:i/>
          <w:iCs/>
        </w:rPr>
        <w:br w:type="page"/>
      </w:r>
    </w:p>
    <w:p w14:paraId="065DB758" w14:textId="77777777" w:rsidR="00E1672F" w:rsidRPr="005263CC" w:rsidRDefault="00E1672F" w:rsidP="00E1672F">
      <w:pPr>
        <w:pStyle w:val="SingleTxtG"/>
        <w:rPr>
          <w:rFonts w:asciiTheme="majorBidi" w:hAnsiTheme="majorBidi" w:cstheme="majorBidi"/>
          <w:b/>
          <w:i/>
          <w:iCs/>
        </w:rPr>
      </w:pPr>
      <w:r w:rsidRPr="005263CC">
        <w:rPr>
          <w:rFonts w:asciiTheme="majorBidi" w:hAnsiTheme="majorBidi" w:cstheme="majorBidi"/>
          <w:b/>
          <w:i/>
          <w:iCs/>
        </w:rPr>
        <w:lastRenderedPageBreak/>
        <w:t>Diagramme de décision 2.17.1 pour les matières explosibles désensibilisées</w:t>
      </w:r>
    </w:p>
    <w:p w14:paraId="7DCD32CA" w14:textId="6CFDC08C" w:rsidR="00D03097" w:rsidRPr="00950D73" w:rsidRDefault="002E00F3" w:rsidP="00E1672F">
      <w:pPr>
        <w:jc w:val="center"/>
        <w:rPr>
          <w:rFonts w:asciiTheme="majorBidi" w:hAnsiTheme="majorBidi" w:cstheme="majorBidi"/>
        </w:rPr>
      </w:pPr>
      <w:r w:rsidRPr="00950D73">
        <w:rPr>
          <w:rFonts w:asciiTheme="majorBidi" w:hAnsiTheme="majorBidi" w:cstheme="majorBidi"/>
        </w:rPr>
        <w:object w:dxaOrig="9133" w:dyaOrig="12025" w14:anchorId="575D1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3pt;height:600.6pt" o:ole="">
            <v:imagedata r:id="rId12" o:title=""/>
          </v:shape>
          <o:OLEObject Type="Embed" ProgID="Visio.Drawing.15" ShapeID="_x0000_i1025" DrawAspect="Content" ObjectID="_1745040345" r:id="rId13"/>
        </w:object>
      </w:r>
      <w:r w:rsidRPr="00950D73" w:rsidDel="0093677A">
        <w:rPr>
          <w:rFonts w:asciiTheme="majorBidi" w:hAnsiTheme="majorBidi" w:cstheme="majorBidi"/>
          <w:highlight w:val="green"/>
        </w:rPr>
        <w:t xml:space="preserve"> </w:t>
      </w:r>
    </w:p>
    <w:p w14:paraId="07BA26EE" w14:textId="77777777" w:rsidR="00D03097" w:rsidRPr="00950D73" w:rsidRDefault="00D03097" w:rsidP="00D03097">
      <w:pPr>
        <w:pStyle w:val="SingleTxtG"/>
        <w:rPr>
          <w:rFonts w:asciiTheme="majorBidi" w:hAnsiTheme="majorBidi" w:cstheme="majorBidi"/>
        </w:rPr>
      </w:pPr>
      <w:r w:rsidRPr="00950D73">
        <w:rPr>
          <w:rFonts w:asciiTheme="majorBidi" w:hAnsiTheme="majorBidi" w:cstheme="majorBidi"/>
        </w:rPr>
        <w:t>Ajouter les notes de bas de page suivantes :</w:t>
      </w:r>
    </w:p>
    <w:p w14:paraId="0B742BF1" w14:textId="77777777" w:rsidR="00D03097" w:rsidRPr="00950D73" w:rsidRDefault="00D03097" w:rsidP="00D03097">
      <w:pPr>
        <w:pStyle w:val="SingleTxtG"/>
        <w:rPr>
          <w:rFonts w:asciiTheme="majorBidi" w:hAnsiTheme="majorBidi" w:cstheme="majorBidi"/>
          <w:i/>
          <w:iCs/>
        </w:rPr>
      </w:pPr>
      <w:r w:rsidRPr="00950D73">
        <w:rPr>
          <w:rFonts w:asciiTheme="majorBidi" w:hAnsiTheme="majorBidi" w:cstheme="majorBidi"/>
        </w:rPr>
        <w:t>« </w:t>
      </w:r>
      <w:r w:rsidRPr="00950D73">
        <w:rPr>
          <w:rFonts w:asciiTheme="majorBidi" w:hAnsiTheme="majorBidi" w:cstheme="majorBidi"/>
          <w:vertAlign w:val="superscript"/>
        </w:rPr>
        <w:t>1</w:t>
      </w:r>
      <w:r w:rsidRPr="00950D73">
        <w:rPr>
          <w:rFonts w:asciiTheme="majorBidi" w:hAnsiTheme="majorBidi" w:cstheme="majorBidi"/>
        </w:rPr>
        <w:tab/>
      </w:r>
      <w:r w:rsidRPr="00950D73">
        <w:rPr>
          <w:rFonts w:asciiTheme="majorBidi" w:hAnsiTheme="majorBidi" w:cstheme="majorBidi"/>
          <w:i/>
          <w:iCs/>
        </w:rPr>
        <w:t>La série 2 d’épreuves est facultative.</w:t>
      </w:r>
      <w:r w:rsidRPr="00950D73">
        <w:rPr>
          <w:rFonts w:asciiTheme="majorBidi" w:hAnsiTheme="majorBidi" w:cstheme="majorBidi"/>
        </w:rPr>
        <w:t xml:space="preserve"> </w:t>
      </w:r>
      <w:r w:rsidRPr="00950D73">
        <w:rPr>
          <w:rFonts w:asciiTheme="majorBidi" w:hAnsiTheme="majorBidi" w:cstheme="majorBidi"/>
          <w:i/>
          <w:iCs/>
        </w:rPr>
        <w:t>L’autre option (opter pour les épreuves 6 a) et b) et la série 3 d’épreuves) peut être appliquée directement sans passer par la série 2.</w:t>
      </w:r>
    </w:p>
    <w:p w14:paraId="02C667DD" w14:textId="77777777" w:rsidR="00D03097" w:rsidRPr="00950D73" w:rsidRDefault="00D03097" w:rsidP="00D03097">
      <w:pPr>
        <w:pStyle w:val="SingleTxtG"/>
        <w:rPr>
          <w:rFonts w:asciiTheme="majorBidi" w:hAnsiTheme="majorBidi" w:cstheme="majorBidi"/>
          <w:i/>
          <w:iCs/>
        </w:rPr>
      </w:pPr>
      <w:r w:rsidRPr="00950D73">
        <w:rPr>
          <w:rFonts w:asciiTheme="majorBidi" w:hAnsiTheme="majorBidi" w:cstheme="majorBidi"/>
          <w:vertAlign w:val="superscript"/>
        </w:rPr>
        <w:t>2</w:t>
      </w:r>
      <w:r w:rsidRPr="00950D73">
        <w:rPr>
          <w:rFonts w:asciiTheme="majorBidi" w:hAnsiTheme="majorBidi" w:cstheme="majorBidi"/>
        </w:rPr>
        <w:tab/>
      </w:r>
      <w:r w:rsidRPr="00950D73">
        <w:rPr>
          <w:rFonts w:asciiTheme="majorBidi" w:hAnsiTheme="majorBidi" w:cstheme="majorBidi"/>
          <w:i/>
          <w:iCs/>
        </w:rPr>
        <w:t>La série 3 d’épreuves ne s’applique pas aux mélanges de nitrocellulose ne contenant pas d’autres matières explosibles que la nitrocellulose. </w:t>
      </w:r>
      <w:r w:rsidRPr="00950D73">
        <w:rPr>
          <w:rFonts w:asciiTheme="majorBidi" w:hAnsiTheme="majorBidi" w:cstheme="majorBidi"/>
        </w:rPr>
        <w:t>».</w:t>
      </w:r>
    </w:p>
    <w:p w14:paraId="789859CE" w14:textId="3BD2651B" w:rsidR="00D03097" w:rsidRPr="00950D73" w:rsidRDefault="00D03097" w:rsidP="000D7EB9">
      <w:pPr>
        <w:pStyle w:val="SingleTxtG"/>
        <w:rPr>
          <w:rFonts w:asciiTheme="majorBidi" w:hAnsiTheme="majorBidi" w:cstheme="majorBidi"/>
        </w:rPr>
      </w:pPr>
      <w:r w:rsidRPr="00950D73">
        <w:rPr>
          <w:rFonts w:asciiTheme="majorBidi" w:hAnsiTheme="majorBidi" w:cstheme="majorBidi"/>
        </w:rPr>
        <w:lastRenderedPageBreak/>
        <w:t>Le paragraphe 2.17.4.2 actuel reste inchangé.</w:t>
      </w:r>
    </w:p>
    <w:p w14:paraId="2744BAD8" w14:textId="1C6D704B" w:rsidR="004746F1" w:rsidRPr="00950D73" w:rsidRDefault="004746F1" w:rsidP="00A1160A">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3.1</w:t>
      </w:r>
    </w:p>
    <w:p w14:paraId="54BA237B" w14:textId="31FF1A68" w:rsidR="00BD6753" w:rsidRPr="00950D73" w:rsidRDefault="00EA1E3D" w:rsidP="00EA1E3D">
      <w:pPr>
        <w:pStyle w:val="SingleTxtG"/>
        <w:ind w:left="2268" w:hanging="1134"/>
        <w:rPr>
          <w:rFonts w:asciiTheme="majorBidi" w:hAnsiTheme="majorBidi" w:cstheme="majorBidi"/>
        </w:rPr>
      </w:pPr>
      <w:r w:rsidRPr="00950D73">
        <w:rPr>
          <w:rFonts w:asciiTheme="majorBidi" w:hAnsiTheme="majorBidi" w:cstheme="majorBidi"/>
        </w:rPr>
        <w:t>3.1.2.3</w:t>
      </w:r>
      <w:r w:rsidRPr="00950D73">
        <w:rPr>
          <w:rFonts w:asciiTheme="majorBidi" w:hAnsiTheme="majorBidi" w:cstheme="majorBidi"/>
        </w:rPr>
        <w:tab/>
      </w:r>
      <w:r w:rsidRPr="00950D73">
        <w:rPr>
          <w:rFonts w:asciiTheme="majorBidi" w:hAnsiTheme="majorBidi" w:cstheme="majorBidi"/>
        </w:rPr>
        <w:tab/>
      </w:r>
      <w:r w:rsidR="00C460D8" w:rsidRPr="00950D73">
        <w:rPr>
          <w:rFonts w:asciiTheme="majorBidi" w:hAnsiTheme="majorBidi" w:cstheme="majorBidi"/>
        </w:rPr>
        <w:t>Dans la dernière phrase r</w:t>
      </w:r>
      <w:r w:rsidRPr="00950D73">
        <w:rPr>
          <w:rFonts w:asciiTheme="majorBidi" w:hAnsiTheme="majorBidi" w:cstheme="majorBidi"/>
        </w:rPr>
        <w:t>emplacer « selon une méthode d’évaluation » par «</w:t>
      </w:r>
      <w:r w:rsidR="00684B92" w:rsidRPr="00950D73">
        <w:rPr>
          <w:rFonts w:asciiTheme="majorBidi" w:hAnsiTheme="majorBidi" w:cstheme="majorBidi"/>
        </w:rPr>
        <w:t> </w:t>
      </w:r>
      <w:r w:rsidRPr="00950D73">
        <w:rPr>
          <w:rFonts w:asciiTheme="majorBidi" w:hAnsiTheme="majorBidi" w:cstheme="majorBidi"/>
        </w:rPr>
        <w:t>au moyen d’une évaluation ».</w:t>
      </w:r>
    </w:p>
    <w:p w14:paraId="12C0A6B8" w14:textId="22A4CA18" w:rsidR="004746F1" w:rsidRPr="00950D73" w:rsidRDefault="004746F1" w:rsidP="004746F1">
      <w:pPr>
        <w:pStyle w:val="SingleTxtG"/>
        <w:rPr>
          <w:rFonts w:asciiTheme="majorBidi" w:hAnsiTheme="majorBidi" w:cstheme="majorBidi"/>
        </w:rPr>
      </w:pPr>
      <w:r w:rsidRPr="00950D73">
        <w:rPr>
          <w:rFonts w:asciiTheme="majorBidi" w:hAnsiTheme="majorBidi" w:cstheme="majorBidi"/>
        </w:rPr>
        <w:t>3.1.2.6.1</w:t>
      </w:r>
      <w:r w:rsidRPr="00950D73">
        <w:rPr>
          <w:rFonts w:asciiTheme="majorBidi" w:hAnsiTheme="majorBidi" w:cstheme="majorBidi"/>
        </w:rPr>
        <w:tab/>
        <w:t>Ajouter la phrase suivante à la fin du paragraphe </w:t>
      </w:r>
      <w:r w:rsidR="003263EB" w:rsidRPr="00950D73">
        <w:rPr>
          <w:rFonts w:asciiTheme="majorBidi" w:hAnsiTheme="majorBidi" w:cstheme="majorBidi"/>
        </w:rPr>
        <w:t>actuel</w:t>
      </w:r>
      <w:r w:rsidRPr="00950D73">
        <w:rPr>
          <w:rFonts w:asciiTheme="majorBidi" w:hAnsiTheme="majorBidi" w:cstheme="majorBidi"/>
        </w:rPr>
        <w:t>:</w:t>
      </w:r>
    </w:p>
    <w:p w14:paraId="03C8A7CE" w14:textId="26E9CB0B" w:rsidR="004746F1" w:rsidRPr="00950D73" w:rsidRDefault="004746F1" w:rsidP="004746F1">
      <w:pPr>
        <w:pStyle w:val="SingleTxtG"/>
        <w:ind w:left="2268"/>
        <w:rPr>
          <w:rFonts w:asciiTheme="majorBidi" w:hAnsiTheme="majorBidi" w:cstheme="majorBidi"/>
        </w:rPr>
      </w:pPr>
      <w:r w:rsidRPr="00950D73">
        <w:rPr>
          <w:rFonts w:asciiTheme="majorBidi" w:hAnsiTheme="majorBidi" w:cstheme="majorBidi"/>
        </w:rPr>
        <w:t>« Des indications concernant la conversion des valeurs expérimentales pour les essais utilisant des durées d’exposition autres qu’une heure figurent au 3.1.5.3. ».</w:t>
      </w:r>
    </w:p>
    <w:p w14:paraId="74FD91EE" w14:textId="7633F4D9" w:rsidR="005C4C1F" w:rsidRPr="00950D73" w:rsidRDefault="005C4C1F" w:rsidP="005C4C1F">
      <w:pPr>
        <w:pStyle w:val="SingleTxtG"/>
        <w:rPr>
          <w:rFonts w:asciiTheme="majorBidi" w:hAnsiTheme="majorBidi" w:cstheme="majorBidi"/>
          <w:bCs/>
        </w:rPr>
      </w:pPr>
      <w:r w:rsidRPr="00950D73">
        <w:rPr>
          <w:rFonts w:asciiTheme="majorBidi" w:hAnsiTheme="majorBidi" w:cstheme="majorBidi"/>
        </w:rPr>
        <w:t>3.1.3.5.6</w:t>
      </w:r>
      <w:r w:rsidRPr="00950D73">
        <w:rPr>
          <w:rFonts w:asciiTheme="majorBidi" w:hAnsiTheme="majorBidi" w:cstheme="majorBidi"/>
          <w:i/>
          <w:iCs/>
        </w:rPr>
        <w:tab/>
      </w:r>
      <w:r w:rsidRPr="00950D73">
        <w:rPr>
          <w:rFonts w:asciiTheme="majorBidi" w:hAnsiTheme="majorBidi" w:cstheme="majorBidi"/>
          <w:bCs/>
        </w:rPr>
        <w:t>Modification sans objet en français.</w:t>
      </w:r>
    </w:p>
    <w:p w14:paraId="0B907A9E" w14:textId="24C11C06" w:rsidR="00DE64DD" w:rsidRPr="00950D73" w:rsidRDefault="005A5EF1" w:rsidP="00335E59">
      <w:pPr>
        <w:pStyle w:val="SingleTxtG"/>
        <w:rPr>
          <w:rFonts w:asciiTheme="majorBidi" w:hAnsiTheme="majorBidi" w:cstheme="majorBidi"/>
          <w:bCs/>
        </w:rPr>
      </w:pPr>
      <w:r w:rsidRPr="00950D73">
        <w:rPr>
          <w:rFonts w:asciiTheme="majorBidi" w:hAnsiTheme="majorBidi" w:cstheme="majorBidi"/>
          <w:bCs/>
        </w:rPr>
        <w:t>3.1.3.5.7</w:t>
      </w:r>
      <w:r w:rsidRPr="00950D73">
        <w:rPr>
          <w:rFonts w:asciiTheme="majorBidi" w:hAnsiTheme="majorBidi" w:cstheme="majorBidi"/>
          <w:bCs/>
        </w:rPr>
        <w:tab/>
        <w:t>Modification sans objet en français.</w:t>
      </w:r>
    </w:p>
    <w:p w14:paraId="60887905" w14:textId="55BF4AA7" w:rsidR="00F26C7E" w:rsidRPr="00950D73" w:rsidRDefault="00F26C7E" w:rsidP="00F26C7E">
      <w:pPr>
        <w:pStyle w:val="SingleTxtG"/>
        <w:rPr>
          <w:rFonts w:asciiTheme="majorBidi" w:hAnsiTheme="majorBidi" w:cstheme="majorBidi"/>
        </w:rPr>
      </w:pPr>
      <w:r w:rsidRPr="00950D73">
        <w:rPr>
          <w:rFonts w:asciiTheme="majorBidi" w:hAnsiTheme="majorBidi" w:cstheme="majorBidi"/>
          <w:bCs/>
        </w:rPr>
        <w:t>3.1.4.1</w:t>
      </w:r>
      <w:r w:rsidRPr="00950D73">
        <w:rPr>
          <w:rFonts w:asciiTheme="majorBidi" w:hAnsiTheme="majorBidi" w:cstheme="majorBidi"/>
          <w:bCs/>
        </w:rPr>
        <w:tab/>
      </w:r>
      <w:r w:rsidRPr="00950D73">
        <w:rPr>
          <w:rFonts w:asciiTheme="majorBidi" w:hAnsiTheme="majorBidi" w:cstheme="majorBidi"/>
          <w:bCs/>
        </w:rPr>
        <w:tab/>
      </w:r>
      <w:r w:rsidR="00441253" w:rsidRPr="00950D73">
        <w:rPr>
          <w:rFonts w:asciiTheme="majorBidi" w:hAnsiTheme="majorBidi" w:cstheme="majorBidi"/>
        </w:rPr>
        <w:t xml:space="preserve">Modifier </w:t>
      </w:r>
      <w:r w:rsidRPr="00950D73">
        <w:rPr>
          <w:rFonts w:asciiTheme="majorBidi" w:hAnsiTheme="majorBidi" w:cstheme="majorBidi"/>
        </w:rPr>
        <w:t xml:space="preserve">la dernière phrase </w:t>
      </w:r>
      <w:r w:rsidR="00441253" w:rsidRPr="00950D73">
        <w:rPr>
          <w:rFonts w:asciiTheme="majorBidi" w:hAnsiTheme="majorBidi" w:cstheme="majorBidi"/>
        </w:rPr>
        <w:t xml:space="preserve">pour lire comme suit </w:t>
      </w:r>
      <w:r w:rsidRPr="00950D73">
        <w:rPr>
          <w:rFonts w:asciiTheme="majorBidi" w:hAnsiTheme="majorBidi" w:cstheme="majorBidi"/>
        </w:rPr>
        <w:t>.</w:t>
      </w:r>
    </w:p>
    <w:p w14:paraId="6E979D0A" w14:textId="269FBFBD" w:rsidR="00F26C7E" w:rsidRPr="00950D73" w:rsidRDefault="00F26C7E" w:rsidP="00F26C7E">
      <w:pPr>
        <w:pStyle w:val="SingleTxtG"/>
        <w:tabs>
          <w:tab w:val="clear" w:pos="1701"/>
        </w:tabs>
        <w:ind w:left="2268"/>
        <w:rPr>
          <w:rFonts w:asciiTheme="majorBidi" w:hAnsiTheme="majorBidi" w:cstheme="majorBidi"/>
        </w:rPr>
      </w:pPr>
      <w:r w:rsidRPr="00950D73">
        <w:rPr>
          <w:rFonts w:asciiTheme="majorBidi" w:hAnsiTheme="majorBidi" w:cstheme="majorBidi"/>
        </w:rPr>
        <w:t>« Le tableau 3.1.3 présente les éléments d’étiquetage attribués aux substances et mélanges classés dans cette classe de danger d’après les critères exposés dans le présent chapitre. ».</w:t>
      </w:r>
    </w:p>
    <w:p w14:paraId="43DA3DD6" w14:textId="77777777" w:rsidR="004746F1" w:rsidRPr="00950D73" w:rsidRDefault="004746F1" w:rsidP="004746F1">
      <w:pPr>
        <w:pStyle w:val="SingleTxtG"/>
        <w:rPr>
          <w:rFonts w:asciiTheme="majorBidi" w:hAnsiTheme="majorBidi" w:cstheme="majorBidi"/>
        </w:rPr>
      </w:pPr>
      <w:r w:rsidRPr="00950D73">
        <w:rPr>
          <w:rFonts w:asciiTheme="majorBidi" w:hAnsiTheme="majorBidi" w:cstheme="majorBidi"/>
        </w:rPr>
        <w:t>3.1.5.3</w:t>
      </w:r>
      <w:r w:rsidRPr="00950D73">
        <w:rPr>
          <w:rFonts w:asciiTheme="majorBidi" w:hAnsiTheme="majorBidi" w:cstheme="majorBidi"/>
        </w:rPr>
        <w:tab/>
      </w:r>
      <w:r w:rsidRPr="00950D73">
        <w:rPr>
          <w:rFonts w:asciiTheme="majorBidi" w:hAnsiTheme="majorBidi" w:cstheme="majorBidi"/>
        </w:rPr>
        <w:tab/>
        <w:t>Ajouter une nouvelle section 3.1.5.3 comme suit :</w:t>
      </w:r>
    </w:p>
    <w:p w14:paraId="268316D5" w14:textId="77777777" w:rsidR="004746F1" w:rsidRPr="00950D73" w:rsidRDefault="004746F1" w:rsidP="004746F1">
      <w:pPr>
        <w:pStyle w:val="SingleTxtG"/>
        <w:rPr>
          <w:rFonts w:asciiTheme="majorBidi" w:hAnsiTheme="majorBidi" w:cstheme="majorBidi"/>
        </w:rPr>
      </w:pPr>
      <w:r w:rsidRPr="00950D73">
        <w:rPr>
          <w:rFonts w:asciiTheme="majorBidi" w:hAnsiTheme="majorBidi" w:cstheme="majorBidi"/>
        </w:rPr>
        <w:t>« </w:t>
      </w:r>
      <w:r w:rsidRPr="00950D73">
        <w:rPr>
          <w:rFonts w:asciiTheme="majorBidi" w:hAnsiTheme="majorBidi" w:cstheme="majorBidi"/>
          <w:b/>
          <w:bCs/>
        </w:rPr>
        <w:t>3.1.5.3</w:t>
      </w:r>
      <w:r w:rsidRPr="00950D73">
        <w:rPr>
          <w:rFonts w:asciiTheme="majorBidi" w:hAnsiTheme="majorBidi" w:cstheme="majorBidi"/>
        </w:rPr>
        <w:tab/>
      </w:r>
      <w:r w:rsidRPr="00950D73">
        <w:rPr>
          <w:rFonts w:asciiTheme="majorBidi" w:hAnsiTheme="majorBidi" w:cstheme="majorBidi"/>
          <w:b/>
          <w:bCs/>
          <w:i/>
          <w:iCs/>
        </w:rPr>
        <w:t>Indications</w:t>
      </w:r>
    </w:p>
    <w:p w14:paraId="0E0FA5ED" w14:textId="77777777" w:rsidR="004746F1" w:rsidRPr="00950D73" w:rsidRDefault="004746F1" w:rsidP="004746F1">
      <w:pPr>
        <w:pStyle w:val="SingleTxtG"/>
        <w:rPr>
          <w:rFonts w:asciiTheme="majorBidi" w:hAnsiTheme="majorBidi" w:cstheme="majorBidi"/>
          <w:u w:val="single"/>
        </w:rPr>
      </w:pPr>
      <w:r w:rsidRPr="00950D73">
        <w:rPr>
          <w:rFonts w:asciiTheme="majorBidi" w:hAnsiTheme="majorBidi" w:cstheme="majorBidi"/>
        </w:rPr>
        <w:t>3.1.5.3.1</w:t>
      </w:r>
      <w:r w:rsidRPr="00950D73">
        <w:rPr>
          <w:rFonts w:asciiTheme="majorBidi" w:hAnsiTheme="majorBidi" w:cstheme="majorBidi"/>
        </w:rPr>
        <w:tab/>
        <w:t>Les valeurs des estimations de toxicité aiguë (ETA) servant au classement en fonction de la toxicité par inhalation dans le tableau 3.1.1 sont basées sur des essais utilisant une durée d’exposition de 4 heures sur des animaux de laboratoire (3.1.2.6.1). Les valeurs existantes de CL</w:t>
      </w:r>
      <w:r w:rsidRPr="00950D73">
        <w:rPr>
          <w:rFonts w:asciiTheme="majorBidi" w:hAnsiTheme="majorBidi" w:cstheme="majorBidi"/>
          <w:vertAlign w:val="subscript"/>
        </w:rPr>
        <w:t>50</w:t>
      </w:r>
      <w:r w:rsidRPr="00950D73">
        <w:rPr>
          <w:rFonts w:asciiTheme="majorBidi" w:hAnsiTheme="majorBidi" w:cstheme="majorBidi"/>
        </w:rPr>
        <w:t xml:space="preserve"> par inhalation obtenues dans le cadre d’études utilisant des durées d’exposition autres qu’une heure (3.1.2.6.1) peuvent être ajustées pour </w:t>
      </w:r>
      <w:r w:rsidRPr="00950D73">
        <w:rPr>
          <w:rFonts w:asciiTheme="majorBidi" w:hAnsiTheme="majorBidi" w:cstheme="majorBidi"/>
        </w:rPr>
        <w:lastRenderedPageBreak/>
        <w:t xml:space="preserve">correspondre à une durée d’exposition de 4 heures à l’aide de l’équation de </w:t>
      </w:r>
      <w:proofErr w:type="spellStart"/>
      <w:r w:rsidRPr="00950D73">
        <w:rPr>
          <w:rFonts w:asciiTheme="majorBidi" w:hAnsiTheme="majorBidi" w:cstheme="majorBidi"/>
        </w:rPr>
        <w:t>ten</w:t>
      </w:r>
      <w:proofErr w:type="spellEnd"/>
      <w:r w:rsidRPr="00950D73">
        <w:rPr>
          <w:rFonts w:asciiTheme="majorBidi" w:hAnsiTheme="majorBidi" w:cstheme="majorBidi"/>
        </w:rPr>
        <w:t> Berge (</w:t>
      </w:r>
      <w:proofErr w:type="spellStart"/>
      <w:r w:rsidRPr="00950D73">
        <w:rPr>
          <w:rFonts w:asciiTheme="majorBidi" w:hAnsiTheme="majorBidi" w:cstheme="majorBidi"/>
        </w:rPr>
        <w:t>C</w:t>
      </w:r>
      <w:r w:rsidRPr="00950D73">
        <w:rPr>
          <w:rFonts w:asciiTheme="majorBidi" w:hAnsiTheme="majorBidi" w:cstheme="majorBidi"/>
          <w:vertAlign w:val="superscript"/>
        </w:rPr>
        <w:t>n</w:t>
      </w:r>
      <w:proofErr w:type="spellEnd"/>
      <w:r w:rsidRPr="00950D73">
        <w:rPr>
          <w:rFonts w:asciiTheme="majorBidi" w:hAnsiTheme="majorBidi" w:cstheme="majorBidi"/>
        </w:rPr>
        <w:t> × t = k) pour les gaz et vapeurs et de la règle de Haber (C × t = k) pour les poussières et brouillards, comme suit :</w:t>
      </w:r>
    </w:p>
    <w:p w14:paraId="095D1F96" w14:textId="77777777" w:rsidR="004746F1" w:rsidRPr="00950D73" w:rsidRDefault="004746F1" w:rsidP="003229BF">
      <w:pPr>
        <w:pStyle w:val="SingleTxtG"/>
        <w:rPr>
          <w:rFonts w:asciiTheme="majorBidi" w:hAnsiTheme="majorBidi" w:cstheme="majorBidi"/>
          <w:u w:val="single"/>
        </w:rPr>
      </w:pPr>
      <w:r w:rsidRPr="00950D73">
        <w:rPr>
          <w:rFonts w:asciiTheme="majorBidi" w:hAnsiTheme="majorBidi" w:cstheme="majorBidi"/>
          <w:u w:val="single"/>
        </w:rPr>
        <w:t>Formule à utiliser pour les gaz et vapeurs</w:t>
      </w:r>
    </w:p>
    <w:p w14:paraId="54917098" w14:textId="77777777" w:rsidR="004746F1" w:rsidRPr="00950D73" w:rsidRDefault="00AC2A81" w:rsidP="004746F1">
      <w:pPr>
        <w:rPr>
          <w:rFonts w:asciiTheme="majorBidi" w:hAnsiTheme="majorBidi" w:cstheme="majorBidi"/>
          <w:u w:val="single"/>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heures)</m:t>
          </m:r>
          <m:r>
            <m:rPr>
              <m:sty m:val="bi"/>
            </m:rPr>
            <w:rPr>
              <w:rFonts w:ascii="Cambria Math" w:hAnsi="Cambria Math" w:cstheme="majorBidi"/>
            </w:rPr>
            <m:t xml:space="preserve">= </m:t>
          </m:r>
          <m:sSup>
            <m:sSupPr>
              <m:ctrlPr>
                <w:rPr>
                  <w:rFonts w:ascii="Cambria Math" w:hAnsi="Cambria Math" w:cstheme="majorBidi"/>
                  <w:b/>
                  <w:iCs/>
                </w:rPr>
              </m:ctrlPr>
            </m:sSupPr>
            <m:e>
              <m:d>
                <m:dPr>
                  <m:ctrlPr>
                    <w:rPr>
                      <w:rFonts w:ascii="Cambria Math" w:hAnsi="Cambria Math" w:cstheme="majorBidi"/>
                      <w:b/>
                      <w:iCs/>
                    </w:rPr>
                  </m:ctrlPr>
                </m:dPr>
                <m:e>
                  <m:f>
                    <m:fPr>
                      <m:ctrlPr>
                        <w:rPr>
                          <w:rFonts w:ascii="Cambria Math" w:hAnsi="Cambria Math" w:cstheme="majorBidi"/>
                          <w:iCs/>
                        </w:rPr>
                      </m:ctrlPr>
                    </m:fPr>
                    <m:num>
                      <m:sSup>
                        <m:sSupPr>
                          <m:ctrlPr>
                            <w:rPr>
                              <w:rFonts w:ascii="Cambria Math" w:hAnsi="Cambria Math" w:cstheme="majorBidi"/>
                              <w:iCs/>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xml:space="preserve"> × t</m:t>
                      </m:r>
                    </m:num>
                    <m:den>
                      <m:r>
                        <m:rPr>
                          <m:sty m:val="p"/>
                        </m:rPr>
                        <w:rPr>
                          <w:rFonts w:ascii="Cambria Math" w:hAnsi="Cambria Math" w:cstheme="majorBidi"/>
                        </w:rPr>
                        <m:t>4</m:t>
                      </m:r>
                    </m:den>
                  </m:f>
                </m:e>
              </m:d>
            </m:e>
            <m:sup>
              <m:r>
                <m:rPr>
                  <m:sty m:val="b"/>
                </m:rPr>
                <w:rPr>
                  <w:rFonts w:ascii="Cambria Math" w:hAnsi="Cambria Math" w:cstheme="majorBidi"/>
                </w:rPr>
                <m:t>1</m:t>
              </m:r>
              <m:r>
                <m:rPr>
                  <m:sty m:val="b"/>
                </m:rPr>
                <w:rPr>
                  <w:rFonts w:ascii="Cambria Math" w:hAnsi="Cambria Math" w:cstheme="majorBidi"/>
                </w:rPr>
                <m:t>/</m:t>
              </m:r>
              <m:r>
                <m:rPr>
                  <m:sty m:val="b"/>
                </m:rPr>
                <w:rPr>
                  <w:rFonts w:ascii="Cambria Math" w:hAnsi="Cambria Math" w:cstheme="majorBidi"/>
                </w:rPr>
                <m:t>n</m:t>
              </m:r>
            </m:sup>
          </m:sSup>
        </m:oMath>
      </m:oMathPara>
    </w:p>
    <w:p w14:paraId="6A994C69" w14:textId="77777777" w:rsidR="004746F1" w:rsidRPr="00950D73" w:rsidRDefault="004746F1" w:rsidP="003229BF">
      <w:pPr>
        <w:pStyle w:val="SingleTxtG"/>
        <w:rPr>
          <w:rFonts w:asciiTheme="majorBidi" w:hAnsiTheme="majorBidi" w:cstheme="majorBidi"/>
        </w:rPr>
      </w:pPr>
      <w:r w:rsidRPr="00950D73">
        <w:rPr>
          <w:rFonts w:asciiTheme="majorBidi" w:hAnsiTheme="majorBidi" w:cstheme="majorBidi"/>
        </w:rPr>
        <w:t>où :</w:t>
      </w:r>
    </w:p>
    <w:p w14:paraId="16154624" w14:textId="77777777" w:rsidR="004746F1" w:rsidRPr="00950D73" w:rsidRDefault="004746F1" w:rsidP="003229BF">
      <w:pPr>
        <w:pStyle w:val="SingleTxtG"/>
        <w:tabs>
          <w:tab w:val="left" w:pos="1985"/>
        </w:tabs>
        <w:spacing w:after="0"/>
        <w:ind w:left="1701"/>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w:t>
      </w:r>
      <w:r w:rsidRPr="00950D73">
        <w:rPr>
          <w:rFonts w:asciiTheme="majorBidi" w:hAnsiTheme="majorBidi" w:cstheme="majorBidi"/>
        </w:rPr>
        <w:tab/>
        <w:t>CL</w:t>
      </w:r>
      <w:r w:rsidRPr="00950D73">
        <w:rPr>
          <w:rFonts w:asciiTheme="majorBidi" w:hAnsiTheme="majorBidi" w:cstheme="majorBidi"/>
          <w:vertAlign w:val="subscript"/>
        </w:rPr>
        <w:t>50</w:t>
      </w:r>
      <w:r w:rsidRPr="00950D73">
        <w:rPr>
          <w:rFonts w:asciiTheme="majorBidi" w:hAnsiTheme="majorBidi" w:cstheme="majorBidi"/>
        </w:rPr>
        <w:t xml:space="preserve"> pour la durée d’exposition t</w:t>
      </w:r>
    </w:p>
    <w:p w14:paraId="49309F6E" w14:textId="77777777" w:rsidR="004746F1" w:rsidRPr="00950D73" w:rsidRDefault="004746F1" w:rsidP="003229BF">
      <w:pPr>
        <w:pStyle w:val="SingleTxtG"/>
        <w:tabs>
          <w:tab w:val="left" w:pos="1985"/>
        </w:tabs>
        <w:spacing w:after="0"/>
        <w:ind w:left="1701"/>
        <w:rPr>
          <w:rFonts w:asciiTheme="majorBidi" w:hAnsiTheme="majorBidi" w:cstheme="majorBidi"/>
        </w:rPr>
      </w:pPr>
      <w:r w:rsidRPr="00950D73">
        <w:rPr>
          <w:rFonts w:asciiTheme="majorBidi" w:hAnsiTheme="majorBidi" w:cstheme="majorBidi"/>
        </w:rPr>
        <w:t>n</w:t>
      </w:r>
      <w:r w:rsidRPr="00950D73">
        <w:rPr>
          <w:rFonts w:asciiTheme="majorBidi" w:hAnsiTheme="majorBidi" w:cstheme="majorBidi"/>
        </w:rPr>
        <w:tab/>
        <w:t>=</w:t>
      </w:r>
      <w:r w:rsidRPr="00950D73">
        <w:rPr>
          <w:rFonts w:asciiTheme="majorBidi" w:hAnsiTheme="majorBidi" w:cstheme="majorBidi"/>
        </w:rPr>
        <w:tab/>
        <w:t>exposant propre à chaque produit chimique</w:t>
      </w:r>
    </w:p>
    <w:p w14:paraId="69611C52" w14:textId="77777777" w:rsidR="004746F1" w:rsidRPr="00950D73" w:rsidRDefault="004746F1" w:rsidP="003229BF">
      <w:pPr>
        <w:pStyle w:val="SingleTxtG"/>
        <w:tabs>
          <w:tab w:val="left" w:pos="1985"/>
        </w:tabs>
        <w:ind w:left="1701"/>
        <w:rPr>
          <w:rFonts w:asciiTheme="majorBidi" w:hAnsiTheme="majorBidi" w:cstheme="majorBidi"/>
        </w:rPr>
      </w:pPr>
      <w:r w:rsidRPr="00950D73">
        <w:rPr>
          <w:rFonts w:asciiTheme="majorBidi" w:hAnsiTheme="majorBidi" w:cstheme="majorBidi"/>
        </w:rPr>
        <w:t>t</w:t>
      </w:r>
      <w:r w:rsidRPr="00950D73">
        <w:rPr>
          <w:rFonts w:asciiTheme="majorBidi" w:hAnsiTheme="majorBidi" w:cstheme="majorBidi"/>
        </w:rPr>
        <w:tab/>
        <w:t>=</w:t>
      </w:r>
      <w:r w:rsidRPr="00950D73">
        <w:rPr>
          <w:rFonts w:asciiTheme="majorBidi" w:hAnsiTheme="majorBidi" w:cstheme="majorBidi"/>
        </w:rPr>
        <w:tab/>
        <w:t>durée d’exposition, en heures, pour la concentration C</w:t>
      </w:r>
    </w:p>
    <w:p w14:paraId="4D885C11" w14:textId="77777777" w:rsidR="004746F1" w:rsidRPr="00950D73" w:rsidRDefault="004746F1" w:rsidP="003229BF">
      <w:pPr>
        <w:pStyle w:val="SingleTxtG"/>
        <w:rPr>
          <w:rFonts w:asciiTheme="majorBidi" w:hAnsiTheme="majorBidi" w:cstheme="majorBidi"/>
          <w:u w:val="single"/>
        </w:rPr>
      </w:pPr>
      <w:r w:rsidRPr="00950D73">
        <w:rPr>
          <w:rFonts w:asciiTheme="majorBidi" w:hAnsiTheme="majorBidi" w:cstheme="majorBidi"/>
          <w:u w:val="single"/>
        </w:rPr>
        <w:t>Formule à utiliser pour les poussières et brouillards</w:t>
      </w:r>
    </w:p>
    <w:p w14:paraId="0340CFB2" w14:textId="77777777" w:rsidR="004746F1" w:rsidRPr="00950D73" w:rsidRDefault="00AC2A81" w:rsidP="004746F1">
      <w:pPr>
        <w:rPr>
          <w:rFonts w:asciiTheme="majorBidi" w:hAnsiTheme="majorBidi" w:cstheme="majorBidi"/>
          <w:u w:val="single"/>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heures)</m:t>
          </m:r>
          <m:r>
            <m:rPr>
              <m:sty m:val="bi"/>
            </m:rPr>
            <w:rPr>
              <w:rFonts w:ascii="Cambria Math" w:hAnsi="Cambria Math" w:cstheme="majorBidi"/>
            </w:rPr>
            <m:t xml:space="preserve">= </m:t>
          </m:r>
          <m:f>
            <m:fPr>
              <m:ctrlPr>
                <w:rPr>
                  <w:rFonts w:ascii="Cambria Math"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oMath>
      </m:oMathPara>
    </w:p>
    <w:p w14:paraId="686C9922" w14:textId="77777777" w:rsidR="004746F1" w:rsidRPr="00950D73" w:rsidRDefault="004746F1" w:rsidP="003229BF">
      <w:pPr>
        <w:pStyle w:val="SingleTxtG"/>
        <w:keepNext/>
        <w:tabs>
          <w:tab w:val="clear" w:pos="2268"/>
        </w:tabs>
        <w:rPr>
          <w:rFonts w:asciiTheme="majorBidi" w:hAnsiTheme="majorBidi" w:cstheme="majorBidi"/>
        </w:rPr>
      </w:pPr>
      <w:r w:rsidRPr="00950D73">
        <w:rPr>
          <w:rFonts w:asciiTheme="majorBidi" w:hAnsiTheme="majorBidi" w:cstheme="majorBidi"/>
        </w:rPr>
        <w:t>où :</w:t>
      </w:r>
    </w:p>
    <w:p w14:paraId="293B9368" w14:textId="77777777" w:rsidR="004746F1" w:rsidRPr="00950D73" w:rsidRDefault="004746F1" w:rsidP="003229BF">
      <w:pPr>
        <w:pStyle w:val="SingleTxtG"/>
        <w:keepNext/>
        <w:tabs>
          <w:tab w:val="clear" w:pos="2835"/>
          <w:tab w:val="left" w:pos="1985"/>
        </w:tabs>
        <w:spacing w:after="0"/>
        <w:ind w:left="1701"/>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w:t>
      </w:r>
      <w:r w:rsidRPr="00950D73">
        <w:rPr>
          <w:rFonts w:asciiTheme="majorBidi" w:hAnsiTheme="majorBidi" w:cstheme="majorBidi"/>
        </w:rPr>
        <w:tab/>
        <w:t>CL</w:t>
      </w:r>
      <w:r w:rsidRPr="00950D73">
        <w:rPr>
          <w:rFonts w:asciiTheme="majorBidi" w:hAnsiTheme="majorBidi" w:cstheme="majorBidi"/>
          <w:vertAlign w:val="subscript"/>
        </w:rPr>
        <w:t>50</w:t>
      </w:r>
      <w:r w:rsidRPr="00950D73">
        <w:rPr>
          <w:rFonts w:asciiTheme="majorBidi" w:hAnsiTheme="majorBidi" w:cstheme="majorBidi"/>
        </w:rPr>
        <w:t xml:space="preserve"> pour la durée d’exposition t</w:t>
      </w:r>
    </w:p>
    <w:p w14:paraId="6D92D665" w14:textId="77777777" w:rsidR="004746F1" w:rsidRPr="00950D73" w:rsidRDefault="004746F1" w:rsidP="003229BF">
      <w:pPr>
        <w:pStyle w:val="SingleTxtG"/>
        <w:tabs>
          <w:tab w:val="clear" w:pos="2835"/>
          <w:tab w:val="left" w:pos="1985"/>
        </w:tabs>
        <w:ind w:left="1701"/>
        <w:rPr>
          <w:rFonts w:asciiTheme="majorBidi" w:hAnsiTheme="majorBidi" w:cstheme="majorBidi"/>
        </w:rPr>
      </w:pPr>
      <w:r w:rsidRPr="00950D73">
        <w:rPr>
          <w:rFonts w:asciiTheme="majorBidi" w:hAnsiTheme="majorBidi" w:cstheme="majorBidi"/>
        </w:rPr>
        <w:t>t</w:t>
      </w:r>
      <w:r w:rsidRPr="00950D73">
        <w:rPr>
          <w:rFonts w:asciiTheme="majorBidi" w:hAnsiTheme="majorBidi" w:cstheme="majorBidi"/>
        </w:rPr>
        <w:tab/>
        <w:t>=</w:t>
      </w:r>
      <w:r w:rsidRPr="00950D73">
        <w:rPr>
          <w:rFonts w:asciiTheme="majorBidi" w:hAnsiTheme="majorBidi" w:cstheme="majorBidi"/>
        </w:rPr>
        <w:tab/>
        <w:t>durée d’exposition, en heures, pour la concentration C</w:t>
      </w:r>
    </w:p>
    <w:p w14:paraId="3537C3D3" w14:textId="77777777" w:rsidR="004746F1" w:rsidRPr="00950D73" w:rsidRDefault="004746F1" w:rsidP="004746F1">
      <w:pPr>
        <w:pStyle w:val="SingleTxtG"/>
        <w:rPr>
          <w:rFonts w:asciiTheme="majorBidi" w:hAnsiTheme="majorBidi" w:cstheme="majorBidi"/>
        </w:rPr>
      </w:pPr>
      <w:r w:rsidRPr="00950D73">
        <w:rPr>
          <w:rFonts w:asciiTheme="majorBidi" w:hAnsiTheme="majorBidi" w:cstheme="majorBidi"/>
        </w:rPr>
        <w:t>3.1.5.3.2</w:t>
      </w:r>
      <w:r w:rsidRPr="00950D73">
        <w:rPr>
          <w:rFonts w:asciiTheme="majorBidi" w:hAnsiTheme="majorBidi" w:cstheme="majorBidi"/>
        </w:rPr>
        <w:tab/>
        <w:t xml:space="preserve">Une valeur par défaut de 2 est utilisée pour l’exposant n, sauf s’il existe des données concluantes indiquant qu’une valeur différente est plus appropriée. Les durées d’exposition pouvant être converties vont de 30 minutes à 8 heures. Une autorité compétente peut décider s’il est acceptable de convertir d’autres durées d’exposition. Les données obtenues à partir d’une exposition de longue durée ne doivent pas être converties, car la classe de danger visée ici concerne la toxicité aiguë. On trouvera dans le document d’orientation 39 de l’OCDE (section 4.1, </w:t>
      </w:r>
      <w:proofErr w:type="spellStart"/>
      <w:r w:rsidRPr="00950D73">
        <w:rPr>
          <w:rFonts w:asciiTheme="majorBidi" w:hAnsiTheme="majorBidi" w:cstheme="majorBidi"/>
        </w:rPr>
        <w:t>Outline</w:t>
      </w:r>
      <w:proofErr w:type="spellEnd"/>
      <w:r w:rsidRPr="00950D73">
        <w:rPr>
          <w:rFonts w:asciiTheme="majorBidi" w:hAnsiTheme="majorBidi" w:cstheme="majorBidi"/>
        </w:rPr>
        <w:t xml:space="preserve"> of the </w:t>
      </w:r>
      <w:proofErr w:type="spellStart"/>
      <w:r w:rsidRPr="00950D73">
        <w:rPr>
          <w:rFonts w:asciiTheme="majorBidi" w:hAnsiTheme="majorBidi" w:cstheme="majorBidi"/>
        </w:rPr>
        <w:t>exposure</w:t>
      </w:r>
      <w:proofErr w:type="spellEnd"/>
      <w:r w:rsidRPr="00950D73">
        <w:rPr>
          <w:rFonts w:asciiTheme="majorBidi" w:hAnsiTheme="majorBidi" w:cstheme="majorBidi"/>
        </w:rPr>
        <w:t xml:space="preserve"> </w:t>
      </w:r>
      <w:proofErr w:type="spellStart"/>
      <w:r w:rsidRPr="00950D73">
        <w:rPr>
          <w:rFonts w:asciiTheme="majorBidi" w:hAnsiTheme="majorBidi" w:cstheme="majorBidi"/>
        </w:rPr>
        <w:t>methodology</w:t>
      </w:r>
      <w:proofErr w:type="spellEnd"/>
      <w:r w:rsidRPr="00950D73">
        <w:rPr>
          <w:rFonts w:asciiTheme="majorBidi" w:hAnsiTheme="majorBidi" w:cstheme="majorBidi"/>
        </w:rPr>
        <w:t xml:space="preserve">) des </w:t>
      </w:r>
      <w:r w:rsidRPr="00950D73">
        <w:rPr>
          <w:rFonts w:asciiTheme="majorBidi" w:hAnsiTheme="majorBidi" w:cstheme="majorBidi"/>
        </w:rPr>
        <w:lastRenderedPageBreak/>
        <w:t>indications sur la durée d’exposition pour l’évaluation de la toxicité aiguë par inhalation. ».</w:t>
      </w:r>
    </w:p>
    <w:p w14:paraId="3760351E" w14:textId="598B6BAF" w:rsidR="004746F1" w:rsidRPr="00950D73" w:rsidRDefault="004746F1" w:rsidP="004746F1">
      <w:pPr>
        <w:pStyle w:val="SingleTxtG"/>
        <w:keepNext/>
        <w:keepLines/>
        <w:rPr>
          <w:rFonts w:asciiTheme="majorBidi" w:hAnsiTheme="majorBidi" w:cstheme="majorBidi"/>
          <w:b/>
          <w:bCs/>
        </w:rPr>
      </w:pPr>
      <w:r w:rsidRPr="00950D73">
        <w:rPr>
          <w:rFonts w:asciiTheme="majorBidi" w:hAnsiTheme="majorBidi" w:cstheme="majorBidi"/>
          <w:b/>
          <w:bCs/>
        </w:rPr>
        <w:t>Exemples : classement en fonction de la valeur de CL</w:t>
      </w:r>
      <w:r w:rsidRPr="00950D73">
        <w:rPr>
          <w:rFonts w:asciiTheme="majorBidi" w:hAnsiTheme="majorBidi" w:cstheme="majorBidi"/>
          <w:b/>
          <w:bCs/>
          <w:vertAlign w:val="subscript"/>
        </w:rPr>
        <w:t>50</w:t>
      </w:r>
      <w:r w:rsidRPr="00950D73">
        <w:rPr>
          <w:rFonts w:asciiTheme="majorBidi" w:hAnsiTheme="majorBidi" w:cstheme="majorBidi"/>
          <w:b/>
          <w:bCs/>
        </w:rPr>
        <w:t xml:space="preserve"> calculée pour 4 heures</w:t>
      </w:r>
    </w:p>
    <w:p w14:paraId="00E293F9" w14:textId="77777777" w:rsidR="004746F1" w:rsidRPr="00950D73" w:rsidRDefault="004746F1" w:rsidP="004746F1">
      <w:pPr>
        <w:pStyle w:val="H4G"/>
        <w:rPr>
          <w:rFonts w:asciiTheme="majorBidi" w:hAnsiTheme="majorBidi" w:cstheme="majorBidi"/>
          <w:b/>
          <w:bCs/>
        </w:rPr>
      </w:pPr>
      <w:r w:rsidRPr="00950D73">
        <w:rPr>
          <w:rFonts w:asciiTheme="majorBidi" w:hAnsiTheme="majorBidi" w:cstheme="majorBidi"/>
          <w:b/>
          <w:bCs/>
        </w:rPr>
        <w:tab/>
      </w:r>
      <w:r w:rsidRPr="00950D73">
        <w:rPr>
          <w:rFonts w:asciiTheme="majorBidi" w:hAnsiTheme="majorBidi" w:cstheme="majorBidi"/>
          <w:b/>
          <w:bCs/>
        </w:rPr>
        <w:tab/>
        <w:t>Exemple 1 : Substance (liquide)</w:t>
      </w:r>
    </w:p>
    <w:p w14:paraId="0F53634B" w14:textId="77777777" w:rsidR="004746F1" w:rsidRPr="00950D73" w:rsidRDefault="004746F1" w:rsidP="005B6C0B">
      <w:pPr>
        <w:pStyle w:val="SingleTxtG"/>
        <w:rPr>
          <w:rFonts w:asciiTheme="majorBidi" w:hAnsiTheme="majorBidi" w:cstheme="majorBidi"/>
        </w:rPr>
      </w:pPr>
      <w:r w:rsidRPr="00950D73">
        <w:rPr>
          <w:rFonts w:asciiTheme="majorBidi" w:hAnsiTheme="majorBidi" w:cstheme="majorBidi"/>
        </w:rPr>
        <w:t>1.</w:t>
      </w:r>
      <w:r w:rsidRPr="00950D73">
        <w:rPr>
          <w:rFonts w:asciiTheme="majorBidi" w:hAnsiTheme="majorBidi" w:cstheme="majorBidi"/>
        </w:rPr>
        <w:tab/>
        <w:t>Dans cet exemple, la valeur expérimentale de la CL</w:t>
      </w:r>
      <w:r w:rsidRPr="00950D73">
        <w:rPr>
          <w:rFonts w:asciiTheme="majorBidi" w:hAnsiTheme="majorBidi" w:cstheme="majorBidi"/>
          <w:vertAlign w:val="subscript"/>
        </w:rPr>
        <w:t>50</w:t>
      </w:r>
      <w:r w:rsidRPr="00950D73">
        <w:rPr>
          <w:rFonts w:asciiTheme="majorBidi" w:hAnsiTheme="majorBidi" w:cstheme="majorBidi"/>
        </w:rPr>
        <w:t xml:space="preserve"> pour une exposition de 6 heures aux vapeurs de la substance est de 13,6 mg/l.</w:t>
      </w:r>
    </w:p>
    <w:p w14:paraId="0D14F1B1" w14:textId="77777777" w:rsidR="004746F1" w:rsidRPr="00950D73" w:rsidRDefault="004746F1" w:rsidP="005B6C0B">
      <w:pPr>
        <w:pStyle w:val="SingleTxtG"/>
        <w:tabs>
          <w:tab w:val="left" w:pos="1134"/>
        </w:tabs>
        <w:rPr>
          <w:rFonts w:asciiTheme="majorBidi" w:hAnsiTheme="majorBidi" w:cstheme="majorBidi"/>
        </w:rPr>
      </w:pPr>
      <w:r w:rsidRPr="00950D73">
        <w:rPr>
          <w:rFonts w:asciiTheme="majorBidi" w:hAnsiTheme="majorBidi" w:cstheme="majorBidi"/>
        </w:rPr>
        <w:t>2.</w:t>
      </w:r>
      <w:r w:rsidRPr="00950D73">
        <w:rPr>
          <w:rFonts w:asciiTheme="majorBidi" w:hAnsiTheme="majorBidi" w:cstheme="majorBidi"/>
        </w:rPr>
        <w:tab/>
        <w:t>En l’absence d’autre information sur l’exposant n, la valeur par défaut (n = 2) sera utilisée.</w:t>
      </w:r>
    </w:p>
    <w:p w14:paraId="7788D02D" w14:textId="77777777" w:rsidR="004746F1" w:rsidRPr="00950D73" w:rsidRDefault="004746F1" w:rsidP="005B6C0B">
      <w:pPr>
        <w:pStyle w:val="SingleTxtG"/>
        <w:rPr>
          <w:rFonts w:asciiTheme="majorBidi" w:hAnsiTheme="majorBidi" w:cstheme="majorBidi"/>
          <w:u w:val="single"/>
        </w:rPr>
      </w:pPr>
      <w:r w:rsidRPr="00950D73">
        <w:rPr>
          <w:rFonts w:asciiTheme="majorBidi" w:hAnsiTheme="majorBidi" w:cstheme="majorBidi"/>
          <w:u w:val="single"/>
        </w:rPr>
        <w:t>Critère :</w:t>
      </w:r>
    </w:p>
    <w:p w14:paraId="56A751BC" w14:textId="77777777" w:rsidR="004746F1" w:rsidRPr="00950D73" w:rsidRDefault="00AC2A81" w:rsidP="004746F1">
      <w:pPr>
        <w:spacing w:after="120"/>
        <w:rPr>
          <w:rFonts w:asciiTheme="majorBidi" w:hAnsiTheme="majorBidi" w:cstheme="majorBidi"/>
          <w:u w:val="single"/>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heures)</m:t>
          </m:r>
          <m:r>
            <m:rPr>
              <m:sty m:val="bi"/>
            </m:rPr>
            <w:rPr>
              <w:rFonts w:ascii="Cambria Math" w:hAnsi="Cambria Math" w:cstheme="majorBidi"/>
            </w:rPr>
            <m:t xml:space="preserve">= </m:t>
          </m:r>
          <m:sSup>
            <m:sSupPr>
              <m:ctrlPr>
                <w:rPr>
                  <w:rFonts w:ascii="Cambria Math" w:hAnsi="Cambria Math" w:cstheme="majorBidi"/>
                  <w:b/>
                  <w:i/>
                </w:rPr>
              </m:ctrlPr>
            </m:sSupPr>
            <m:e>
              <m:d>
                <m:dPr>
                  <m:ctrlPr>
                    <w:rPr>
                      <w:rFonts w:ascii="Cambria Math" w:hAnsi="Cambria Math" w:cstheme="majorBidi"/>
                      <w:b/>
                      <w:iCs/>
                    </w:rPr>
                  </m:ctrlPr>
                </m:dPr>
                <m:e>
                  <m:f>
                    <m:fPr>
                      <m:ctrlPr>
                        <w:rPr>
                          <w:rFonts w:ascii="Cambria Math" w:hAnsi="Cambria Math" w:cstheme="majorBidi"/>
                          <w:iCs/>
                        </w:rPr>
                      </m:ctrlPr>
                    </m:fPr>
                    <m:num>
                      <m:sSup>
                        <m:sSupPr>
                          <m:ctrlPr>
                            <w:rPr>
                              <w:rFonts w:ascii="Cambria Math" w:hAnsi="Cambria Math" w:cstheme="majorBidi"/>
                              <w:iCs/>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xml:space="preserve"> × t</m:t>
                      </m:r>
                    </m:num>
                    <m:den>
                      <m:r>
                        <m:rPr>
                          <m:sty m:val="p"/>
                        </m:rPr>
                        <w:rPr>
                          <w:rFonts w:ascii="Cambria Math" w:hAnsi="Cambria Math" w:cstheme="majorBidi"/>
                        </w:rPr>
                        <m:t>4</m:t>
                      </m:r>
                    </m:den>
                  </m:f>
                </m:e>
              </m:d>
            </m:e>
            <m:sup>
              <m:r>
                <m:rPr>
                  <m:sty m:val="bi"/>
                </m:rPr>
                <w:rPr>
                  <w:rFonts w:ascii="Cambria Math" w:hAnsi="Cambria Math" w:cstheme="majorBidi"/>
                </w:rPr>
                <m:t>1</m:t>
              </m:r>
              <m:r>
                <m:rPr>
                  <m:sty m:val="bi"/>
                </m:rPr>
                <w:rPr>
                  <w:rFonts w:ascii="Cambria Math" w:hAnsi="Cambria Math" w:cstheme="majorBidi"/>
                </w:rPr>
                <m:t>/</m:t>
              </m:r>
              <m:r>
                <m:rPr>
                  <m:sty m:val="bi"/>
                </m:rPr>
                <w:rPr>
                  <w:rFonts w:ascii="Cambria Math" w:hAnsi="Cambria Math" w:cstheme="majorBidi"/>
                </w:rPr>
                <m:t>n</m:t>
              </m:r>
            </m:sup>
          </m:sSup>
        </m:oMath>
      </m:oMathPara>
    </w:p>
    <w:p w14:paraId="6BF7736F" w14:textId="77777777" w:rsidR="004746F1" w:rsidRPr="00950D73" w:rsidRDefault="004746F1" w:rsidP="004746F1">
      <w:pPr>
        <w:pStyle w:val="SingleTxtG"/>
        <w:rPr>
          <w:rFonts w:asciiTheme="majorBidi" w:hAnsiTheme="majorBidi" w:cstheme="majorBidi"/>
          <w:u w:val="single"/>
        </w:rPr>
      </w:pPr>
      <w:r w:rsidRPr="00950D73">
        <w:rPr>
          <w:rFonts w:asciiTheme="majorBidi" w:hAnsiTheme="majorBidi" w:cstheme="majorBidi"/>
          <w:u w:val="single"/>
        </w:rPr>
        <w:t>Calcul</w:t>
      </w:r>
    </w:p>
    <w:p w14:paraId="0F1456DF" w14:textId="77777777" w:rsidR="004746F1" w:rsidRPr="00950D73" w:rsidRDefault="00AC2A81" w:rsidP="004746F1">
      <w:pPr>
        <w:spacing w:after="120"/>
        <w:rPr>
          <w:rFonts w:asciiTheme="majorBidi" w:hAnsiTheme="majorBidi" w:cstheme="majorBidi"/>
          <w:b/>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d>
            <m:dPr>
              <m:ctrlPr>
                <w:rPr>
                  <w:rFonts w:ascii="Cambria Math" w:hAnsi="Cambria Math" w:cstheme="majorBidi"/>
                </w:rPr>
              </m:ctrlPr>
            </m:dPr>
            <m:e>
              <m:r>
                <m:rPr>
                  <m:sty m:val="p"/>
                </m:rPr>
                <w:rPr>
                  <w:rFonts w:ascii="Cambria Math" w:hAnsi="Cambria Math" w:cstheme="majorBidi"/>
                </w:rPr>
                <m:t>4 heures</m:t>
              </m:r>
            </m:e>
          </m:d>
          <m:r>
            <m:rPr>
              <m:sty m:val="bi"/>
            </m:rPr>
            <w:rPr>
              <w:rFonts w:ascii="Cambria Math" w:hAnsi="Cambria Math" w:cstheme="majorBidi"/>
            </w:rPr>
            <m:t xml:space="preserve">= </m:t>
          </m:r>
          <m:sSup>
            <m:sSupPr>
              <m:ctrlPr>
                <w:rPr>
                  <w:rFonts w:ascii="Cambria Math" w:hAnsi="Cambria Math" w:cstheme="majorBidi"/>
                  <w:b/>
                  <w:iCs/>
                </w:rPr>
              </m:ctrlPr>
            </m:sSupPr>
            <m:e>
              <m:d>
                <m:dPr>
                  <m:ctrlPr>
                    <w:rPr>
                      <w:rFonts w:ascii="Cambria Math" w:hAnsi="Cambria Math" w:cstheme="majorBidi"/>
                      <w:b/>
                      <w:iCs/>
                    </w:rPr>
                  </m:ctrlPr>
                </m:dPr>
                <m:e>
                  <m:f>
                    <m:fPr>
                      <m:ctrlPr>
                        <w:rPr>
                          <w:rFonts w:ascii="Cambria Math" w:hAnsi="Cambria Math" w:cstheme="majorBidi"/>
                          <w:iCs/>
                        </w:rPr>
                      </m:ctrlPr>
                    </m:fPr>
                    <m:num>
                      <m:sSup>
                        <m:sSupPr>
                          <m:ctrlPr>
                            <w:rPr>
                              <w:rFonts w:ascii="Cambria Math" w:hAnsi="Cambria Math" w:cstheme="majorBidi"/>
                              <w:iCs/>
                            </w:rPr>
                          </m:ctrlPr>
                        </m:sSupPr>
                        <m:e>
                          <m:r>
                            <m:rPr>
                              <m:sty m:val="p"/>
                            </m:rPr>
                            <w:rPr>
                              <w:rFonts w:ascii="Cambria Math" w:hAnsi="Cambria Math" w:cstheme="majorBidi"/>
                            </w:rPr>
                            <m:t>C</m:t>
                          </m:r>
                        </m:e>
                        <m:sup>
                          <m:r>
                            <m:rPr>
                              <m:sty m:val="p"/>
                            </m:rPr>
                            <w:rPr>
                              <w:rFonts w:ascii="Cambria Math" w:hAnsi="Cambria Math" w:cstheme="majorBidi"/>
                            </w:rPr>
                            <m:t>n</m:t>
                          </m:r>
                        </m:sup>
                      </m:sSup>
                      <m:r>
                        <m:rPr>
                          <m:sty m:val="p"/>
                        </m:rPr>
                        <w:rPr>
                          <w:rFonts w:ascii="Cambria Math" w:hAnsi="Cambria Math" w:cstheme="majorBidi"/>
                        </w:rPr>
                        <m:t xml:space="preserve"> × t</m:t>
                      </m:r>
                    </m:num>
                    <m:den>
                      <m:r>
                        <m:rPr>
                          <m:sty m:val="p"/>
                        </m:rPr>
                        <w:rPr>
                          <w:rFonts w:ascii="Cambria Math" w:hAnsi="Cambria Math" w:cstheme="majorBidi"/>
                        </w:rPr>
                        <m:t>4</m:t>
                      </m:r>
                    </m:den>
                  </m:f>
                </m:e>
              </m:d>
            </m:e>
            <m:sup>
              <m:f>
                <m:fPr>
                  <m:ctrlPr>
                    <w:rPr>
                      <w:rFonts w:ascii="Cambria Math" w:hAnsi="Cambria Math" w:cstheme="majorBidi"/>
                      <w:b/>
                      <w:iCs/>
                    </w:rPr>
                  </m:ctrlPr>
                </m:fPr>
                <m:num>
                  <m:r>
                    <m:rPr>
                      <m:sty m:val="b"/>
                    </m:rPr>
                    <w:rPr>
                      <w:rFonts w:ascii="Cambria Math" w:hAnsi="Cambria Math" w:cstheme="majorBidi"/>
                    </w:rPr>
                    <m:t>1</m:t>
                  </m:r>
                </m:num>
                <m:den>
                  <m:r>
                    <m:rPr>
                      <m:sty m:val="b"/>
                    </m:rPr>
                    <w:rPr>
                      <w:rFonts w:ascii="Cambria Math" w:hAnsi="Cambria Math" w:cstheme="majorBidi"/>
                    </w:rPr>
                    <m:t>n</m:t>
                  </m:r>
                </m:den>
              </m:f>
            </m:sup>
          </m:sSup>
          <m:r>
            <m:rPr>
              <m:sty m:val="bi"/>
            </m:rPr>
            <w:rPr>
              <w:rFonts w:ascii="Cambria Math" w:hAnsi="Cambria Math" w:cstheme="majorBidi"/>
            </w:rPr>
            <m:t xml:space="preserve">=  </m:t>
          </m:r>
          <m:sSup>
            <m:sSupPr>
              <m:ctrlPr>
                <w:rPr>
                  <w:rFonts w:ascii="Cambria Math" w:hAnsi="Cambria Math" w:cstheme="majorBidi"/>
                  <w:b/>
                  <w:iCs/>
                </w:rPr>
              </m:ctrlPr>
            </m:sSupPr>
            <m:e>
              <m:d>
                <m:dPr>
                  <m:ctrlPr>
                    <w:rPr>
                      <w:rFonts w:ascii="Cambria Math" w:hAnsi="Cambria Math" w:cstheme="majorBidi"/>
                      <w:b/>
                      <w:iCs/>
                    </w:rPr>
                  </m:ctrlPr>
                </m:dPr>
                <m:e>
                  <m:f>
                    <m:fPr>
                      <m:ctrlPr>
                        <w:rPr>
                          <w:rFonts w:ascii="Cambria Math" w:hAnsi="Cambria Math" w:cstheme="majorBidi"/>
                          <w:iCs/>
                        </w:rPr>
                      </m:ctrlPr>
                    </m:fPr>
                    <m:num>
                      <m:sSup>
                        <m:sSupPr>
                          <m:ctrlPr>
                            <w:rPr>
                              <w:rFonts w:ascii="Cambria Math" w:hAnsi="Cambria Math" w:cstheme="majorBidi"/>
                              <w:iCs/>
                            </w:rPr>
                          </m:ctrlPr>
                        </m:sSupPr>
                        <m:e>
                          <m:r>
                            <m:rPr>
                              <m:sty m:val="p"/>
                            </m:rPr>
                            <w:rPr>
                              <w:rFonts w:ascii="Cambria Math" w:hAnsi="Cambria Math" w:cstheme="majorBidi"/>
                            </w:rPr>
                            <m:t>13,6</m:t>
                          </m:r>
                        </m:e>
                        <m:sup>
                          <m:r>
                            <m:rPr>
                              <m:sty m:val="p"/>
                            </m:rPr>
                            <w:rPr>
                              <w:rFonts w:ascii="Cambria Math" w:hAnsi="Cambria Math" w:cstheme="majorBidi"/>
                            </w:rPr>
                            <m:t>2</m:t>
                          </m:r>
                        </m:sup>
                      </m:sSup>
                      <m:r>
                        <m:rPr>
                          <m:sty m:val="p"/>
                        </m:rPr>
                        <w:rPr>
                          <w:rFonts w:ascii="Cambria Math" w:hAnsi="Cambria Math" w:cstheme="majorBidi"/>
                        </w:rPr>
                        <m:t xml:space="preserve"> × 6</m:t>
                      </m:r>
                    </m:num>
                    <m:den>
                      <m:r>
                        <m:rPr>
                          <m:sty m:val="p"/>
                        </m:rPr>
                        <w:rPr>
                          <w:rFonts w:ascii="Cambria Math" w:hAnsi="Cambria Math" w:cstheme="majorBidi"/>
                        </w:rPr>
                        <m:t>4</m:t>
                      </m:r>
                    </m:den>
                  </m:f>
                </m:e>
              </m:d>
            </m:e>
            <m:sup>
              <m:f>
                <m:fPr>
                  <m:ctrlPr>
                    <w:rPr>
                      <w:rFonts w:ascii="Cambria Math" w:hAnsi="Cambria Math" w:cstheme="majorBidi"/>
                      <w:b/>
                      <w:iCs/>
                    </w:rPr>
                  </m:ctrlPr>
                </m:fPr>
                <m:num>
                  <m:r>
                    <m:rPr>
                      <m:sty m:val="b"/>
                    </m:rPr>
                    <w:rPr>
                      <w:rFonts w:ascii="Cambria Math" w:hAnsi="Cambria Math" w:cstheme="majorBidi"/>
                    </w:rPr>
                    <m:t>1</m:t>
                  </m:r>
                </m:num>
                <m:den>
                  <m:r>
                    <m:rPr>
                      <m:sty m:val="b"/>
                    </m:rPr>
                    <w:rPr>
                      <w:rFonts w:ascii="Cambria Math" w:hAnsi="Cambria Math" w:cstheme="majorBidi"/>
                    </w:rPr>
                    <m:t>2</m:t>
                  </m:r>
                  <m:r>
                    <m:rPr>
                      <m:sty m:val="b"/>
                    </m:rPr>
                    <w:rPr>
                      <w:rFonts w:ascii="Cambria Math" w:hAnsi="Cambria Math" w:cstheme="majorBidi"/>
                    </w:rPr>
                    <m:t xml:space="preserve"> </m:t>
                  </m:r>
                </m:den>
              </m:f>
            </m:sup>
          </m:sSup>
          <m:r>
            <m:rPr>
              <m:sty m:val="bi"/>
            </m:rPr>
            <w:rPr>
              <w:rFonts w:ascii="Cambria Math" w:hAnsi="Cambria Math" w:cstheme="majorBidi"/>
            </w:rPr>
            <m:t>=</m:t>
          </m:r>
          <m:r>
            <m:rPr>
              <m:sty m:val="bi"/>
            </m:rPr>
            <w:rPr>
              <w:rFonts w:ascii="Cambria Math" w:hAnsi="Cambria Math" w:cstheme="majorBidi"/>
            </w:rPr>
            <m:t>16</m:t>
          </m:r>
          <m:r>
            <m:rPr>
              <m:sty m:val="bi"/>
            </m:rPr>
            <w:rPr>
              <w:rFonts w:ascii="Cambria Math" w:hAnsi="Cambria Math" w:cstheme="majorBidi"/>
            </w:rPr>
            <m:t>,</m:t>
          </m:r>
          <m:r>
            <m:rPr>
              <m:sty m:val="bi"/>
            </m:rPr>
            <w:rPr>
              <w:rFonts w:ascii="Cambria Math" w:hAnsi="Cambria Math" w:cstheme="majorBidi"/>
            </w:rPr>
            <m:t>7</m:t>
          </m:r>
        </m:oMath>
      </m:oMathPara>
    </w:p>
    <w:p w14:paraId="1A557212" w14:textId="77777777" w:rsidR="004746F1" w:rsidRPr="00950D73" w:rsidRDefault="004746F1" w:rsidP="005B6C0B">
      <w:pPr>
        <w:pStyle w:val="SingleTxtG"/>
        <w:rPr>
          <w:rFonts w:asciiTheme="majorBidi" w:hAnsiTheme="majorBidi" w:cstheme="majorBidi"/>
          <w:sz w:val="16"/>
          <w:szCs w:val="16"/>
        </w:rPr>
      </w:pPr>
      <w:r w:rsidRPr="00950D73">
        <w:rPr>
          <w:rFonts w:asciiTheme="majorBidi" w:hAnsiTheme="majorBidi" w:cstheme="majorBidi"/>
        </w:rPr>
        <w:t>3.</w:t>
      </w:r>
      <w:r w:rsidRPr="00950D73">
        <w:rPr>
          <w:rFonts w:asciiTheme="majorBidi" w:hAnsiTheme="majorBidi" w:cstheme="majorBidi"/>
        </w:rPr>
        <w:tab/>
        <w:t>Par conséquent, la substance est classée dans la catégorie 4 selon les critères indiqués pour les vapeurs dans le tableau 3.1.1 (catégorie 4 : 10,0 &lt; ETA ≤ 20,0).</w:t>
      </w:r>
    </w:p>
    <w:p w14:paraId="5B05D3D6" w14:textId="77777777" w:rsidR="004746F1" w:rsidRPr="00950D73" w:rsidRDefault="004746F1" w:rsidP="004746F1">
      <w:pPr>
        <w:pStyle w:val="H23G"/>
        <w:rPr>
          <w:rFonts w:asciiTheme="majorBidi" w:hAnsiTheme="majorBidi" w:cstheme="majorBidi"/>
          <w:b w:val="0"/>
          <w:bCs/>
          <w:i/>
          <w:iCs/>
        </w:rPr>
      </w:pPr>
      <w:r w:rsidRPr="00950D73">
        <w:rPr>
          <w:rFonts w:asciiTheme="majorBidi" w:hAnsiTheme="majorBidi" w:cstheme="majorBidi"/>
          <w:bCs/>
        </w:rPr>
        <w:tab/>
      </w:r>
      <w:r w:rsidRPr="00950D73">
        <w:rPr>
          <w:rFonts w:asciiTheme="majorBidi" w:hAnsiTheme="majorBidi" w:cstheme="majorBidi"/>
          <w:bCs/>
        </w:rPr>
        <w:tab/>
      </w:r>
      <w:r w:rsidRPr="00950D73">
        <w:rPr>
          <w:rFonts w:asciiTheme="majorBidi" w:hAnsiTheme="majorBidi" w:cstheme="majorBidi"/>
          <w:bCs/>
          <w:i/>
          <w:iCs/>
        </w:rPr>
        <w:t>Exemple 2 : Substance (solide)</w:t>
      </w:r>
    </w:p>
    <w:p w14:paraId="099C9488" w14:textId="77777777" w:rsidR="004746F1" w:rsidRPr="00950D73" w:rsidRDefault="004746F1" w:rsidP="005B6C0B">
      <w:pPr>
        <w:pStyle w:val="SingleTxtG"/>
        <w:rPr>
          <w:rFonts w:asciiTheme="majorBidi" w:hAnsiTheme="majorBidi" w:cstheme="majorBidi"/>
        </w:rPr>
      </w:pPr>
      <w:r w:rsidRPr="00950D73">
        <w:rPr>
          <w:rFonts w:asciiTheme="majorBidi" w:hAnsiTheme="majorBidi" w:cstheme="majorBidi"/>
        </w:rPr>
        <w:t>4.</w:t>
      </w:r>
      <w:r w:rsidRPr="00950D73">
        <w:rPr>
          <w:rFonts w:asciiTheme="majorBidi" w:hAnsiTheme="majorBidi" w:cstheme="majorBidi"/>
        </w:rPr>
        <w:tab/>
        <w:t>Dans cet exemple, la valeur expérimentale de la CL</w:t>
      </w:r>
      <w:r w:rsidRPr="00950D73">
        <w:rPr>
          <w:rFonts w:asciiTheme="majorBidi" w:hAnsiTheme="majorBidi" w:cstheme="majorBidi"/>
          <w:vertAlign w:val="subscript"/>
        </w:rPr>
        <w:t>50</w:t>
      </w:r>
      <w:r w:rsidRPr="00950D73">
        <w:rPr>
          <w:rFonts w:asciiTheme="majorBidi" w:hAnsiTheme="majorBidi" w:cstheme="majorBidi"/>
        </w:rPr>
        <w:t xml:space="preserve"> pour une exposition de 2 heures aux poussières de la substance est de 0,26 mg/l.</w:t>
      </w:r>
    </w:p>
    <w:p w14:paraId="56FAEC70" w14:textId="77777777" w:rsidR="004746F1" w:rsidRPr="00950D73" w:rsidRDefault="004746F1" w:rsidP="004746F1">
      <w:pPr>
        <w:pStyle w:val="SingleTxtG"/>
        <w:rPr>
          <w:rFonts w:asciiTheme="majorBidi" w:hAnsiTheme="majorBidi" w:cstheme="majorBidi"/>
          <w:u w:val="single"/>
        </w:rPr>
      </w:pPr>
      <w:r w:rsidRPr="00950D73">
        <w:rPr>
          <w:rFonts w:asciiTheme="majorBidi" w:hAnsiTheme="majorBidi" w:cstheme="majorBidi"/>
          <w:u w:val="single"/>
        </w:rPr>
        <w:t>Critère :</w:t>
      </w:r>
    </w:p>
    <w:p w14:paraId="734D6604" w14:textId="77777777" w:rsidR="004746F1" w:rsidRPr="00950D73" w:rsidRDefault="00AC2A81" w:rsidP="004746F1">
      <w:pPr>
        <w:spacing w:after="120"/>
        <w:rPr>
          <w:rFonts w:asciiTheme="majorBidi" w:hAnsiTheme="majorBidi" w:cstheme="majorBidi"/>
          <w:u w:val="single"/>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r>
            <m:rPr>
              <m:sty m:val="p"/>
            </m:rPr>
            <w:rPr>
              <w:rFonts w:ascii="Cambria Math" w:hAnsi="Cambria Math" w:cstheme="majorBidi"/>
            </w:rPr>
            <m:t>(4 heures)</m:t>
          </m:r>
          <m:r>
            <m:rPr>
              <m:sty m:val="bi"/>
            </m:rPr>
            <w:rPr>
              <w:rFonts w:ascii="Cambria Math" w:hAnsi="Cambria Math" w:cstheme="majorBidi"/>
            </w:rPr>
            <m:t xml:space="preserve">= </m:t>
          </m:r>
          <m:f>
            <m:fPr>
              <m:ctrlPr>
                <w:rPr>
                  <w:rFonts w:ascii="Cambria Math"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oMath>
      </m:oMathPara>
    </w:p>
    <w:p w14:paraId="7B4FA5C7" w14:textId="77777777" w:rsidR="004746F1" w:rsidRPr="00950D73" w:rsidRDefault="004746F1" w:rsidP="004746F1">
      <w:pPr>
        <w:pStyle w:val="SingleTxtG"/>
        <w:rPr>
          <w:rFonts w:asciiTheme="majorBidi" w:hAnsiTheme="majorBidi" w:cstheme="majorBidi"/>
          <w:u w:val="single"/>
        </w:rPr>
      </w:pPr>
      <w:r w:rsidRPr="00950D73">
        <w:rPr>
          <w:rFonts w:asciiTheme="majorBidi" w:hAnsiTheme="majorBidi" w:cstheme="majorBidi"/>
          <w:u w:val="single"/>
        </w:rPr>
        <w:t>Calcul</w:t>
      </w:r>
    </w:p>
    <w:p w14:paraId="3997CD16" w14:textId="3C9E7F46" w:rsidR="004746F1" w:rsidRPr="00950D73" w:rsidRDefault="00AC2A81" w:rsidP="004746F1">
      <w:pPr>
        <w:spacing w:after="120"/>
        <w:rPr>
          <w:rFonts w:asciiTheme="majorBidi" w:hAnsiTheme="majorBidi" w:cstheme="majorBidi"/>
        </w:rPr>
      </w:pPr>
      <m:oMathPara>
        <m:oMath>
          <m:sSub>
            <m:sSubPr>
              <m:ctrlPr>
                <w:rPr>
                  <w:rFonts w:ascii="Cambria Math" w:hAnsi="Cambria Math" w:cstheme="majorBidi"/>
                  <w:bCs/>
                  <w:iCs/>
                </w:rPr>
              </m:ctrlPr>
            </m:sSubPr>
            <m:e>
              <m:r>
                <m:rPr>
                  <m:sty m:val="p"/>
                </m:rPr>
                <w:rPr>
                  <w:rFonts w:ascii="Cambria Math" w:hAnsi="Cambria Math" w:cstheme="majorBidi"/>
                </w:rPr>
                <m:t>CL</m:t>
              </m:r>
            </m:e>
            <m:sub>
              <m:r>
                <m:rPr>
                  <m:sty m:val="p"/>
                </m:rPr>
                <w:rPr>
                  <w:rFonts w:ascii="Cambria Math" w:hAnsi="Cambria Math" w:cstheme="majorBidi"/>
                </w:rPr>
                <m:t>50</m:t>
              </m:r>
            </m:sub>
          </m:sSub>
          <m:d>
            <m:dPr>
              <m:ctrlPr>
                <w:rPr>
                  <w:rFonts w:ascii="Cambria Math" w:hAnsi="Cambria Math" w:cstheme="majorBidi"/>
                </w:rPr>
              </m:ctrlPr>
            </m:dPr>
            <m:e>
              <m:r>
                <m:rPr>
                  <m:sty m:val="p"/>
                </m:rPr>
                <w:rPr>
                  <w:rFonts w:ascii="Cambria Math" w:hAnsi="Cambria Math" w:cstheme="majorBidi"/>
                </w:rPr>
                <m:t>4 heures</m:t>
              </m:r>
            </m:e>
          </m:d>
          <m:r>
            <m:rPr>
              <m:sty m:val="bi"/>
            </m:rPr>
            <w:rPr>
              <w:rFonts w:ascii="Cambria Math" w:hAnsi="Cambria Math" w:cstheme="majorBidi"/>
            </w:rPr>
            <m:t xml:space="preserve">= </m:t>
          </m:r>
          <m:f>
            <m:fPr>
              <m:ctrlPr>
                <w:rPr>
                  <w:rFonts w:ascii="Cambria Math" w:hAnsi="Cambria Math" w:cstheme="majorBidi"/>
                  <w:iCs/>
                </w:rPr>
              </m:ctrlPr>
            </m:fPr>
            <m:num>
              <m:r>
                <m:rPr>
                  <m:sty m:val="p"/>
                </m:rPr>
                <w:rPr>
                  <w:rFonts w:ascii="Cambria Math" w:hAnsi="Cambria Math" w:cstheme="majorBidi"/>
                </w:rPr>
                <m:t>C ×  t</m:t>
              </m:r>
            </m:num>
            <m:den>
              <m:r>
                <m:rPr>
                  <m:sty m:val="p"/>
                </m:rPr>
                <w:rPr>
                  <w:rFonts w:ascii="Cambria Math" w:hAnsi="Cambria Math" w:cstheme="majorBidi"/>
                </w:rPr>
                <m:t>4</m:t>
              </m:r>
            </m:den>
          </m:f>
          <m:r>
            <w:rPr>
              <w:rFonts w:ascii="Cambria Math" w:hAnsi="Cambria Math" w:cstheme="majorBidi"/>
            </w:rPr>
            <m:t xml:space="preserve">= </m:t>
          </m:r>
          <m:f>
            <m:fPr>
              <m:ctrlPr>
                <w:rPr>
                  <w:rFonts w:ascii="Cambria Math" w:hAnsi="Cambria Math" w:cstheme="majorBidi"/>
                  <w:iCs/>
                </w:rPr>
              </m:ctrlPr>
            </m:fPr>
            <m:num>
              <m:r>
                <m:rPr>
                  <m:sty m:val="p"/>
                </m:rPr>
                <w:rPr>
                  <w:rFonts w:ascii="Cambria Math" w:hAnsi="Cambria Math" w:cstheme="majorBidi"/>
                </w:rPr>
                <m:t>0,26 ×  2</m:t>
              </m:r>
            </m:num>
            <m:den>
              <m:r>
                <m:rPr>
                  <m:sty m:val="p"/>
                </m:rPr>
                <w:rPr>
                  <w:rFonts w:ascii="Cambria Math" w:hAnsi="Cambria Math" w:cstheme="majorBidi"/>
                </w:rPr>
                <m:t>4</m:t>
              </m:r>
            </m:den>
          </m:f>
          <m:r>
            <w:rPr>
              <w:rFonts w:ascii="Cambria Math" w:hAnsi="Cambria Math" w:cstheme="majorBidi"/>
            </w:rPr>
            <m:t>=</m:t>
          </m:r>
          <m:r>
            <m:rPr>
              <m:sty m:val="bi"/>
            </m:rPr>
            <w:rPr>
              <w:rFonts w:ascii="Cambria Math" w:hAnsi="Cambria Math" w:cstheme="majorBidi"/>
            </w:rPr>
            <m:t>0</m:t>
          </m:r>
          <m:r>
            <m:rPr>
              <m:sty m:val="bi"/>
            </m:rPr>
            <w:rPr>
              <w:rFonts w:ascii="Cambria Math" w:hAnsi="Cambria Math" w:cstheme="majorBidi"/>
            </w:rPr>
            <m:t>,</m:t>
          </m:r>
          <m:r>
            <m:rPr>
              <m:sty m:val="bi"/>
            </m:rPr>
            <w:rPr>
              <w:rFonts w:ascii="Cambria Math" w:hAnsi="Cambria Math" w:cstheme="majorBidi"/>
            </w:rPr>
            <m:t>13</m:t>
          </m:r>
          <m:r>
            <w:rPr>
              <w:rFonts w:ascii="Cambria Math" w:hAnsi="Cambria Math" w:cstheme="majorBidi"/>
            </w:rPr>
            <m:t xml:space="preserve"> </m:t>
          </m:r>
        </m:oMath>
      </m:oMathPara>
    </w:p>
    <w:p w14:paraId="0FA3A055" w14:textId="77777777" w:rsidR="004746F1" w:rsidRPr="00950D73" w:rsidRDefault="004746F1" w:rsidP="005B6C0B">
      <w:pPr>
        <w:pStyle w:val="SingleTxtG"/>
        <w:rPr>
          <w:rFonts w:asciiTheme="majorBidi" w:hAnsiTheme="majorBidi" w:cstheme="majorBidi"/>
        </w:rPr>
      </w:pPr>
      <w:r w:rsidRPr="00950D73">
        <w:rPr>
          <w:rFonts w:asciiTheme="majorBidi" w:hAnsiTheme="majorBidi" w:cstheme="majorBidi"/>
        </w:rPr>
        <w:t>5.</w:t>
      </w:r>
      <w:r w:rsidRPr="00950D73">
        <w:rPr>
          <w:rFonts w:asciiTheme="majorBidi" w:hAnsiTheme="majorBidi" w:cstheme="majorBidi"/>
        </w:rPr>
        <w:tab/>
        <w:t>Par conséquent, la substance est classée dans la catégorie 2 selon les critères indiqués pour les poussières et brouillards dans le tableau 3.1.1 (catégorie 2 : 0,05 &lt; ETA ≤ 0,5). »</w:t>
      </w:r>
    </w:p>
    <w:p w14:paraId="134AA078" w14:textId="77777777" w:rsidR="004746F1" w:rsidRPr="00950D73" w:rsidRDefault="004746F1" w:rsidP="004746F1">
      <w:pPr>
        <w:keepNext/>
        <w:keepLines/>
        <w:tabs>
          <w:tab w:val="right" w:pos="851"/>
        </w:tabs>
        <w:spacing w:before="360" w:after="240" w:line="270" w:lineRule="exact"/>
        <w:ind w:left="1134" w:right="1134" w:hanging="1134"/>
        <w:rPr>
          <w:rFonts w:asciiTheme="majorBidi" w:hAnsiTheme="majorBidi" w:cstheme="majorBidi"/>
          <w:b/>
          <w:sz w:val="24"/>
        </w:rPr>
      </w:pPr>
      <w:r w:rsidRPr="00950D73">
        <w:rPr>
          <w:rFonts w:asciiTheme="majorBidi" w:hAnsiTheme="majorBidi" w:cstheme="majorBidi"/>
          <w:b/>
          <w:sz w:val="24"/>
        </w:rPr>
        <w:tab/>
      </w:r>
      <w:r w:rsidRPr="00950D73">
        <w:rPr>
          <w:rFonts w:asciiTheme="majorBidi" w:hAnsiTheme="majorBidi" w:cstheme="majorBidi"/>
          <w:b/>
          <w:sz w:val="24"/>
        </w:rPr>
        <w:tab/>
        <w:t>Chapitre 3.2</w:t>
      </w:r>
    </w:p>
    <w:p w14:paraId="30FAC8ED" w14:textId="77777777"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3.2.1.2</w:t>
      </w:r>
      <w:r w:rsidRPr="00950D73">
        <w:rPr>
          <w:rFonts w:asciiTheme="majorBidi" w:hAnsiTheme="majorBidi" w:cstheme="majorBidi"/>
        </w:rPr>
        <w:tab/>
      </w:r>
      <w:r w:rsidRPr="00950D73">
        <w:rPr>
          <w:rFonts w:asciiTheme="majorBidi" w:hAnsiTheme="majorBidi" w:cstheme="majorBidi"/>
        </w:rPr>
        <w:tab/>
        <w:t>Remplacer la deuxième phrase par la phrase suivante :</w:t>
      </w:r>
    </w:p>
    <w:p w14:paraId="1FFB01D1" w14:textId="54AEF0FD"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 xml:space="preserve">« Le classement </w:t>
      </w:r>
      <w:r w:rsidR="007A2AF7" w:rsidRPr="00950D73">
        <w:rPr>
          <w:rFonts w:asciiTheme="majorBidi" w:hAnsiTheme="majorBidi" w:cstheme="majorBidi"/>
        </w:rPr>
        <w:t xml:space="preserve">devrait </w:t>
      </w:r>
      <w:r w:rsidRPr="00950D73">
        <w:rPr>
          <w:rFonts w:asciiTheme="majorBidi" w:hAnsiTheme="majorBidi" w:cstheme="majorBidi"/>
        </w:rPr>
        <w:t xml:space="preserve">être fondé sur des données acceptables pour toutes les parties, produites à l’aide de méthodes validées selon des procédures internationales, telles que les lignes directrices de l’OCDE ou des méthodes équivalentes (voir 1.3.2.4.3). ». </w:t>
      </w:r>
    </w:p>
    <w:p w14:paraId="7B8180F8" w14:textId="77777777"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 xml:space="preserve">Dans la dernière phrase, remplacer « 3.2.2.6 » par « 3.2.2.7 ». </w:t>
      </w:r>
    </w:p>
    <w:p w14:paraId="323DA653" w14:textId="77777777" w:rsidR="004746F1" w:rsidRPr="00CE20A1" w:rsidRDefault="004746F1" w:rsidP="004746F1">
      <w:pPr>
        <w:spacing w:after="120"/>
        <w:ind w:left="2268" w:right="1134" w:hanging="1134"/>
        <w:jc w:val="both"/>
        <w:rPr>
          <w:rFonts w:asciiTheme="majorBidi" w:hAnsiTheme="majorBidi" w:cstheme="majorBidi"/>
        </w:rPr>
      </w:pPr>
      <w:r w:rsidRPr="00CE20A1">
        <w:rPr>
          <w:rFonts w:asciiTheme="majorBidi" w:hAnsiTheme="majorBidi" w:cstheme="majorBidi"/>
        </w:rPr>
        <w:t>3.2.1.3</w:t>
      </w:r>
      <w:r w:rsidRPr="00CE20A1">
        <w:rPr>
          <w:rFonts w:asciiTheme="majorBidi" w:hAnsiTheme="majorBidi" w:cstheme="majorBidi"/>
        </w:rPr>
        <w:tab/>
      </w:r>
      <w:r w:rsidRPr="00CE20A1">
        <w:rPr>
          <w:rFonts w:asciiTheme="majorBidi" w:hAnsiTheme="majorBidi" w:cstheme="majorBidi"/>
        </w:rPr>
        <w:tab/>
        <w:t xml:space="preserve">Dans la première phrase, remplacer « 3.2.2.7 » par « 3.2.2.8 ». </w:t>
      </w:r>
    </w:p>
    <w:p w14:paraId="02229E4A" w14:textId="6FD11C7D" w:rsidR="004746F1" w:rsidRPr="00950D73" w:rsidRDefault="004746F1" w:rsidP="006575B2">
      <w:pPr>
        <w:spacing w:after="120"/>
        <w:ind w:left="2268" w:right="1134"/>
        <w:jc w:val="both"/>
        <w:rPr>
          <w:rFonts w:asciiTheme="majorBidi" w:hAnsiTheme="majorBidi" w:cstheme="majorBidi"/>
        </w:rPr>
      </w:pPr>
      <w:r w:rsidRPr="00CE20A1">
        <w:rPr>
          <w:rFonts w:asciiTheme="majorBidi" w:hAnsiTheme="majorBidi" w:cstheme="majorBidi"/>
        </w:rPr>
        <w:t>Dans la dernière phrase, remplacer « 3.2.2.7.3 » par « 3.2.2.8.3 </w:t>
      </w:r>
      <w:r w:rsidRPr="00CE20A1">
        <w:rPr>
          <w:rFonts w:asciiTheme="majorBidi" w:hAnsiTheme="majorBidi" w:cstheme="majorBidi"/>
          <w:i/>
          <w:iCs/>
        </w:rPr>
        <w:t>»</w:t>
      </w:r>
      <w:r w:rsidR="001C640B" w:rsidRPr="00CE20A1">
        <w:rPr>
          <w:rFonts w:asciiTheme="majorBidi" w:hAnsiTheme="majorBidi" w:cstheme="majorBidi"/>
          <w:i/>
          <w:iCs/>
        </w:rPr>
        <w:t xml:space="preserve"> (d’autres modifications sans objet en français)</w:t>
      </w:r>
      <w:r w:rsidR="001C640B" w:rsidRPr="00CE20A1">
        <w:rPr>
          <w:rFonts w:asciiTheme="majorBidi" w:hAnsiTheme="majorBidi" w:cstheme="majorBidi"/>
        </w:rPr>
        <w:t>.</w:t>
      </w:r>
      <w:r w:rsidRPr="00CE20A1">
        <w:rPr>
          <w:rFonts w:asciiTheme="majorBidi" w:hAnsiTheme="majorBidi" w:cstheme="majorBidi"/>
        </w:rPr>
        <w:t xml:space="preserve"> </w:t>
      </w:r>
      <w:r w:rsidR="001C640B" w:rsidRPr="00CE20A1">
        <w:rPr>
          <w:rFonts w:asciiTheme="majorBidi" w:hAnsiTheme="majorBidi" w:cstheme="majorBidi"/>
        </w:rPr>
        <w:t>Insérer</w:t>
      </w:r>
      <w:r w:rsidRPr="00CE20A1">
        <w:rPr>
          <w:rFonts w:asciiTheme="majorBidi" w:hAnsiTheme="majorBidi" w:cstheme="majorBidi"/>
        </w:rPr>
        <w:t xml:space="preserve"> « , 3.2.2.7 » après « 1.3.2.4.9 » dans les références entre parenthèses à la fin du paragraphe.</w:t>
      </w:r>
      <w:r w:rsidRPr="00950D73">
        <w:rPr>
          <w:rFonts w:asciiTheme="majorBidi" w:hAnsiTheme="majorBidi" w:cstheme="majorBidi"/>
        </w:rPr>
        <w:t xml:space="preserve"> </w:t>
      </w:r>
    </w:p>
    <w:p w14:paraId="051F3216" w14:textId="0BCD41EB"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3.2.2.1</w:t>
      </w:r>
      <w:r w:rsidRPr="00950D73">
        <w:rPr>
          <w:rFonts w:asciiTheme="majorBidi" w:hAnsiTheme="majorBidi" w:cstheme="majorBidi"/>
        </w:rPr>
        <w:tab/>
      </w:r>
      <w:r w:rsidR="00D80961" w:rsidRPr="00950D73">
        <w:rPr>
          <w:rFonts w:asciiTheme="majorBidi" w:hAnsiTheme="majorBidi" w:cstheme="majorBidi"/>
        </w:rPr>
        <w:t>A</w:t>
      </w:r>
      <w:r w:rsidRPr="00950D73">
        <w:rPr>
          <w:rFonts w:asciiTheme="majorBidi" w:hAnsiTheme="majorBidi" w:cstheme="majorBidi"/>
        </w:rPr>
        <w:t>jouter « </w:t>
      </w:r>
      <w:r w:rsidRPr="00950D73">
        <w:rPr>
          <w:rFonts w:asciiTheme="majorBidi" w:hAnsiTheme="majorBidi" w:cstheme="majorBidi"/>
          <w:b/>
          <w:bCs/>
          <w:i/>
          <w:iCs/>
        </w:rPr>
        <w:t>(étape 1 dans la figure 3.2.1)</w:t>
      </w:r>
      <w:r w:rsidRPr="00950D73">
        <w:rPr>
          <w:rFonts w:asciiTheme="majorBidi" w:hAnsiTheme="majorBidi" w:cstheme="majorBidi"/>
        </w:rPr>
        <w:t> »</w:t>
      </w:r>
      <w:r w:rsidR="00D80961" w:rsidRPr="00950D73">
        <w:rPr>
          <w:rFonts w:asciiTheme="majorBidi" w:hAnsiTheme="majorBidi" w:cstheme="majorBidi"/>
        </w:rPr>
        <w:t xml:space="preserve"> à la fin du titre.</w:t>
      </w:r>
      <w:r w:rsidRPr="00950D73">
        <w:rPr>
          <w:rFonts w:asciiTheme="majorBidi" w:hAnsiTheme="majorBidi" w:cstheme="majorBidi"/>
        </w:rPr>
        <w:t xml:space="preserve"> </w:t>
      </w:r>
    </w:p>
    <w:p w14:paraId="18D12820" w14:textId="77777777"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3.2.2.2</w:t>
      </w:r>
      <w:r w:rsidRPr="00950D73">
        <w:rPr>
          <w:rFonts w:asciiTheme="majorBidi" w:hAnsiTheme="majorBidi" w:cstheme="majorBidi"/>
        </w:rPr>
        <w:tab/>
      </w:r>
      <w:r w:rsidRPr="00950D73">
        <w:rPr>
          <w:rFonts w:asciiTheme="majorBidi" w:hAnsiTheme="majorBidi" w:cstheme="majorBidi"/>
        </w:rPr>
        <w:tab/>
        <w:t>Modifier le titre pour lire comme suit : « </w:t>
      </w:r>
      <w:r w:rsidRPr="00950D73">
        <w:rPr>
          <w:rFonts w:asciiTheme="majorBidi" w:hAnsiTheme="majorBidi" w:cstheme="majorBidi"/>
          <w:b/>
          <w:bCs/>
          <w:i/>
          <w:iCs/>
        </w:rPr>
        <w:t>Classification fondée sur des données normalisées obtenues sur les animaux (étape 1 dans la figure 3.2.1)</w:t>
      </w:r>
      <w:r w:rsidRPr="00950D73">
        <w:rPr>
          <w:rFonts w:asciiTheme="majorBidi" w:hAnsiTheme="majorBidi" w:cstheme="majorBidi"/>
        </w:rPr>
        <w:t xml:space="preserve"> ». </w:t>
      </w:r>
    </w:p>
    <w:p w14:paraId="2AFD0B97" w14:textId="77777777"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Modifier le début de la première phrase pour lire comme suit : « La ligne directrice 404 de l’OCDE est la méthode d’essai sur les animaux acceptée au plan international... ».</w:t>
      </w:r>
    </w:p>
    <w:p w14:paraId="48B25E62" w14:textId="77777777"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lastRenderedPageBreak/>
        <w:t>3.2.2.3</w:t>
      </w:r>
      <w:r w:rsidRPr="00950D73">
        <w:rPr>
          <w:rFonts w:asciiTheme="majorBidi" w:hAnsiTheme="majorBidi" w:cstheme="majorBidi"/>
        </w:rPr>
        <w:tab/>
        <w:t>Ajouter « </w:t>
      </w:r>
      <w:r w:rsidRPr="00950D73">
        <w:rPr>
          <w:rFonts w:asciiTheme="majorBidi" w:hAnsiTheme="majorBidi" w:cstheme="majorBidi"/>
          <w:b/>
          <w:i/>
          <w:iCs/>
        </w:rPr>
        <w:t>(étape 2 dans la figure 3.2.1)</w:t>
      </w:r>
      <w:r w:rsidRPr="00950D73">
        <w:rPr>
          <w:rFonts w:asciiTheme="majorBidi" w:hAnsiTheme="majorBidi" w:cstheme="majorBidi"/>
        </w:rPr>
        <w:t> » à la fin du titre.</w:t>
      </w:r>
    </w:p>
    <w:p w14:paraId="7DDBB279" w14:textId="2B9092CC"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t>3.2.2.3.2</w:t>
      </w:r>
      <w:r w:rsidRPr="00950D73">
        <w:rPr>
          <w:rFonts w:asciiTheme="majorBidi" w:hAnsiTheme="majorBidi" w:cstheme="majorBidi"/>
        </w:rPr>
        <w:tab/>
        <w:t>Remplacer la première phrase (« Dans la mesure du possible ... par ces méthodes ») par ce qui suit :</w:t>
      </w:r>
    </w:p>
    <w:p w14:paraId="705ABE72" w14:textId="5C6691A9" w:rsidR="004746F1" w:rsidRPr="00950D73" w:rsidRDefault="004746F1" w:rsidP="004746F1">
      <w:pPr>
        <w:tabs>
          <w:tab w:val="left" w:pos="2268"/>
        </w:tabs>
        <w:spacing w:after="120"/>
        <w:ind w:left="2268" w:right="1134"/>
        <w:jc w:val="both"/>
        <w:rPr>
          <w:rFonts w:asciiTheme="majorBidi" w:hAnsiTheme="majorBidi" w:cstheme="majorBidi"/>
        </w:rPr>
      </w:pPr>
      <w:r w:rsidRPr="00950D73">
        <w:rPr>
          <w:rFonts w:asciiTheme="majorBidi" w:hAnsiTheme="majorBidi" w:cstheme="majorBidi"/>
        </w:rPr>
        <w:tab/>
        <w:t>« Les critères de classification des méthodes d’essai in vitro/</w:t>
      </w:r>
      <w:r w:rsidRPr="00950D73">
        <w:rPr>
          <w:rFonts w:asciiTheme="majorBidi" w:hAnsiTheme="majorBidi" w:cstheme="majorBidi"/>
          <w:i/>
          <w:iCs/>
        </w:rPr>
        <w:t>ex vivo</w:t>
      </w:r>
      <w:r w:rsidRPr="00950D73">
        <w:rPr>
          <w:rFonts w:asciiTheme="majorBidi" w:hAnsiTheme="majorBidi" w:cstheme="majorBidi"/>
        </w:rPr>
        <w:t xml:space="preserve"> actuellement disponibles, adoptés par l’OCDE dans les lignes directrices 430, 431, 435 et 439, sont décrits dans les tableaux 3.2.6 et 3.2.7 (voir 3.2.5.3.4). D’autres méthodes d’essai in vitro/</w:t>
      </w:r>
      <w:r w:rsidRPr="00950D73">
        <w:rPr>
          <w:rFonts w:asciiTheme="majorBidi" w:hAnsiTheme="majorBidi" w:cstheme="majorBidi"/>
          <w:i/>
          <w:iCs/>
        </w:rPr>
        <w:t>ex vivo</w:t>
      </w:r>
      <w:r w:rsidRPr="00950D73">
        <w:rPr>
          <w:rFonts w:asciiTheme="majorBidi" w:hAnsiTheme="majorBidi" w:cstheme="majorBidi"/>
        </w:rPr>
        <w:t xml:space="preserve"> validées et acceptées par certaines autorités compétentes peuvent également être envisagées. Une autorité compétente peut décider quels critères de classification </w:t>
      </w:r>
      <w:r w:rsidR="006C190A" w:rsidRPr="00950D73">
        <w:rPr>
          <w:rFonts w:asciiTheme="majorBidi" w:hAnsiTheme="majorBidi" w:cstheme="majorBidi"/>
        </w:rPr>
        <w:t xml:space="preserve">devraient </w:t>
      </w:r>
      <w:r w:rsidRPr="00950D73">
        <w:rPr>
          <w:rFonts w:asciiTheme="majorBidi" w:hAnsiTheme="majorBidi" w:cstheme="majorBidi"/>
        </w:rPr>
        <w:t>éventuellement être appliqués à d’autres méthodes d’essai pour conclure à la classification ou l’absence de classification d’une substance pour ses effets cutanés. ».</w:t>
      </w:r>
    </w:p>
    <w:p w14:paraId="64490A3B" w14:textId="77777777" w:rsidR="004746F1" w:rsidRPr="00950D73" w:rsidRDefault="004746F1" w:rsidP="004746F1">
      <w:pPr>
        <w:keepNext/>
        <w:keepLines/>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spacing w:val="-4"/>
        </w:rPr>
        <w:t>3.2.2.3.3 (nouveau)</w:t>
      </w:r>
      <w:r w:rsidRPr="00950D73">
        <w:rPr>
          <w:rFonts w:asciiTheme="majorBidi" w:hAnsiTheme="majorBidi" w:cstheme="majorBidi"/>
        </w:rPr>
        <w:tab/>
        <w:t>Placer les deux dernières phrases de l’actuel paragraphe 3.2.2.3.2 (« Les données in vitro/</w:t>
      </w:r>
      <w:r w:rsidRPr="00950D73">
        <w:rPr>
          <w:rFonts w:asciiTheme="majorBidi" w:hAnsiTheme="majorBidi" w:cstheme="majorBidi"/>
          <w:i/>
          <w:iCs/>
        </w:rPr>
        <w:t>ex vivo</w:t>
      </w:r>
      <w:r w:rsidRPr="00950D73">
        <w:rPr>
          <w:rFonts w:asciiTheme="majorBidi" w:hAnsiTheme="majorBidi" w:cstheme="majorBidi"/>
        </w:rPr>
        <w:t>... prises en compte ») dans un nouveau paragraphe 3.2.2.3.3 et remplacer « des méthodes d’essai utilisées » par « de la ou des méthode(s) d’essai utilisée(s) ».</w:t>
      </w:r>
    </w:p>
    <w:p w14:paraId="611A6C26" w14:textId="749FBB32"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t>Les paragraphes 3.2.2.2.3 à 3.2.2.3.</w:t>
      </w:r>
      <w:r w:rsidR="000B6C04" w:rsidRPr="00950D73">
        <w:rPr>
          <w:rFonts w:asciiTheme="majorBidi" w:hAnsiTheme="majorBidi" w:cstheme="majorBidi"/>
        </w:rPr>
        <w:t>4</w:t>
      </w:r>
      <w:r w:rsidRPr="00950D73">
        <w:rPr>
          <w:rFonts w:asciiTheme="majorBidi" w:hAnsiTheme="majorBidi" w:cstheme="majorBidi"/>
        </w:rPr>
        <w:t>.</w:t>
      </w:r>
      <w:r w:rsidR="000B6C04" w:rsidRPr="00950D73">
        <w:rPr>
          <w:rFonts w:asciiTheme="majorBidi" w:hAnsiTheme="majorBidi" w:cstheme="majorBidi"/>
        </w:rPr>
        <w:t>2</w:t>
      </w:r>
      <w:r w:rsidRPr="00950D73">
        <w:rPr>
          <w:rFonts w:asciiTheme="majorBidi" w:hAnsiTheme="majorBidi" w:cstheme="majorBidi"/>
        </w:rPr>
        <w:t xml:space="preserve"> actuels deviennent les 3.2.2.3.4 à 3.2.2.3.</w:t>
      </w:r>
      <w:r w:rsidR="007907EB" w:rsidRPr="00950D73">
        <w:rPr>
          <w:rFonts w:asciiTheme="majorBidi" w:hAnsiTheme="majorBidi" w:cstheme="majorBidi"/>
        </w:rPr>
        <w:t>5</w:t>
      </w:r>
      <w:r w:rsidRPr="00950D73">
        <w:rPr>
          <w:rFonts w:asciiTheme="majorBidi" w:hAnsiTheme="majorBidi" w:cstheme="majorBidi"/>
        </w:rPr>
        <w:t>.</w:t>
      </w:r>
      <w:r w:rsidR="007907EB" w:rsidRPr="00950D73">
        <w:rPr>
          <w:rFonts w:asciiTheme="majorBidi" w:hAnsiTheme="majorBidi" w:cstheme="majorBidi"/>
        </w:rPr>
        <w:t>2</w:t>
      </w:r>
      <w:r w:rsidRPr="00950D73">
        <w:rPr>
          <w:rFonts w:asciiTheme="majorBidi" w:hAnsiTheme="majorBidi" w:cstheme="majorBidi"/>
        </w:rPr>
        <w:t>.</w:t>
      </w:r>
    </w:p>
    <w:p w14:paraId="4DB3CB2A" w14:textId="77777777"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t>3.2.2.3.4.1 (nouveau, ancien 3.2.2.3.3.1)</w:t>
      </w:r>
      <w:r w:rsidRPr="00950D73">
        <w:rPr>
          <w:rFonts w:asciiTheme="majorBidi" w:hAnsiTheme="majorBidi" w:cstheme="majorBidi"/>
        </w:rPr>
        <w:tab/>
        <w:t>Ajouter « (voir 3.2.5.3.4) » à la fin du paragraphe, après « tableau 3.2.6 ».</w:t>
      </w:r>
    </w:p>
    <w:p w14:paraId="7E698F48" w14:textId="77777777"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t>3.2.2.3.5.1 (nouveau, ancien 3.2.2.3.4.1)</w:t>
      </w:r>
      <w:r w:rsidRPr="00950D73">
        <w:rPr>
          <w:rFonts w:asciiTheme="majorBidi" w:hAnsiTheme="majorBidi" w:cstheme="majorBidi"/>
        </w:rPr>
        <w:tab/>
        <w:t>Ajouter « (voir 3.2.5.3.4) » à la fin du paragraphe, après « tableau 3.2.7 ».</w:t>
      </w:r>
    </w:p>
    <w:p w14:paraId="32AAC35B" w14:textId="071EDCEF"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t>3.2.2.3.5.2 (nouveau, ancien 3.2.2.3.4.2)</w:t>
      </w:r>
      <w:r w:rsidRPr="00950D73">
        <w:rPr>
          <w:rFonts w:asciiTheme="majorBidi" w:hAnsiTheme="majorBidi" w:cstheme="majorBidi"/>
        </w:rPr>
        <w:tab/>
        <w:t>Supprimer la dernière phrase</w:t>
      </w:r>
      <w:r w:rsidR="00EB6D98" w:rsidRPr="00950D73">
        <w:rPr>
          <w:rFonts w:asciiTheme="majorBidi" w:hAnsiTheme="majorBidi" w:cstheme="majorBidi"/>
        </w:rPr>
        <w:t xml:space="preserve"> (« </w:t>
      </w:r>
      <w:r w:rsidR="00527059" w:rsidRPr="00950D73">
        <w:rPr>
          <w:rFonts w:asciiTheme="majorBidi" w:hAnsiTheme="majorBidi" w:cstheme="majorBidi"/>
        </w:rPr>
        <w:t>Dans ce cas,..</w:t>
      </w:r>
      <w:r w:rsidR="00362278" w:rsidRPr="00950D73">
        <w:rPr>
          <w:rFonts w:asciiTheme="majorBidi" w:hAnsiTheme="majorBidi" w:cstheme="majorBidi"/>
        </w:rPr>
        <w:t xml:space="preserve"> et l’absence de classement »</w:t>
      </w:r>
      <w:r w:rsidRPr="00950D73">
        <w:rPr>
          <w:rFonts w:asciiTheme="majorBidi" w:hAnsiTheme="majorBidi" w:cstheme="majorBidi"/>
        </w:rPr>
        <w:t>.</w:t>
      </w:r>
    </w:p>
    <w:p w14:paraId="5C1539D2" w14:textId="6B2813AA" w:rsidR="004746F1" w:rsidRPr="00950D73" w:rsidRDefault="004746F1" w:rsidP="004746F1">
      <w:pPr>
        <w:keepNext/>
        <w:keepLines/>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lastRenderedPageBreak/>
        <w:t>3.2.2.3.6 (nouveau</w:t>
      </w:r>
      <w:r w:rsidR="00C22ADB" w:rsidRPr="00950D73">
        <w:rPr>
          <w:rFonts w:asciiTheme="majorBidi" w:hAnsiTheme="majorBidi" w:cstheme="majorBidi"/>
        </w:rPr>
        <w:t xml:space="preserve">, ancien </w:t>
      </w:r>
      <w:r w:rsidR="00C10359" w:rsidRPr="00950D73">
        <w:rPr>
          <w:rFonts w:asciiTheme="majorBidi" w:hAnsiTheme="majorBidi" w:cstheme="majorBidi"/>
        </w:rPr>
        <w:t>3.2.2.3.4.3</w:t>
      </w:r>
      <w:r w:rsidRPr="00950D73">
        <w:rPr>
          <w:rFonts w:asciiTheme="majorBidi" w:hAnsiTheme="majorBidi" w:cstheme="majorBidi"/>
        </w:rPr>
        <w:t>)</w:t>
      </w:r>
      <w:r w:rsidRPr="00950D73">
        <w:rPr>
          <w:rFonts w:asciiTheme="majorBidi" w:hAnsiTheme="majorBidi" w:cstheme="majorBidi"/>
        </w:rPr>
        <w:tab/>
      </w:r>
      <w:r w:rsidR="00C10359" w:rsidRPr="00950D73">
        <w:rPr>
          <w:rFonts w:asciiTheme="majorBidi" w:hAnsiTheme="majorBidi" w:cstheme="majorBidi"/>
        </w:rPr>
        <w:t>Placer le paragraph</w:t>
      </w:r>
      <w:r w:rsidR="005157ED" w:rsidRPr="00950D73">
        <w:rPr>
          <w:rFonts w:asciiTheme="majorBidi" w:hAnsiTheme="majorBidi" w:cstheme="majorBidi"/>
        </w:rPr>
        <w:t>e</w:t>
      </w:r>
      <w:r w:rsidR="00EC1060" w:rsidRPr="00950D73">
        <w:rPr>
          <w:rFonts w:asciiTheme="majorBidi" w:hAnsiTheme="majorBidi" w:cstheme="majorBidi"/>
        </w:rPr>
        <w:t xml:space="preserve"> actuel</w:t>
      </w:r>
      <w:r w:rsidR="005157ED" w:rsidRPr="00950D73">
        <w:rPr>
          <w:rFonts w:asciiTheme="majorBidi" w:hAnsiTheme="majorBidi" w:cstheme="majorBidi"/>
        </w:rPr>
        <w:t xml:space="preserve"> 3.2.2.3.4.3</w:t>
      </w:r>
      <w:r w:rsidR="003C0440" w:rsidRPr="00950D73">
        <w:rPr>
          <w:rFonts w:asciiTheme="majorBidi" w:hAnsiTheme="majorBidi" w:cstheme="majorBidi"/>
        </w:rPr>
        <w:t xml:space="preserve"> </w:t>
      </w:r>
      <w:r w:rsidR="0050110F" w:rsidRPr="00950D73">
        <w:rPr>
          <w:rFonts w:asciiTheme="majorBidi" w:hAnsiTheme="majorBidi" w:cstheme="majorBidi"/>
        </w:rPr>
        <w:t>(</w:t>
      </w:r>
      <w:r w:rsidR="00EA36C0" w:rsidRPr="00950D73">
        <w:rPr>
          <w:rFonts w:asciiTheme="majorBidi" w:hAnsiTheme="majorBidi" w:cstheme="majorBidi"/>
        </w:rPr>
        <w:t>« Lorsque les autorités compétentes …</w:t>
      </w:r>
      <w:r w:rsidR="001D4376" w:rsidRPr="00950D73">
        <w:rPr>
          <w:rFonts w:asciiTheme="majorBidi" w:hAnsiTheme="majorBidi" w:cstheme="majorBidi"/>
        </w:rPr>
        <w:t xml:space="preserve"> de l’irritation cutanée »</w:t>
      </w:r>
      <w:r w:rsidR="0050110F" w:rsidRPr="00950D73">
        <w:rPr>
          <w:rFonts w:asciiTheme="majorBidi" w:hAnsiTheme="majorBidi" w:cstheme="majorBidi"/>
        </w:rPr>
        <w:t>)</w:t>
      </w:r>
      <w:r w:rsidR="001D4376" w:rsidRPr="00950D73">
        <w:rPr>
          <w:rFonts w:asciiTheme="majorBidi" w:hAnsiTheme="majorBidi" w:cstheme="majorBidi"/>
        </w:rPr>
        <w:t xml:space="preserve"> </w:t>
      </w:r>
      <w:r w:rsidR="003C0440" w:rsidRPr="00950D73">
        <w:rPr>
          <w:rFonts w:asciiTheme="majorBidi" w:hAnsiTheme="majorBidi" w:cstheme="majorBidi"/>
        </w:rPr>
        <w:t xml:space="preserve">sous un nouveau titre </w:t>
      </w:r>
      <w:r w:rsidR="00406854" w:rsidRPr="00950D73">
        <w:rPr>
          <w:rFonts w:asciiTheme="majorBidi" w:hAnsiTheme="majorBidi" w:cstheme="majorBidi"/>
        </w:rPr>
        <w:t xml:space="preserve">3.2.2.3.6 </w:t>
      </w:r>
      <w:r w:rsidR="003C0440" w:rsidRPr="00950D73">
        <w:rPr>
          <w:rFonts w:asciiTheme="majorBidi" w:hAnsiTheme="majorBidi" w:cstheme="majorBidi"/>
        </w:rPr>
        <w:t xml:space="preserve">et modifier </w:t>
      </w:r>
      <w:r w:rsidR="00EC1060" w:rsidRPr="00950D73">
        <w:rPr>
          <w:rFonts w:asciiTheme="majorBidi" w:hAnsiTheme="majorBidi" w:cstheme="majorBidi"/>
        </w:rPr>
        <w:t xml:space="preserve">pour lire </w:t>
      </w:r>
      <w:r w:rsidR="003C0440" w:rsidRPr="00950D73">
        <w:rPr>
          <w:rFonts w:asciiTheme="majorBidi" w:hAnsiTheme="majorBidi" w:cstheme="majorBidi"/>
        </w:rPr>
        <w:t>comme suit </w:t>
      </w:r>
      <w:r w:rsidRPr="00950D73">
        <w:rPr>
          <w:rFonts w:asciiTheme="majorBidi" w:hAnsiTheme="majorBidi" w:cstheme="majorBidi"/>
        </w:rPr>
        <w:t>:</w:t>
      </w:r>
    </w:p>
    <w:p w14:paraId="35581D3C" w14:textId="77777777"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tab/>
        <w:t>« 3.2.2.3.6</w:t>
      </w:r>
      <w:r w:rsidRPr="00950D73">
        <w:rPr>
          <w:rFonts w:asciiTheme="majorBidi" w:hAnsiTheme="majorBidi" w:cstheme="majorBidi"/>
        </w:rPr>
        <w:tab/>
      </w:r>
      <w:r w:rsidRPr="00950D73">
        <w:rPr>
          <w:rFonts w:asciiTheme="majorBidi" w:hAnsiTheme="majorBidi" w:cstheme="majorBidi"/>
          <w:i/>
          <w:iCs/>
        </w:rPr>
        <w:t>Absence de classement au titre des effets cutanés</w:t>
      </w:r>
      <w:r w:rsidRPr="00950D73">
        <w:rPr>
          <w:rFonts w:asciiTheme="majorBidi" w:hAnsiTheme="majorBidi" w:cstheme="majorBidi"/>
        </w:rPr>
        <w:t> ».</w:t>
      </w:r>
    </w:p>
    <w:p w14:paraId="3EF88888" w14:textId="5B363264" w:rsidR="004746F1" w:rsidRPr="00950D73" w:rsidRDefault="004746F1" w:rsidP="004746F1">
      <w:pPr>
        <w:tabs>
          <w:tab w:val="left" w:pos="2268"/>
        </w:tabs>
        <w:spacing w:after="120"/>
        <w:ind w:left="2268" w:right="1134" w:hanging="1134"/>
        <w:jc w:val="both"/>
        <w:rPr>
          <w:rFonts w:asciiTheme="majorBidi" w:hAnsiTheme="majorBidi" w:cstheme="majorBidi"/>
        </w:rPr>
      </w:pPr>
      <w:r w:rsidRPr="00950D73">
        <w:rPr>
          <w:rFonts w:asciiTheme="majorBidi" w:hAnsiTheme="majorBidi" w:cstheme="majorBidi"/>
        </w:rPr>
        <w:tab/>
        <w:t>« 3.2.2.3.6.1</w:t>
      </w:r>
      <w:r w:rsidRPr="00950D73">
        <w:rPr>
          <w:rFonts w:asciiTheme="majorBidi" w:hAnsiTheme="majorBidi" w:cstheme="majorBidi"/>
        </w:rPr>
        <w:tab/>
        <w:t xml:space="preserve">Lorsque les autorités compétentes n’adoptent pas la catégorie 3, un résultat négatif obtenu à </w:t>
      </w:r>
      <w:r w:rsidR="00AC20B5" w:rsidRPr="00950D73">
        <w:rPr>
          <w:rFonts w:asciiTheme="majorBidi" w:hAnsiTheme="majorBidi" w:cstheme="majorBidi"/>
        </w:rPr>
        <w:t xml:space="preserve">l’issue </w:t>
      </w:r>
      <w:r w:rsidRPr="00950D73">
        <w:rPr>
          <w:rFonts w:asciiTheme="majorBidi" w:hAnsiTheme="majorBidi" w:cstheme="majorBidi"/>
        </w:rPr>
        <w:t>d’une méthode d’essai in vitro</w:t>
      </w:r>
      <w:r w:rsidRPr="00950D73">
        <w:rPr>
          <w:rFonts w:asciiTheme="majorBidi" w:hAnsiTheme="majorBidi" w:cstheme="majorBidi"/>
          <w:i/>
          <w:iCs/>
        </w:rPr>
        <w:t>/ex vivo</w:t>
      </w:r>
      <w:r w:rsidRPr="00950D73">
        <w:rPr>
          <w:rFonts w:asciiTheme="majorBidi" w:hAnsiTheme="majorBidi" w:cstheme="majorBidi"/>
        </w:rPr>
        <w:t xml:space="preserve"> pour l’irritation cutanée qui est validée selon des procédures internationales, par exemple la ligne directrice 439 de l’OCDE, peut être utilisé pour conclure à l’absence de classement au titre de l’irritation cutanée. Si les autorités compétentes adoptent la catégorie 3, des informations complémentaires sont nécessaires pour établir une distinction entre la catégorie 3 et l’absence de classement. ».</w:t>
      </w:r>
    </w:p>
    <w:p w14:paraId="5F9A930F" w14:textId="1C15BF1A" w:rsidR="004746F1" w:rsidRPr="00950D73" w:rsidRDefault="004746F1" w:rsidP="004F242F">
      <w:pPr>
        <w:spacing w:after="120"/>
        <w:ind w:left="2268" w:right="1134" w:hanging="1134"/>
        <w:jc w:val="both"/>
        <w:rPr>
          <w:rFonts w:asciiTheme="majorBidi" w:hAnsiTheme="majorBidi" w:cstheme="majorBidi"/>
        </w:rPr>
      </w:pPr>
      <w:r w:rsidRPr="00950D73">
        <w:rPr>
          <w:rFonts w:asciiTheme="majorBidi" w:hAnsiTheme="majorBidi" w:cstheme="majorBidi"/>
        </w:rPr>
        <w:t>3.2.2.4</w:t>
      </w:r>
      <w:r w:rsidRPr="00950D73">
        <w:rPr>
          <w:rFonts w:asciiTheme="majorBidi" w:hAnsiTheme="majorBidi" w:cstheme="majorBidi"/>
        </w:rPr>
        <w:tab/>
      </w:r>
      <w:r w:rsidR="004F242F" w:rsidRPr="00950D73">
        <w:rPr>
          <w:rFonts w:asciiTheme="majorBidi" w:hAnsiTheme="majorBidi" w:cstheme="majorBidi"/>
        </w:rPr>
        <w:t>Ajouter « </w:t>
      </w:r>
      <w:r w:rsidR="004F242F" w:rsidRPr="00950D73">
        <w:rPr>
          <w:rFonts w:asciiTheme="majorBidi" w:hAnsiTheme="majorBidi" w:cstheme="majorBidi"/>
          <w:b/>
          <w:bCs/>
          <w:i/>
          <w:iCs/>
        </w:rPr>
        <w:t>(étape 3 dans la figure 3.2.1)</w:t>
      </w:r>
      <w:r w:rsidR="004F242F" w:rsidRPr="00950D73">
        <w:rPr>
          <w:rFonts w:asciiTheme="majorBidi" w:hAnsiTheme="majorBidi" w:cstheme="majorBidi"/>
          <w:b/>
          <w:bCs/>
        </w:rPr>
        <w:t> </w:t>
      </w:r>
      <w:r w:rsidR="004F242F" w:rsidRPr="00950D73">
        <w:rPr>
          <w:rFonts w:asciiTheme="majorBidi" w:hAnsiTheme="majorBidi" w:cstheme="majorBidi"/>
        </w:rPr>
        <w:t>»</w:t>
      </w:r>
      <w:r w:rsidR="004F242F" w:rsidRPr="00950D73">
        <w:rPr>
          <w:rFonts w:asciiTheme="majorBidi" w:hAnsiTheme="majorBidi" w:cstheme="majorBidi"/>
          <w:b/>
          <w:bCs/>
        </w:rPr>
        <w:t xml:space="preserve"> </w:t>
      </w:r>
      <w:r w:rsidR="004F242F" w:rsidRPr="00950D73">
        <w:rPr>
          <w:rFonts w:asciiTheme="majorBidi" w:hAnsiTheme="majorBidi" w:cstheme="majorBidi"/>
        </w:rPr>
        <w:t>à la fin du titre</w:t>
      </w:r>
      <w:r w:rsidR="00704E52" w:rsidRPr="00950D73">
        <w:rPr>
          <w:rFonts w:asciiTheme="majorBidi" w:hAnsiTheme="majorBidi" w:cstheme="majorBidi"/>
        </w:rPr>
        <w:t>.</w:t>
      </w:r>
    </w:p>
    <w:p w14:paraId="0C5BE3F5" w14:textId="77777777" w:rsidR="004746F1" w:rsidRPr="00950D73" w:rsidRDefault="004746F1" w:rsidP="004746F1">
      <w:pPr>
        <w:spacing w:after="120"/>
        <w:ind w:left="2268" w:right="1134" w:hanging="1134"/>
        <w:jc w:val="both"/>
        <w:rPr>
          <w:rFonts w:asciiTheme="majorBidi" w:hAnsiTheme="majorBidi" w:cstheme="majorBidi"/>
          <w:i/>
          <w:iCs/>
        </w:rPr>
      </w:pPr>
      <w:r w:rsidRPr="00950D73">
        <w:rPr>
          <w:rFonts w:asciiTheme="majorBidi" w:hAnsiTheme="majorBidi" w:cstheme="majorBidi"/>
        </w:rPr>
        <w:t>3.2.2.5</w:t>
      </w:r>
      <w:r w:rsidRPr="00950D73">
        <w:rPr>
          <w:rFonts w:asciiTheme="majorBidi" w:hAnsiTheme="majorBidi" w:cstheme="majorBidi"/>
        </w:rPr>
        <w:tab/>
      </w:r>
      <w:r w:rsidRPr="00950D73">
        <w:rPr>
          <w:rFonts w:asciiTheme="majorBidi" w:hAnsiTheme="majorBidi" w:cstheme="majorBidi"/>
        </w:rPr>
        <w:tab/>
        <w:t>Modifier pour lire comme suit :</w:t>
      </w:r>
    </w:p>
    <w:p w14:paraId="3C44F809" w14:textId="5C7B09D1" w:rsidR="004746F1" w:rsidRPr="00950D73" w:rsidRDefault="004746F1" w:rsidP="004746F1">
      <w:pPr>
        <w:spacing w:after="120"/>
        <w:ind w:left="2268" w:right="1134"/>
        <w:jc w:val="both"/>
        <w:rPr>
          <w:rFonts w:asciiTheme="majorBidi" w:hAnsiTheme="majorBidi" w:cstheme="majorBidi"/>
          <w:b/>
          <w:bCs/>
          <w:i/>
          <w:iCs/>
        </w:rPr>
      </w:pPr>
      <w:r w:rsidRPr="00950D73">
        <w:rPr>
          <w:rFonts w:asciiTheme="majorBidi" w:hAnsiTheme="majorBidi" w:cstheme="majorBidi"/>
        </w:rPr>
        <w:t>« </w:t>
      </w:r>
      <w:r w:rsidRPr="00950D73">
        <w:rPr>
          <w:rFonts w:asciiTheme="majorBidi" w:hAnsiTheme="majorBidi" w:cstheme="majorBidi"/>
          <w:b/>
          <w:bCs/>
        </w:rPr>
        <w:t>3.2.2.5</w:t>
      </w:r>
      <w:r w:rsidRPr="00950D73">
        <w:rPr>
          <w:rFonts w:asciiTheme="majorBidi" w:hAnsiTheme="majorBidi" w:cstheme="majorBidi"/>
        </w:rPr>
        <w:tab/>
      </w:r>
      <w:r w:rsidRPr="00950D73">
        <w:rPr>
          <w:rFonts w:asciiTheme="majorBidi" w:hAnsiTheme="majorBidi" w:cstheme="majorBidi"/>
          <w:b/>
          <w:bCs/>
          <w:i/>
          <w:iCs/>
        </w:rPr>
        <w:t>Classification fondée sur un pH extrême (≤</w:t>
      </w:r>
      <w:r w:rsidR="009B3DAA" w:rsidRPr="00950D73">
        <w:rPr>
          <w:rFonts w:asciiTheme="majorBidi" w:hAnsiTheme="majorBidi" w:cstheme="majorBidi"/>
          <w:b/>
          <w:bCs/>
          <w:i/>
          <w:iCs/>
        </w:rPr>
        <w:t> </w:t>
      </w:r>
      <w:r w:rsidRPr="00950D73">
        <w:rPr>
          <w:rFonts w:asciiTheme="majorBidi" w:hAnsiTheme="majorBidi" w:cstheme="majorBidi"/>
          <w:b/>
          <w:bCs/>
          <w:i/>
          <w:iCs/>
        </w:rPr>
        <w:t>2 ou ≥</w:t>
      </w:r>
      <w:r w:rsidR="00650795" w:rsidRPr="00950D73">
        <w:rPr>
          <w:rFonts w:asciiTheme="majorBidi" w:hAnsiTheme="majorBidi" w:cstheme="majorBidi"/>
          <w:b/>
          <w:bCs/>
          <w:i/>
          <w:iCs/>
        </w:rPr>
        <w:t> </w:t>
      </w:r>
      <w:r w:rsidRPr="00950D73">
        <w:rPr>
          <w:rFonts w:asciiTheme="majorBidi" w:hAnsiTheme="majorBidi" w:cstheme="majorBidi"/>
          <w:b/>
          <w:bCs/>
          <w:i/>
          <w:iCs/>
        </w:rPr>
        <w:t>11,5) et une réserve acide ou alcaline (étape 4 dans la figure 3.2.1)</w:t>
      </w:r>
    </w:p>
    <w:p w14:paraId="3CEC366E" w14:textId="77777777" w:rsidR="004746F1" w:rsidRPr="00950D73" w:rsidRDefault="004746F1" w:rsidP="004746F1">
      <w:pPr>
        <w:tabs>
          <w:tab w:val="left" w:pos="3402"/>
        </w:tabs>
        <w:spacing w:after="120"/>
        <w:ind w:left="2268" w:right="1134"/>
        <w:jc w:val="both"/>
        <w:rPr>
          <w:rFonts w:asciiTheme="majorBidi" w:hAnsiTheme="majorBidi" w:cstheme="majorBidi"/>
        </w:rPr>
      </w:pPr>
      <w:r w:rsidRPr="00950D73">
        <w:rPr>
          <w:rFonts w:asciiTheme="majorBidi" w:hAnsiTheme="majorBidi" w:cstheme="majorBidi"/>
        </w:rPr>
        <w:tab/>
        <w:t xml:space="preserve">En général, on peut s’attendre à ce que les substances ayant un pH extrême (≤ 2 ou ≥ 11,5) provoquent des effets cutanés importants, surtout lorsque ce pH est associé à une réserve acide/alcaline. Une substance dont le pH est ≤ 2 ou ≥ 11,5 est donc considérée comme corrosive pour la peau (catégorie 1) à cette étape si elle présente une réserve acide/alcaline significative ou s’il n’existe pas de données concernant la réserve acide/alcaline. Toutefois, si l’examen de la réserve acide/alcaline laisse penser que la substance pourrait ne pas être corrosive en dépit d’un pH extrême, le résultat est jugé non concluant à cette étape (voir la figure 3.2.1). Une valeur de pH &gt; 2 ou &lt; 11,5 est considérée comme non concluante et ne peut être utilisée </w:t>
      </w:r>
      <w:r w:rsidRPr="00950D73">
        <w:rPr>
          <w:rFonts w:asciiTheme="majorBidi" w:hAnsiTheme="majorBidi" w:cstheme="majorBidi"/>
        </w:rPr>
        <w:lastRenderedPageBreak/>
        <w:t>aux fins de classement. La réserve acide/alcaline et le pH peuvent être déterminés à l’aide de différentes méthodes, notamment celles décrites dans la ligne directrice 122 de l’OCDE et dans Young et al. (1988), en tenant compte des différences qui existent entre ces méthodes (voir 3.2.5.3.6). Une autorité compétente peut décider quels critères appliquer pour déterminer si une réserve acide/alcaline est significative. ».</w:t>
      </w:r>
    </w:p>
    <w:p w14:paraId="4CF0E68A" w14:textId="0F1149C0"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3.2.2.6</w:t>
      </w:r>
      <w:r w:rsidRPr="00950D73">
        <w:rPr>
          <w:rFonts w:asciiTheme="majorBidi" w:hAnsiTheme="majorBidi" w:cstheme="majorBidi"/>
        </w:rPr>
        <w:tab/>
        <w:t>Ajouter « </w:t>
      </w:r>
      <w:r w:rsidRPr="00950D73">
        <w:rPr>
          <w:rFonts w:asciiTheme="majorBidi" w:hAnsiTheme="majorBidi" w:cstheme="majorBidi"/>
          <w:b/>
          <w:bCs/>
          <w:i/>
          <w:iCs/>
        </w:rPr>
        <w:t>(étape 5 dans la figure 3.2.1)</w:t>
      </w:r>
      <w:r w:rsidRPr="00950D73">
        <w:rPr>
          <w:rFonts w:asciiTheme="majorBidi" w:hAnsiTheme="majorBidi" w:cstheme="majorBidi"/>
        </w:rPr>
        <w:t> » à la fin du titre.</w:t>
      </w:r>
    </w:p>
    <w:p w14:paraId="50C90809" w14:textId="22111F30" w:rsidR="004746F1" w:rsidRPr="00950D73" w:rsidRDefault="004746F1" w:rsidP="004746F1">
      <w:pPr>
        <w:spacing w:after="120"/>
        <w:ind w:left="2268" w:right="1134" w:hanging="1134"/>
        <w:jc w:val="both"/>
        <w:rPr>
          <w:rFonts w:asciiTheme="majorBidi" w:hAnsiTheme="majorBidi" w:cstheme="majorBidi"/>
          <w:i/>
          <w:iCs/>
        </w:rPr>
      </w:pPr>
      <w:r w:rsidRPr="00950D73">
        <w:rPr>
          <w:rFonts w:asciiTheme="majorBidi" w:hAnsiTheme="majorBidi" w:cstheme="majorBidi"/>
        </w:rPr>
        <w:t>3.2.2.6.1</w:t>
      </w:r>
      <w:r w:rsidRPr="00950D73">
        <w:rPr>
          <w:rFonts w:asciiTheme="majorBidi" w:hAnsiTheme="majorBidi" w:cstheme="majorBidi"/>
        </w:rPr>
        <w:tab/>
      </w:r>
      <w:r w:rsidR="0092270A" w:rsidRPr="00950D73">
        <w:rPr>
          <w:rFonts w:asciiTheme="majorBidi" w:hAnsiTheme="majorBidi" w:cstheme="majorBidi"/>
        </w:rPr>
        <w:t xml:space="preserve">Au début de la deuxième phrase, remplacer « Ces méthodes comprennent » par « Les méthodes non fondées sur des essais </w:t>
      </w:r>
      <w:r w:rsidR="001271AB" w:rsidRPr="00950D73">
        <w:rPr>
          <w:rFonts w:asciiTheme="majorBidi" w:hAnsiTheme="majorBidi" w:cstheme="majorBidi"/>
        </w:rPr>
        <w:t>comprennent »</w:t>
      </w:r>
      <w:r w:rsidRPr="00950D73">
        <w:rPr>
          <w:rFonts w:asciiTheme="majorBidi" w:hAnsiTheme="majorBidi" w:cstheme="majorBidi"/>
        </w:rPr>
        <w:t xml:space="preserve"> </w:t>
      </w:r>
      <w:r w:rsidR="001271AB" w:rsidRPr="00950D73">
        <w:rPr>
          <w:rFonts w:asciiTheme="majorBidi" w:hAnsiTheme="majorBidi" w:cstheme="majorBidi"/>
          <w:i/>
          <w:iCs/>
        </w:rPr>
        <w:t>(d’autres mod</w:t>
      </w:r>
      <w:r w:rsidR="00936527" w:rsidRPr="00950D73">
        <w:rPr>
          <w:rFonts w:asciiTheme="majorBidi" w:hAnsiTheme="majorBidi" w:cstheme="majorBidi"/>
          <w:i/>
          <w:iCs/>
        </w:rPr>
        <w:t>ifications sans objet en français)</w:t>
      </w:r>
      <w:r w:rsidR="00DA0828" w:rsidRPr="00950D73">
        <w:rPr>
          <w:rFonts w:asciiTheme="majorBidi" w:hAnsiTheme="majorBidi" w:cstheme="majorBidi"/>
          <w:i/>
          <w:iCs/>
        </w:rPr>
        <w:t>.</w:t>
      </w:r>
    </w:p>
    <w:p w14:paraId="4455009C" w14:textId="22CD93FE" w:rsidR="0053682A" w:rsidRPr="00950D73" w:rsidRDefault="0053682A" w:rsidP="0053682A">
      <w:pPr>
        <w:pStyle w:val="SingleTxtG"/>
        <w:rPr>
          <w:rFonts w:asciiTheme="majorBidi" w:hAnsiTheme="majorBidi" w:cstheme="majorBidi"/>
          <w:lang w:val="fr-FR"/>
        </w:rPr>
      </w:pPr>
      <w:r w:rsidRPr="00950D73">
        <w:rPr>
          <w:rFonts w:asciiTheme="majorBidi" w:hAnsiTheme="majorBidi" w:cstheme="majorBidi"/>
          <w:lang w:val="fr-FR"/>
        </w:rPr>
        <w:t>3.2.2.6</w:t>
      </w:r>
      <w:r w:rsidR="00632986" w:rsidRPr="00950D73">
        <w:rPr>
          <w:rFonts w:asciiTheme="majorBidi" w:hAnsiTheme="majorBidi" w:cstheme="majorBidi"/>
          <w:lang w:val="fr-FR"/>
        </w:rPr>
        <w:t>.4 (nouveau)</w:t>
      </w:r>
      <w:r w:rsidRPr="00950D73">
        <w:rPr>
          <w:rFonts w:asciiTheme="majorBidi" w:hAnsiTheme="majorBidi" w:cstheme="majorBidi"/>
          <w:lang w:val="fr-FR"/>
        </w:rPr>
        <w:tab/>
      </w:r>
      <w:r w:rsidR="00632986" w:rsidRPr="00950D73">
        <w:rPr>
          <w:rFonts w:asciiTheme="majorBidi" w:hAnsiTheme="majorBidi" w:cstheme="majorBidi"/>
          <w:lang w:val="fr-FR"/>
        </w:rPr>
        <w:t>A</w:t>
      </w:r>
      <w:r w:rsidRPr="00950D73">
        <w:rPr>
          <w:rFonts w:asciiTheme="majorBidi" w:hAnsiTheme="majorBidi" w:cstheme="majorBidi"/>
          <w:lang w:val="fr-FR"/>
        </w:rPr>
        <w:t xml:space="preserve">jouter le nouveau paragraphe suivant: </w:t>
      </w:r>
    </w:p>
    <w:p w14:paraId="0C053D83" w14:textId="77777777" w:rsidR="0053682A" w:rsidRPr="00950D73" w:rsidRDefault="0053682A" w:rsidP="00632986">
      <w:pPr>
        <w:pStyle w:val="SingleTxtG"/>
        <w:ind w:left="2268"/>
        <w:rPr>
          <w:rFonts w:asciiTheme="majorBidi" w:hAnsiTheme="majorBidi" w:cstheme="majorBidi"/>
          <w:sz w:val="24"/>
          <w:szCs w:val="24"/>
          <w:lang w:val="fr-FR"/>
        </w:rPr>
      </w:pPr>
      <w:r w:rsidRPr="00950D73">
        <w:rPr>
          <w:rFonts w:asciiTheme="majorBidi" w:hAnsiTheme="majorBidi" w:cstheme="majorBidi"/>
          <w:lang w:val="fr-FR"/>
        </w:rPr>
        <w:t>« 3.2.2.6.4</w:t>
      </w:r>
      <w:r w:rsidRPr="00950D73">
        <w:rPr>
          <w:rFonts w:asciiTheme="majorBidi" w:hAnsiTheme="majorBidi" w:cstheme="majorBidi"/>
          <w:lang w:val="fr-FR"/>
        </w:rPr>
        <w:tab/>
        <w:t>Pour les conclusions de non-classement reposant sur les méthodes de lecture croisée ou (Q)SAR, le bien-fondé et la robustesse du raisonnement scientifique et des données justificatives doivent être bien étayés, ce qui nécessite normalement l’existence de plusieurs substances négatives présentant une bonne similarité structurelle et physique (en termes de toxicocinétique) avec la substance à classer, ainsi qu’une absence manifeste de substances positives présentant une bonne similarité structurelle et physique avec la substance à classer. ».</w:t>
      </w:r>
    </w:p>
    <w:p w14:paraId="4B461B2F" w14:textId="77777777"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3.2.2.7 (nouveau)</w:t>
      </w:r>
      <w:r w:rsidRPr="00950D73">
        <w:rPr>
          <w:rFonts w:asciiTheme="majorBidi" w:hAnsiTheme="majorBidi" w:cstheme="majorBidi"/>
        </w:rPr>
        <w:tab/>
        <w:t>Ajouter une nouvelle section 3.2.2.7, libellée comme suit :</w:t>
      </w:r>
    </w:p>
    <w:p w14:paraId="5B8DB2B7" w14:textId="77777777" w:rsidR="004746F1" w:rsidRPr="00950D73" w:rsidRDefault="004746F1" w:rsidP="004746F1">
      <w:pPr>
        <w:spacing w:after="120"/>
        <w:ind w:left="2268" w:right="1134"/>
        <w:jc w:val="both"/>
        <w:rPr>
          <w:rFonts w:asciiTheme="majorBidi" w:hAnsiTheme="majorBidi" w:cstheme="majorBidi"/>
          <w:i/>
          <w:iCs/>
        </w:rPr>
      </w:pPr>
      <w:r w:rsidRPr="00950D73">
        <w:rPr>
          <w:rFonts w:asciiTheme="majorBidi" w:hAnsiTheme="majorBidi" w:cstheme="majorBidi"/>
        </w:rPr>
        <w:t>« </w:t>
      </w:r>
      <w:r w:rsidRPr="00950D73">
        <w:rPr>
          <w:rFonts w:asciiTheme="majorBidi" w:hAnsiTheme="majorBidi" w:cstheme="majorBidi"/>
          <w:b/>
          <w:bCs/>
        </w:rPr>
        <w:t>3.2.2.7</w:t>
      </w:r>
      <w:r w:rsidRPr="00950D73">
        <w:rPr>
          <w:rFonts w:asciiTheme="majorBidi" w:hAnsiTheme="majorBidi" w:cstheme="majorBidi"/>
        </w:rPr>
        <w:tab/>
      </w:r>
      <w:r w:rsidRPr="00950D73">
        <w:rPr>
          <w:rFonts w:asciiTheme="majorBidi" w:hAnsiTheme="majorBidi" w:cstheme="majorBidi"/>
          <w:b/>
          <w:bCs/>
          <w:i/>
          <w:iCs/>
        </w:rPr>
        <w:t>Classification fondée sur une évaluation globale de la force probante des données (étape 6 dans la figure 3.2.1)</w:t>
      </w:r>
    </w:p>
    <w:p w14:paraId="660DEBBF" w14:textId="77DA6C97"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3.2.2.7.1</w:t>
      </w:r>
      <w:r w:rsidRPr="00950D73">
        <w:rPr>
          <w:rFonts w:asciiTheme="majorBidi" w:hAnsiTheme="majorBidi" w:cstheme="majorBidi"/>
        </w:rPr>
        <w:tab/>
        <w:t>Une évaluation globale de la force probante des données</w:t>
      </w:r>
      <w:r w:rsidR="004D2BB6" w:rsidRPr="00950D73">
        <w:rPr>
          <w:rFonts w:asciiTheme="majorBidi" w:hAnsiTheme="majorBidi" w:cstheme="majorBidi"/>
        </w:rPr>
        <w:t>, effectuée sur la base du jugement d’experts, </w:t>
      </w:r>
      <w:r w:rsidRPr="00950D73">
        <w:rPr>
          <w:rFonts w:asciiTheme="majorBidi" w:hAnsiTheme="majorBidi" w:cstheme="majorBidi"/>
        </w:rPr>
        <w:t xml:space="preserve"> est indiquée lorsqu’aucune des étapes précédentes n’a abouti à une conclusion définitive concernant la </w:t>
      </w:r>
      <w:r w:rsidRPr="00950D73">
        <w:rPr>
          <w:rFonts w:asciiTheme="majorBidi" w:hAnsiTheme="majorBidi" w:cstheme="majorBidi"/>
        </w:rPr>
        <w:lastRenderedPageBreak/>
        <w:t>classification. Dans certains cas, lorsque la décision relative à la classification a été reportée jusqu’à l’étape de l’évaluation globale de la force probante des données, mais qu’aucune autre donnée n’est disponible, il peut tout de même être possible de classer la substance.</w:t>
      </w:r>
    </w:p>
    <w:p w14:paraId="3F19F35A" w14:textId="57525F0B"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3.2.2.7.2</w:t>
      </w:r>
      <w:r w:rsidRPr="00950D73">
        <w:rPr>
          <w:rFonts w:asciiTheme="majorBidi" w:hAnsiTheme="majorBidi" w:cstheme="majorBidi"/>
        </w:rPr>
        <w:tab/>
        <w:t xml:space="preserve">Une substance ayant un pH extrême (≤ 2 ou ≥ 11,5) et une réserve acide/alcaline négligeable (résultat jugé non concluant à l’étape 4 ; voir 3.2.2.5) et pour laquelle il n’existe pas d’autre information devrait être classée dans la catégorie 1 </w:t>
      </w:r>
      <w:r w:rsidR="00311C6C" w:rsidRPr="00950D73">
        <w:rPr>
          <w:rFonts w:asciiTheme="majorBidi" w:hAnsiTheme="majorBidi" w:cstheme="majorBidi"/>
        </w:rPr>
        <w:t xml:space="preserve">de </w:t>
      </w:r>
      <w:r w:rsidRPr="00950D73">
        <w:rPr>
          <w:rFonts w:asciiTheme="majorBidi" w:hAnsiTheme="majorBidi" w:cstheme="majorBidi"/>
        </w:rPr>
        <w:t xml:space="preserve">corrosion cutanée à cette étape. Si des données non concluantes sont également disponibles à d’autres étapes, mais que l’évaluation globale de la force probante des données demeure non concluante, le résultat relatif au pH extrême (≤ 2 ou ≥ 11,5) doit l’emporter et la substance être classée dans la catégorie </w:t>
      </w:r>
      <w:r w:rsidR="00915055" w:rsidRPr="00950D73">
        <w:rPr>
          <w:rFonts w:asciiTheme="majorBidi" w:hAnsiTheme="majorBidi" w:cstheme="majorBidi"/>
        </w:rPr>
        <w:t xml:space="preserve">1 </w:t>
      </w:r>
      <w:r w:rsidRPr="00950D73">
        <w:rPr>
          <w:rFonts w:asciiTheme="majorBidi" w:hAnsiTheme="majorBidi" w:cstheme="majorBidi"/>
        </w:rPr>
        <w:t>de corrosion cutanée à cette étape, indépendamment de la réserve acide/alcaline. Dans le cas des mélanges, une approche différente, détaillée au 3.2.3.1.3, est appliquée. ».</w:t>
      </w:r>
    </w:p>
    <w:p w14:paraId="61998BED" w14:textId="41BE11E4" w:rsidR="004746F1" w:rsidRPr="00950D73" w:rsidRDefault="00DC1C0A" w:rsidP="004746F1">
      <w:pPr>
        <w:spacing w:after="120"/>
        <w:ind w:left="1134" w:right="1134"/>
        <w:jc w:val="both"/>
        <w:rPr>
          <w:rFonts w:asciiTheme="majorBidi" w:hAnsiTheme="majorBidi" w:cstheme="majorBidi"/>
        </w:rPr>
      </w:pPr>
      <w:r w:rsidRPr="00950D73">
        <w:rPr>
          <w:rFonts w:asciiTheme="majorBidi" w:hAnsiTheme="majorBidi" w:cstheme="majorBidi"/>
        </w:rPr>
        <w:t xml:space="preserve">Les </w:t>
      </w:r>
      <w:r w:rsidR="004746F1" w:rsidRPr="00950D73">
        <w:rPr>
          <w:rFonts w:asciiTheme="majorBidi" w:hAnsiTheme="majorBidi" w:cstheme="majorBidi"/>
        </w:rPr>
        <w:t>paragraphe</w:t>
      </w:r>
      <w:r w:rsidRPr="00950D73">
        <w:rPr>
          <w:rFonts w:asciiTheme="majorBidi" w:hAnsiTheme="majorBidi" w:cstheme="majorBidi"/>
        </w:rPr>
        <w:t>s</w:t>
      </w:r>
      <w:r w:rsidR="004746F1" w:rsidRPr="00950D73">
        <w:rPr>
          <w:rFonts w:asciiTheme="majorBidi" w:hAnsiTheme="majorBidi" w:cstheme="majorBidi"/>
        </w:rPr>
        <w:t xml:space="preserve"> 3.2.2.7 </w:t>
      </w:r>
      <w:r w:rsidRPr="00950D73">
        <w:rPr>
          <w:rFonts w:asciiTheme="majorBidi" w:hAnsiTheme="majorBidi" w:cstheme="majorBidi"/>
        </w:rPr>
        <w:t xml:space="preserve">à 3.2.2.7.3 existantes </w:t>
      </w:r>
      <w:r w:rsidR="004746F1" w:rsidRPr="00950D73">
        <w:rPr>
          <w:rFonts w:asciiTheme="majorBidi" w:hAnsiTheme="majorBidi" w:cstheme="majorBidi"/>
        </w:rPr>
        <w:t>devien</w:t>
      </w:r>
      <w:r w:rsidRPr="00950D73">
        <w:rPr>
          <w:rFonts w:asciiTheme="majorBidi" w:hAnsiTheme="majorBidi" w:cstheme="majorBidi"/>
        </w:rPr>
        <w:t>nen</w:t>
      </w:r>
      <w:r w:rsidR="004746F1" w:rsidRPr="00950D73">
        <w:rPr>
          <w:rFonts w:asciiTheme="majorBidi" w:hAnsiTheme="majorBidi" w:cstheme="majorBidi"/>
        </w:rPr>
        <w:t xml:space="preserve">t </w:t>
      </w:r>
      <w:r w:rsidR="00547629" w:rsidRPr="00950D73">
        <w:rPr>
          <w:rFonts w:asciiTheme="majorBidi" w:hAnsiTheme="majorBidi" w:cstheme="majorBidi"/>
        </w:rPr>
        <w:t xml:space="preserve">les </w:t>
      </w:r>
      <w:r w:rsidR="004746F1" w:rsidRPr="00950D73">
        <w:rPr>
          <w:rFonts w:asciiTheme="majorBidi" w:hAnsiTheme="majorBidi" w:cstheme="majorBidi"/>
        </w:rPr>
        <w:t xml:space="preserve">3.2.2.8 </w:t>
      </w:r>
      <w:r w:rsidRPr="00950D73">
        <w:rPr>
          <w:rFonts w:asciiTheme="majorBidi" w:hAnsiTheme="majorBidi" w:cstheme="majorBidi"/>
        </w:rPr>
        <w:t xml:space="preserve">à </w:t>
      </w:r>
      <w:r w:rsidR="004746F1" w:rsidRPr="00950D73">
        <w:rPr>
          <w:rFonts w:asciiTheme="majorBidi" w:hAnsiTheme="majorBidi" w:cstheme="majorBidi"/>
        </w:rPr>
        <w:t>3.2.2.8.3.</w:t>
      </w:r>
    </w:p>
    <w:p w14:paraId="5A99E0D5" w14:textId="77777777" w:rsidR="004746F1" w:rsidRPr="00950D73" w:rsidRDefault="004746F1" w:rsidP="004746F1">
      <w:pPr>
        <w:tabs>
          <w:tab w:val="left" w:pos="4253"/>
        </w:tabs>
        <w:spacing w:after="120"/>
        <w:ind w:left="1134" w:right="1134"/>
        <w:jc w:val="both"/>
        <w:rPr>
          <w:rFonts w:asciiTheme="majorBidi" w:hAnsiTheme="majorBidi" w:cstheme="majorBidi"/>
        </w:rPr>
      </w:pPr>
      <w:r w:rsidRPr="00950D73">
        <w:rPr>
          <w:rFonts w:asciiTheme="majorBidi" w:hAnsiTheme="majorBidi" w:cstheme="majorBidi"/>
        </w:rPr>
        <w:t>3.2.2.8 (nouveau, ancien 3.2.2.7)</w:t>
      </w:r>
      <w:r w:rsidRPr="00950D73">
        <w:rPr>
          <w:rFonts w:asciiTheme="majorBidi" w:hAnsiTheme="majorBidi" w:cstheme="majorBidi"/>
        </w:rPr>
        <w:tab/>
        <w:t>Ajouter « </w:t>
      </w:r>
      <w:r w:rsidRPr="00950D73">
        <w:rPr>
          <w:rFonts w:asciiTheme="majorBidi" w:hAnsiTheme="majorBidi" w:cstheme="majorBidi"/>
          <w:b/>
          <w:bCs/>
          <w:i/>
          <w:iCs/>
        </w:rPr>
        <w:t>(figure 3.2.1)</w:t>
      </w:r>
      <w:r w:rsidRPr="00950D73">
        <w:rPr>
          <w:rFonts w:asciiTheme="majorBidi" w:hAnsiTheme="majorBidi" w:cstheme="majorBidi"/>
        </w:rPr>
        <w:t xml:space="preserve"> » à la fin du titre. </w:t>
      </w:r>
    </w:p>
    <w:p w14:paraId="67738989" w14:textId="0E151412" w:rsidR="005D5401" w:rsidRPr="00950D73" w:rsidRDefault="00386ADF" w:rsidP="00A57FCB">
      <w:pPr>
        <w:pStyle w:val="SingleTxtG"/>
        <w:ind w:left="2268" w:hanging="1134"/>
        <w:rPr>
          <w:rFonts w:asciiTheme="majorBidi" w:hAnsiTheme="majorBidi" w:cstheme="majorBidi"/>
        </w:rPr>
      </w:pPr>
      <w:r w:rsidRPr="00950D73">
        <w:rPr>
          <w:rFonts w:asciiTheme="majorBidi" w:hAnsiTheme="majorBidi" w:cstheme="majorBidi"/>
        </w:rPr>
        <w:t>3.2.2.8.1</w:t>
      </w:r>
      <w:r w:rsidR="00ED6321" w:rsidRPr="00950D73">
        <w:rPr>
          <w:rFonts w:asciiTheme="majorBidi" w:hAnsiTheme="majorBidi" w:cstheme="majorBidi"/>
        </w:rPr>
        <w:t xml:space="preserve"> (nouveau, ancien 3.2.2.7.1</w:t>
      </w:r>
      <w:r w:rsidR="005D5401" w:rsidRPr="00950D73">
        <w:rPr>
          <w:rFonts w:asciiTheme="majorBidi" w:hAnsiTheme="majorBidi" w:cstheme="majorBidi"/>
        </w:rPr>
        <w:tab/>
        <w:t>Supprimer « initiales » dans la première phrase</w:t>
      </w:r>
      <w:r w:rsidR="00263324" w:rsidRPr="00950D73">
        <w:rPr>
          <w:rFonts w:asciiTheme="majorBidi" w:hAnsiTheme="majorBidi" w:cstheme="majorBidi"/>
        </w:rPr>
        <w:t xml:space="preserve">, et remplacer </w:t>
      </w:r>
      <w:r w:rsidR="00201F69" w:rsidRPr="00950D73">
        <w:rPr>
          <w:rFonts w:asciiTheme="majorBidi" w:hAnsiTheme="majorBidi" w:cstheme="majorBidi"/>
        </w:rPr>
        <w:t>« tous les éléments d’information ne sont pas forcément pertinents</w:t>
      </w:r>
      <w:r w:rsidR="00A57FCB" w:rsidRPr="00950D73">
        <w:rPr>
          <w:rFonts w:asciiTheme="majorBidi" w:hAnsiTheme="majorBidi" w:cstheme="majorBidi"/>
        </w:rPr>
        <w:t> </w:t>
      </w:r>
      <w:r w:rsidR="00201F69" w:rsidRPr="00950D73">
        <w:rPr>
          <w:rFonts w:asciiTheme="majorBidi" w:hAnsiTheme="majorBidi" w:cstheme="majorBidi"/>
        </w:rPr>
        <w:t>» par « toutes les étapes, ainsi que toutes les informations se rapportant à chacune des étapes, ne sont pas forcément pertinentes »</w:t>
      </w:r>
      <w:r w:rsidR="00A57FCB" w:rsidRPr="00950D73">
        <w:rPr>
          <w:rFonts w:asciiTheme="majorBidi" w:hAnsiTheme="majorBidi" w:cstheme="majorBidi"/>
        </w:rPr>
        <w:t xml:space="preserve"> </w:t>
      </w:r>
      <w:r w:rsidR="008C1927" w:rsidRPr="00950D73">
        <w:rPr>
          <w:rFonts w:asciiTheme="majorBidi" w:hAnsiTheme="majorBidi" w:cstheme="majorBidi"/>
        </w:rPr>
        <w:t>d</w:t>
      </w:r>
      <w:r w:rsidR="00A57FCB" w:rsidRPr="00950D73">
        <w:rPr>
          <w:rFonts w:asciiTheme="majorBidi" w:hAnsiTheme="majorBidi" w:cstheme="majorBidi"/>
        </w:rPr>
        <w:t>ans la première phrase.</w:t>
      </w:r>
    </w:p>
    <w:p w14:paraId="5C532E22" w14:textId="77777777" w:rsidR="004746F1" w:rsidRPr="00950D73" w:rsidRDefault="004746F1" w:rsidP="004746F1">
      <w:pPr>
        <w:tabs>
          <w:tab w:val="left" w:pos="4253"/>
        </w:tabs>
        <w:spacing w:after="120"/>
        <w:ind w:left="1134" w:right="1134"/>
        <w:jc w:val="both"/>
        <w:rPr>
          <w:rFonts w:asciiTheme="majorBidi" w:hAnsiTheme="majorBidi" w:cstheme="majorBidi"/>
        </w:rPr>
      </w:pPr>
      <w:r w:rsidRPr="00950D73">
        <w:rPr>
          <w:rFonts w:asciiTheme="majorBidi" w:hAnsiTheme="majorBidi" w:cstheme="majorBidi"/>
        </w:rPr>
        <w:t>3.2.2.8.2 (nouveau, ancien 3.2.2.7.2)</w:t>
      </w:r>
      <w:r w:rsidRPr="00950D73">
        <w:rPr>
          <w:rFonts w:asciiTheme="majorBidi" w:hAnsiTheme="majorBidi" w:cstheme="majorBidi"/>
        </w:rPr>
        <w:tab/>
        <w:t>Modifier la première phrase pour lire comme suit :</w:t>
      </w:r>
    </w:p>
    <w:p w14:paraId="7E1DB79F" w14:textId="77777777"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 xml:space="preserve">« Dans la méthode par étapes (figure 3.2.1), les données existantes obtenues sur l’homme </w:t>
      </w:r>
      <w:r w:rsidRPr="00950D73">
        <w:rPr>
          <w:rFonts w:asciiTheme="majorBidi" w:hAnsiTheme="majorBidi" w:cstheme="majorBidi"/>
        </w:rPr>
        <w:lastRenderedPageBreak/>
        <w:t>et les données normalisées obtenues sur les animaux constituent l’étape supérieure, suivies par les données in vitro</w:t>
      </w:r>
      <w:r w:rsidRPr="00950D73">
        <w:rPr>
          <w:rFonts w:asciiTheme="majorBidi" w:hAnsiTheme="majorBidi" w:cstheme="majorBidi"/>
          <w:i/>
          <w:iCs/>
        </w:rPr>
        <w:t>/ex vivo</w:t>
      </w:r>
      <w:r w:rsidRPr="00950D73">
        <w:rPr>
          <w:rFonts w:asciiTheme="majorBidi" w:hAnsiTheme="majorBidi" w:cstheme="majorBidi"/>
        </w:rPr>
        <w:t>, par les autres données existantes sur des effets cutanés sur les animaux, par le pH extrême et la réserve acide/alcaline et, enfin, par les méthodes non fondées sur des essais. ».</w:t>
      </w:r>
    </w:p>
    <w:p w14:paraId="551A56D5" w14:textId="6C4D6C8E"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Dans la deuxième phrase, remplacer « méthode fondée sur » par « évaluation de».</w:t>
      </w:r>
    </w:p>
    <w:p w14:paraId="6E81FDD2" w14:textId="20079C8C"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3.2.2.8.3 (nouveau, ancien 3.2.2.7.3</w:t>
      </w:r>
      <w:r w:rsidR="00651DA9" w:rsidRPr="00950D73">
        <w:rPr>
          <w:rFonts w:asciiTheme="majorBidi" w:hAnsiTheme="majorBidi" w:cstheme="majorBidi"/>
        </w:rPr>
        <w:t>)</w:t>
      </w:r>
      <w:r w:rsidR="00651DA9" w:rsidRPr="00950D73">
        <w:rPr>
          <w:rFonts w:asciiTheme="majorBidi" w:hAnsiTheme="majorBidi" w:cstheme="majorBidi"/>
        </w:rPr>
        <w:tab/>
        <w:t>R</w:t>
      </w:r>
      <w:r w:rsidRPr="00950D73">
        <w:rPr>
          <w:rFonts w:asciiTheme="majorBidi" w:hAnsiTheme="majorBidi" w:cstheme="majorBidi"/>
        </w:rPr>
        <w:t>emplacer</w:t>
      </w:r>
      <w:r w:rsidR="00A740A9" w:rsidRPr="00950D73">
        <w:rPr>
          <w:rFonts w:asciiTheme="majorBidi" w:hAnsiTheme="majorBidi" w:cstheme="majorBidi"/>
        </w:rPr>
        <w:t xml:space="preserve"> (deux occurrences)</w:t>
      </w:r>
      <w:r w:rsidRPr="00950D73">
        <w:rPr>
          <w:rFonts w:asciiTheme="majorBidi" w:hAnsiTheme="majorBidi" w:cstheme="majorBidi"/>
        </w:rPr>
        <w:t xml:space="preserve"> « méthode globale fondée sur la force probante des données » par « évaluation globale de la force probante des données ». </w:t>
      </w:r>
    </w:p>
    <w:p w14:paraId="0BF35655" w14:textId="29E73163" w:rsidR="004746F1" w:rsidRPr="00950D73" w:rsidRDefault="009E5FDD" w:rsidP="00CE20A1">
      <w:pPr>
        <w:keepNext/>
        <w:keepLines/>
        <w:spacing w:after="120"/>
        <w:ind w:left="2268" w:right="1134"/>
        <w:jc w:val="both"/>
        <w:rPr>
          <w:rFonts w:asciiTheme="majorBidi" w:hAnsiTheme="majorBidi" w:cstheme="majorBidi"/>
        </w:rPr>
      </w:pPr>
      <w:r w:rsidRPr="00950D73">
        <w:rPr>
          <w:rFonts w:asciiTheme="majorBidi" w:hAnsiTheme="majorBidi" w:cstheme="majorBidi"/>
        </w:rPr>
        <w:t xml:space="preserve">Modifier la </w:t>
      </w:r>
      <w:r w:rsidR="004746F1" w:rsidRPr="00950D73">
        <w:rPr>
          <w:rFonts w:asciiTheme="majorBidi" w:hAnsiTheme="majorBidi" w:cstheme="majorBidi"/>
        </w:rPr>
        <w:t>dernière phrase</w:t>
      </w:r>
      <w:r w:rsidRPr="00950D73">
        <w:rPr>
          <w:rFonts w:asciiTheme="majorBidi" w:hAnsiTheme="majorBidi" w:cstheme="majorBidi"/>
        </w:rPr>
        <w:t xml:space="preserve"> pour lire comme suit : </w:t>
      </w:r>
    </w:p>
    <w:p w14:paraId="22BF118B" w14:textId="37770109" w:rsidR="00586BB8" w:rsidRPr="00950D73" w:rsidRDefault="009E5FDD" w:rsidP="004746F1">
      <w:pPr>
        <w:spacing w:after="120"/>
        <w:ind w:left="2268" w:right="1134"/>
        <w:jc w:val="both"/>
        <w:rPr>
          <w:rFonts w:asciiTheme="majorBidi" w:hAnsiTheme="majorBidi" w:cstheme="majorBidi"/>
        </w:rPr>
      </w:pPr>
      <w:r w:rsidRPr="00950D73">
        <w:rPr>
          <w:rFonts w:asciiTheme="majorBidi" w:hAnsiTheme="majorBidi" w:cstheme="majorBidi"/>
        </w:rPr>
        <w:t>« </w:t>
      </w:r>
      <w:r w:rsidR="00B23BA7" w:rsidRPr="00950D73">
        <w:rPr>
          <w:rFonts w:asciiTheme="majorBidi" w:hAnsiTheme="majorBidi" w:cstheme="majorBidi"/>
        </w:rPr>
        <w:t xml:space="preserve">Il en irait de même lorsque </w:t>
      </w:r>
      <w:r w:rsidR="00801418" w:rsidRPr="00950D73">
        <w:rPr>
          <w:rFonts w:asciiTheme="majorBidi" w:hAnsiTheme="majorBidi" w:cstheme="majorBidi"/>
        </w:rPr>
        <w:t>des données obtenues sur l’homme feraient état d’une irritation cutanée, mais qu</w:t>
      </w:r>
      <w:r w:rsidR="00B70D33" w:rsidRPr="00950D73">
        <w:rPr>
          <w:rFonts w:asciiTheme="majorBidi" w:hAnsiTheme="majorBidi" w:cstheme="majorBidi"/>
        </w:rPr>
        <w:t>e des résultats positifs obtenues à partir d</w:t>
      </w:r>
      <w:r w:rsidR="00801418" w:rsidRPr="00950D73">
        <w:rPr>
          <w:rFonts w:asciiTheme="majorBidi" w:hAnsiTheme="majorBidi" w:cstheme="majorBidi"/>
        </w:rPr>
        <w:t xml:space="preserve">’une épreuve </w:t>
      </w:r>
      <w:r w:rsidR="00801418" w:rsidRPr="00950D73">
        <w:rPr>
          <w:rFonts w:asciiTheme="majorBidi" w:hAnsiTheme="majorBidi" w:cstheme="majorBidi"/>
          <w:iCs/>
        </w:rPr>
        <w:t>in vitro</w:t>
      </w:r>
      <w:r w:rsidR="00801418" w:rsidRPr="00950D73">
        <w:rPr>
          <w:rFonts w:asciiTheme="majorBidi" w:hAnsiTheme="majorBidi" w:cstheme="majorBidi"/>
          <w:i/>
        </w:rPr>
        <w:t>/ex vivo</w:t>
      </w:r>
      <w:r w:rsidR="00801418" w:rsidRPr="00950D73">
        <w:rPr>
          <w:rFonts w:asciiTheme="majorBidi" w:hAnsiTheme="majorBidi" w:cstheme="majorBidi"/>
        </w:rPr>
        <w:t xml:space="preserve"> </w:t>
      </w:r>
      <w:r w:rsidR="00B70D33" w:rsidRPr="00950D73">
        <w:rPr>
          <w:rFonts w:asciiTheme="majorBidi" w:hAnsiTheme="majorBidi" w:cstheme="majorBidi"/>
        </w:rPr>
        <w:t>s</w:t>
      </w:r>
      <w:r w:rsidRPr="00950D73">
        <w:rPr>
          <w:rFonts w:asciiTheme="majorBidi" w:hAnsiTheme="majorBidi" w:cstheme="majorBidi"/>
        </w:rPr>
        <w:t>eraient également disponibles. »</w:t>
      </w:r>
    </w:p>
    <w:p w14:paraId="1143A3DE" w14:textId="77777777" w:rsidR="004746F1" w:rsidRPr="00EF12D6" w:rsidRDefault="004746F1" w:rsidP="004746F1">
      <w:pPr>
        <w:keepNext/>
        <w:spacing w:after="120"/>
        <w:ind w:left="1134" w:right="1134"/>
        <w:jc w:val="both"/>
        <w:rPr>
          <w:rFonts w:asciiTheme="majorBidi" w:hAnsiTheme="majorBidi" w:cstheme="majorBidi"/>
        </w:rPr>
      </w:pPr>
      <w:r w:rsidRPr="00EF12D6">
        <w:rPr>
          <w:rFonts w:asciiTheme="majorBidi" w:hAnsiTheme="majorBidi" w:cstheme="majorBidi"/>
        </w:rPr>
        <w:t>Figure 3.2.1, modifier comme suit :</w:t>
      </w:r>
    </w:p>
    <w:p w14:paraId="6AF23CD5" w14:textId="16FF2AB4" w:rsidR="004746F1" w:rsidRPr="00EF12D6" w:rsidRDefault="004746F1" w:rsidP="0079406D">
      <w:pPr>
        <w:keepLines/>
        <w:spacing w:after="120"/>
        <w:ind w:left="2268" w:right="1134"/>
        <w:jc w:val="both"/>
        <w:rPr>
          <w:rFonts w:asciiTheme="majorBidi" w:hAnsiTheme="majorBidi" w:cstheme="majorBidi"/>
        </w:rPr>
      </w:pPr>
      <w:r w:rsidRPr="00EF12D6">
        <w:rPr>
          <w:rFonts w:asciiTheme="majorBidi" w:hAnsiTheme="majorBidi" w:cstheme="majorBidi"/>
        </w:rPr>
        <w:t>Texte entre les cases « Étape 3 » et « Étape 4 » : remplacer « </w:t>
      </w:r>
      <w:r w:rsidRPr="00EF12D6">
        <w:rPr>
          <w:rFonts w:asciiTheme="majorBidi" w:hAnsiTheme="majorBidi" w:cstheme="majorBidi"/>
          <w:i/>
          <w:iCs/>
        </w:rPr>
        <w:t xml:space="preserve">Pas de données, données aboutissant à une absence de classification ou données non </w:t>
      </w:r>
      <w:proofErr w:type="spellStart"/>
      <w:r w:rsidRPr="00EF12D6">
        <w:rPr>
          <w:rFonts w:asciiTheme="majorBidi" w:hAnsiTheme="majorBidi" w:cstheme="majorBidi"/>
          <w:i/>
          <w:iCs/>
        </w:rPr>
        <w:t>concluantes</w:t>
      </w:r>
      <w:r w:rsidRPr="00EF12D6">
        <w:rPr>
          <w:rFonts w:asciiTheme="majorBidi" w:hAnsiTheme="majorBidi" w:cstheme="majorBidi"/>
          <w:vertAlign w:val="superscript"/>
        </w:rPr>
        <w:t>b</w:t>
      </w:r>
      <w:proofErr w:type="spellEnd"/>
      <w:r w:rsidRPr="00EF12D6">
        <w:rPr>
          <w:rFonts w:asciiTheme="majorBidi" w:hAnsiTheme="majorBidi" w:cstheme="majorBidi"/>
          <w:i/>
          <w:iCs/>
        </w:rPr>
        <w:t> </w:t>
      </w:r>
      <w:r w:rsidRPr="00EF12D6">
        <w:rPr>
          <w:rFonts w:asciiTheme="majorBidi" w:hAnsiTheme="majorBidi" w:cstheme="majorBidi"/>
        </w:rPr>
        <w:t>» par « </w:t>
      </w:r>
      <w:r w:rsidRPr="00EF12D6">
        <w:rPr>
          <w:rFonts w:asciiTheme="majorBidi" w:hAnsiTheme="majorBidi" w:cstheme="majorBidi"/>
          <w:i/>
          <w:iCs/>
        </w:rPr>
        <w:t xml:space="preserve">Pas de données, absence de classification au titre de la corrosion/irritation cutanée ou données non </w:t>
      </w:r>
      <w:proofErr w:type="spellStart"/>
      <w:r w:rsidRPr="00EF12D6">
        <w:rPr>
          <w:rFonts w:asciiTheme="majorBidi" w:hAnsiTheme="majorBidi" w:cstheme="majorBidi"/>
          <w:i/>
          <w:iCs/>
        </w:rPr>
        <w:t>concluantes</w:t>
      </w:r>
      <w:r w:rsidRPr="00EF12D6">
        <w:rPr>
          <w:rFonts w:asciiTheme="majorBidi" w:hAnsiTheme="majorBidi" w:cstheme="majorBidi"/>
          <w:vertAlign w:val="superscript"/>
        </w:rPr>
        <w:t>b</w:t>
      </w:r>
      <w:proofErr w:type="spellEnd"/>
      <w:r w:rsidRPr="00EF12D6">
        <w:rPr>
          <w:rFonts w:asciiTheme="majorBidi" w:hAnsiTheme="majorBidi" w:cstheme="majorBidi"/>
        </w:rPr>
        <w:t> ».</w:t>
      </w:r>
    </w:p>
    <w:p w14:paraId="6A14B8A1" w14:textId="26731E8A" w:rsidR="004746F1" w:rsidRPr="00EF12D6" w:rsidRDefault="004746F1" w:rsidP="0079406D">
      <w:pPr>
        <w:spacing w:after="120"/>
        <w:ind w:left="2268" w:right="1134"/>
        <w:jc w:val="both"/>
        <w:rPr>
          <w:rFonts w:asciiTheme="majorBidi" w:hAnsiTheme="majorBidi" w:cstheme="majorBidi"/>
        </w:rPr>
      </w:pPr>
      <w:r w:rsidRPr="00EF12D6">
        <w:rPr>
          <w:rFonts w:asciiTheme="majorBidi" w:hAnsiTheme="majorBidi" w:cstheme="majorBidi"/>
        </w:rPr>
        <w:t>Texte entre les cases « Étape 4 » et « Étape 5 » : remplacer « </w:t>
      </w:r>
      <w:r w:rsidRPr="00EF12D6">
        <w:rPr>
          <w:rFonts w:asciiTheme="majorBidi" w:hAnsiTheme="majorBidi" w:cstheme="majorBidi"/>
          <w:i/>
          <w:iCs/>
        </w:rPr>
        <w:t>données démontrant une réserve acide ou alcaline faible ou nulle</w:t>
      </w:r>
      <w:r w:rsidRPr="00EF12D6">
        <w:rPr>
          <w:rFonts w:asciiTheme="majorBidi" w:hAnsiTheme="majorBidi" w:cstheme="majorBidi"/>
        </w:rPr>
        <w:t> » par « </w:t>
      </w:r>
      <w:r w:rsidRPr="00EF12D6">
        <w:rPr>
          <w:rFonts w:asciiTheme="majorBidi" w:hAnsiTheme="majorBidi" w:cstheme="majorBidi"/>
          <w:i/>
          <w:iCs/>
        </w:rPr>
        <w:t>données démontrant une réserve acide/alcaline négligeable</w:t>
      </w:r>
      <w:r w:rsidRPr="00EF12D6">
        <w:rPr>
          <w:rFonts w:asciiTheme="majorBidi" w:hAnsiTheme="majorBidi" w:cstheme="majorBidi"/>
        </w:rPr>
        <w:t> ».</w:t>
      </w:r>
    </w:p>
    <w:p w14:paraId="37FBDF11" w14:textId="7FB93DB6" w:rsidR="004746F1" w:rsidRPr="00EF12D6" w:rsidRDefault="004746F1" w:rsidP="0079406D">
      <w:pPr>
        <w:spacing w:after="120"/>
        <w:ind w:left="2268" w:right="1134"/>
        <w:jc w:val="both"/>
        <w:rPr>
          <w:rFonts w:asciiTheme="majorBidi" w:hAnsiTheme="majorBidi" w:cstheme="majorBidi"/>
        </w:rPr>
      </w:pPr>
      <w:r w:rsidRPr="00EF12D6">
        <w:rPr>
          <w:rFonts w:asciiTheme="majorBidi" w:hAnsiTheme="majorBidi" w:cstheme="majorBidi"/>
        </w:rPr>
        <w:t>Case « Étape 6 » : remplacer « (voir 3.2.2.7.3) » par « (voir 3.2.2.7) ».</w:t>
      </w:r>
    </w:p>
    <w:p w14:paraId="54A95C33" w14:textId="0161A57D" w:rsidR="004746F1" w:rsidRPr="00EF12D6" w:rsidRDefault="004746F1" w:rsidP="0079406D">
      <w:pPr>
        <w:spacing w:after="120"/>
        <w:ind w:left="2268" w:right="1134"/>
        <w:jc w:val="both"/>
        <w:rPr>
          <w:rFonts w:asciiTheme="majorBidi" w:hAnsiTheme="majorBidi" w:cstheme="majorBidi"/>
        </w:rPr>
      </w:pPr>
      <w:r w:rsidRPr="00EF12D6">
        <w:rPr>
          <w:rFonts w:asciiTheme="majorBidi" w:hAnsiTheme="majorBidi" w:cstheme="majorBidi"/>
        </w:rPr>
        <w:t xml:space="preserve">Case de sortie « Classification impossible » : remplacer le texte par « Classification impossible pour les </w:t>
      </w:r>
      <w:proofErr w:type="spellStart"/>
      <w:r w:rsidRPr="00EF12D6">
        <w:rPr>
          <w:rFonts w:asciiTheme="majorBidi" w:hAnsiTheme="majorBidi" w:cstheme="majorBidi"/>
        </w:rPr>
        <w:t>substances</w:t>
      </w:r>
      <w:r w:rsidRPr="00EF12D6">
        <w:rPr>
          <w:rFonts w:asciiTheme="majorBidi" w:hAnsiTheme="majorBidi" w:cstheme="majorBidi"/>
          <w:vertAlign w:val="superscript"/>
        </w:rPr>
        <w:t>c</w:t>
      </w:r>
      <w:proofErr w:type="spellEnd"/>
      <w:r w:rsidRPr="00EF12D6">
        <w:rPr>
          <w:rFonts w:asciiTheme="majorBidi" w:hAnsiTheme="majorBidi" w:cstheme="majorBidi"/>
        </w:rPr>
        <w:t> ».</w:t>
      </w:r>
    </w:p>
    <w:p w14:paraId="0043063E" w14:textId="6566DBC9" w:rsidR="004746F1" w:rsidRPr="00EF12D6" w:rsidRDefault="004746F1" w:rsidP="0079406D">
      <w:pPr>
        <w:spacing w:after="120"/>
        <w:ind w:left="2268" w:right="1134"/>
        <w:jc w:val="both"/>
        <w:rPr>
          <w:rFonts w:asciiTheme="majorBidi" w:hAnsiTheme="majorBidi" w:cstheme="majorBidi"/>
        </w:rPr>
      </w:pPr>
      <w:r w:rsidRPr="00EF12D6">
        <w:rPr>
          <w:rFonts w:asciiTheme="majorBidi" w:hAnsiTheme="majorBidi" w:cstheme="majorBidi"/>
        </w:rPr>
        <w:t xml:space="preserve">Case de droite commençant par « Évaluation de la cohérence avec les étapes de rang </w:t>
      </w:r>
      <w:r w:rsidRPr="00EF12D6">
        <w:rPr>
          <w:rFonts w:asciiTheme="majorBidi" w:hAnsiTheme="majorBidi" w:cstheme="majorBidi"/>
        </w:rPr>
        <w:lastRenderedPageBreak/>
        <w:t>inférieur » : remplacer « 3.2.2.7.3 » par « 3.2.2.8.3 ».</w:t>
      </w:r>
    </w:p>
    <w:p w14:paraId="265339B7" w14:textId="4D0964B2" w:rsidR="004746F1" w:rsidRPr="00EF12D6" w:rsidRDefault="004746F1" w:rsidP="0079406D">
      <w:pPr>
        <w:spacing w:after="120"/>
        <w:ind w:left="2268" w:right="1134"/>
        <w:jc w:val="both"/>
        <w:rPr>
          <w:rFonts w:asciiTheme="majorBidi" w:hAnsiTheme="majorBidi" w:cstheme="majorBidi"/>
        </w:rPr>
      </w:pPr>
      <w:r w:rsidRPr="00EF12D6">
        <w:rPr>
          <w:rFonts w:asciiTheme="majorBidi" w:hAnsiTheme="majorBidi" w:cstheme="majorBidi"/>
        </w:rPr>
        <w:t>Note « a » : remplacer « 3.2.2.7 » par « 3.2.2.8 ».</w:t>
      </w:r>
    </w:p>
    <w:p w14:paraId="61D9D601" w14:textId="2FCCE5B2" w:rsidR="004746F1" w:rsidRPr="00EF12D6" w:rsidRDefault="004746F1" w:rsidP="0079406D">
      <w:pPr>
        <w:spacing w:after="120"/>
        <w:ind w:left="2268" w:right="1134"/>
        <w:jc w:val="both"/>
        <w:rPr>
          <w:rFonts w:asciiTheme="majorBidi" w:hAnsiTheme="majorBidi" w:cstheme="majorBidi"/>
        </w:rPr>
      </w:pPr>
      <w:r w:rsidRPr="00EF12D6">
        <w:rPr>
          <w:rFonts w:asciiTheme="majorBidi" w:hAnsiTheme="majorBidi" w:cstheme="majorBidi"/>
        </w:rPr>
        <w:t>Ajouter une nouvelle note « c » libellée comme suit : « </w:t>
      </w:r>
      <w:r w:rsidRPr="00EF12D6">
        <w:rPr>
          <w:rFonts w:asciiTheme="majorBidi" w:hAnsiTheme="majorBidi" w:cstheme="majorBidi"/>
          <w:b/>
          <w:bCs/>
          <w:vertAlign w:val="superscript"/>
        </w:rPr>
        <w:t>c</w:t>
      </w:r>
      <w:r w:rsidR="00EF12D6">
        <w:rPr>
          <w:rFonts w:asciiTheme="majorBidi" w:hAnsiTheme="majorBidi" w:cstheme="majorBidi"/>
        </w:rPr>
        <w:t> </w:t>
      </w:r>
      <w:r w:rsidRPr="00EF12D6">
        <w:rPr>
          <w:rFonts w:asciiTheme="majorBidi" w:hAnsiTheme="majorBidi" w:cstheme="majorBidi"/>
          <w:i/>
          <w:iCs/>
        </w:rPr>
        <w:t>Dans le cas des mélanges, il convient de suivre le diagramme de décision de la figure 3.2.2.</w:t>
      </w:r>
      <w:r w:rsidRPr="00EF12D6">
        <w:rPr>
          <w:rFonts w:asciiTheme="majorBidi" w:hAnsiTheme="majorBidi" w:cstheme="majorBidi"/>
        </w:rPr>
        <w:t> ».</w:t>
      </w:r>
    </w:p>
    <w:p w14:paraId="7CF3D93F" w14:textId="77777777"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3.2.3</w:t>
      </w:r>
      <w:r w:rsidRPr="00950D73">
        <w:rPr>
          <w:rFonts w:asciiTheme="majorBidi" w:hAnsiTheme="majorBidi" w:cstheme="majorBidi"/>
        </w:rPr>
        <w:tab/>
        <w:t>Ajouter le nouveau texte et la nouvelle figure ci-après sous le titre actuel :</w:t>
      </w:r>
    </w:p>
    <w:p w14:paraId="31E253E1" w14:textId="77777777"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 xml:space="preserve">« Dans la classification de corrosion ou d’irritation cutanée, on procède par étapes en fonction des informations disponibles pour le mélange en tant que tel et pour ses composants. Le processus est représenté de façon schématique dans la figure 3.2.2. </w:t>
      </w:r>
    </w:p>
    <w:p w14:paraId="52B89A4E" w14:textId="77777777" w:rsidR="004746F1" w:rsidRPr="00950D73" w:rsidRDefault="004746F1" w:rsidP="004746F1">
      <w:pPr>
        <w:keepNext/>
        <w:keepLines/>
        <w:spacing w:after="120" w:line="240" w:lineRule="auto"/>
        <w:ind w:left="1134"/>
        <w:jc w:val="center"/>
        <w:outlineLvl w:val="0"/>
        <w:rPr>
          <w:rFonts w:asciiTheme="majorBidi" w:hAnsiTheme="majorBidi" w:cstheme="majorBidi"/>
          <w:b/>
          <w:bCs/>
        </w:rPr>
      </w:pPr>
      <w:r w:rsidRPr="00950D73">
        <w:rPr>
          <w:rFonts w:asciiTheme="majorBidi" w:hAnsiTheme="majorBidi" w:cstheme="majorBidi"/>
          <w:b/>
          <w:bCs/>
        </w:rPr>
        <w:t>Figure 3.2.2</w:t>
      </w:r>
      <w:r w:rsidRPr="00950D73">
        <w:rPr>
          <w:rFonts w:asciiTheme="majorBidi" w:hAnsiTheme="majorBidi" w:cstheme="majorBidi"/>
          <w:b/>
          <w:bCs/>
        </w:rPr>
        <w:br/>
        <w:t>Étapes de la classification des mélanges pour la corrosion ou l’irritation cutanée</w:t>
      </w:r>
    </w:p>
    <w:p w14:paraId="33C73B21" w14:textId="77777777" w:rsidR="008541C5" w:rsidRDefault="004B2A28" w:rsidP="008541C5">
      <w:pPr>
        <w:tabs>
          <w:tab w:val="left" w:pos="1418"/>
        </w:tabs>
        <w:spacing w:before="240" w:after="120" w:line="220" w:lineRule="atLeast"/>
        <w:ind w:left="1134" w:right="1134"/>
        <w:jc w:val="both"/>
        <w:rPr>
          <w:rFonts w:asciiTheme="majorBidi" w:hAnsiTheme="majorBidi" w:cstheme="majorBidi"/>
        </w:rPr>
      </w:pPr>
      <w:r w:rsidRPr="00950D73">
        <w:rPr>
          <w:rFonts w:asciiTheme="majorBidi" w:hAnsiTheme="majorBidi" w:cstheme="majorBidi"/>
        </w:rPr>
        <w:object w:dxaOrig="6865" w:dyaOrig="7825" w14:anchorId="46F598CC">
          <v:shape id="_x0000_i1026" type="#_x0000_t75" style="width:380.7pt;height:431.1pt" o:ole="">
            <v:imagedata r:id="rId14" o:title=""/>
          </v:shape>
          <o:OLEObject Type="Embed" ProgID="Visio.Drawing.15" ShapeID="_x0000_i1026" DrawAspect="Content" ObjectID="_1745040346" r:id="rId15"/>
        </w:object>
      </w:r>
    </w:p>
    <w:p w14:paraId="3C6FA140" w14:textId="2DC6841E" w:rsidR="004746F1" w:rsidRPr="00950D73" w:rsidRDefault="004746F1" w:rsidP="008541C5">
      <w:pPr>
        <w:tabs>
          <w:tab w:val="left" w:pos="1418"/>
        </w:tabs>
        <w:spacing w:before="240" w:after="120" w:line="220" w:lineRule="atLeast"/>
        <w:ind w:left="1134" w:right="1134"/>
        <w:jc w:val="both"/>
        <w:rPr>
          <w:rFonts w:asciiTheme="majorBidi" w:hAnsiTheme="majorBidi" w:cstheme="majorBidi"/>
        </w:rPr>
      </w:pPr>
      <w:r w:rsidRPr="00950D73">
        <w:rPr>
          <w:rFonts w:asciiTheme="majorBidi" w:hAnsiTheme="majorBidi" w:cstheme="majorBidi"/>
          <w:b/>
          <w:bCs/>
          <w:i/>
          <w:iCs/>
          <w:vertAlign w:val="superscript"/>
        </w:rPr>
        <w:t>a</w:t>
      </w:r>
      <w:r w:rsidR="007177A2" w:rsidRPr="00950D73">
        <w:rPr>
          <w:rFonts w:asciiTheme="majorBidi" w:hAnsiTheme="majorBidi" w:cstheme="majorBidi"/>
        </w:rPr>
        <w:tab/>
      </w:r>
      <w:r w:rsidRPr="00950D73">
        <w:rPr>
          <w:rFonts w:asciiTheme="majorBidi" w:hAnsiTheme="majorBidi" w:cstheme="majorBidi"/>
          <w:i/>
          <w:iCs/>
        </w:rPr>
        <w:t xml:space="preserve">Les cases entourées d’une ligne tiretée représentent une sous-étape particulière à l’étape des données </w:t>
      </w:r>
      <w:r w:rsidRPr="00950D73">
        <w:rPr>
          <w:rFonts w:asciiTheme="majorBidi" w:hAnsiTheme="majorBidi" w:cstheme="majorBidi"/>
          <w:i/>
          <w:iCs/>
        </w:rPr>
        <w:lastRenderedPageBreak/>
        <w:t>concluantes sur le mélange en tant que tel.</w:t>
      </w:r>
      <w:r w:rsidRPr="00950D73">
        <w:rPr>
          <w:rFonts w:asciiTheme="majorBidi" w:hAnsiTheme="majorBidi" w:cstheme="majorBidi"/>
        </w:rPr>
        <w:t xml:space="preserve"> </w:t>
      </w:r>
      <w:r w:rsidRPr="00950D73">
        <w:rPr>
          <w:rFonts w:asciiTheme="majorBidi" w:hAnsiTheme="majorBidi" w:cstheme="majorBidi"/>
          <w:i/>
          <w:iCs/>
        </w:rPr>
        <w:t>Toutefois, contrairement aux prescriptions concernant les substances, dans le cas des mélanges présentant « un pH extrême (≤ 2 ou ≥ 11,5) et une réserve acide/alcaline négligeable », mais pour lesquels il n’existe pas d’autres données concluantes sur le mélange en tant que tel, ou pour lesquels l’évaluation globale de la force probante des données à partir de l’ensemble des données disponibles sur le mélange en tant que tel n’est pas concluante, les données sont considérées comme non concluantes à chaque sous-étape de l’étape des données concluantes sur le mélange en tant que tel.</w:t>
      </w:r>
      <w:r w:rsidRPr="00950D73">
        <w:rPr>
          <w:rFonts w:asciiTheme="majorBidi" w:hAnsiTheme="majorBidi" w:cstheme="majorBidi"/>
        </w:rPr>
        <w:t xml:space="preserve"> </w:t>
      </w:r>
      <w:r w:rsidRPr="00950D73">
        <w:rPr>
          <w:rFonts w:asciiTheme="majorBidi" w:hAnsiTheme="majorBidi" w:cstheme="majorBidi"/>
          <w:i/>
          <w:iCs/>
        </w:rPr>
        <w:t>Ces mélanges doivent faire l’objet d’une évaluation conformément aux principes d’extrapolation avant que le pH extrême puisse être considéré comme concluant aux fins de la classification.</w:t>
      </w:r>
      <w:r w:rsidRPr="00950D73">
        <w:rPr>
          <w:rFonts w:asciiTheme="majorBidi" w:hAnsiTheme="majorBidi" w:cstheme="majorBidi"/>
        </w:rPr>
        <w:t> ».</w:t>
      </w:r>
    </w:p>
    <w:p w14:paraId="2189E493" w14:textId="77777777"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3.2.3.1.1</w:t>
      </w:r>
      <w:r w:rsidRPr="00950D73">
        <w:rPr>
          <w:rFonts w:asciiTheme="majorBidi" w:hAnsiTheme="majorBidi" w:cstheme="majorBidi"/>
        </w:rPr>
        <w:tab/>
        <w:t>Dans la dernière phrase, remplacer « méthode de calcul » par « classification fondée sur les composants ».</w:t>
      </w:r>
    </w:p>
    <w:p w14:paraId="37398E83" w14:textId="5AF5E562" w:rsidR="00F275A5" w:rsidRPr="00950D73" w:rsidRDefault="004746F1" w:rsidP="00E230F5">
      <w:pPr>
        <w:keepNext/>
        <w:spacing w:after="120"/>
        <w:ind w:left="2268" w:right="1134" w:hanging="1134"/>
        <w:rPr>
          <w:rFonts w:asciiTheme="majorBidi" w:hAnsiTheme="majorBidi" w:cstheme="majorBidi"/>
        </w:rPr>
      </w:pPr>
      <w:bookmarkStart w:id="1" w:name="_Hlk69887375"/>
      <w:r w:rsidRPr="00950D73">
        <w:rPr>
          <w:rFonts w:asciiTheme="majorBidi" w:hAnsiTheme="majorBidi" w:cstheme="majorBidi"/>
        </w:rPr>
        <w:t>3.2.3.1.2</w:t>
      </w:r>
      <w:r w:rsidRPr="00950D73">
        <w:rPr>
          <w:rFonts w:asciiTheme="majorBidi" w:hAnsiTheme="majorBidi" w:cstheme="majorBidi"/>
        </w:rPr>
        <w:tab/>
      </w:r>
      <w:r w:rsidR="009F3CAF" w:rsidRPr="00950D73">
        <w:rPr>
          <w:rFonts w:asciiTheme="majorBidi" w:hAnsiTheme="majorBidi" w:cstheme="majorBidi"/>
        </w:rPr>
        <w:t>Dans la première phrase, remplacer « </w:t>
      </w:r>
      <w:r w:rsidR="00E230F5" w:rsidRPr="00950D73">
        <w:rPr>
          <w:rFonts w:asciiTheme="majorBidi" w:hAnsiTheme="majorBidi" w:cstheme="majorBidi"/>
        </w:rPr>
        <w:t xml:space="preserve">Les données </w:t>
      </w:r>
      <w:r w:rsidR="00E230F5" w:rsidRPr="00950D73">
        <w:rPr>
          <w:rFonts w:asciiTheme="majorBidi" w:hAnsiTheme="majorBidi" w:cstheme="majorBidi"/>
          <w:i/>
        </w:rPr>
        <w:t>in vitro/ex vivo</w:t>
      </w:r>
      <w:r w:rsidR="00E230F5" w:rsidRPr="00950D73">
        <w:rPr>
          <w:rFonts w:asciiTheme="majorBidi" w:hAnsiTheme="majorBidi" w:cstheme="majorBidi"/>
        </w:rPr>
        <w:t xml:space="preserve"> produites à l’aide de méthodes d’essai validées » par « </w:t>
      </w:r>
      <w:r w:rsidRPr="00950D73">
        <w:rPr>
          <w:rFonts w:asciiTheme="majorBidi" w:hAnsiTheme="majorBidi" w:cstheme="majorBidi"/>
        </w:rPr>
        <w:t>Les méthodes d’essai in vitro</w:t>
      </w:r>
      <w:r w:rsidRPr="00950D73">
        <w:rPr>
          <w:rFonts w:asciiTheme="majorBidi" w:hAnsiTheme="majorBidi" w:cstheme="majorBidi"/>
          <w:i/>
          <w:iCs/>
        </w:rPr>
        <w:t>/ex vivo</w:t>
      </w:r>
      <w:r w:rsidRPr="00950D73">
        <w:rPr>
          <w:rFonts w:asciiTheme="majorBidi" w:hAnsiTheme="majorBidi" w:cstheme="majorBidi"/>
        </w:rPr>
        <w:t xml:space="preserve"> validées selon des procédures internationales</w:t>
      </w:r>
      <w:r w:rsidR="00F275A5" w:rsidRPr="00950D73">
        <w:rPr>
          <w:rFonts w:asciiTheme="majorBidi" w:hAnsiTheme="majorBidi" w:cstheme="majorBidi"/>
        </w:rPr>
        <w:t> » et « </w:t>
      </w:r>
      <w:r w:rsidR="00E37B1C" w:rsidRPr="00950D73">
        <w:rPr>
          <w:rFonts w:asciiTheme="majorBidi" w:hAnsiTheme="majorBidi" w:cstheme="majorBidi"/>
        </w:rPr>
        <w:t>relèvent du domaine d’application des méthodes d’essai utilisées » par « relèvent du domaine d’application de la ou des méthode</w:t>
      </w:r>
      <w:r w:rsidR="00DC3438" w:rsidRPr="00950D73">
        <w:rPr>
          <w:rFonts w:asciiTheme="majorBidi" w:hAnsiTheme="majorBidi" w:cstheme="majorBidi"/>
        </w:rPr>
        <w:t>(</w:t>
      </w:r>
      <w:r w:rsidR="00E37B1C" w:rsidRPr="00950D73">
        <w:rPr>
          <w:rFonts w:asciiTheme="majorBidi" w:hAnsiTheme="majorBidi" w:cstheme="majorBidi"/>
        </w:rPr>
        <w:t>s</w:t>
      </w:r>
      <w:r w:rsidR="00DC3438" w:rsidRPr="00950D73">
        <w:rPr>
          <w:rFonts w:asciiTheme="majorBidi" w:hAnsiTheme="majorBidi" w:cstheme="majorBidi"/>
        </w:rPr>
        <w:t>)</w:t>
      </w:r>
      <w:r w:rsidR="00E37B1C" w:rsidRPr="00950D73">
        <w:rPr>
          <w:rFonts w:asciiTheme="majorBidi" w:hAnsiTheme="majorBidi" w:cstheme="majorBidi"/>
        </w:rPr>
        <w:t xml:space="preserve"> d’essai utilisée</w:t>
      </w:r>
      <w:r w:rsidR="00DC3438" w:rsidRPr="00950D73">
        <w:rPr>
          <w:rFonts w:asciiTheme="majorBidi" w:hAnsiTheme="majorBidi" w:cstheme="majorBidi"/>
        </w:rPr>
        <w:t>(</w:t>
      </w:r>
      <w:r w:rsidR="00E37B1C" w:rsidRPr="00950D73">
        <w:rPr>
          <w:rFonts w:asciiTheme="majorBidi" w:hAnsiTheme="majorBidi" w:cstheme="majorBidi"/>
        </w:rPr>
        <w:t>s</w:t>
      </w:r>
      <w:r w:rsidR="00DC3438" w:rsidRPr="00950D73">
        <w:rPr>
          <w:rFonts w:asciiTheme="majorBidi" w:hAnsiTheme="majorBidi" w:cstheme="majorBidi"/>
        </w:rPr>
        <w:t>)</w:t>
      </w:r>
      <w:r w:rsidR="00E37B1C" w:rsidRPr="00950D73">
        <w:rPr>
          <w:rFonts w:asciiTheme="majorBidi" w:hAnsiTheme="majorBidi" w:cstheme="majorBidi"/>
        </w:rPr>
        <w:t>. ».</w:t>
      </w:r>
    </w:p>
    <w:bookmarkEnd w:id="1"/>
    <w:p w14:paraId="6DFA104C" w14:textId="77777777" w:rsidR="004746F1" w:rsidRPr="00950D73" w:rsidRDefault="004746F1" w:rsidP="004746F1">
      <w:pPr>
        <w:keepNext/>
        <w:keepLines/>
        <w:spacing w:after="120"/>
        <w:ind w:left="1134" w:right="1134"/>
        <w:jc w:val="both"/>
        <w:rPr>
          <w:rFonts w:asciiTheme="majorBidi" w:hAnsiTheme="majorBidi" w:cstheme="majorBidi"/>
        </w:rPr>
      </w:pPr>
      <w:r w:rsidRPr="00950D73">
        <w:rPr>
          <w:rFonts w:asciiTheme="majorBidi" w:hAnsiTheme="majorBidi" w:cstheme="majorBidi"/>
        </w:rPr>
        <w:t>3.2.3.1.3</w:t>
      </w:r>
      <w:r w:rsidRPr="00950D73">
        <w:rPr>
          <w:rFonts w:asciiTheme="majorBidi" w:hAnsiTheme="majorBidi" w:cstheme="majorBidi"/>
        </w:rPr>
        <w:tab/>
        <w:t>Modifier pour lire comme suit :</w:t>
      </w:r>
    </w:p>
    <w:p w14:paraId="2D50189D" w14:textId="77777777"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 xml:space="preserve">« Un mélange ayant un pH extrême (≤ 2 ou ≥ 11,5) est considéré comme corrosif (catégorie 1) à l’étape 4 s’il présente une réserve acide/alcaline significative ou s’il n’existe pas de données concernant la réserve </w:t>
      </w:r>
      <w:r w:rsidRPr="00950D73">
        <w:rPr>
          <w:rFonts w:asciiTheme="majorBidi" w:hAnsiTheme="majorBidi" w:cstheme="majorBidi"/>
        </w:rPr>
        <w:lastRenderedPageBreak/>
        <w:t>acide/alcaline. Toutefois, si l’examen de la réserve acide/alcaline laisse penser que le mélange pourrait ne pas être corrosif en dépit d’un pH extrême, le résultat est jugé non concluant à l’étape 4 (voir la figure 3.2.1). Si l’évaluation globale de la force probante des données n’est toujours pas concluante ou s’il n’existe pas d’autres données que le pH et la réserve acide/alcaline, les mélanges ayant un pH extrême (≤ 2 ou ≥ 11,5) et une réserve acide/alcaline négligeable doivent être évalués à l’aide des principes d’extrapolation décrits au 3.2.3.2. Si les principes d’extrapolation ne peuvent être appliqués, les mélanges ayant un pH extrême (≤ 2 ou ≥ 11,5) et une réserve acide/alcaline négligeable doivent être classés dans la catégorie 1 en ce qui concerne les effets cutanés (voir la figure 3.2.2). Une valeur de pH &gt; 2 ou &lt; 11,5 est considérée comme non concluante et ne peut être utilisée aux fins de classement. La réserve acide/alcaline et le pH peuvent être déterminés à l’aide de différentes méthodes, notamment celles décrites dans la ligne directrice 122 de l’OCDE et dans Young et al. (1988), en tenant compte des différences qui existent entre ces méthodes (voir 3.2.5.3.6). Une autorité compétente peut décider quels critères appliquer pour déterminer si une réserve acide/alcaline est significative. ».</w:t>
      </w:r>
    </w:p>
    <w:p w14:paraId="74CD132D" w14:textId="77777777" w:rsidR="004746F1" w:rsidRPr="00950D73" w:rsidRDefault="004746F1" w:rsidP="004746F1">
      <w:pPr>
        <w:spacing w:after="120"/>
        <w:ind w:left="1134" w:right="1134"/>
        <w:jc w:val="both"/>
        <w:rPr>
          <w:rFonts w:asciiTheme="majorBidi" w:hAnsiTheme="majorBidi" w:cstheme="majorBidi"/>
        </w:rPr>
      </w:pPr>
      <w:r w:rsidRPr="00950D73">
        <w:rPr>
          <w:rFonts w:asciiTheme="majorBidi" w:hAnsiTheme="majorBidi" w:cstheme="majorBidi"/>
        </w:rPr>
        <w:t>3.2.3.2.5</w:t>
      </w:r>
      <w:r w:rsidRPr="00950D73">
        <w:rPr>
          <w:rFonts w:asciiTheme="majorBidi" w:hAnsiTheme="majorBidi" w:cstheme="majorBidi"/>
        </w:rPr>
        <w:tab/>
        <w:t>Modification sans objet en français.</w:t>
      </w:r>
    </w:p>
    <w:p w14:paraId="64EB69ED" w14:textId="77777777" w:rsidR="000D3B28" w:rsidRPr="00950D73" w:rsidRDefault="000D3B28" w:rsidP="000D3B28">
      <w:pPr>
        <w:pStyle w:val="SingleTxtG"/>
        <w:rPr>
          <w:rFonts w:asciiTheme="majorBidi" w:hAnsiTheme="majorBidi" w:cstheme="majorBidi"/>
        </w:rPr>
      </w:pPr>
      <w:r w:rsidRPr="00950D73">
        <w:rPr>
          <w:rFonts w:asciiTheme="majorBidi" w:hAnsiTheme="majorBidi" w:cstheme="majorBidi"/>
        </w:rPr>
        <w:t>3.2.3.2.7</w:t>
      </w:r>
      <w:r w:rsidRPr="00950D73">
        <w:rPr>
          <w:rFonts w:asciiTheme="majorBidi" w:hAnsiTheme="majorBidi" w:cstheme="majorBidi"/>
        </w:rPr>
        <w:tab/>
        <w:t>Modification sans objet en français.</w:t>
      </w:r>
    </w:p>
    <w:p w14:paraId="5BE5FCF3" w14:textId="2ED13895" w:rsidR="003C575F" w:rsidRPr="00950D73" w:rsidRDefault="003C3480" w:rsidP="003C3480">
      <w:pPr>
        <w:pStyle w:val="SingleTxtG"/>
        <w:ind w:left="2268" w:hanging="1134"/>
        <w:rPr>
          <w:rFonts w:asciiTheme="majorBidi" w:hAnsiTheme="majorBidi" w:cstheme="majorBidi"/>
        </w:rPr>
      </w:pPr>
      <w:r w:rsidRPr="00950D73">
        <w:rPr>
          <w:rFonts w:asciiTheme="majorBidi" w:hAnsiTheme="majorBidi" w:cstheme="majorBidi"/>
        </w:rPr>
        <w:t>3.2.3.3.1</w:t>
      </w:r>
      <w:r w:rsidRPr="00950D73">
        <w:rPr>
          <w:rFonts w:asciiTheme="majorBidi" w:hAnsiTheme="majorBidi" w:cstheme="majorBidi"/>
        </w:rPr>
        <w:tab/>
        <w:t>À la fin du premier paragraphe, après « est admise », ajouter « et s’applique s’il y a lieu à la méthode par étapes concernant les mélanges (voir 1.3.2.3) ».</w:t>
      </w:r>
    </w:p>
    <w:p w14:paraId="3DF72F48" w14:textId="43D55784" w:rsidR="00D93D08" w:rsidRPr="00950D73" w:rsidRDefault="004746F1" w:rsidP="002A6DF4">
      <w:pPr>
        <w:pStyle w:val="SingleTxtG"/>
        <w:ind w:left="2268" w:hanging="1134"/>
        <w:rPr>
          <w:rFonts w:asciiTheme="majorBidi" w:hAnsiTheme="majorBidi" w:cstheme="majorBidi"/>
        </w:rPr>
      </w:pPr>
      <w:r w:rsidRPr="00950D73">
        <w:rPr>
          <w:rFonts w:asciiTheme="majorBidi" w:hAnsiTheme="majorBidi" w:cstheme="majorBidi"/>
        </w:rPr>
        <w:t>3.2.3.3.4</w:t>
      </w:r>
      <w:r w:rsidRPr="00950D73">
        <w:rPr>
          <w:rFonts w:asciiTheme="majorBidi" w:hAnsiTheme="majorBidi" w:cstheme="majorBidi"/>
        </w:rPr>
        <w:tab/>
      </w:r>
      <w:r w:rsidR="003B3A47" w:rsidRPr="00950D73">
        <w:rPr>
          <w:rFonts w:asciiTheme="majorBidi" w:hAnsiTheme="majorBidi" w:cstheme="majorBidi"/>
        </w:rPr>
        <w:t>Modifier la première phrase pour lire comme suit : « </w:t>
      </w:r>
      <w:r w:rsidR="00D93D08" w:rsidRPr="00950D73">
        <w:rPr>
          <w:rFonts w:asciiTheme="majorBidi" w:hAnsiTheme="majorBidi" w:cstheme="majorBidi"/>
        </w:rPr>
        <w:t xml:space="preserve">Il faut apporter un soin particulier lors de la classification de </w:t>
      </w:r>
      <w:r w:rsidR="0053051C" w:rsidRPr="00950D73">
        <w:rPr>
          <w:rFonts w:asciiTheme="majorBidi" w:hAnsiTheme="majorBidi" w:cstheme="majorBidi"/>
        </w:rPr>
        <w:t xml:space="preserve">mélanges contenant </w:t>
      </w:r>
      <w:r w:rsidR="00D93D08" w:rsidRPr="00950D73">
        <w:rPr>
          <w:rFonts w:asciiTheme="majorBidi" w:hAnsiTheme="majorBidi" w:cstheme="majorBidi"/>
        </w:rPr>
        <w:t xml:space="preserve">certaines catégories de </w:t>
      </w:r>
      <w:r w:rsidR="002A6DF4" w:rsidRPr="00950D73">
        <w:rPr>
          <w:rFonts w:asciiTheme="majorBidi" w:hAnsiTheme="majorBidi" w:cstheme="majorBidi"/>
        </w:rPr>
        <w:t>substances</w:t>
      </w:r>
      <w:r w:rsidR="00D93D08" w:rsidRPr="00950D73">
        <w:rPr>
          <w:rFonts w:asciiTheme="majorBidi" w:hAnsiTheme="majorBidi" w:cstheme="majorBidi"/>
        </w:rPr>
        <w:t xml:space="preserve"> tels qu’acides, bases, sels inorganiques, aldéhydes, phénols et tensioactifs</w:t>
      </w:r>
      <w:r w:rsidR="002A6DF4" w:rsidRPr="00950D73">
        <w:rPr>
          <w:rFonts w:asciiTheme="majorBidi" w:hAnsiTheme="majorBidi" w:cstheme="majorBidi"/>
        </w:rPr>
        <w:t>. »</w:t>
      </w:r>
    </w:p>
    <w:p w14:paraId="7A65A4DF" w14:textId="06C1760F" w:rsidR="004746F1" w:rsidRPr="00950D73" w:rsidRDefault="00D55D5D" w:rsidP="0036713C">
      <w:pPr>
        <w:spacing w:after="120"/>
        <w:ind w:left="2268" w:right="1134"/>
        <w:jc w:val="both"/>
        <w:rPr>
          <w:rFonts w:asciiTheme="majorBidi" w:hAnsiTheme="majorBidi" w:cstheme="majorBidi"/>
        </w:rPr>
      </w:pPr>
      <w:r w:rsidRPr="00950D73">
        <w:rPr>
          <w:rFonts w:asciiTheme="majorBidi" w:hAnsiTheme="majorBidi" w:cstheme="majorBidi"/>
        </w:rPr>
        <w:lastRenderedPageBreak/>
        <w:tab/>
      </w:r>
      <w:r w:rsidR="004746F1" w:rsidRPr="00950D73">
        <w:rPr>
          <w:rFonts w:asciiTheme="majorBidi" w:hAnsiTheme="majorBidi" w:cstheme="majorBidi"/>
        </w:rPr>
        <w:t>Modifier le milieu de la troisième phrase pour lire comme suit : « …le pH est le critère de classification (voir 3.2.3.1.3) car le pH extrême offre... ».</w:t>
      </w:r>
    </w:p>
    <w:p w14:paraId="30AA9F11" w14:textId="34DB6694" w:rsidR="00BB539B" w:rsidRPr="00950D73" w:rsidRDefault="0030191F" w:rsidP="0027408D">
      <w:pPr>
        <w:pStyle w:val="SingleTxtG"/>
        <w:ind w:left="2268" w:hanging="1134"/>
        <w:rPr>
          <w:rFonts w:asciiTheme="majorBidi" w:hAnsiTheme="majorBidi" w:cstheme="majorBidi"/>
        </w:rPr>
      </w:pPr>
      <w:r w:rsidRPr="00950D73">
        <w:rPr>
          <w:rFonts w:asciiTheme="majorBidi" w:hAnsiTheme="majorBidi" w:cstheme="majorBidi"/>
        </w:rPr>
        <w:t>3.2.3.3.</w:t>
      </w:r>
      <w:r w:rsidR="00537082" w:rsidRPr="00950D73">
        <w:rPr>
          <w:rFonts w:asciiTheme="majorBidi" w:hAnsiTheme="majorBidi" w:cstheme="majorBidi"/>
        </w:rPr>
        <w:t>5</w:t>
      </w:r>
      <w:r w:rsidRPr="00950D73">
        <w:rPr>
          <w:rFonts w:asciiTheme="majorBidi" w:hAnsiTheme="majorBidi" w:cstheme="majorBidi"/>
        </w:rPr>
        <w:tab/>
      </w:r>
      <w:r w:rsidR="0027408D" w:rsidRPr="00950D73">
        <w:rPr>
          <w:rFonts w:asciiTheme="majorBidi" w:hAnsiTheme="majorBidi" w:cstheme="majorBidi"/>
        </w:rPr>
        <w:t xml:space="preserve">La modification </w:t>
      </w:r>
      <w:r w:rsidR="00510CA5" w:rsidRPr="00950D73">
        <w:rPr>
          <w:rFonts w:asciiTheme="majorBidi" w:hAnsiTheme="majorBidi" w:cstheme="majorBidi"/>
        </w:rPr>
        <w:t xml:space="preserve">applicable </w:t>
      </w:r>
      <w:r w:rsidR="0027408D" w:rsidRPr="00950D73">
        <w:rPr>
          <w:rFonts w:asciiTheme="majorBidi" w:hAnsiTheme="majorBidi" w:cstheme="majorBidi"/>
        </w:rPr>
        <w:t>à la première phrase est sans objet en français.</w:t>
      </w:r>
    </w:p>
    <w:p w14:paraId="5B03B2B0" w14:textId="77777777" w:rsidR="00142881" w:rsidRPr="00950D73" w:rsidRDefault="00142881" w:rsidP="003229BF">
      <w:pPr>
        <w:pStyle w:val="Bullet2G"/>
        <w:numPr>
          <w:ilvl w:val="0"/>
          <w:numId w:val="0"/>
        </w:numPr>
        <w:ind w:left="2268"/>
        <w:rPr>
          <w:rFonts w:asciiTheme="majorBidi" w:hAnsiTheme="majorBidi" w:cstheme="majorBidi"/>
        </w:rPr>
      </w:pPr>
      <w:r w:rsidRPr="00950D73">
        <w:rPr>
          <w:rFonts w:asciiTheme="majorBidi" w:hAnsiTheme="majorBidi" w:cstheme="majorBidi"/>
        </w:rPr>
        <w:t>Supprimer « </w:t>
      </w:r>
      <w:r w:rsidRPr="00950D73">
        <w:rPr>
          <w:rFonts w:asciiTheme="majorBidi" w:hAnsiTheme="majorBidi" w:cstheme="majorBidi"/>
          <w:i/>
          <w:iCs/>
        </w:rPr>
        <w:t>Utilisation de valeurs seuil ou de limites de concentration</w:t>
      </w:r>
      <w:r w:rsidRPr="00950D73">
        <w:rPr>
          <w:rFonts w:asciiTheme="majorBidi" w:hAnsiTheme="majorBidi" w:cstheme="majorBidi"/>
        </w:rPr>
        <w:t> » dans la parenthèse de la deuxième phrase.</w:t>
      </w:r>
    </w:p>
    <w:p w14:paraId="49A2A5E5" w14:textId="4E0EEC9D" w:rsidR="00142881" w:rsidRPr="00950D73" w:rsidRDefault="00510CA5" w:rsidP="003229BF">
      <w:pPr>
        <w:pStyle w:val="Bullet2G"/>
        <w:numPr>
          <w:ilvl w:val="0"/>
          <w:numId w:val="0"/>
        </w:numPr>
        <w:ind w:left="2268"/>
        <w:rPr>
          <w:rFonts w:asciiTheme="majorBidi" w:hAnsiTheme="majorBidi" w:cstheme="majorBidi"/>
        </w:rPr>
      </w:pPr>
      <w:r w:rsidRPr="00950D73">
        <w:rPr>
          <w:rFonts w:asciiTheme="majorBidi" w:hAnsiTheme="majorBidi" w:cstheme="majorBidi"/>
        </w:rPr>
        <w:t xml:space="preserve">La modification </w:t>
      </w:r>
      <w:r w:rsidR="007E0836" w:rsidRPr="00950D73">
        <w:rPr>
          <w:rFonts w:asciiTheme="majorBidi" w:hAnsiTheme="majorBidi" w:cstheme="majorBidi"/>
        </w:rPr>
        <w:t>applicable</w:t>
      </w:r>
      <w:r w:rsidRPr="00950D73">
        <w:rPr>
          <w:rFonts w:asciiTheme="majorBidi" w:hAnsiTheme="majorBidi" w:cstheme="majorBidi"/>
        </w:rPr>
        <w:t xml:space="preserve"> à la </w:t>
      </w:r>
      <w:r w:rsidR="00142881" w:rsidRPr="00950D73">
        <w:rPr>
          <w:rFonts w:asciiTheme="majorBidi" w:hAnsiTheme="majorBidi" w:cstheme="majorBidi"/>
        </w:rPr>
        <w:t>troisième phrase</w:t>
      </w:r>
      <w:r w:rsidR="007E0836" w:rsidRPr="00950D73">
        <w:rPr>
          <w:rFonts w:asciiTheme="majorBidi" w:hAnsiTheme="majorBidi" w:cstheme="majorBidi"/>
        </w:rPr>
        <w:t xml:space="preserve"> est</w:t>
      </w:r>
      <w:r w:rsidR="00142881" w:rsidRPr="00950D73">
        <w:rPr>
          <w:rFonts w:asciiTheme="majorBidi" w:hAnsiTheme="majorBidi" w:cstheme="majorBidi"/>
        </w:rPr>
        <w:t xml:space="preserve"> sans objet en français.</w:t>
      </w:r>
    </w:p>
    <w:p w14:paraId="4EE55BEF" w14:textId="5FC973DD" w:rsidR="00BD5402" w:rsidRPr="00950D73" w:rsidRDefault="00BD5402" w:rsidP="003229BF">
      <w:pPr>
        <w:pStyle w:val="SingleTxtG"/>
        <w:ind w:left="2268"/>
        <w:rPr>
          <w:rFonts w:asciiTheme="majorBidi" w:hAnsiTheme="majorBidi" w:cstheme="majorBidi"/>
        </w:rPr>
      </w:pPr>
      <w:r w:rsidRPr="00950D73">
        <w:rPr>
          <w:rFonts w:asciiTheme="majorBidi" w:hAnsiTheme="majorBidi" w:cstheme="majorBidi"/>
        </w:rPr>
        <w:t>Supprimer la dernière phrase du paragraphe (« Dans ces situations</w:t>
      </w:r>
      <w:r w:rsidR="00753BC7" w:rsidRPr="00950D73">
        <w:rPr>
          <w:rFonts w:asciiTheme="majorBidi" w:hAnsiTheme="majorBidi" w:cstheme="majorBidi"/>
        </w:rPr>
        <w:t>…</w:t>
      </w:r>
      <w:r w:rsidR="00FE2B0A" w:rsidRPr="00950D73">
        <w:rPr>
          <w:rFonts w:asciiTheme="majorBidi" w:hAnsiTheme="majorBidi" w:cstheme="majorBidi"/>
        </w:rPr>
        <w:t xml:space="preserve"> figure</w:t>
      </w:r>
      <w:r w:rsidR="00A33A36" w:rsidRPr="00950D73">
        <w:rPr>
          <w:rFonts w:asciiTheme="majorBidi" w:hAnsiTheme="majorBidi" w:cstheme="majorBidi"/>
        </w:rPr>
        <w:t> </w:t>
      </w:r>
      <w:r w:rsidR="00FE2B0A" w:rsidRPr="00950D73">
        <w:rPr>
          <w:rFonts w:asciiTheme="majorBidi" w:hAnsiTheme="majorBidi" w:cstheme="majorBidi"/>
        </w:rPr>
        <w:t>3.2.1</w:t>
      </w:r>
      <w:r w:rsidRPr="00950D73">
        <w:rPr>
          <w:rFonts w:asciiTheme="majorBidi" w:hAnsiTheme="majorBidi" w:cstheme="majorBidi"/>
        </w:rPr>
        <w:t> »).</w:t>
      </w:r>
    </w:p>
    <w:p w14:paraId="600152BE" w14:textId="25201939" w:rsidR="00323AA7" w:rsidRPr="00950D73" w:rsidRDefault="00323AA7" w:rsidP="003229BF">
      <w:pPr>
        <w:pStyle w:val="SingleTxtG"/>
        <w:ind w:left="2268" w:hanging="1134"/>
        <w:rPr>
          <w:rFonts w:asciiTheme="majorBidi" w:hAnsiTheme="majorBidi" w:cstheme="majorBidi"/>
        </w:rPr>
      </w:pPr>
      <w:r w:rsidRPr="00950D73">
        <w:rPr>
          <w:rFonts w:asciiTheme="majorBidi" w:hAnsiTheme="majorBidi" w:cstheme="majorBidi"/>
        </w:rPr>
        <w:t>3.2.4</w:t>
      </w:r>
      <w:r w:rsidRPr="00950D73">
        <w:rPr>
          <w:rFonts w:asciiTheme="majorBidi" w:hAnsiTheme="majorBidi" w:cstheme="majorBidi"/>
        </w:rPr>
        <w:tab/>
      </w:r>
      <w:r w:rsidRPr="00950D73">
        <w:rPr>
          <w:rFonts w:asciiTheme="majorBidi" w:hAnsiTheme="majorBidi" w:cstheme="majorBidi"/>
        </w:rPr>
        <w:tab/>
      </w:r>
      <w:r w:rsidR="007A2A1A" w:rsidRPr="00950D73">
        <w:rPr>
          <w:rFonts w:asciiTheme="majorBidi" w:hAnsiTheme="majorBidi" w:cstheme="majorBidi"/>
        </w:rPr>
        <w:t xml:space="preserve">Modifier </w:t>
      </w:r>
      <w:r w:rsidRPr="00950D73">
        <w:rPr>
          <w:rFonts w:asciiTheme="majorBidi" w:hAnsiTheme="majorBidi" w:cstheme="majorBidi"/>
        </w:rPr>
        <w:t>la dernière phrase du paragraphe</w:t>
      </w:r>
      <w:r w:rsidR="007A2A1A" w:rsidRPr="00950D73">
        <w:rPr>
          <w:rFonts w:asciiTheme="majorBidi" w:hAnsiTheme="majorBidi" w:cstheme="majorBidi"/>
        </w:rPr>
        <w:t xml:space="preserve"> pour lire comme suit : </w:t>
      </w:r>
      <w:r w:rsidRPr="00950D73">
        <w:rPr>
          <w:rFonts w:asciiTheme="majorBidi" w:hAnsiTheme="majorBidi" w:cstheme="majorBidi"/>
        </w:rPr>
        <w:t>« Le tableau 3.2.5 présente les éléments d’étiquetage attribués aux substances et mélanges classés dans cette classe de danger d’après les critères exposés dans le présent chapitre. ».</w:t>
      </w:r>
    </w:p>
    <w:p w14:paraId="28730536" w14:textId="42161324" w:rsidR="004746F1" w:rsidRPr="00950D73" w:rsidRDefault="004746F1" w:rsidP="00E52C47">
      <w:pPr>
        <w:pStyle w:val="SingleTxtG"/>
        <w:ind w:left="2268" w:hanging="1134"/>
        <w:rPr>
          <w:rFonts w:asciiTheme="majorBidi" w:hAnsiTheme="majorBidi" w:cstheme="majorBidi"/>
        </w:rPr>
      </w:pPr>
      <w:r w:rsidRPr="00950D73">
        <w:rPr>
          <w:rFonts w:asciiTheme="majorBidi" w:hAnsiTheme="majorBidi" w:cstheme="majorBidi"/>
        </w:rPr>
        <w:t>3.2.5.1</w:t>
      </w:r>
      <w:r w:rsidRPr="00950D73">
        <w:rPr>
          <w:rFonts w:asciiTheme="majorBidi" w:hAnsiTheme="majorBidi" w:cstheme="majorBidi"/>
        </w:rPr>
        <w:tab/>
      </w:r>
      <w:r w:rsidRPr="00950D73">
        <w:rPr>
          <w:rFonts w:asciiTheme="majorBidi" w:hAnsiTheme="majorBidi" w:cstheme="majorBidi"/>
        </w:rPr>
        <w:tab/>
      </w:r>
      <w:r w:rsidRPr="00366848">
        <w:rPr>
          <w:rFonts w:asciiTheme="majorBidi" w:hAnsiTheme="majorBidi" w:cstheme="majorBidi"/>
        </w:rPr>
        <w:t>Dans le diagramme de décision 3.2.1, modifier la question commençant par « </w:t>
      </w:r>
      <w:r w:rsidRPr="00366848">
        <w:rPr>
          <w:rFonts w:asciiTheme="majorBidi" w:hAnsiTheme="majorBidi" w:cstheme="majorBidi"/>
          <w:b/>
          <w:bCs/>
        </w:rPr>
        <w:t>La substance ou le mélange</w:t>
      </w:r>
      <w:r w:rsidRPr="00366848">
        <w:rPr>
          <w:rFonts w:asciiTheme="majorBidi" w:hAnsiTheme="majorBidi" w:cstheme="majorBidi"/>
        </w:rPr>
        <w:t xml:space="preserve"> sont-ils » pour lire comme suit :</w:t>
      </w:r>
    </w:p>
    <w:p w14:paraId="5F9BA861" w14:textId="77777777" w:rsidR="004746F1" w:rsidRPr="00950D73" w:rsidRDefault="004746F1" w:rsidP="004746F1">
      <w:pPr>
        <w:spacing w:after="120"/>
        <w:ind w:left="2268" w:right="1134"/>
        <w:jc w:val="both"/>
        <w:rPr>
          <w:rFonts w:asciiTheme="majorBidi" w:hAnsiTheme="majorBidi" w:cstheme="majorBidi"/>
        </w:rPr>
      </w:pPr>
      <w:r w:rsidRPr="00950D73">
        <w:rPr>
          <w:rFonts w:asciiTheme="majorBidi" w:hAnsiTheme="majorBidi" w:cstheme="majorBidi"/>
        </w:rPr>
        <w:t>« </w:t>
      </w:r>
      <w:r w:rsidRPr="00950D73">
        <w:rPr>
          <w:rFonts w:asciiTheme="majorBidi" w:hAnsiTheme="majorBidi" w:cstheme="majorBidi"/>
          <w:b/>
          <w:bCs/>
        </w:rPr>
        <w:t>La substance ou le mélange</w:t>
      </w:r>
      <w:r w:rsidRPr="00950D73">
        <w:rPr>
          <w:rFonts w:asciiTheme="majorBidi" w:hAnsiTheme="majorBidi" w:cstheme="majorBidi"/>
        </w:rPr>
        <w:t xml:space="preserve"> sont-ils </w:t>
      </w:r>
      <w:r w:rsidRPr="00950D73">
        <w:rPr>
          <w:rFonts w:asciiTheme="majorBidi" w:hAnsiTheme="majorBidi" w:cstheme="majorBidi"/>
          <w:b/>
          <w:bCs/>
        </w:rPr>
        <w:t>corrosifs, irritants ou irritants légers</w:t>
      </w:r>
      <w:r w:rsidRPr="00950D73">
        <w:rPr>
          <w:rFonts w:asciiTheme="majorBidi" w:hAnsiTheme="majorBidi" w:cstheme="majorBidi"/>
        </w:rPr>
        <w:t xml:space="preserve"> (voir 3.2.2 et 3.2.3.1) conformément à la méthode par étapes (voir 3.2.2.8 et figures 3.2.1 et 3.2.2) ? ».</w:t>
      </w:r>
    </w:p>
    <w:p w14:paraId="7197812E" w14:textId="77777777" w:rsidR="004746F1" w:rsidRPr="00950D73" w:rsidRDefault="004746F1" w:rsidP="004746F1">
      <w:pPr>
        <w:spacing w:after="200" w:line="276" w:lineRule="auto"/>
        <w:rPr>
          <w:rFonts w:asciiTheme="majorBidi" w:hAnsiTheme="majorBidi" w:cstheme="majorBidi"/>
        </w:rPr>
      </w:pPr>
      <w:r w:rsidRPr="00950D73">
        <w:rPr>
          <w:rFonts w:asciiTheme="majorBidi" w:hAnsiTheme="majorBidi" w:cstheme="majorBidi"/>
        </w:rPr>
        <w:br w:type="page"/>
      </w:r>
    </w:p>
    <w:p w14:paraId="5C43A9C9" w14:textId="77777777" w:rsidR="004746F1" w:rsidRPr="00950D73" w:rsidRDefault="004746F1" w:rsidP="004746F1">
      <w:pPr>
        <w:tabs>
          <w:tab w:val="left" w:pos="2268"/>
        </w:tabs>
        <w:spacing w:line="240" w:lineRule="auto"/>
        <w:ind w:left="1134"/>
        <w:rPr>
          <w:rFonts w:asciiTheme="majorBidi" w:hAnsiTheme="majorBidi" w:cstheme="majorBidi"/>
          <w:bCs/>
        </w:rPr>
      </w:pPr>
      <w:r w:rsidRPr="00366848">
        <w:rPr>
          <w:rFonts w:asciiTheme="majorBidi" w:hAnsiTheme="majorBidi" w:cstheme="majorBidi"/>
        </w:rPr>
        <w:lastRenderedPageBreak/>
        <w:t>3.2.5.2</w:t>
      </w:r>
      <w:r w:rsidRPr="00366848">
        <w:rPr>
          <w:rFonts w:asciiTheme="majorBidi" w:hAnsiTheme="majorBidi" w:cstheme="majorBidi"/>
        </w:rPr>
        <w:tab/>
        <w:t>Remplacer le diagramme de décision 3.2.2 par ce qui suit :</w:t>
      </w:r>
    </w:p>
    <w:p w14:paraId="2AD56966" w14:textId="77777777" w:rsidR="004746F1" w:rsidRPr="00950D73" w:rsidRDefault="004746F1" w:rsidP="004746F1">
      <w:pPr>
        <w:spacing w:line="240" w:lineRule="auto"/>
        <w:ind w:left="1134"/>
        <w:rPr>
          <w:rFonts w:asciiTheme="majorBidi" w:hAnsiTheme="majorBidi" w:cstheme="majorBidi"/>
        </w:rPr>
      </w:pPr>
      <w:r w:rsidRPr="00950D73">
        <w:rPr>
          <w:rFonts w:asciiTheme="majorBidi" w:hAnsiTheme="majorBidi" w:cstheme="majorBidi"/>
        </w:rPr>
        <w:t xml:space="preserve">« </w:t>
      </w:r>
    </w:p>
    <w:p w14:paraId="58393EAD" w14:textId="792CB266" w:rsidR="004746F1" w:rsidRPr="00950D73" w:rsidRDefault="002E791C" w:rsidP="004746F1">
      <w:pPr>
        <w:spacing w:after="120"/>
        <w:ind w:left="1134" w:right="1134"/>
        <w:jc w:val="both"/>
        <w:rPr>
          <w:rFonts w:asciiTheme="majorBidi" w:hAnsiTheme="majorBidi" w:cstheme="majorBidi"/>
        </w:rPr>
      </w:pPr>
      <w:r w:rsidRPr="00950D73">
        <w:rPr>
          <w:rFonts w:asciiTheme="majorBidi" w:hAnsiTheme="majorBidi" w:cstheme="majorBidi"/>
        </w:rPr>
        <w:object w:dxaOrig="7586" w:dyaOrig="11485" w14:anchorId="5E262A2C">
          <v:shape id="_x0000_i1027" type="#_x0000_t75" style="width:380.1pt;height:574.8pt" o:ole="">
            <v:imagedata r:id="rId16" o:title=""/>
          </v:shape>
          <o:OLEObject Type="Embed" ProgID="Visio.Drawing.15" ShapeID="_x0000_i1027" DrawAspect="Content" ObjectID="_1745040347" r:id="rId17"/>
        </w:object>
      </w:r>
    </w:p>
    <w:p w14:paraId="27265DC6" w14:textId="77777777" w:rsidR="004746F1" w:rsidRPr="00950D73" w:rsidRDefault="004746F1" w:rsidP="004746F1">
      <w:pPr>
        <w:spacing w:line="240" w:lineRule="auto"/>
        <w:ind w:left="567" w:right="1134"/>
        <w:jc w:val="right"/>
        <w:rPr>
          <w:rFonts w:asciiTheme="majorBidi" w:hAnsiTheme="majorBidi" w:cstheme="majorBidi"/>
        </w:rPr>
      </w:pPr>
      <w:r w:rsidRPr="00950D73">
        <w:rPr>
          <w:rFonts w:asciiTheme="majorBidi" w:hAnsiTheme="majorBidi" w:cstheme="majorBidi"/>
        </w:rPr>
        <w:t> ».</w:t>
      </w:r>
    </w:p>
    <w:p w14:paraId="05E83020" w14:textId="3C06E1B8" w:rsidR="004746F1" w:rsidRPr="00950D73" w:rsidRDefault="004746F1" w:rsidP="004746F1">
      <w:pPr>
        <w:spacing w:after="120"/>
        <w:ind w:left="1134" w:right="1134"/>
        <w:jc w:val="both"/>
        <w:rPr>
          <w:rFonts w:asciiTheme="majorBidi" w:hAnsiTheme="majorBidi" w:cstheme="majorBidi"/>
        </w:rPr>
      </w:pPr>
      <w:r w:rsidRPr="00950D73">
        <w:rPr>
          <w:rFonts w:asciiTheme="majorBidi" w:hAnsiTheme="majorBidi" w:cstheme="majorBidi"/>
        </w:rPr>
        <w:t>Dans la note 2 de bas de page, remplacer « </w:t>
      </w:r>
      <w:r w:rsidRPr="00950D73">
        <w:rPr>
          <w:rFonts w:asciiTheme="majorBidi" w:hAnsiTheme="majorBidi" w:cstheme="majorBidi"/>
          <w:i/>
          <w:iCs/>
        </w:rPr>
        <w:t>voir 3.2.3.3.6</w:t>
      </w:r>
      <w:r w:rsidRPr="00950D73">
        <w:rPr>
          <w:rFonts w:asciiTheme="majorBidi" w:hAnsiTheme="majorBidi" w:cstheme="majorBidi"/>
        </w:rPr>
        <w:t> » par « </w:t>
      </w:r>
      <w:r w:rsidRPr="00950D73">
        <w:rPr>
          <w:rFonts w:asciiTheme="majorBidi" w:hAnsiTheme="majorBidi" w:cstheme="majorBidi"/>
          <w:i/>
          <w:iCs/>
        </w:rPr>
        <w:t>voir 3.2.3.3.5 et 3.2.3.3.6</w:t>
      </w:r>
      <w:r w:rsidRPr="00950D73">
        <w:rPr>
          <w:rFonts w:asciiTheme="majorBidi" w:hAnsiTheme="majorBidi" w:cstheme="majorBidi"/>
        </w:rPr>
        <w:t> ».</w:t>
      </w:r>
    </w:p>
    <w:p w14:paraId="378B0222" w14:textId="6D2A939E"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3.2.5.3.1</w:t>
      </w:r>
      <w:r w:rsidRPr="00950D73">
        <w:rPr>
          <w:rFonts w:asciiTheme="majorBidi" w:hAnsiTheme="majorBidi" w:cstheme="majorBidi"/>
        </w:rPr>
        <w:tab/>
        <w:t xml:space="preserve">Remplacer « méthode fondée sur la force probante des données » par « évaluation de la force probante des données ». </w:t>
      </w:r>
    </w:p>
    <w:p w14:paraId="6ADDA944" w14:textId="1C459A1B" w:rsidR="004746F1" w:rsidRPr="00950D73" w:rsidRDefault="004746F1" w:rsidP="004746F1">
      <w:pPr>
        <w:spacing w:after="120"/>
        <w:ind w:left="2268" w:right="1134" w:hanging="1134"/>
        <w:jc w:val="both"/>
        <w:rPr>
          <w:rFonts w:asciiTheme="majorBidi" w:hAnsiTheme="majorBidi" w:cstheme="majorBidi"/>
        </w:rPr>
      </w:pPr>
      <w:r w:rsidRPr="00950D73">
        <w:rPr>
          <w:rFonts w:asciiTheme="majorBidi" w:hAnsiTheme="majorBidi" w:cstheme="majorBidi"/>
        </w:rPr>
        <w:t>3.2.5.3.4</w:t>
      </w:r>
      <w:r w:rsidRPr="00950D73">
        <w:rPr>
          <w:rFonts w:asciiTheme="majorBidi" w:hAnsiTheme="majorBidi" w:cstheme="majorBidi"/>
        </w:rPr>
        <w:tab/>
      </w:r>
      <w:r w:rsidR="00785065" w:rsidRPr="00950D73">
        <w:rPr>
          <w:rFonts w:asciiTheme="majorBidi" w:hAnsiTheme="majorBidi" w:cstheme="majorBidi"/>
        </w:rPr>
        <w:t>Dans</w:t>
      </w:r>
      <w:r w:rsidRPr="00950D73">
        <w:rPr>
          <w:rFonts w:asciiTheme="majorBidi" w:hAnsiTheme="majorBidi" w:cstheme="majorBidi"/>
        </w:rPr>
        <w:t xml:space="preserve"> le titre du paragraphe </w:t>
      </w:r>
      <w:r w:rsidR="00785065" w:rsidRPr="00950D73">
        <w:rPr>
          <w:rFonts w:asciiTheme="majorBidi" w:hAnsiTheme="majorBidi" w:cstheme="majorBidi"/>
        </w:rPr>
        <w:t>remplacer « </w:t>
      </w:r>
      <w:r w:rsidR="00785065" w:rsidRPr="00950D73">
        <w:rPr>
          <w:rFonts w:asciiTheme="majorBidi" w:hAnsiTheme="majorBidi" w:cstheme="majorBidi"/>
          <w:i/>
          <w:iCs/>
        </w:rPr>
        <w:t>in-vitro</w:t>
      </w:r>
      <w:r w:rsidR="00785065" w:rsidRPr="00950D73">
        <w:rPr>
          <w:rFonts w:asciiTheme="majorBidi" w:hAnsiTheme="majorBidi" w:cstheme="majorBidi"/>
        </w:rPr>
        <w:t> » par « </w:t>
      </w:r>
      <w:r w:rsidR="00785065" w:rsidRPr="00950D73">
        <w:rPr>
          <w:rFonts w:asciiTheme="majorBidi" w:hAnsiTheme="majorBidi" w:cstheme="majorBidi"/>
          <w:i/>
          <w:iCs/>
        </w:rPr>
        <w:t>in vitro</w:t>
      </w:r>
      <w:r w:rsidR="00785065" w:rsidRPr="00950D73">
        <w:rPr>
          <w:rFonts w:asciiTheme="majorBidi" w:hAnsiTheme="majorBidi" w:cstheme="majorBidi"/>
        </w:rPr>
        <w:t> »</w:t>
      </w:r>
      <w:r w:rsidRPr="00950D73">
        <w:rPr>
          <w:rFonts w:asciiTheme="majorBidi" w:hAnsiTheme="majorBidi" w:cstheme="majorBidi"/>
        </w:rPr>
        <w:t>. Dans la première phrase, remplacer « et 439 » par « et/ou 439 ».</w:t>
      </w:r>
    </w:p>
    <w:p w14:paraId="292CF686" w14:textId="5382F89A" w:rsidR="003047EB" w:rsidRPr="00950D73" w:rsidRDefault="003047EB" w:rsidP="00AA0FBB">
      <w:pPr>
        <w:pStyle w:val="SingleTxtG"/>
        <w:ind w:left="2268" w:hanging="1134"/>
        <w:rPr>
          <w:rFonts w:asciiTheme="majorBidi" w:hAnsiTheme="majorBidi" w:cstheme="majorBidi"/>
        </w:rPr>
      </w:pPr>
      <w:r w:rsidRPr="00950D73">
        <w:rPr>
          <w:rFonts w:asciiTheme="majorBidi" w:hAnsiTheme="majorBidi" w:cstheme="majorBidi"/>
        </w:rPr>
        <w:t>3.2.5.3.5.2.6</w:t>
      </w:r>
      <w:r w:rsidRPr="00950D73">
        <w:rPr>
          <w:rFonts w:asciiTheme="majorBidi" w:hAnsiTheme="majorBidi" w:cstheme="majorBidi"/>
        </w:rPr>
        <w:tab/>
        <w:t>Remplacer « méthode fondée sur » par « évaluation de » dans la deuxième phrase.</w:t>
      </w:r>
    </w:p>
    <w:p w14:paraId="54B38A84" w14:textId="3D35AD88" w:rsidR="004746F1" w:rsidRPr="00950D73" w:rsidRDefault="004746F1" w:rsidP="004746F1">
      <w:pPr>
        <w:keepNext/>
        <w:keepLines/>
        <w:spacing w:after="120"/>
        <w:ind w:left="2268" w:right="1134" w:hanging="1134"/>
        <w:jc w:val="both"/>
        <w:rPr>
          <w:rFonts w:asciiTheme="majorBidi" w:hAnsiTheme="majorBidi" w:cstheme="majorBidi"/>
        </w:rPr>
      </w:pPr>
      <w:r w:rsidRPr="00950D73">
        <w:rPr>
          <w:rFonts w:asciiTheme="majorBidi" w:hAnsiTheme="majorBidi" w:cstheme="majorBidi"/>
        </w:rPr>
        <w:lastRenderedPageBreak/>
        <w:t>3.2.5.3.6</w:t>
      </w:r>
      <w:r w:rsidRPr="00950D73">
        <w:rPr>
          <w:rFonts w:asciiTheme="majorBidi" w:hAnsiTheme="majorBidi" w:cstheme="majorBidi"/>
        </w:rPr>
        <w:tab/>
        <w:t>Ajouter les nouveaux paragraphes ci-après :</w:t>
      </w:r>
    </w:p>
    <w:p w14:paraId="06D5CAB0" w14:textId="77777777" w:rsidR="004746F1" w:rsidRPr="00950D73" w:rsidRDefault="004746F1" w:rsidP="004746F1">
      <w:pPr>
        <w:keepNext/>
        <w:keepLines/>
        <w:spacing w:after="120"/>
        <w:ind w:left="2268" w:right="1134"/>
        <w:rPr>
          <w:rFonts w:asciiTheme="majorBidi" w:hAnsiTheme="majorBidi" w:cstheme="majorBidi"/>
          <w:i/>
          <w:iCs/>
        </w:rPr>
      </w:pPr>
      <w:r w:rsidRPr="00950D73">
        <w:rPr>
          <w:rFonts w:asciiTheme="majorBidi" w:hAnsiTheme="majorBidi" w:cstheme="majorBidi"/>
        </w:rPr>
        <w:t>« 3.2.5.3.6</w:t>
      </w:r>
      <w:r w:rsidRPr="00950D73">
        <w:rPr>
          <w:rFonts w:asciiTheme="majorBidi" w:hAnsiTheme="majorBidi" w:cstheme="majorBidi"/>
        </w:rPr>
        <w:tab/>
      </w:r>
      <w:r w:rsidRPr="00950D73">
        <w:rPr>
          <w:rFonts w:asciiTheme="majorBidi" w:hAnsiTheme="majorBidi" w:cstheme="majorBidi"/>
          <w:i/>
          <w:iCs/>
        </w:rPr>
        <w:t>Instructions d’utilisation du pH et de la réserve acide/alcaline pour le classement au titre de la corrosion cutanée ou de l’irritation cutanée</w:t>
      </w:r>
    </w:p>
    <w:p w14:paraId="52CD8885" w14:textId="77777777" w:rsidR="004746F1" w:rsidRPr="00950D73" w:rsidRDefault="004746F1" w:rsidP="004746F1">
      <w:pPr>
        <w:keepNext/>
        <w:keepLines/>
        <w:spacing w:after="120"/>
        <w:ind w:left="2268" w:right="1134"/>
        <w:jc w:val="both"/>
        <w:rPr>
          <w:rFonts w:asciiTheme="majorBidi" w:hAnsiTheme="majorBidi" w:cstheme="majorBidi"/>
        </w:rPr>
      </w:pPr>
      <w:r w:rsidRPr="00950D73">
        <w:rPr>
          <w:rFonts w:asciiTheme="majorBidi" w:hAnsiTheme="majorBidi" w:cstheme="majorBidi"/>
        </w:rPr>
        <w:t>3.2.5.3.6.1</w:t>
      </w:r>
      <w:r w:rsidRPr="00950D73">
        <w:rPr>
          <w:rFonts w:asciiTheme="majorBidi" w:hAnsiTheme="majorBidi" w:cstheme="majorBidi"/>
        </w:rPr>
        <w:tab/>
        <w:t>Les méthodes permettant de déterminer le pH, telles que la ligne directrice 122 de l’OCDE et la méthode décrite par Young et al. (1988), divergent en ce qui concerne la concentration de la substance ou du mélange dont le pH est déterminé, avec des valeurs de 1 %, 10 % et 100 %. La réserve acide/alcaline est aussi déterminée différemment entre ces méthodes, à savoir jusqu’à un pH de 7 pour les acides et les bases (ligne directrice 122 de l’OCDE) ou jusqu’à un pH de 4 pour les acides et de 10 pour les bases (Young et al., 1988). En outre, les unités utilisées pour exprimer la réserve acide/alcaline sont différentes entre ces deux méthodes.</w:t>
      </w:r>
    </w:p>
    <w:p w14:paraId="31FB3434" w14:textId="77777777" w:rsidR="004746F1" w:rsidRPr="00950D73" w:rsidRDefault="004746F1" w:rsidP="004746F1">
      <w:pPr>
        <w:keepNext/>
        <w:keepLines/>
        <w:spacing w:after="120"/>
        <w:ind w:left="2268" w:right="1134"/>
        <w:jc w:val="both"/>
        <w:rPr>
          <w:rFonts w:asciiTheme="majorBidi" w:hAnsiTheme="majorBidi" w:cstheme="majorBidi"/>
        </w:rPr>
      </w:pPr>
      <w:r w:rsidRPr="00950D73">
        <w:rPr>
          <w:rFonts w:asciiTheme="majorBidi" w:hAnsiTheme="majorBidi" w:cstheme="majorBidi"/>
        </w:rPr>
        <w:lastRenderedPageBreak/>
        <w:t>3.2.5.3.6.2</w:t>
      </w:r>
      <w:r w:rsidRPr="00950D73">
        <w:rPr>
          <w:rFonts w:asciiTheme="majorBidi" w:hAnsiTheme="majorBidi" w:cstheme="majorBidi"/>
        </w:rPr>
        <w:tab/>
        <w:t>Des critères permettant de déterminer les substances et les mélanges devant être classés dans la catégorie 1 pour les effets cutanés en fonction du pH et de la réserve acide/alcaline ont été mis au point, à partir d’une combinaison de valeurs de pH et de réserve acide/alcaline calculées selon une méthode particulière (Young et al., 1988). Il se peut donc que ces critères ne soient pas directement applicables lorsque d’autres concentrations ou méthodes d’essai sont utilisées pour mesurer le pH et la réserve acide/alcaline. Par ailleurs, l’étalonnage et la validation de ces critères étaient fondés sur un ensemble de données limité concernant les effets cutanés. La valeur prédictive de la combinaison du pH et de la réserve acide/alcaline pour la classification dans la catégorie 1 au titre des effets cutanés est donc limitée, en particulier pour les substances et les mélanges présentant un pH extrême, mais une réserve acide/alcaline négligeable. Les critères élaborés par Young et al</w:t>
      </w:r>
      <w:r w:rsidRPr="00950D73">
        <w:rPr>
          <w:rFonts w:asciiTheme="majorBidi" w:hAnsiTheme="majorBidi" w:cstheme="majorBidi"/>
          <w:i/>
          <w:iCs/>
        </w:rPr>
        <w:t>.</w:t>
      </w:r>
      <w:r w:rsidRPr="00950D73">
        <w:rPr>
          <w:rFonts w:asciiTheme="majorBidi" w:hAnsiTheme="majorBidi" w:cstheme="majorBidi"/>
        </w:rPr>
        <w:t xml:space="preserve"> (1988) pour la classification dans la catégorie 1 peuvent servir de point de départ pour déterminer si une substance ou un mélange a une réserve acide/alcaline significative ou négligeable. Une autorité compétente peut décider quels critères appliquer pour déterminer si une réserve acide/alcaline est significative. ».</w:t>
      </w:r>
    </w:p>
    <w:p w14:paraId="0D0E7939" w14:textId="77777777" w:rsidR="004746F1" w:rsidRPr="00464F7A" w:rsidRDefault="004746F1" w:rsidP="004746F1">
      <w:pPr>
        <w:spacing w:after="120"/>
        <w:ind w:left="1134" w:right="1134"/>
        <w:rPr>
          <w:rFonts w:asciiTheme="majorBidi" w:hAnsiTheme="majorBidi" w:cstheme="majorBidi"/>
          <w:lang w:val="en-US"/>
        </w:rPr>
      </w:pPr>
      <w:r w:rsidRPr="00464F7A">
        <w:rPr>
          <w:rFonts w:asciiTheme="majorBidi" w:hAnsiTheme="majorBidi" w:cstheme="majorBidi"/>
          <w:lang w:val="en-US"/>
        </w:rPr>
        <w:t>______________</w:t>
      </w:r>
    </w:p>
    <w:p w14:paraId="4B12AA09" w14:textId="77777777" w:rsidR="001364F4" w:rsidRPr="00464F7A" w:rsidRDefault="004746F1" w:rsidP="00037D8C">
      <w:pPr>
        <w:spacing w:before="240" w:after="160" w:line="220" w:lineRule="atLeast"/>
        <w:ind w:left="1134" w:right="1134"/>
        <w:outlineLvl w:val="2"/>
        <w:rPr>
          <w:rFonts w:asciiTheme="majorBidi" w:hAnsiTheme="majorBidi" w:cstheme="majorBidi"/>
          <w:i/>
          <w:iCs/>
          <w:color w:val="000000"/>
          <w:lang w:val="en-US" w:eastAsia="fr-FR"/>
        </w:rPr>
      </w:pPr>
      <w:r w:rsidRPr="00464F7A">
        <w:rPr>
          <w:rFonts w:asciiTheme="majorBidi" w:hAnsiTheme="majorBidi" w:cstheme="majorBidi"/>
          <w:color w:val="000000"/>
          <w:lang w:val="en-US" w:eastAsia="fr-FR"/>
        </w:rPr>
        <w:t xml:space="preserve">*  </w:t>
      </w:r>
      <w:proofErr w:type="spellStart"/>
      <w:r w:rsidRPr="00464F7A">
        <w:rPr>
          <w:rFonts w:asciiTheme="majorBidi" w:hAnsiTheme="majorBidi" w:cstheme="majorBidi"/>
          <w:i/>
          <w:iCs/>
          <w:color w:val="000000"/>
          <w:lang w:val="en-US" w:eastAsia="fr-FR"/>
        </w:rPr>
        <w:t>Références</w:t>
      </w:r>
      <w:proofErr w:type="spellEnd"/>
      <w:r w:rsidRPr="00464F7A">
        <w:rPr>
          <w:rFonts w:asciiTheme="majorBidi" w:hAnsiTheme="majorBidi" w:cstheme="majorBidi"/>
          <w:i/>
          <w:iCs/>
          <w:color w:val="000000"/>
          <w:lang w:val="en-US" w:eastAsia="fr-FR"/>
        </w:rPr>
        <w:t xml:space="preserve"> : </w:t>
      </w:r>
    </w:p>
    <w:p w14:paraId="7F4D3A5F" w14:textId="36007844" w:rsidR="004746F1" w:rsidRPr="00950D73" w:rsidRDefault="004746F1" w:rsidP="004746F1">
      <w:pPr>
        <w:spacing w:before="240" w:after="240" w:line="220" w:lineRule="atLeast"/>
        <w:ind w:left="1134" w:right="1134"/>
        <w:outlineLvl w:val="2"/>
        <w:rPr>
          <w:rFonts w:asciiTheme="majorBidi" w:hAnsiTheme="majorBidi" w:cstheme="majorBidi"/>
          <w:color w:val="000000"/>
          <w:lang w:eastAsia="fr-FR"/>
        </w:rPr>
      </w:pPr>
      <w:r w:rsidRPr="00464F7A">
        <w:rPr>
          <w:rFonts w:asciiTheme="majorBidi" w:hAnsiTheme="majorBidi" w:cstheme="majorBidi"/>
          <w:i/>
          <w:iCs/>
          <w:color w:val="000000"/>
          <w:lang w:val="en-US" w:eastAsia="fr-FR"/>
        </w:rPr>
        <w:t xml:space="preserve">J. R. Young, M. J. How, A. P. Walker et W. M. Worth. </w:t>
      </w:r>
      <w:r w:rsidRPr="007E44E1">
        <w:rPr>
          <w:rFonts w:asciiTheme="majorBidi" w:hAnsiTheme="majorBidi" w:cstheme="majorBidi"/>
          <w:i/>
          <w:iCs/>
          <w:color w:val="000000"/>
          <w:lang w:val="en-US" w:eastAsia="fr-FR"/>
        </w:rPr>
        <w:t xml:space="preserve">1988. Classification as corrosive or irritant to skin of preparations containing acidic or alkaline substances, without testing on animals. </w:t>
      </w:r>
      <w:proofErr w:type="spellStart"/>
      <w:r w:rsidRPr="00950D73">
        <w:rPr>
          <w:rFonts w:asciiTheme="majorBidi" w:hAnsiTheme="majorBidi" w:cstheme="majorBidi"/>
          <w:i/>
          <w:iCs/>
          <w:color w:val="000000"/>
          <w:lang w:eastAsia="fr-FR"/>
        </w:rPr>
        <w:t>Toxicol</w:t>
      </w:r>
      <w:proofErr w:type="spellEnd"/>
      <w:r w:rsidRPr="00950D73">
        <w:rPr>
          <w:rFonts w:asciiTheme="majorBidi" w:hAnsiTheme="majorBidi" w:cstheme="majorBidi"/>
          <w:i/>
          <w:iCs/>
          <w:color w:val="000000"/>
          <w:lang w:eastAsia="fr-FR"/>
        </w:rPr>
        <w:t xml:space="preserve">. In Vitro, 2(1): 19-26. </w:t>
      </w:r>
      <w:proofErr w:type="spellStart"/>
      <w:r w:rsidR="003A3828" w:rsidRPr="00950D73">
        <w:rPr>
          <w:rFonts w:asciiTheme="majorBidi" w:hAnsiTheme="majorBidi" w:cstheme="majorBidi"/>
          <w:i/>
          <w:iCs/>
          <w:color w:val="000000"/>
          <w:lang w:eastAsia="fr-FR"/>
        </w:rPr>
        <w:t>Doi</w:t>
      </w:r>
      <w:proofErr w:type="spellEnd"/>
      <w:r w:rsidRPr="00950D73">
        <w:rPr>
          <w:rFonts w:asciiTheme="majorBidi" w:hAnsiTheme="majorBidi" w:cstheme="majorBidi"/>
          <w:i/>
          <w:iCs/>
          <w:color w:val="000000"/>
          <w:lang w:eastAsia="fr-FR"/>
        </w:rPr>
        <w:t>: 10.1016/0887-2333(88)90032-x.</w:t>
      </w:r>
      <w:r w:rsidRPr="00950D73">
        <w:rPr>
          <w:rFonts w:asciiTheme="majorBidi" w:hAnsiTheme="majorBidi" w:cstheme="majorBidi"/>
          <w:color w:val="000000"/>
          <w:lang w:eastAsia="fr-FR"/>
        </w:rPr>
        <w:t> ».</w:t>
      </w:r>
    </w:p>
    <w:p w14:paraId="2C8CC9A7" w14:textId="55C0E910" w:rsidR="009F28CF" w:rsidRPr="00950D73" w:rsidRDefault="009F28CF" w:rsidP="009F28CF">
      <w:pPr>
        <w:keepNext/>
        <w:keepLines/>
        <w:tabs>
          <w:tab w:val="right" w:pos="851"/>
        </w:tabs>
        <w:spacing w:before="360" w:after="240" w:line="270" w:lineRule="exact"/>
        <w:ind w:left="1134" w:right="1134" w:hanging="1134"/>
        <w:rPr>
          <w:rFonts w:asciiTheme="majorBidi" w:hAnsiTheme="majorBidi" w:cstheme="majorBidi"/>
          <w:b/>
          <w:sz w:val="24"/>
        </w:rPr>
      </w:pPr>
      <w:r w:rsidRPr="00950D73">
        <w:rPr>
          <w:rFonts w:asciiTheme="majorBidi" w:hAnsiTheme="majorBidi" w:cstheme="majorBidi"/>
          <w:b/>
          <w:sz w:val="24"/>
        </w:rPr>
        <w:lastRenderedPageBreak/>
        <w:tab/>
      </w:r>
      <w:r w:rsidR="003A3828" w:rsidRPr="00950D73">
        <w:rPr>
          <w:rFonts w:asciiTheme="majorBidi" w:hAnsiTheme="majorBidi" w:cstheme="majorBidi"/>
          <w:b/>
          <w:sz w:val="24"/>
        </w:rPr>
        <w:tab/>
      </w:r>
      <w:r w:rsidRPr="00950D73">
        <w:rPr>
          <w:rFonts w:asciiTheme="majorBidi" w:hAnsiTheme="majorBidi" w:cstheme="majorBidi"/>
          <w:b/>
          <w:sz w:val="24"/>
        </w:rPr>
        <w:t>Chapitre 3.3</w:t>
      </w:r>
    </w:p>
    <w:p w14:paraId="3020E3B6" w14:textId="3976FFBF" w:rsidR="009F28CF" w:rsidRPr="00950D73" w:rsidRDefault="009F28CF" w:rsidP="009F28CF">
      <w:pPr>
        <w:tabs>
          <w:tab w:val="left" w:pos="2268"/>
        </w:tabs>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3.3.1.2</w:t>
      </w:r>
      <w:r w:rsidRPr="00950D73">
        <w:rPr>
          <w:rFonts w:asciiTheme="majorBidi" w:hAnsiTheme="majorBidi" w:cstheme="majorBidi"/>
          <w:color w:val="000000" w:themeColor="text1"/>
        </w:rPr>
        <w:tab/>
        <w:t>Remplacer par le texte suivant :</w:t>
      </w:r>
    </w:p>
    <w:p w14:paraId="78CC8100" w14:textId="19290A06" w:rsidR="009F28CF" w:rsidRPr="00950D73" w:rsidRDefault="009F28CF" w:rsidP="009F28CF">
      <w:pPr>
        <w:spacing w:after="120"/>
        <w:ind w:left="2268" w:right="1134"/>
        <w:jc w:val="both"/>
        <w:rPr>
          <w:rFonts w:asciiTheme="majorBidi" w:hAnsiTheme="majorBidi" w:cstheme="majorBidi"/>
          <w:color w:val="000000" w:themeColor="text1"/>
          <w:sz w:val="24"/>
        </w:rPr>
      </w:pPr>
      <w:r w:rsidRPr="00950D73">
        <w:rPr>
          <w:rFonts w:asciiTheme="majorBidi" w:hAnsiTheme="majorBidi" w:cstheme="majorBidi"/>
          <w:color w:val="000000" w:themeColor="text1"/>
        </w:rPr>
        <w:t>« 3.3.1.2</w:t>
      </w:r>
      <w:r w:rsidRPr="00950D73">
        <w:rPr>
          <w:rFonts w:asciiTheme="majorBidi" w:hAnsiTheme="majorBidi" w:cstheme="majorBidi"/>
          <w:color w:val="000000" w:themeColor="text1"/>
        </w:rPr>
        <w:tab/>
        <w:t>À des fins de classement, toutes les informations disponibles et utiles sur les lésions oculaires graves/l’irritation oculaire sont collectées, et leur qualité est évaluée en fonction de leur pertinence et de leur fiabilité. Le classement doit être fondé sur des données/des résultats acceptables pour toutes les parties, obtenus au moyen de méthodes et/ou de méthodes définies</w:t>
      </w:r>
      <w:r w:rsidRPr="00950D73">
        <w:rPr>
          <w:rFonts w:asciiTheme="majorBidi" w:hAnsiTheme="majorBidi" w:cstheme="majorBidi"/>
          <w:color w:val="000000" w:themeColor="text1"/>
          <w:sz w:val="18"/>
          <w:szCs w:val="18"/>
          <w:vertAlign w:val="superscript"/>
        </w:rPr>
        <w:t>1</w:t>
      </w:r>
      <w:r w:rsidRPr="00950D73">
        <w:rPr>
          <w:rFonts w:asciiTheme="majorBidi" w:hAnsiTheme="majorBidi" w:cstheme="majorBidi"/>
          <w:color w:val="000000" w:themeColor="text1"/>
        </w:rPr>
        <w:t xml:space="preserve"> validées selon des procédures internationales. Il s’agit notamment des lignes directrices de l’OCDE et des méthodes équivalentes/méthodes définies (voir</w:t>
      </w:r>
      <w:r w:rsidR="00AD2FB9">
        <w:rPr>
          <w:rFonts w:asciiTheme="majorBidi" w:hAnsiTheme="majorBidi" w:cstheme="majorBidi"/>
          <w:color w:val="000000" w:themeColor="text1"/>
        </w:rPr>
        <w:t> </w:t>
      </w:r>
      <w:r w:rsidRPr="00950D73">
        <w:rPr>
          <w:rFonts w:asciiTheme="majorBidi" w:hAnsiTheme="majorBidi" w:cstheme="majorBidi"/>
          <w:color w:val="000000" w:themeColor="text1"/>
        </w:rPr>
        <w:t>1.3.2.4.3). On trouvera dans les sections 3.3.2.1 à 3.3.2.8 des critères de classification pour les différents types d’informations pouvant être disponibles. ».</w:t>
      </w:r>
      <w:bookmarkStart w:id="2" w:name="_Hlk69397694"/>
      <w:bookmarkEnd w:id="2"/>
    </w:p>
    <w:p w14:paraId="587DCC91" w14:textId="74430CED" w:rsidR="009F28CF" w:rsidRPr="00950D73" w:rsidRDefault="009F28CF" w:rsidP="009F28CF">
      <w:pPr>
        <w:keepNext/>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Ajouter la nouvelle note de bas de page 1</w:t>
      </w:r>
      <w:r w:rsidR="00702742" w:rsidRPr="00950D73">
        <w:rPr>
          <w:rFonts w:asciiTheme="majorBidi" w:hAnsiTheme="majorBidi" w:cstheme="majorBidi"/>
          <w:color w:val="000000" w:themeColor="text1"/>
        </w:rPr>
        <w:t xml:space="preserve"> suivante </w:t>
      </w:r>
      <w:r w:rsidRPr="00950D73">
        <w:rPr>
          <w:rFonts w:asciiTheme="majorBidi" w:hAnsiTheme="majorBidi" w:cstheme="majorBidi"/>
          <w:color w:val="000000" w:themeColor="text1"/>
        </w:rPr>
        <w:t>:</w:t>
      </w:r>
    </w:p>
    <w:p w14:paraId="6D1DC258" w14:textId="77777777" w:rsidR="009F28CF" w:rsidRPr="00950D73" w:rsidRDefault="009F28CF" w:rsidP="009F28CF">
      <w:pPr>
        <w:spacing w:after="120"/>
        <w:ind w:left="2268" w:right="1134"/>
        <w:jc w:val="both"/>
        <w:rPr>
          <w:rFonts w:asciiTheme="majorBidi" w:hAnsiTheme="majorBidi" w:cstheme="majorBidi"/>
          <w:i/>
          <w:iCs/>
        </w:rPr>
      </w:pPr>
      <w:r w:rsidRPr="00950D73">
        <w:rPr>
          <w:rFonts w:asciiTheme="majorBidi" w:hAnsiTheme="majorBidi" w:cstheme="majorBidi"/>
        </w:rPr>
        <w:tab/>
      </w:r>
      <w:r w:rsidRPr="00950D73">
        <w:rPr>
          <w:rFonts w:asciiTheme="majorBidi" w:hAnsiTheme="majorBidi" w:cstheme="majorBidi"/>
          <w:i/>
          <w:iCs/>
        </w:rPr>
        <w:t>« </w:t>
      </w:r>
      <w:r w:rsidRPr="00950D73">
        <w:rPr>
          <w:rFonts w:asciiTheme="majorBidi" w:hAnsiTheme="majorBidi" w:cstheme="majorBidi"/>
          <w:i/>
          <w:iCs/>
          <w:vertAlign w:val="superscript"/>
        </w:rPr>
        <w:t>1</w:t>
      </w:r>
      <w:r w:rsidRPr="00950D73">
        <w:rPr>
          <w:rFonts w:asciiTheme="majorBidi" w:hAnsiTheme="majorBidi" w:cstheme="majorBidi"/>
          <w:i/>
          <w:iCs/>
        </w:rPr>
        <w:tab/>
        <w:t>Selon le document d’orientation 255 de l’OCDE concernant la notification des méthodes définies à utiliser dans le cadre des méthodes intégrées d’essai et d’évaluation, les méthodes définies d’essai et d’évaluation consistent à appliquer une procédure déterminée d’interprétation des données aux données obtenues à partir d’un ensemble défini de sources d’information, afin d’obtenir des résultats qui puissent être utilisés seuls, ou avec d’autres sources d’information dans le cadre d’une évaluation globale de la force probante des données, de façon à répondre à un besoin particulier en matière de réglementation. ».</w:t>
      </w:r>
    </w:p>
    <w:p w14:paraId="29B5AAD9" w14:textId="77777777" w:rsidR="009F28CF" w:rsidRPr="00950D73" w:rsidRDefault="009F28CF" w:rsidP="009F28CF">
      <w:pPr>
        <w:keepNext/>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3.3.1.3 et 3.3.1.4</w:t>
      </w:r>
      <w:r w:rsidRPr="00950D73">
        <w:rPr>
          <w:rFonts w:asciiTheme="majorBidi" w:hAnsiTheme="majorBidi" w:cstheme="majorBidi"/>
          <w:color w:val="000000" w:themeColor="text1"/>
        </w:rPr>
        <w:tab/>
        <w:t>Ajouter les deux nouveaux paragraphes suivants :</w:t>
      </w:r>
    </w:p>
    <w:p w14:paraId="39680A7E" w14:textId="77777777" w:rsidR="009F28CF" w:rsidRPr="00950D73" w:rsidRDefault="009F28CF" w:rsidP="009F28CF">
      <w:pPr>
        <w:spacing w:after="120"/>
        <w:ind w:left="2268" w:right="1134"/>
        <w:jc w:val="both"/>
        <w:rPr>
          <w:rFonts w:asciiTheme="majorBidi" w:hAnsiTheme="majorBidi" w:cstheme="majorBidi"/>
          <w:color w:val="000000" w:themeColor="text1"/>
        </w:rPr>
      </w:pPr>
      <w:bookmarkStart w:id="3" w:name="_Hlk69397739"/>
      <w:r w:rsidRPr="00950D73">
        <w:rPr>
          <w:rFonts w:asciiTheme="majorBidi" w:hAnsiTheme="majorBidi" w:cstheme="majorBidi"/>
          <w:color w:val="000000" w:themeColor="text1"/>
        </w:rPr>
        <w:t>« 3.3.1.3</w:t>
      </w:r>
      <w:r w:rsidRPr="00950D73">
        <w:rPr>
          <w:rFonts w:asciiTheme="majorBidi" w:hAnsiTheme="majorBidi" w:cstheme="majorBidi"/>
          <w:color w:val="000000" w:themeColor="text1"/>
        </w:rPr>
        <w:tab/>
        <w:t xml:space="preserve">Une </w:t>
      </w:r>
      <w:r w:rsidRPr="00950D73">
        <w:rPr>
          <w:rFonts w:asciiTheme="majorBidi" w:hAnsiTheme="majorBidi" w:cstheme="majorBidi"/>
          <w:i/>
          <w:iCs/>
          <w:color w:val="000000" w:themeColor="text1"/>
        </w:rPr>
        <w:t>méthode par étapes</w:t>
      </w:r>
      <w:r w:rsidRPr="00950D73">
        <w:rPr>
          <w:rFonts w:asciiTheme="majorBidi" w:hAnsiTheme="majorBidi" w:cstheme="majorBidi"/>
          <w:color w:val="000000" w:themeColor="text1"/>
        </w:rPr>
        <w:t xml:space="preserve"> (voir 3.3.2.10) organise les informations disponibles par niveaux ou étapes permettant de prendre des décisions d’une manière </w:t>
      </w:r>
      <w:r w:rsidRPr="00950D73">
        <w:rPr>
          <w:rFonts w:asciiTheme="majorBidi" w:hAnsiTheme="majorBidi" w:cstheme="majorBidi"/>
          <w:color w:val="000000" w:themeColor="text1"/>
        </w:rPr>
        <w:lastRenderedPageBreak/>
        <w:t>structurée et progressive. Le classement s’effectue automatiquement quand les informations répondent systématiquement aux critères. Cependant, lorsque les informations disponibles donnent des résultats incohérents ou contradictoires à une même étape, le classement d’une substance ou d’un mélange s’effectue sur la base de la force probante des données à cette étape. Dans certains cas, lorsque les informations provenant de différentes étapes donnent des résultats incohérents ou contradictoires (voir 3.3.2.10.3), ou lorsque, prises séparément, les données ne sont pas suffisantes pour déterminer le classement, on a recours à une évaluation globale de la force probante des données (voir 1.3.2.4.9, 3.3.2.9 et 3.3.5.3.1).</w:t>
      </w:r>
    </w:p>
    <w:p w14:paraId="67675E6F" w14:textId="7777777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3.3.1.4</w:t>
      </w:r>
      <w:r w:rsidRPr="00950D73">
        <w:rPr>
          <w:rFonts w:asciiTheme="majorBidi" w:hAnsiTheme="majorBidi" w:cstheme="majorBidi"/>
          <w:color w:val="000000" w:themeColor="text1"/>
        </w:rPr>
        <w:tab/>
      </w:r>
      <w:r w:rsidRPr="00950D73">
        <w:rPr>
          <w:rFonts w:asciiTheme="majorBidi" w:hAnsiTheme="majorBidi" w:cstheme="majorBidi"/>
          <w:color w:val="000000" w:themeColor="text1"/>
        </w:rPr>
        <w:tab/>
        <w:t>On trouve dans le 3.3.5.3 des indications relatives à l’interprétation des critères et des renvois aux documents d’orientation pertinents. ».</w:t>
      </w:r>
    </w:p>
    <w:bookmarkEnd w:id="3"/>
    <w:p w14:paraId="039EC04A" w14:textId="77777777" w:rsidR="009F28CF" w:rsidRPr="00950D73" w:rsidRDefault="009F28CF" w:rsidP="009F28CF">
      <w:pPr>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3.3.2</w:t>
      </w:r>
      <w:r w:rsidRPr="00950D73">
        <w:rPr>
          <w:rFonts w:asciiTheme="majorBidi" w:hAnsiTheme="majorBidi" w:cstheme="majorBidi"/>
          <w:color w:val="000000" w:themeColor="text1"/>
        </w:rPr>
        <w:tab/>
        <w:t>Supprimer « (voir tableau 3.3.1) » à l’alinéa a) et « (voir tableau 3.3.2) » à l’alinéa b) et dans la dernière phrase.</w:t>
      </w:r>
    </w:p>
    <w:p w14:paraId="52B33254" w14:textId="6778C5D3" w:rsidR="00394AF6" w:rsidRPr="00950D73" w:rsidRDefault="00394AF6" w:rsidP="003229BF">
      <w:pPr>
        <w:pStyle w:val="SingleTxtG"/>
        <w:tabs>
          <w:tab w:val="clear" w:pos="1701"/>
        </w:tabs>
        <w:ind w:left="2268" w:hanging="1134"/>
        <w:rPr>
          <w:rFonts w:asciiTheme="majorBidi" w:hAnsiTheme="majorBidi" w:cstheme="majorBidi"/>
          <w:color w:val="000000" w:themeColor="text1"/>
        </w:rPr>
      </w:pPr>
      <w:r w:rsidRPr="00950D73">
        <w:rPr>
          <w:rFonts w:asciiTheme="majorBidi" w:hAnsiTheme="majorBidi" w:cstheme="majorBidi"/>
        </w:rPr>
        <w:t>3.3.2.1</w:t>
      </w:r>
      <w:r w:rsidRPr="00950D73">
        <w:rPr>
          <w:rFonts w:asciiTheme="majorBidi" w:hAnsiTheme="majorBidi" w:cstheme="majorBidi"/>
        </w:rPr>
        <w:tab/>
      </w:r>
      <w:r w:rsidR="00D63F56" w:rsidRPr="00950D73">
        <w:rPr>
          <w:rFonts w:asciiTheme="majorBidi" w:hAnsiTheme="majorBidi" w:cstheme="majorBidi"/>
        </w:rPr>
        <w:t>Supprimer le titre « </w:t>
      </w:r>
      <w:r w:rsidR="007B024C" w:rsidRPr="00950D73">
        <w:rPr>
          <w:rFonts w:asciiTheme="majorBidi" w:hAnsiTheme="majorBidi" w:cstheme="majorBidi"/>
          <w:i/>
          <w:iCs/>
        </w:rPr>
        <w:t>Classification basée sur les résultats d’essais normalisés sur les animaux</w:t>
      </w:r>
      <w:r w:rsidR="007B024C" w:rsidRPr="00950D73">
        <w:rPr>
          <w:rFonts w:asciiTheme="majorBidi" w:hAnsiTheme="majorBidi" w:cstheme="majorBidi"/>
        </w:rPr>
        <w:t> »</w:t>
      </w:r>
      <w:r w:rsidR="00C358D1" w:rsidRPr="00950D73">
        <w:rPr>
          <w:rFonts w:asciiTheme="majorBidi" w:hAnsiTheme="majorBidi" w:cstheme="majorBidi"/>
        </w:rPr>
        <w:t>.</w:t>
      </w:r>
    </w:p>
    <w:p w14:paraId="7C4382F0" w14:textId="77777777" w:rsidR="009F28CF" w:rsidRPr="00950D73" w:rsidRDefault="009F28CF" w:rsidP="009F28CF">
      <w:pPr>
        <w:keepNext/>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3.3.2.1 et 3.3.2.2 (nouveaux)</w:t>
      </w:r>
      <w:r w:rsidRPr="00950D73">
        <w:rPr>
          <w:rFonts w:asciiTheme="majorBidi" w:hAnsiTheme="majorBidi" w:cstheme="majorBidi"/>
          <w:color w:val="000000" w:themeColor="text1"/>
        </w:rPr>
        <w:tab/>
        <w:t>Ajouter les nouveaux paragraphes suivants :</w:t>
      </w:r>
    </w:p>
    <w:p w14:paraId="450329E6" w14:textId="77777777" w:rsidR="009F28CF" w:rsidRPr="00950D73" w:rsidRDefault="009F28CF" w:rsidP="009F28CF">
      <w:pPr>
        <w:spacing w:after="120"/>
        <w:ind w:left="2268" w:right="1134"/>
        <w:jc w:val="both"/>
        <w:rPr>
          <w:rFonts w:asciiTheme="majorBidi" w:hAnsiTheme="majorBidi" w:cstheme="majorBidi"/>
          <w:b/>
          <w:bCs/>
          <w:i/>
          <w:iCs/>
          <w:color w:val="000000" w:themeColor="text1"/>
        </w:rPr>
      </w:pPr>
      <w:r w:rsidRPr="00950D73">
        <w:rPr>
          <w:rFonts w:asciiTheme="majorBidi" w:hAnsiTheme="majorBidi" w:cstheme="majorBidi"/>
          <w:color w:val="000000" w:themeColor="text1"/>
        </w:rPr>
        <w:t>« </w:t>
      </w:r>
      <w:r w:rsidRPr="00950D73">
        <w:rPr>
          <w:rFonts w:asciiTheme="majorBidi" w:hAnsiTheme="majorBidi" w:cstheme="majorBidi"/>
          <w:b/>
          <w:bCs/>
          <w:color w:val="000000" w:themeColor="text1"/>
        </w:rPr>
        <w:t>3.3.2.1</w:t>
      </w:r>
      <w:r w:rsidRPr="00950D73">
        <w:rPr>
          <w:rFonts w:asciiTheme="majorBidi" w:hAnsiTheme="majorBidi" w:cstheme="majorBidi"/>
          <w:b/>
          <w:bCs/>
          <w:color w:val="000000" w:themeColor="text1"/>
        </w:rPr>
        <w:tab/>
      </w:r>
      <w:r w:rsidRPr="00950D73">
        <w:rPr>
          <w:rFonts w:asciiTheme="majorBidi" w:hAnsiTheme="majorBidi" w:cstheme="majorBidi"/>
          <w:b/>
          <w:bCs/>
          <w:i/>
          <w:iCs/>
          <w:color w:val="000000" w:themeColor="text1"/>
        </w:rPr>
        <w:t>Classification fondée sur des données obtenues sur l’homme (étape 1 de la figure 3.3.1)</w:t>
      </w:r>
    </w:p>
    <w:p w14:paraId="256B2802" w14:textId="77777777" w:rsidR="009F28CF" w:rsidRPr="00950D73" w:rsidRDefault="009F28CF" w:rsidP="009F28CF">
      <w:pPr>
        <w:tabs>
          <w:tab w:val="left" w:pos="3402"/>
        </w:tabs>
        <w:spacing w:after="120"/>
        <w:ind w:left="2268" w:right="1134" w:firstLine="1134"/>
        <w:jc w:val="both"/>
        <w:rPr>
          <w:rFonts w:asciiTheme="majorBidi" w:hAnsiTheme="majorBidi" w:cstheme="majorBidi"/>
          <w:color w:val="000000" w:themeColor="text1"/>
        </w:rPr>
      </w:pPr>
      <w:r w:rsidRPr="00950D73">
        <w:rPr>
          <w:rFonts w:asciiTheme="majorBidi" w:hAnsiTheme="majorBidi" w:cstheme="majorBidi"/>
          <w:color w:val="000000" w:themeColor="text1"/>
        </w:rPr>
        <w:t xml:space="preserve">Les données fiables et de bonne qualité existantes relatives aux lésions oculaires graves/à l’irritation oculaire obtenues sur l’homme devraient être dûment exploitées lorsqu’elles présentent un intérêt pour le classement (voir 3.3.5.3.2) et devraient être évaluées en premier lieu, dans la mesure où elles donnent des informations en relation directe avec les effets sur l’œil. Les données existantes obtenues sur l’homme peuvent résulter d’une exposition unique ou d’expositions </w:t>
      </w:r>
      <w:r w:rsidRPr="00950D73">
        <w:rPr>
          <w:rFonts w:asciiTheme="majorBidi" w:hAnsiTheme="majorBidi" w:cstheme="majorBidi"/>
          <w:color w:val="000000" w:themeColor="text1"/>
        </w:rPr>
        <w:lastRenderedPageBreak/>
        <w:t>répétées dans divers cas de figure relevant, par exemple, de la vie professionnelle, de l’utilisation par les consommateurs, des transports ou des interventions d’urgence, et être rapportées dans des études cliniques et épidémiologiques et dans des études de cas et des observations bien étayées (voir 1.1.2.5 c), 1.3.2.4.7 et 1.3.2.4.9). Bien que les données obtenues sur l’homme provenant des bases de données sur les accidents ou de celles des centres antipoison puissent servir aux fins de la classification, l’absence d’incidents ne suffit pas à elle seule à justifier l’absence de classification, étant donné que les expositions sont généralement inconnues ou incertaines.</w:t>
      </w:r>
    </w:p>
    <w:p w14:paraId="1AEAAB32" w14:textId="77777777" w:rsidR="009F28CF" w:rsidRPr="00950D73" w:rsidRDefault="009F28CF" w:rsidP="009F28CF">
      <w:pPr>
        <w:tabs>
          <w:tab w:val="left" w:pos="2268"/>
          <w:tab w:val="left" w:pos="3402"/>
        </w:tabs>
        <w:spacing w:after="120"/>
        <w:ind w:left="2268" w:right="1134"/>
        <w:jc w:val="both"/>
        <w:rPr>
          <w:rFonts w:asciiTheme="majorBidi" w:hAnsiTheme="majorBidi" w:cstheme="majorBidi"/>
          <w:b/>
          <w:bCs/>
          <w:i/>
          <w:iCs/>
          <w:color w:val="000000" w:themeColor="text1"/>
        </w:rPr>
      </w:pPr>
      <w:r w:rsidRPr="00950D73">
        <w:rPr>
          <w:rFonts w:asciiTheme="majorBidi" w:hAnsiTheme="majorBidi" w:cstheme="majorBidi"/>
          <w:b/>
          <w:bCs/>
          <w:color w:val="000000" w:themeColor="text1"/>
        </w:rPr>
        <w:t>3.3.2.2</w:t>
      </w:r>
      <w:r w:rsidRPr="00950D73">
        <w:rPr>
          <w:rFonts w:asciiTheme="majorBidi" w:hAnsiTheme="majorBidi" w:cstheme="majorBidi"/>
          <w:b/>
          <w:bCs/>
          <w:color w:val="000000" w:themeColor="text1"/>
        </w:rPr>
        <w:tab/>
      </w:r>
      <w:r w:rsidRPr="00950D73">
        <w:rPr>
          <w:rFonts w:asciiTheme="majorBidi" w:hAnsiTheme="majorBidi" w:cstheme="majorBidi"/>
          <w:b/>
          <w:bCs/>
          <w:i/>
          <w:iCs/>
          <w:color w:val="000000" w:themeColor="text1"/>
        </w:rPr>
        <w:t>Classification fondée sur les résultats d’essais normalisés sur les animaux (étape 1 de la figure 3.3.1)</w:t>
      </w:r>
    </w:p>
    <w:p w14:paraId="37B6682B" w14:textId="77777777" w:rsidR="009F28CF" w:rsidRPr="00950D73" w:rsidRDefault="009F28CF" w:rsidP="009F28CF">
      <w:pPr>
        <w:tabs>
          <w:tab w:val="left" w:pos="3402"/>
        </w:tabs>
        <w:spacing w:after="120"/>
        <w:ind w:left="2268" w:right="1134" w:firstLine="1134"/>
        <w:jc w:val="both"/>
        <w:rPr>
          <w:rFonts w:asciiTheme="majorBidi" w:hAnsiTheme="majorBidi" w:cstheme="majorBidi"/>
          <w:color w:val="000000" w:themeColor="text1"/>
        </w:rPr>
      </w:pPr>
      <w:r w:rsidRPr="00950D73">
        <w:rPr>
          <w:rFonts w:asciiTheme="majorBidi" w:hAnsiTheme="majorBidi" w:cstheme="majorBidi"/>
          <w:color w:val="000000" w:themeColor="text1"/>
        </w:rPr>
        <w:t>La ligne directrice 405 de l’OCDE est la méthode d’essai sur les animaux disponible actuellement et acceptée au plan international aux fins de la classification au titre des lésions oculaires graves ou une irritation oculaire (voir tableaux 3.3.1 et 3.3.2, respectivement) ; c’est en outre l’essai normalisé sur les animaux. Dans sa version actuelle, la ligne directrice 405 nécessite d’utiliser au maximum trois animaux. Les résultats des études menées sur les animaux en application des précédentes versions de la ligne directrice 405, pour lesquelles on utilisait plus de trois animaux, sont également considérés comme des essais normalisés sur les animaux lorsqu’ils sont interprétés conformément au 3.3.5.3.3. ».</w:t>
      </w:r>
    </w:p>
    <w:p w14:paraId="6BC70CA4" w14:textId="77777777" w:rsidR="009F28CF" w:rsidRPr="00950D73" w:rsidRDefault="009F28CF" w:rsidP="009F28CF">
      <w:pPr>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3.3.2.1.1 à 3.3.2.1.2.3</w:t>
      </w:r>
      <w:r w:rsidRPr="00950D73">
        <w:rPr>
          <w:rFonts w:asciiTheme="majorBidi" w:hAnsiTheme="majorBidi" w:cstheme="majorBidi"/>
          <w:color w:val="000000" w:themeColor="text1"/>
        </w:rPr>
        <w:tab/>
        <w:t>Les paragraphes actuels 3.3.2.1.1 à 3.3.2.1.2.3 deviennent les nouveaux paragraphes 3.3.2.2.1 à 3.3.2.2.2.3.</w:t>
      </w:r>
    </w:p>
    <w:p w14:paraId="4E3CD34F" w14:textId="77777777" w:rsidR="009F28CF" w:rsidRPr="00950D73" w:rsidRDefault="009F28CF" w:rsidP="009F28CF">
      <w:pPr>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spacing w:val="-2"/>
        </w:rPr>
        <w:t>Tableau 3.3.1</w:t>
      </w:r>
      <w:r w:rsidRPr="00950D73">
        <w:rPr>
          <w:rFonts w:asciiTheme="majorBidi" w:hAnsiTheme="majorBidi" w:cstheme="majorBidi"/>
          <w:color w:val="000000" w:themeColor="text1"/>
        </w:rPr>
        <w:tab/>
        <w:t>Supprimer la note « a ». Les notes « b » et « c » actuelles deviennent « a » et « b » respectivement.</w:t>
      </w:r>
    </w:p>
    <w:p w14:paraId="0E834E8D" w14:textId="7777777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Dans la note « b », remplacer « 3.3.5.3 » par « 3.3.5.3.3 ».</w:t>
      </w:r>
    </w:p>
    <w:p w14:paraId="5E692A52" w14:textId="238F9F1C" w:rsidR="009F28CF" w:rsidRPr="00950D73" w:rsidRDefault="009F28CF" w:rsidP="009F28CF">
      <w:pPr>
        <w:tabs>
          <w:tab w:val="left" w:pos="2268"/>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lastRenderedPageBreak/>
        <w:t>3.3.2.2.2.1 (nouveau, ancien 3.3.2.1.2.1)</w:t>
      </w:r>
      <w:r w:rsidRPr="00950D73">
        <w:rPr>
          <w:rFonts w:asciiTheme="majorBidi" w:hAnsiTheme="majorBidi" w:cstheme="majorBidi"/>
          <w:color w:val="000000" w:themeColor="text1"/>
        </w:rPr>
        <w:tab/>
        <w:t>Dans la dernière phrase, remplacer «</w:t>
      </w:r>
      <w:r w:rsidR="00C368D6" w:rsidRPr="00950D73">
        <w:rPr>
          <w:rFonts w:asciiTheme="majorBidi" w:hAnsiTheme="majorBidi" w:cstheme="majorBidi"/>
          <w:color w:val="000000" w:themeColor="text1"/>
        </w:rPr>
        <w:t>Lorsqu’</w:t>
      </w:r>
      <w:r w:rsidRPr="00950D73">
        <w:rPr>
          <w:rFonts w:asciiTheme="majorBidi" w:hAnsiTheme="majorBidi" w:cstheme="majorBidi"/>
          <w:color w:val="000000" w:themeColor="text1"/>
        </w:rPr>
        <w:t>un produit chimique</w:t>
      </w:r>
      <w:r w:rsidR="00BE379D" w:rsidRPr="00950D73">
        <w:rPr>
          <w:rFonts w:asciiTheme="majorBidi" w:hAnsiTheme="majorBidi" w:cstheme="majorBidi"/>
          <w:color w:val="000000" w:themeColor="text1"/>
        </w:rPr>
        <w:t xml:space="preserve"> est classé</w:t>
      </w:r>
      <w:r w:rsidRPr="00950D73">
        <w:rPr>
          <w:rFonts w:asciiTheme="majorBidi" w:hAnsiTheme="majorBidi" w:cstheme="majorBidi"/>
          <w:color w:val="000000" w:themeColor="text1"/>
        </w:rPr>
        <w:t> » par «</w:t>
      </w:r>
      <w:r w:rsidR="00C368D6" w:rsidRPr="00950D73">
        <w:rPr>
          <w:rFonts w:asciiTheme="majorBidi" w:hAnsiTheme="majorBidi" w:cstheme="majorBidi"/>
          <w:color w:val="000000" w:themeColor="text1"/>
        </w:rPr>
        <w:t>Lorsqu’</w:t>
      </w:r>
      <w:r w:rsidRPr="00950D73">
        <w:rPr>
          <w:rFonts w:asciiTheme="majorBidi" w:hAnsiTheme="majorBidi" w:cstheme="majorBidi"/>
          <w:color w:val="000000" w:themeColor="text1"/>
        </w:rPr>
        <w:t>une substance</w:t>
      </w:r>
      <w:r w:rsidR="00BE379D" w:rsidRPr="00950D73">
        <w:rPr>
          <w:rFonts w:asciiTheme="majorBidi" w:hAnsiTheme="majorBidi" w:cstheme="majorBidi"/>
          <w:color w:val="000000" w:themeColor="text1"/>
        </w:rPr>
        <w:t xml:space="preserve"> est classée</w:t>
      </w:r>
      <w:r w:rsidRPr="00950D73">
        <w:rPr>
          <w:rFonts w:asciiTheme="majorBidi" w:hAnsiTheme="majorBidi" w:cstheme="majorBidi"/>
          <w:color w:val="000000" w:themeColor="text1"/>
        </w:rPr>
        <w:t> ».</w:t>
      </w:r>
    </w:p>
    <w:p w14:paraId="0389875A" w14:textId="57D7C246" w:rsidR="009F28CF" w:rsidRPr="00950D73" w:rsidRDefault="009F28CF" w:rsidP="009F28CF">
      <w:pPr>
        <w:tabs>
          <w:tab w:val="left" w:pos="2268"/>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3.3.2.</w:t>
      </w:r>
      <w:r w:rsidR="00D06ACC" w:rsidRPr="00950D73">
        <w:rPr>
          <w:rFonts w:asciiTheme="majorBidi" w:hAnsiTheme="majorBidi" w:cstheme="majorBidi"/>
          <w:color w:val="000000" w:themeColor="text1"/>
        </w:rPr>
        <w:t>2</w:t>
      </w:r>
      <w:r w:rsidRPr="00950D73">
        <w:rPr>
          <w:rFonts w:asciiTheme="majorBidi" w:hAnsiTheme="majorBidi" w:cstheme="majorBidi"/>
          <w:color w:val="000000" w:themeColor="text1"/>
        </w:rPr>
        <w:t>.2.2 (nouveau, ancien 3.3.2.1.2.2)</w:t>
      </w:r>
      <w:r w:rsidRPr="00950D73">
        <w:rPr>
          <w:rFonts w:asciiTheme="majorBidi" w:hAnsiTheme="majorBidi" w:cstheme="majorBidi"/>
          <w:color w:val="000000" w:themeColor="text1"/>
        </w:rPr>
        <w:tab/>
        <w:t>Remplacer « </w:t>
      </w:r>
      <w:r w:rsidR="00586DED" w:rsidRPr="00950D73">
        <w:rPr>
          <w:rFonts w:asciiTheme="majorBidi" w:hAnsiTheme="majorBidi" w:cstheme="majorBidi"/>
          <w:color w:val="000000" w:themeColor="text1"/>
        </w:rPr>
        <w:t>les c</w:t>
      </w:r>
      <w:r w:rsidRPr="00950D73">
        <w:rPr>
          <w:rFonts w:asciiTheme="majorBidi" w:hAnsiTheme="majorBidi" w:cstheme="majorBidi"/>
          <w:color w:val="000000" w:themeColor="text1"/>
        </w:rPr>
        <w:t>atégories 2A et 2B » par « catégorie 2A et catégorie 2B ».</w:t>
      </w:r>
    </w:p>
    <w:p w14:paraId="4E1A28F7" w14:textId="77777777" w:rsidR="009F28CF" w:rsidRPr="00950D73" w:rsidRDefault="009F28CF" w:rsidP="009F28CF">
      <w:pPr>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spacing w:val="-2"/>
        </w:rPr>
        <w:t>Tableau 3.3.2</w:t>
      </w:r>
      <w:r w:rsidRPr="00950D73">
        <w:rPr>
          <w:rFonts w:asciiTheme="majorBidi" w:hAnsiTheme="majorBidi" w:cstheme="majorBidi"/>
          <w:color w:val="000000" w:themeColor="text1"/>
        </w:rPr>
        <w:tab/>
        <w:t>Supprimer la note « a ». Les notes « b » et « c » actuelles deviennent « a » et « b », respectivement.</w:t>
      </w:r>
    </w:p>
    <w:p w14:paraId="5CA25815" w14:textId="7777777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Dans la note « b », remplacer « 3.3.5.3 » par « 3.3.5.3.3 ».</w:t>
      </w:r>
    </w:p>
    <w:p w14:paraId="4260E2F4" w14:textId="2406F001" w:rsidR="009F28CF" w:rsidRPr="00950D73" w:rsidRDefault="009F28CF" w:rsidP="009F28CF">
      <w:pPr>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3.3.2.3 à 3.3.2.9</w:t>
      </w:r>
      <w:r w:rsidR="00EB43C2" w:rsidRPr="00950D73">
        <w:rPr>
          <w:rFonts w:asciiTheme="majorBidi" w:hAnsiTheme="majorBidi" w:cstheme="majorBidi"/>
          <w:color w:val="000000" w:themeColor="text1"/>
        </w:rPr>
        <w:t xml:space="preserve"> (nouveaux</w:t>
      </w:r>
      <w:r w:rsidR="002A43FC" w:rsidRPr="00950D73">
        <w:rPr>
          <w:rFonts w:asciiTheme="majorBidi" w:hAnsiTheme="majorBidi" w:cstheme="majorBidi"/>
          <w:color w:val="000000" w:themeColor="text1"/>
        </w:rPr>
        <w:t>)</w:t>
      </w:r>
      <w:r w:rsidR="002A43FC" w:rsidRPr="00950D73">
        <w:rPr>
          <w:rFonts w:asciiTheme="majorBidi" w:hAnsiTheme="majorBidi" w:cstheme="majorBidi"/>
          <w:color w:val="000000" w:themeColor="text1"/>
        </w:rPr>
        <w:tab/>
      </w:r>
      <w:r w:rsidRPr="00950D73">
        <w:rPr>
          <w:rFonts w:asciiTheme="majorBidi" w:hAnsiTheme="majorBidi" w:cstheme="majorBidi"/>
          <w:color w:val="000000" w:themeColor="text1"/>
        </w:rPr>
        <w:tab/>
        <w:t>Ajouter les nouveaux paragraphes suivants (et les notes de bas de page 2 et 3 correspondantes)</w:t>
      </w:r>
      <w:r w:rsidR="00921353" w:rsidRPr="00950D73">
        <w:rPr>
          <w:rFonts w:asciiTheme="majorBidi" w:hAnsiTheme="majorBidi" w:cstheme="majorBidi"/>
          <w:color w:val="000000" w:themeColor="text1"/>
        </w:rPr>
        <w:t xml:space="preserve"> après le tableau 3.3.2</w:t>
      </w:r>
      <w:r w:rsidRPr="00950D73">
        <w:rPr>
          <w:rFonts w:asciiTheme="majorBidi" w:hAnsiTheme="majorBidi" w:cstheme="majorBidi"/>
          <w:color w:val="000000" w:themeColor="text1"/>
        </w:rPr>
        <w:t> :</w:t>
      </w:r>
    </w:p>
    <w:p w14:paraId="19EF8A7A" w14:textId="77777777" w:rsidR="009F28CF" w:rsidRPr="00950D73" w:rsidRDefault="009F28CF" w:rsidP="009F28CF">
      <w:pPr>
        <w:spacing w:after="120"/>
        <w:ind w:left="2268" w:right="1134"/>
        <w:jc w:val="both"/>
        <w:rPr>
          <w:rFonts w:asciiTheme="majorBidi" w:hAnsiTheme="majorBidi" w:cstheme="majorBidi"/>
          <w:b/>
          <w:i/>
          <w:color w:val="000000" w:themeColor="text1"/>
        </w:rPr>
      </w:pPr>
      <w:r w:rsidRPr="00950D73">
        <w:rPr>
          <w:rFonts w:asciiTheme="majorBidi" w:hAnsiTheme="majorBidi" w:cstheme="majorBidi"/>
          <w:color w:val="000000" w:themeColor="text1"/>
        </w:rPr>
        <w:t>« </w:t>
      </w:r>
      <w:r w:rsidRPr="00950D73">
        <w:rPr>
          <w:rFonts w:asciiTheme="majorBidi" w:hAnsiTheme="majorBidi" w:cstheme="majorBidi"/>
          <w:b/>
          <w:bCs/>
          <w:color w:val="000000" w:themeColor="text1"/>
        </w:rPr>
        <w:t>3.3.2.3</w:t>
      </w:r>
      <w:r w:rsidRPr="00950D73">
        <w:rPr>
          <w:rFonts w:asciiTheme="majorBidi" w:hAnsiTheme="majorBidi" w:cstheme="majorBidi"/>
          <w:color w:val="000000" w:themeColor="text1"/>
        </w:rPr>
        <w:tab/>
      </w:r>
      <w:r w:rsidRPr="00950D73">
        <w:rPr>
          <w:rFonts w:asciiTheme="majorBidi" w:hAnsiTheme="majorBidi" w:cstheme="majorBidi"/>
          <w:b/>
          <w:bCs/>
          <w:i/>
          <w:iCs/>
          <w:color w:val="000000" w:themeColor="text1"/>
        </w:rPr>
        <w:t>Classification fondée sur des méthodes définies (étape 2 de la figure 3.3.1)</w:t>
      </w:r>
    </w:p>
    <w:p w14:paraId="15A02A03" w14:textId="250BC284" w:rsidR="009F28CF" w:rsidRPr="00950D73" w:rsidRDefault="00410BC1" w:rsidP="00410BC1">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3.3.2.3.1</w:t>
      </w:r>
      <w:r w:rsidRPr="00950D73">
        <w:rPr>
          <w:rFonts w:asciiTheme="majorBidi" w:hAnsiTheme="majorBidi" w:cstheme="majorBidi"/>
          <w:color w:val="000000" w:themeColor="text1"/>
        </w:rPr>
        <w:tab/>
      </w:r>
      <w:r w:rsidR="009F28CF" w:rsidRPr="00950D73">
        <w:rPr>
          <w:rFonts w:asciiTheme="majorBidi" w:hAnsiTheme="majorBidi" w:cstheme="majorBidi"/>
          <w:color w:val="000000" w:themeColor="text1"/>
        </w:rPr>
        <w:t xml:space="preserve">Les méthodes définies consistent à utiliser une combinaison, fondée sur des règles, de données obtenues à partir d’un ensemble prédéfini de sources d’information différentes (par exemple, méthodes in vitro, méthodes </w:t>
      </w:r>
      <w:r w:rsidR="009F28CF" w:rsidRPr="00950D73">
        <w:rPr>
          <w:rFonts w:asciiTheme="majorBidi" w:hAnsiTheme="majorBidi" w:cstheme="majorBidi"/>
          <w:i/>
          <w:iCs/>
          <w:color w:val="000000" w:themeColor="text1"/>
        </w:rPr>
        <w:t>ex vivo</w:t>
      </w:r>
      <w:r w:rsidR="009F28CF" w:rsidRPr="00950D73">
        <w:rPr>
          <w:rFonts w:asciiTheme="majorBidi" w:hAnsiTheme="majorBidi" w:cstheme="majorBidi"/>
          <w:color w:val="000000" w:themeColor="text1"/>
        </w:rPr>
        <w:t>, propriétés physico-chimiques ou méthodes non fondées sur des essais). Il est reconnu que la plupart des méthodes in vitro</w:t>
      </w:r>
      <w:r w:rsidR="009F28CF" w:rsidRPr="00950D73">
        <w:rPr>
          <w:rFonts w:asciiTheme="majorBidi" w:hAnsiTheme="majorBidi" w:cstheme="majorBidi"/>
          <w:iCs/>
          <w:color w:val="000000" w:themeColor="text1"/>
        </w:rPr>
        <w:t>/</w:t>
      </w:r>
      <w:r w:rsidR="009F28CF" w:rsidRPr="00950D73">
        <w:rPr>
          <w:rFonts w:asciiTheme="majorBidi" w:hAnsiTheme="majorBidi" w:cstheme="majorBidi"/>
          <w:i/>
          <w:iCs/>
          <w:color w:val="000000" w:themeColor="text1"/>
        </w:rPr>
        <w:t>ex vivo</w:t>
      </w:r>
      <w:r w:rsidR="009F28CF" w:rsidRPr="00950D73">
        <w:rPr>
          <w:rFonts w:asciiTheme="majorBidi" w:hAnsiTheme="majorBidi" w:cstheme="majorBidi"/>
          <w:color w:val="000000" w:themeColor="text1"/>
        </w:rPr>
        <w:t xml:space="preserve"> appliquées séparément ne sont pas en mesure de remplacer entièrement les méthodes in vivo pour la plupart des critères terminaux d’évaluation prévus par les réglementations. Dans ce contexte, les méthodes définies peuvent avantageusement servir à combiner des données pour la classification des substances et des mélanges. Les résultats obtenus avec une méthode définie validée selon des procédures internationales, telles qu’une ligne directrice de l’OCDE sur une méthode définie ou une méthode équivalente, sont concluants pour la classification des lésions oculaires graves/de l’irritation oculaire si les critères</w:t>
      </w:r>
      <w:r w:rsidR="009F28CF" w:rsidRPr="00950D73">
        <w:rPr>
          <w:rFonts w:asciiTheme="majorBidi" w:hAnsiTheme="majorBidi" w:cstheme="majorBidi"/>
          <w:i/>
          <w:iCs/>
          <w:color w:val="000000" w:themeColor="text1"/>
        </w:rPr>
        <w:t xml:space="preserve"> </w:t>
      </w:r>
      <w:r w:rsidR="009F28CF" w:rsidRPr="00950D73">
        <w:rPr>
          <w:rFonts w:asciiTheme="majorBidi" w:hAnsiTheme="majorBidi" w:cstheme="majorBidi"/>
          <w:color w:val="000000" w:themeColor="text1"/>
        </w:rPr>
        <w:t>de la méthode définie sont satisfaits</w:t>
      </w:r>
      <w:r w:rsidR="009F28CF" w:rsidRPr="00950D73">
        <w:rPr>
          <w:rFonts w:asciiTheme="majorBidi" w:hAnsiTheme="majorBidi" w:cstheme="majorBidi"/>
          <w:i/>
          <w:iCs/>
          <w:color w:val="000000" w:themeColor="text1"/>
        </w:rPr>
        <w:t xml:space="preserve"> </w:t>
      </w:r>
      <w:r w:rsidR="009F28CF" w:rsidRPr="00950D73">
        <w:rPr>
          <w:rFonts w:asciiTheme="majorBidi" w:hAnsiTheme="majorBidi" w:cstheme="majorBidi"/>
          <w:color w:val="000000" w:themeColor="text1"/>
        </w:rPr>
        <w:t>(voir 3.3.5.3.4)</w:t>
      </w:r>
      <w:r w:rsidR="009F28CF" w:rsidRPr="00950D73">
        <w:rPr>
          <w:rFonts w:asciiTheme="majorBidi" w:hAnsiTheme="majorBidi" w:cstheme="majorBidi"/>
          <w:color w:val="000000" w:themeColor="text1"/>
          <w:sz w:val="18"/>
          <w:szCs w:val="18"/>
          <w:vertAlign w:val="superscript"/>
        </w:rPr>
        <w:t>2</w:t>
      </w:r>
      <w:r w:rsidR="009F28CF" w:rsidRPr="00950D73">
        <w:rPr>
          <w:rFonts w:asciiTheme="majorBidi" w:hAnsiTheme="majorBidi" w:cstheme="majorBidi"/>
          <w:color w:val="000000" w:themeColor="text1"/>
        </w:rPr>
        <w:t xml:space="preserve">. Les données obtenues au moyen d’une méthode définie ne peuvent </w:t>
      </w:r>
      <w:r w:rsidR="009F28CF" w:rsidRPr="00950D73">
        <w:rPr>
          <w:rFonts w:asciiTheme="majorBidi" w:hAnsiTheme="majorBidi" w:cstheme="majorBidi"/>
          <w:color w:val="000000" w:themeColor="text1"/>
        </w:rPr>
        <w:lastRenderedPageBreak/>
        <w:t>être utilisées à des fins de classement que lorsque la substance soumise à l’essai relève du domaine d’application de ladite méthode définie. Les limites supplémentaires décrites dans les documents publiés sur la question doivent également être prises en compte.</w:t>
      </w:r>
    </w:p>
    <w:p w14:paraId="1DBE8BE9" w14:textId="6FEBE32C" w:rsidR="00742F86" w:rsidRPr="00950D73" w:rsidRDefault="00742F86" w:rsidP="00BC1AC5">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3.3.2.3.2</w:t>
      </w:r>
      <w:r w:rsidRPr="00950D73">
        <w:rPr>
          <w:rFonts w:asciiTheme="majorBidi" w:hAnsiTheme="majorBidi" w:cstheme="majorBidi"/>
          <w:color w:val="000000" w:themeColor="text1"/>
        </w:rPr>
        <w:tab/>
      </w:r>
      <w:r w:rsidRPr="00950D73">
        <w:rPr>
          <w:rFonts w:asciiTheme="majorBidi" w:hAnsiTheme="majorBidi" w:cstheme="majorBidi"/>
          <w:color w:val="000000" w:themeColor="text1"/>
        </w:rPr>
        <w:tab/>
        <w:t>Lorsque les résultats issus de méthodes définies se voient attribuer un degré de confiance, un résultat peu fiable d’une approche définie ne peut pas être utilisé seul à des fins de classement, mais peut être pris en compte en combinaison avec d’autres données.</w:t>
      </w:r>
    </w:p>
    <w:p w14:paraId="0EE61A5E" w14:textId="792FAB86" w:rsidR="00AD505E" w:rsidRPr="00950D73" w:rsidRDefault="00742F86" w:rsidP="00742F86">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3.3.2.3.3</w:t>
      </w:r>
      <w:r w:rsidRPr="00950D73">
        <w:rPr>
          <w:rFonts w:asciiTheme="majorBidi" w:hAnsiTheme="majorBidi" w:cstheme="majorBidi"/>
          <w:color w:val="000000" w:themeColor="text1"/>
        </w:rPr>
        <w:tab/>
        <w:t xml:space="preserve">Un élément de preuve </w:t>
      </w:r>
      <w:r w:rsidR="00C86DCB" w:rsidRPr="00950D73">
        <w:rPr>
          <w:rFonts w:asciiTheme="majorBidi" w:hAnsiTheme="majorBidi" w:cstheme="majorBidi"/>
          <w:color w:val="000000" w:themeColor="text1"/>
        </w:rPr>
        <w:t xml:space="preserve">donné </w:t>
      </w:r>
      <w:r w:rsidRPr="00950D73">
        <w:rPr>
          <w:rFonts w:asciiTheme="majorBidi" w:hAnsiTheme="majorBidi" w:cstheme="majorBidi"/>
          <w:color w:val="000000" w:themeColor="text1"/>
        </w:rPr>
        <w:t xml:space="preserve">utilisé dans le cadre d’une méthode définie ne </w:t>
      </w:r>
      <w:r w:rsidR="00C86DCB" w:rsidRPr="00950D73">
        <w:rPr>
          <w:rFonts w:asciiTheme="majorBidi" w:hAnsiTheme="majorBidi" w:cstheme="majorBidi"/>
          <w:color w:val="000000" w:themeColor="text1"/>
        </w:rPr>
        <w:t xml:space="preserve">devrait </w:t>
      </w:r>
      <w:r w:rsidRPr="00950D73">
        <w:rPr>
          <w:rFonts w:asciiTheme="majorBidi" w:hAnsiTheme="majorBidi" w:cstheme="majorBidi"/>
          <w:color w:val="000000" w:themeColor="text1"/>
        </w:rPr>
        <w:t xml:space="preserve">pas être également utilisé dans </w:t>
      </w:r>
      <w:r w:rsidR="00C86DCB" w:rsidRPr="00950D73">
        <w:rPr>
          <w:rFonts w:asciiTheme="majorBidi" w:hAnsiTheme="majorBidi" w:cstheme="majorBidi"/>
          <w:color w:val="000000" w:themeColor="text1"/>
        </w:rPr>
        <w:t xml:space="preserve">un autre </w:t>
      </w:r>
      <w:r w:rsidRPr="00950D73">
        <w:rPr>
          <w:rFonts w:asciiTheme="majorBidi" w:hAnsiTheme="majorBidi" w:cstheme="majorBidi"/>
          <w:color w:val="000000" w:themeColor="text1"/>
        </w:rPr>
        <w:t xml:space="preserve">cadre. </w:t>
      </w:r>
    </w:p>
    <w:p w14:paraId="3C7877B4" w14:textId="77777777" w:rsidR="009F28CF" w:rsidRPr="00950D73" w:rsidRDefault="009F28CF" w:rsidP="009F28CF">
      <w:pPr>
        <w:tabs>
          <w:tab w:val="left" w:pos="2268"/>
          <w:tab w:val="left" w:pos="3402"/>
        </w:tabs>
        <w:spacing w:after="120"/>
        <w:ind w:left="2268" w:right="1134"/>
        <w:jc w:val="both"/>
        <w:rPr>
          <w:rFonts w:asciiTheme="majorBidi" w:hAnsiTheme="majorBidi" w:cstheme="majorBidi"/>
          <w:b/>
          <w:bCs/>
          <w:i/>
          <w:iCs/>
          <w:color w:val="000000" w:themeColor="text1"/>
        </w:rPr>
      </w:pPr>
      <w:r w:rsidRPr="00950D73">
        <w:rPr>
          <w:rFonts w:asciiTheme="majorBidi" w:hAnsiTheme="majorBidi" w:cstheme="majorBidi"/>
          <w:b/>
          <w:bCs/>
          <w:color w:val="000000" w:themeColor="text1"/>
        </w:rPr>
        <w:t>3.3.2.4</w:t>
      </w:r>
      <w:r w:rsidRPr="00950D73">
        <w:rPr>
          <w:rFonts w:asciiTheme="majorBidi" w:hAnsiTheme="majorBidi" w:cstheme="majorBidi"/>
          <w:b/>
          <w:bCs/>
          <w:color w:val="000000" w:themeColor="text1"/>
        </w:rPr>
        <w:tab/>
      </w:r>
      <w:r w:rsidRPr="00950D73">
        <w:rPr>
          <w:rFonts w:asciiTheme="majorBidi" w:hAnsiTheme="majorBidi" w:cstheme="majorBidi"/>
          <w:b/>
          <w:bCs/>
          <w:i/>
          <w:iCs/>
          <w:color w:val="000000" w:themeColor="text1"/>
        </w:rPr>
        <w:t>Classification fondée sur des données in vitro/ex vivo (étape 2 de la figure 3.3.1)</w:t>
      </w:r>
    </w:p>
    <w:p w14:paraId="7494FA39" w14:textId="77777777" w:rsidR="009F28CF" w:rsidRPr="00950D73" w:rsidRDefault="009F28CF" w:rsidP="009F28CF">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spacing w:val="-2"/>
        </w:rPr>
        <w:t>3.3.2.4.1</w:t>
      </w:r>
      <w:r w:rsidRPr="00950D73">
        <w:rPr>
          <w:rFonts w:asciiTheme="majorBidi" w:hAnsiTheme="majorBidi" w:cstheme="majorBidi"/>
          <w:color w:val="000000" w:themeColor="text1"/>
          <w:spacing w:val="-2"/>
        </w:rPr>
        <w:tab/>
        <w:t>Les critères de classification des</w:t>
      </w:r>
      <w:r w:rsidRPr="00950D73">
        <w:rPr>
          <w:rFonts w:asciiTheme="majorBidi" w:hAnsiTheme="majorBidi" w:cstheme="majorBidi"/>
          <w:i/>
          <w:iCs/>
          <w:color w:val="000000" w:themeColor="text1"/>
          <w:spacing w:val="-2"/>
        </w:rPr>
        <w:t xml:space="preserve"> </w:t>
      </w:r>
      <w:r w:rsidRPr="00950D73">
        <w:rPr>
          <w:rFonts w:asciiTheme="majorBidi" w:hAnsiTheme="majorBidi" w:cstheme="majorBidi"/>
          <w:color w:val="000000" w:themeColor="text1"/>
          <w:spacing w:val="-2"/>
        </w:rPr>
        <w:t>méthodes d’essai</w:t>
      </w:r>
      <w:r w:rsidRPr="00950D73">
        <w:rPr>
          <w:rFonts w:asciiTheme="majorBidi" w:hAnsiTheme="majorBidi" w:cstheme="majorBidi"/>
          <w:i/>
          <w:iCs/>
          <w:color w:val="000000" w:themeColor="text1"/>
          <w:spacing w:val="-2"/>
        </w:rPr>
        <w:t xml:space="preserve"> </w:t>
      </w:r>
      <w:r w:rsidRPr="00950D73">
        <w:rPr>
          <w:rFonts w:asciiTheme="majorBidi" w:hAnsiTheme="majorBidi" w:cstheme="majorBidi"/>
          <w:color w:val="000000" w:themeColor="text1"/>
          <w:spacing w:val="-2"/>
        </w:rPr>
        <w:t>in vitro</w:t>
      </w:r>
      <w:r w:rsidRPr="00950D73">
        <w:rPr>
          <w:rFonts w:asciiTheme="majorBidi" w:hAnsiTheme="majorBidi" w:cstheme="majorBidi"/>
          <w:iCs/>
          <w:color w:val="000000" w:themeColor="text1"/>
          <w:spacing w:val="-2"/>
        </w:rPr>
        <w:t>/</w:t>
      </w:r>
      <w:r w:rsidRPr="00950D73">
        <w:rPr>
          <w:rFonts w:asciiTheme="majorBidi" w:hAnsiTheme="majorBidi" w:cstheme="majorBidi"/>
          <w:i/>
          <w:iCs/>
          <w:color w:val="000000" w:themeColor="text1"/>
          <w:spacing w:val="-2"/>
        </w:rPr>
        <w:t xml:space="preserve">ex vivo </w:t>
      </w:r>
      <w:r w:rsidRPr="00950D73">
        <w:rPr>
          <w:rFonts w:asciiTheme="majorBidi" w:hAnsiTheme="majorBidi" w:cstheme="majorBidi"/>
          <w:color w:val="000000" w:themeColor="text1"/>
          <w:spacing w:val="-2"/>
        </w:rPr>
        <w:t>actuellement disponibles, adoptés par l’OCDE dans les lignes directrices 437, 438, 460, 491, 492, 494 et 496, sont décrits dans le tableau 3.3.6 (voir 3.3.5.3.5.1). Considérées individuellement, ces lignes directrices pour les essais in vitro</w:t>
      </w:r>
      <w:r w:rsidRPr="00950D73">
        <w:rPr>
          <w:rFonts w:asciiTheme="majorBidi" w:hAnsiTheme="majorBidi" w:cstheme="majorBidi"/>
          <w:iCs/>
          <w:color w:val="000000" w:themeColor="text1"/>
          <w:spacing w:val="-2"/>
        </w:rPr>
        <w:t>/</w:t>
      </w:r>
      <w:r w:rsidRPr="00950D73">
        <w:rPr>
          <w:rFonts w:asciiTheme="majorBidi" w:hAnsiTheme="majorBidi" w:cstheme="majorBidi"/>
          <w:i/>
          <w:iCs/>
          <w:color w:val="000000" w:themeColor="text1"/>
          <w:spacing w:val="-2"/>
        </w:rPr>
        <w:t>ex vivo</w:t>
      </w:r>
      <w:r w:rsidRPr="00950D73">
        <w:rPr>
          <w:rFonts w:asciiTheme="majorBidi" w:hAnsiTheme="majorBidi" w:cstheme="majorBidi"/>
          <w:color w:val="000000" w:themeColor="text1"/>
          <w:spacing w:val="-2"/>
        </w:rPr>
        <w:t xml:space="preserve"> traitent des lésions oculaires graves ou de l’absence de classification concernant le danger pour l’œil, mais ne traitent pas de l’irritation oculaire. Par conséquent, les données provenant d’un essai conforme à une ligne directrice de l’OCDE pour les essais</w:t>
      </w:r>
      <w:r w:rsidRPr="00950D73">
        <w:rPr>
          <w:rFonts w:asciiTheme="majorBidi" w:hAnsiTheme="majorBidi" w:cstheme="majorBidi"/>
          <w:i/>
          <w:iCs/>
          <w:color w:val="000000" w:themeColor="text1"/>
          <w:spacing w:val="-2"/>
        </w:rPr>
        <w:t xml:space="preserve"> </w:t>
      </w:r>
      <w:r w:rsidRPr="00950D73">
        <w:rPr>
          <w:rFonts w:asciiTheme="majorBidi" w:hAnsiTheme="majorBidi" w:cstheme="majorBidi"/>
          <w:color w:val="000000" w:themeColor="text1"/>
          <w:spacing w:val="-2"/>
        </w:rPr>
        <w:t>in vitro</w:t>
      </w:r>
      <w:r w:rsidRPr="00950D73">
        <w:rPr>
          <w:rFonts w:asciiTheme="majorBidi" w:hAnsiTheme="majorBidi" w:cstheme="majorBidi"/>
          <w:iCs/>
          <w:color w:val="000000" w:themeColor="text1"/>
          <w:spacing w:val="-2"/>
        </w:rPr>
        <w:t>/</w:t>
      </w:r>
      <w:r w:rsidRPr="00950D73">
        <w:rPr>
          <w:rFonts w:asciiTheme="majorBidi" w:hAnsiTheme="majorBidi" w:cstheme="majorBidi"/>
          <w:i/>
          <w:iCs/>
          <w:color w:val="000000" w:themeColor="text1"/>
          <w:spacing w:val="-2"/>
        </w:rPr>
        <w:t>ex vivo</w:t>
      </w:r>
      <w:r w:rsidRPr="00950D73">
        <w:rPr>
          <w:rFonts w:asciiTheme="majorBidi" w:hAnsiTheme="majorBidi" w:cstheme="majorBidi"/>
          <w:color w:val="000000" w:themeColor="text1"/>
          <w:spacing w:val="-2"/>
        </w:rPr>
        <w:t xml:space="preserve"> prise individuellement peuvent être utilisées uniquement pour conclure à une classification dans la catégorie 1 ou à l’absence de classification, et ne peuvent être utilisées pour conclure à une classification dans la catégorie 2.</w:t>
      </w:r>
      <w:r w:rsidRPr="00950D73">
        <w:rPr>
          <w:rFonts w:asciiTheme="majorBidi" w:hAnsiTheme="majorBidi" w:cstheme="majorBidi"/>
          <w:color w:val="000000" w:themeColor="text1"/>
        </w:rPr>
        <w:t xml:space="preserve"> Lorsque le résultat obtenu au moyen d’une méthode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appliquée individuellement est « qu’aucune prédiction ne peut être faite sur la base de ce seul essai » (voir par exemple le tableau 3.3.6), une conclusion ne peut être tirée sur la base de ce seul résultat et des données </w:t>
      </w:r>
      <w:r w:rsidRPr="00950D73">
        <w:rPr>
          <w:rFonts w:asciiTheme="majorBidi" w:hAnsiTheme="majorBidi" w:cstheme="majorBidi"/>
          <w:color w:val="000000" w:themeColor="text1"/>
        </w:rPr>
        <w:lastRenderedPageBreak/>
        <w:t>supplémentaires sont donc nécessaires pour effectuer la classification (voir 3.3.5.3.4.3 et 3.3.5.3.4.4).</w:t>
      </w:r>
    </w:p>
    <w:p w14:paraId="7C74A34A" w14:textId="46E7B24A" w:rsidR="009F5096" w:rsidRPr="00950D73" w:rsidRDefault="00C82F2C" w:rsidP="00143ED4">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3.3.2.4.2</w:t>
      </w:r>
      <w:r w:rsidRPr="00950D73">
        <w:rPr>
          <w:rFonts w:asciiTheme="majorBidi" w:hAnsiTheme="majorBidi" w:cstheme="majorBidi"/>
          <w:color w:val="000000" w:themeColor="text1"/>
        </w:rPr>
        <w:tab/>
        <w:t>Les méthodes in vitro</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mentionnées au 3.3.2.4.1 et dont le résultat est “aucune prédiction ne peut être faite sur la base de ce seul essai” ne doivent être utilisées à l’étape 2 qu’en combinaison avec d’autres types de données dans le cadre de méthodes définies. </w:t>
      </w:r>
    </w:p>
    <w:p w14:paraId="125041A3" w14:textId="4534B263"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w:t>
      </w:r>
      <w:r w:rsidR="00C82F2C" w:rsidRPr="00950D73">
        <w:rPr>
          <w:rFonts w:asciiTheme="majorBidi" w:hAnsiTheme="majorBidi" w:cstheme="majorBidi"/>
          <w:color w:val="000000" w:themeColor="text1"/>
        </w:rPr>
        <w:t>3</w:t>
      </w:r>
      <w:r w:rsidRPr="00950D73">
        <w:rPr>
          <w:rFonts w:asciiTheme="majorBidi" w:hAnsiTheme="majorBidi" w:cstheme="majorBidi"/>
          <w:color w:val="000000" w:themeColor="text1"/>
        </w:rPr>
        <w:tab/>
        <w:t>D’autres méthodes d’essai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validées et acceptées par certaines autorités compétentes sont décrites au 3.3.5.3.5.2. Certaines de ces méthodes peuvent être utiles pour effectuer une classification dans la catégorie 2. Une autorité compétente peut décider quels critères de classification doivent éventuellement être appliqués à ces méthodes d’essai pour conclure à la classification ou l’absence de classification d’une substance pour ses effets sur l’œil.</w:t>
      </w:r>
    </w:p>
    <w:p w14:paraId="2BF2D778" w14:textId="11AC6412"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w:t>
      </w:r>
      <w:r w:rsidR="00C82F2C" w:rsidRPr="00950D73">
        <w:rPr>
          <w:rFonts w:asciiTheme="majorBidi" w:hAnsiTheme="majorBidi" w:cstheme="majorBidi"/>
          <w:color w:val="000000" w:themeColor="text1"/>
        </w:rPr>
        <w:t>4</w:t>
      </w:r>
      <w:r w:rsidRPr="00950D73">
        <w:rPr>
          <w:rFonts w:asciiTheme="majorBidi" w:hAnsiTheme="majorBidi" w:cstheme="majorBidi"/>
          <w:color w:val="000000" w:themeColor="text1"/>
        </w:rPr>
        <w:tab/>
        <w:t>Les données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ne peuvent être utilisées à des fins de classement que lorsque la substance soumise à l’essai relève du domaine d’application de la (des) méthode(s) d’essai utilisée(s). Les limites supplémentaires décrites dans les documents publiés sur la question doivent également être prises en compte.</w:t>
      </w:r>
    </w:p>
    <w:p w14:paraId="1E40D47D" w14:textId="1D87D3CB" w:rsidR="009F28CF" w:rsidRPr="00950D73" w:rsidRDefault="009F28CF" w:rsidP="009F28CF">
      <w:pPr>
        <w:spacing w:after="120"/>
        <w:ind w:left="2268" w:right="1134"/>
        <w:jc w:val="both"/>
        <w:rPr>
          <w:rFonts w:asciiTheme="majorBidi" w:hAnsiTheme="majorBidi" w:cstheme="majorBidi"/>
          <w:i/>
          <w:iCs/>
          <w:color w:val="000000" w:themeColor="text1"/>
        </w:rPr>
      </w:pPr>
      <w:r w:rsidRPr="00950D73">
        <w:rPr>
          <w:rFonts w:asciiTheme="majorBidi" w:hAnsiTheme="majorBidi" w:cstheme="majorBidi"/>
          <w:color w:val="000000" w:themeColor="text1"/>
        </w:rPr>
        <w:t>3.3.2.4.</w:t>
      </w:r>
      <w:r w:rsidR="00C82F2C" w:rsidRPr="00950D73">
        <w:rPr>
          <w:rFonts w:asciiTheme="majorBidi" w:hAnsiTheme="majorBidi" w:cstheme="majorBidi"/>
          <w:color w:val="000000" w:themeColor="text1"/>
        </w:rPr>
        <w:t>5</w:t>
      </w:r>
      <w:r w:rsidRPr="00950D73">
        <w:rPr>
          <w:rFonts w:asciiTheme="majorBidi" w:hAnsiTheme="majorBidi" w:cstheme="majorBidi"/>
          <w:i/>
          <w:iCs/>
          <w:color w:val="000000" w:themeColor="text1"/>
        </w:rPr>
        <w:tab/>
        <w:t>Lésions oculaires graves (catégorie 1)/Effets irréversibles sur les yeux</w:t>
      </w:r>
    </w:p>
    <w:p w14:paraId="3824743C" w14:textId="4A8C4D28"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w:t>
      </w:r>
      <w:r w:rsidR="00C82F2C" w:rsidRPr="00950D73">
        <w:rPr>
          <w:rFonts w:asciiTheme="majorBidi" w:hAnsiTheme="majorBidi" w:cstheme="majorBidi"/>
          <w:color w:val="000000" w:themeColor="text1"/>
        </w:rPr>
        <w:t>5</w:t>
      </w:r>
      <w:r w:rsidRPr="00950D73">
        <w:rPr>
          <w:rFonts w:asciiTheme="majorBidi" w:hAnsiTheme="majorBidi" w:cstheme="majorBidi"/>
          <w:color w:val="000000" w:themeColor="text1"/>
        </w:rPr>
        <w:t>.1</w:t>
      </w:r>
      <w:r w:rsidRPr="00950D73">
        <w:rPr>
          <w:rFonts w:asciiTheme="majorBidi" w:hAnsiTheme="majorBidi" w:cstheme="majorBidi"/>
          <w:color w:val="000000" w:themeColor="text1"/>
        </w:rPr>
        <w:tab/>
        <w:t>Lorsque des essais ont été menés conformément aux lignes directrices 437, 438, 460, 491 ou 496 de l’OCDE, une substance est classée pour les lésions oculaires graves dans la catégorie 1 sur la base des critères indiqués dans le tableau 3.3.6 (voir 3.3.5.3.5.1).</w:t>
      </w:r>
    </w:p>
    <w:p w14:paraId="698BFDCE" w14:textId="4554D86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w:t>
      </w:r>
      <w:r w:rsidR="00C82F2C" w:rsidRPr="00950D73">
        <w:rPr>
          <w:rFonts w:asciiTheme="majorBidi" w:hAnsiTheme="majorBidi" w:cstheme="majorBidi"/>
          <w:color w:val="000000" w:themeColor="text1"/>
        </w:rPr>
        <w:t>5</w:t>
      </w:r>
      <w:r w:rsidRPr="00950D73">
        <w:rPr>
          <w:rFonts w:asciiTheme="majorBidi" w:hAnsiTheme="majorBidi" w:cstheme="majorBidi"/>
          <w:color w:val="000000" w:themeColor="text1"/>
        </w:rPr>
        <w:t>.2</w:t>
      </w:r>
      <w:r w:rsidRPr="00950D73">
        <w:rPr>
          <w:rFonts w:asciiTheme="majorBidi" w:hAnsiTheme="majorBidi" w:cstheme="majorBidi"/>
          <w:color w:val="000000" w:themeColor="text1"/>
        </w:rPr>
        <w:tab/>
        <w:t>Bien que les lignes directrices de l’OCDE pour les essais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et les méthodes équivalentes actuellement disponibles n’aient pas été conçues pour mettre en évidence les substances induisant une </w:t>
      </w:r>
      <w:r w:rsidRPr="00950D73">
        <w:rPr>
          <w:rFonts w:asciiTheme="majorBidi" w:hAnsiTheme="majorBidi" w:cstheme="majorBidi"/>
          <w:color w:val="000000" w:themeColor="text1"/>
        </w:rPr>
        <w:lastRenderedPageBreak/>
        <w:t>décoloration de l’œil, certains effets comparables peuvent néanmoins être observés au moyen de ces essais. Par conséquent, lorsque, après lavage, une décoloration de la cornée ou des cellules soumises à l’essai par rapport au témoin est observée au moyen d’une méthode conforme aux lignes directrices 437, 438, 492 ou 494 de l’OCDE, ou d’autres méthodes équivalentes, indiquant que l’effet observé est permanent, une autorité compétente peut exiger la classification d’une substance pour les lésions oculaires graves dans la catégorie 1.</w:t>
      </w:r>
    </w:p>
    <w:p w14:paraId="3A94CA23" w14:textId="62FEC381"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w:t>
      </w:r>
      <w:r w:rsidR="005900F4" w:rsidRPr="00950D73">
        <w:rPr>
          <w:rFonts w:asciiTheme="majorBidi" w:hAnsiTheme="majorBidi" w:cstheme="majorBidi"/>
          <w:color w:val="000000" w:themeColor="text1"/>
        </w:rPr>
        <w:t>6</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Irritation oculaire (catégorie 2)/Effets réversibles sur les yeux</w:t>
      </w:r>
    </w:p>
    <w:p w14:paraId="791B75AE" w14:textId="629F0EC4" w:rsidR="009F28CF" w:rsidRPr="00950D73" w:rsidRDefault="009F28CF" w:rsidP="009F28CF">
      <w:pPr>
        <w:spacing w:after="120"/>
        <w:ind w:left="2268" w:right="1134"/>
        <w:jc w:val="both"/>
        <w:rPr>
          <w:rFonts w:asciiTheme="majorBidi" w:hAnsiTheme="majorBidi" w:cstheme="majorBidi"/>
          <w:color w:val="000000" w:themeColor="text1"/>
        </w:rPr>
      </w:pPr>
      <w:bookmarkStart w:id="4" w:name="_Hlk25673670"/>
      <w:r w:rsidRPr="00950D73">
        <w:rPr>
          <w:rFonts w:asciiTheme="majorBidi" w:hAnsiTheme="majorBidi" w:cstheme="majorBidi"/>
          <w:color w:val="000000" w:themeColor="text1"/>
        </w:rPr>
        <w:t>3.3.2.4.</w:t>
      </w:r>
      <w:r w:rsidR="005900F4" w:rsidRPr="00950D73">
        <w:rPr>
          <w:rFonts w:asciiTheme="majorBidi" w:hAnsiTheme="majorBidi" w:cstheme="majorBidi"/>
          <w:color w:val="000000" w:themeColor="text1"/>
        </w:rPr>
        <w:t>6</w:t>
      </w:r>
      <w:r w:rsidRPr="00950D73">
        <w:rPr>
          <w:rFonts w:asciiTheme="majorBidi" w:hAnsiTheme="majorBidi" w:cstheme="majorBidi"/>
          <w:color w:val="000000" w:themeColor="text1"/>
        </w:rPr>
        <w:t>.1</w:t>
      </w:r>
      <w:r w:rsidRPr="00950D73">
        <w:rPr>
          <w:rFonts w:asciiTheme="majorBidi" w:hAnsiTheme="majorBidi" w:cstheme="majorBidi"/>
          <w:color w:val="000000" w:themeColor="text1"/>
        </w:rPr>
        <w:tab/>
        <w:t>Des résultats positifs obtenus au moyen d’une méthode d’essai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validée selon des procédures internationales pour le recensement des substances induisant une irritation oculaire peuvent être utilisés pour classer une substance dans la catégorie 2/2A</w:t>
      </w:r>
      <w:r w:rsidRPr="00950D73">
        <w:rPr>
          <w:rFonts w:asciiTheme="majorBidi" w:hAnsiTheme="majorBidi" w:cstheme="majorBidi"/>
          <w:color w:val="000000" w:themeColor="text1"/>
          <w:sz w:val="18"/>
          <w:szCs w:val="18"/>
          <w:vertAlign w:val="superscript"/>
        </w:rPr>
        <w:t>3</w:t>
      </w:r>
      <w:r w:rsidRPr="00950D73">
        <w:rPr>
          <w:rFonts w:asciiTheme="majorBidi" w:hAnsiTheme="majorBidi" w:cstheme="majorBidi"/>
          <w:color w:val="000000" w:themeColor="text1"/>
        </w:rPr>
        <w:t>.</w:t>
      </w:r>
      <w:bookmarkEnd w:id="4"/>
    </w:p>
    <w:p w14:paraId="2D7E93AA" w14:textId="3F720C53"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w:t>
      </w:r>
      <w:r w:rsidR="005900F4" w:rsidRPr="00950D73">
        <w:rPr>
          <w:rFonts w:asciiTheme="majorBidi" w:hAnsiTheme="majorBidi" w:cstheme="majorBidi"/>
          <w:color w:val="000000" w:themeColor="text1"/>
        </w:rPr>
        <w:t>6</w:t>
      </w:r>
      <w:r w:rsidRPr="00950D73">
        <w:rPr>
          <w:rFonts w:asciiTheme="majorBidi" w:hAnsiTheme="majorBidi" w:cstheme="majorBidi"/>
          <w:color w:val="000000" w:themeColor="text1"/>
        </w:rPr>
        <w:t>.2</w:t>
      </w:r>
      <w:r w:rsidRPr="00950D73">
        <w:rPr>
          <w:rFonts w:asciiTheme="majorBidi" w:hAnsiTheme="majorBidi" w:cstheme="majorBidi"/>
          <w:color w:val="000000" w:themeColor="text1"/>
        </w:rPr>
        <w:tab/>
        <w:t>Si les autorités compétentes optent pour la catégorie 2A ou la catégorie 2B, il est important de noter que les méthodes d’essai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actuellement validées pour les effets sur l’œil ne permettent pas de faire la distinction entre ces deux catégories. Dans ce cas, si les critères de classification dans la catégorie 2 ont été considérés comme satisfaits et si aucune autre information pertinente n’est disponible, la classification doit se faire dans la catégorie 2/2A.</w:t>
      </w:r>
    </w:p>
    <w:p w14:paraId="6BF3B98C" w14:textId="154FA984"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3.3.2.4.</w:t>
      </w:r>
      <w:r w:rsidR="005900F4" w:rsidRPr="00950D73">
        <w:rPr>
          <w:rFonts w:asciiTheme="majorBidi" w:hAnsiTheme="majorBidi" w:cstheme="majorBidi"/>
          <w:color w:val="000000" w:themeColor="text1"/>
        </w:rPr>
        <w:t>7</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Pas de classification pour les effets sur l’œil</w:t>
      </w:r>
    </w:p>
    <w:p w14:paraId="00221312" w14:textId="77777777" w:rsidR="009F28CF" w:rsidRPr="00950D73" w:rsidRDefault="009F28CF" w:rsidP="009F28CF">
      <w:pPr>
        <w:tabs>
          <w:tab w:val="left" w:pos="3402"/>
        </w:tabs>
        <w:spacing w:after="120"/>
        <w:ind w:left="2268" w:right="1134" w:firstLine="1134"/>
        <w:jc w:val="both"/>
        <w:rPr>
          <w:rFonts w:asciiTheme="majorBidi" w:hAnsiTheme="majorBidi" w:cstheme="majorBidi"/>
          <w:color w:val="000000" w:themeColor="text1"/>
        </w:rPr>
      </w:pPr>
      <w:r w:rsidRPr="00950D73">
        <w:rPr>
          <w:rFonts w:asciiTheme="majorBidi" w:hAnsiTheme="majorBidi" w:cstheme="majorBidi"/>
          <w:color w:val="000000" w:themeColor="text1"/>
        </w:rPr>
        <w:t>Les lignes directrices 437, 438, 491, 492, 494 et 496 de l’OCDE (voir tableau 3.3.6 dans le 3.3.5.3.5.1) peuvent être utilisées pour conclure à l’absence de classification d’une substance pour ses effets sur l’œil.</w:t>
      </w:r>
    </w:p>
    <w:p w14:paraId="36423989" w14:textId="5E6B1992" w:rsidR="009F28CF" w:rsidRPr="00950D73" w:rsidRDefault="009F28CF" w:rsidP="009F28CF">
      <w:pPr>
        <w:tabs>
          <w:tab w:val="left" w:pos="3402"/>
        </w:tabs>
        <w:spacing w:after="120"/>
        <w:ind w:left="2268" w:right="1134"/>
        <w:jc w:val="both"/>
        <w:rPr>
          <w:rFonts w:asciiTheme="majorBidi" w:hAnsiTheme="majorBidi" w:cstheme="majorBidi"/>
          <w:b/>
          <w:bCs/>
          <w:i/>
          <w:iCs/>
          <w:color w:val="000000" w:themeColor="text1"/>
        </w:rPr>
      </w:pPr>
      <w:r w:rsidRPr="00950D73">
        <w:rPr>
          <w:rFonts w:asciiTheme="majorBidi" w:hAnsiTheme="majorBidi" w:cstheme="majorBidi"/>
          <w:b/>
          <w:bCs/>
          <w:color w:val="000000" w:themeColor="text1"/>
        </w:rPr>
        <w:t>3.3.2.5</w:t>
      </w:r>
      <w:r w:rsidRPr="00950D73">
        <w:rPr>
          <w:rFonts w:asciiTheme="majorBidi" w:hAnsiTheme="majorBidi" w:cstheme="majorBidi"/>
          <w:b/>
          <w:bCs/>
          <w:color w:val="000000" w:themeColor="text1"/>
        </w:rPr>
        <w:tab/>
      </w:r>
      <w:r w:rsidRPr="00950D73">
        <w:rPr>
          <w:rFonts w:asciiTheme="majorBidi" w:hAnsiTheme="majorBidi" w:cstheme="majorBidi"/>
          <w:b/>
          <w:bCs/>
          <w:i/>
          <w:iCs/>
          <w:color w:val="000000" w:themeColor="text1"/>
        </w:rPr>
        <w:t xml:space="preserve">Classification fondée sur des données obtenues sur l’homme, des données normalisées sur animaux ou des données in vitro/ex vivo </w:t>
      </w:r>
      <w:r w:rsidRPr="00950D73">
        <w:rPr>
          <w:rFonts w:asciiTheme="majorBidi" w:hAnsiTheme="majorBidi" w:cstheme="majorBidi"/>
          <w:b/>
          <w:bCs/>
          <w:i/>
          <w:iCs/>
          <w:color w:val="000000" w:themeColor="text1"/>
        </w:rPr>
        <w:lastRenderedPageBreak/>
        <w:t>concluantes pour la corrosion cutanée (étape 3 de la figure 3.3.1)</w:t>
      </w:r>
    </w:p>
    <w:p w14:paraId="25A605C1" w14:textId="77777777" w:rsidR="009F28CF" w:rsidRPr="00950D73" w:rsidRDefault="009F28CF" w:rsidP="009F28CF">
      <w:pPr>
        <w:tabs>
          <w:tab w:val="left" w:pos="3402"/>
        </w:tabs>
        <w:spacing w:after="120"/>
        <w:ind w:left="2268" w:right="1134" w:firstLine="1134"/>
        <w:jc w:val="both"/>
        <w:rPr>
          <w:rFonts w:asciiTheme="majorBidi" w:hAnsiTheme="majorBidi" w:cstheme="majorBidi"/>
          <w:color w:val="000000" w:themeColor="text1"/>
        </w:rPr>
      </w:pPr>
      <w:r w:rsidRPr="00950D73">
        <w:rPr>
          <w:rFonts w:asciiTheme="majorBidi" w:hAnsiTheme="majorBidi" w:cstheme="majorBidi"/>
          <w:color w:val="000000" w:themeColor="text1"/>
        </w:rPr>
        <w:t>Les substances classées comme corrosives pour la peau (catégorie 1 cutanée) sur la base de données obtenues sur l’homme, de données normalisées sur animaux ou de données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concluantes pour la corrosion cutanée conformément aux critères du chapitre 3.2 sont également considérées comme des substances provoquant des lésions oculaires graves (catégorie 1 oculaire). L’irritation cutanée (catégorie 2 cutanée), l’irritation cutanée légère (catégorie 3 cutanée) et l’absence de classification pour l’irritation cutanée, ainsi que les données obtenues sur l’homme (comme décrit au chapitre 3.2), ne suffisent pas à conclure à une irritation oculaire ou à l’absence de classification pour les effets sur l’œil, mais peuvent être prises en considération dans le cadre d’une évaluation globale de la force probante des données.</w:t>
      </w:r>
    </w:p>
    <w:p w14:paraId="6D377BD3" w14:textId="2C4E45BF" w:rsidR="009F28CF" w:rsidRPr="00950D73" w:rsidRDefault="009F28CF" w:rsidP="009F28CF">
      <w:pPr>
        <w:tabs>
          <w:tab w:val="left" w:pos="3402"/>
        </w:tabs>
        <w:spacing w:after="120"/>
        <w:ind w:left="2268" w:right="1134"/>
        <w:jc w:val="both"/>
        <w:rPr>
          <w:rFonts w:asciiTheme="majorBidi" w:hAnsiTheme="majorBidi" w:cstheme="majorBidi"/>
          <w:b/>
          <w:bCs/>
          <w:color w:val="000000" w:themeColor="text1"/>
        </w:rPr>
      </w:pPr>
      <w:r w:rsidRPr="00950D73">
        <w:rPr>
          <w:rFonts w:asciiTheme="majorBidi" w:hAnsiTheme="majorBidi" w:cstheme="majorBidi"/>
          <w:b/>
          <w:bCs/>
          <w:color w:val="000000" w:themeColor="text1"/>
        </w:rPr>
        <w:t>3.3.2.6</w:t>
      </w:r>
      <w:r w:rsidRPr="00950D73">
        <w:rPr>
          <w:rFonts w:asciiTheme="majorBidi" w:hAnsiTheme="majorBidi" w:cstheme="majorBidi"/>
          <w:b/>
          <w:bCs/>
          <w:color w:val="000000" w:themeColor="text1"/>
        </w:rPr>
        <w:tab/>
      </w:r>
      <w:r w:rsidRPr="00950D73">
        <w:rPr>
          <w:rFonts w:asciiTheme="majorBidi" w:hAnsiTheme="majorBidi" w:cstheme="majorBidi"/>
          <w:b/>
          <w:bCs/>
          <w:i/>
          <w:iCs/>
          <w:color w:val="000000" w:themeColor="text1"/>
        </w:rPr>
        <w:t>Classification fondée sur d’autres données existantes sur des effets cutanés ou oculaires sur animaux (étape 4 de la figure 3.3.1)</w:t>
      </w:r>
    </w:p>
    <w:p w14:paraId="04964F22" w14:textId="77777777" w:rsidR="009F28CF" w:rsidRPr="00950D73" w:rsidRDefault="009F28CF" w:rsidP="009F28CF">
      <w:pPr>
        <w:tabs>
          <w:tab w:val="left" w:pos="3402"/>
        </w:tabs>
        <w:spacing w:after="120"/>
        <w:ind w:left="2268" w:right="1134" w:firstLine="1134"/>
        <w:jc w:val="both"/>
        <w:rPr>
          <w:rFonts w:asciiTheme="majorBidi" w:hAnsiTheme="majorBidi" w:cstheme="majorBidi"/>
          <w:color w:val="000000" w:themeColor="text1"/>
          <w:spacing w:val="-1"/>
        </w:rPr>
      </w:pPr>
      <w:r w:rsidRPr="00950D73">
        <w:rPr>
          <w:rFonts w:asciiTheme="majorBidi" w:hAnsiTheme="majorBidi" w:cstheme="majorBidi"/>
          <w:color w:val="000000" w:themeColor="text1"/>
          <w:spacing w:val="-1"/>
        </w:rPr>
        <w:t xml:space="preserve">D’autres données existantes sur des effets cutanés ou oculaires sur animaux peuvent être utilisées à des fins de classement, mais elles peuvent présenter des limites quant aux conclusions pouvant être tirées (voir 3.3.5.3.6). Les substances classées comme corrosives pour la peau (catégorie 1 cutanée) sur la base d’autres données existantes sur les effets cutanés selon les critères du chapitre 3.2 sont également considérées comme des substances induisant des lésions oculaires graves (catégorie 1 oculaire). D’autres données existantes sur des effets cutanés conduisant à une classification dans la catégorie 2 ou 3 cutanée ou à une absence de classification ne peuvent pas être utilisées seules pour conclure à une irritation oculaire ou à une absence de classification pour les effets sur l’œil, mais peuvent être prises en compte dans le cadre d’une </w:t>
      </w:r>
      <w:r w:rsidRPr="00950D73">
        <w:rPr>
          <w:rFonts w:asciiTheme="majorBidi" w:hAnsiTheme="majorBidi" w:cstheme="majorBidi"/>
          <w:color w:val="000000" w:themeColor="text1"/>
          <w:spacing w:val="-1"/>
        </w:rPr>
        <w:lastRenderedPageBreak/>
        <w:t>évaluation globale de la force probante des données.</w:t>
      </w:r>
    </w:p>
    <w:p w14:paraId="15667A09" w14:textId="05DC0D01" w:rsidR="009F28CF" w:rsidRPr="00950D73" w:rsidRDefault="009F28CF" w:rsidP="009F28CF">
      <w:pPr>
        <w:spacing w:after="120"/>
        <w:ind w:left="2268" w:right="1134"/>
        <w:jc w:val="both"/>
        <w:rPr>
          <w:rFonts w:asciiTheme="majorBidi" w:hAnsiTheme="majorBidi" w:cstheme="majorBidi"/>
          <w:b/>
          <w:bCs/>
          <w:color w:val="000000" w:themeColor="text1"/>
        </w:rPr>
      </w:pPr>
      <w:r w:rsidRPr="00950D73">
        <w:rPr>
          <w:rFonts w:asciiTheme="majorBidi" w:hAnsiTheme="majorBidi" w:cstheme="majorBidi"/>
          <w:b/>
          <w:bCs/>
          <w:color w:val="000000" w:themeColor="text1"/>
        </w:rPr>
        <w:t>3.3.2.7</w:t>
      </w:r>
      <w:r w:rsidRPr="00950D73">
        <w:rPr>
          <w:rFonts w:asciiTheme="majorBidi" w:hAnsiTheme="majorBidi" w:cstheme="majorBidi"/>
          <w:b/>
          <w:bCs/>
          <w:color w:val="000000" w:themeColor="text1"/>
        </w:rPr>
        <w:tab/>
      </w:r>
      <w:r w:rsidR="00313DB9" w:rsidRPr="00950D73">
        <w:rPr>
          <w:rFonts w:asciiTheme="majorBidi" w:hAnsiTheme="majorBidi" w:cstheme="majorBidi"/>
          <w:b/>
          <w:bCs/>
          <w:color w:val="000000" w:themeColor="text1"/>
        </w:rPr>
        <w:tab/>
      </w:r>
      <w:r w:rsidRPr="00950D73">
        <w:rPr>
          <w:rFonts w:asciiTheme="majorBidi" w:hAnsiTheme="majorBidi" w:cstheme="majorBidi"/>
          <w:b/>
          <w:bCs/>
          <w:i/>
          <w:iCs/>
          <w:color w:val="000000" w:themeColor="text1"/>
        </w:rPr>
        <w:t>Classification fondée sur un pH extrême (pH ≤ 2 ou ≥ 11,5) et une réserve acide</w:t>
      </w:r>
      <w:r w:rsidRPr="00950D73">
        <w:rPr>
          <w:rFonts w:asciiTheme="majorBidi" w:hAnsiTheme="majorBidi" w:cstheme="majorBidi"/>
          <w:bCs/>
          <w:iCs/>
          <w:color w:val="000000" w:themeColor="text1"/>
        </w:rPr>
        <w:t>/</w:t>
      </w:r>
      <w:r w:rsidRPr="00950D73">
        <w:rPr>
          <w:rFonts w:asciiTheme="majorBidi" w:hAnsiTheme="majorBidi" w:cstheme="majorBidi"/>
          <w:b/>
          <w:bCs/>
          <w:i/>
          <w:iCs/>
          <w:color w:val="000000" w:themeColor="text1"/>
        </w:rPr>
        <w:t>alcaline (étape 5 de la figure 3.3.1)</w:t>
      </w:r>
    </w:p>
    <w:p w14:paraId="176464F8" w14:textId="77777777" w:rsidR="009F28CF" w:rsidRPr="00950D73" w:rsidRDefault="009F28CF" w:rsidP="009F28CF">
      <w:pPr>
        <w:tabs>
          <w:tab w:val="left" w:pos="3402"/>
        </w:tabs>
        <w:spacing w:after="120"/>
        <w:ind w:left="2268" w:right="1134" w:firstLine="1134"/>
        <w:jc w:val="both"/>
        <w:rPr>
          <w:rFonts w:asciiTheme="majorBidi" w:hAnsiTheme="majorBidi" w:cstheme="majorBidi"/>
          <w:color w:val="000000" w:themeColor="text1"/>
        </w:rPr>
      </w:pPr>
      <w:r w:rsidRPr="00950D73">
        <w:rPr>
          <w:rFonts w:asciiTheme="majorBidi" w:hAnsiTheme="majorBidi" w:cstheme="majorBidi"/>
          <w:color w:val="000000" w:themeColor="text1"/>
        </w:rPr>
        <w:t>Les substances ayant un pH extrême (pH ≤ 2 ou ≥ 11,5) ont généralement des effets importants sur l’œil, surtout lorsque ce pH est associé à</w:t>
      </w:r>
      <w:r w:rsidRPr="00950D73">
        <w:rPr>
          <w:rFonts w:asciiTheme="majorBidi" w:hAnsiTheme="majorBidi" w:cstheme="majorBidi"/>
          <w:i/>
          <w:iCs/>
          <w:color w:val="000000" w:themeColor="text1"/>
        </w:rPr>
        <w:t xml:space="preserve"> </w:t>
      </w:r>
      <w:r w:rsidRPr="00950D73">
        <w:rPr>
          <w:rFonts w:asciiTheme="majorBidi" w:hAnsiTheme="majorBidi" w:cstheme="majorBidi"/>
          <w:color w:val="000000" w:themeColor="text1"/>
        </w:rPr>
        <w:t>une réserve acide/alcaline significative. Une substance dont le pH est ≤ 2 ou ≥ 11,5 est donc considérée comme induisant des lésions oculaires graves (catégorie 1) à cette étape si elle présente une réserve acide/alcaline significative ou s’il n’existe pas de données concernant la réserve acide/alcaline. Toutefois, si l’examen de la réserve acide/alcaline laisse penser que la substance pourrait ne pas induire de graves lésions oculaires</w:t>
      </w:r>
      <w:r w:rsidRPr="00950D73">
        <w:rPr>
          <w:rFonts w:asciiTheme="majorBidi" w:hAnsiTheme="majorBidi" w:cstheme="majorBidi"/>
          <w:i/>
          <w:iCs/>
          <w:color w:val="000000" w:themeColor="text1"/>
        </w:rPr>
        <w:t xml:space="preserve"> </w:t>
      </w:r>
      <w:r w:rsidRPr="00950D73">
        <w:rPr>
          <w:rFonts w:asciiTheme="majorBidi" w:hAnsiTheme="majorBidi" w:cstheme="majorBidi"/>
          <w:color w:val="000000" w:themeColor="text1"/>
        </w:rPr>
        <w:t>malgré un pH extrême, le résultat est jugé non concluant à cette même étape (voir figure 3.3.1). Un pH &gt; 2 ou &lt; 11,5 est considéré comme non concluant et ne peut être utilisé à des fins de classification. La réserve acide/alcaline et le pH peuvent être déterminés au moyen de différentes méthodes, notamment celles décrites dans la ligne directrice 122 de l’OCDE et dans la publication de Young et al. (1988), sachant cependant que des différences existent entre ces méthodes (voir 3.3.5.3.7). Une autorité compétente peut décider quels critères appliquer pour déterminer si une réserve acide/alcaline est significative.</w:t>
      </w:r>
    </w:p>
    <w:p w14:paraId="01822C54" w14:textId="3B935187" w:rsidR="009F28CF" w:rsidRPr="00950D73" w:rsidRDefault="009F28CF" w:rsidP="009F28CF">
      <w:pPr>
        <w:spacing w:after="120"/>
        <w:ind w:left="2268" w:right="1134"/>
        <w:jc w:val="both"/>
        <w:rPr>
          <w:rFonts w:asciiTheme="majorBidi" w:hAnsiTheme="majorBidi" w:cstheme="majorBidi"/>
          <w:b/>
          <w:bCs/>
          <w:color w:val="000000" w:themeColor="text1"/>
        </w:rPr>
      </w:pPr>
      <w:r w:rsidRPr="00950D73">
        <w:rPr>
          <w:rFonts w:asciiTheme="majorBidi" w:hAnsiTheme="majorBidi" w:cstheme="majorBidi"/>
          <w:b/>
          <w:bCs/>
          <w:color w:val="000000" w:themeColor="text1"/>
        </w:rPr>
        <w:t>3.3.2.8</w:t>
      </w:r>
      <w:r w:rsidRPr="00950D73">
        <w:rPr>
          <w:rFonts w:asciiTheme="majorBidi" w:hAnsiTheme="majorBidi" w:cstheme="majorBidi"/>
          <w:b/>
          <w:bCs/>
          <w:color w:val="000000" w:themeColor="text1"/>
        </w:rPr>
        <w:tab/>
      </w:r>
      <w:r w:rsidRPr="00950D73">
        <w:rPr>
          <w:rFonts w:asciiTheme="majorBidi" w:hAnsiTheme="majorBidi" w:cstheme="majorBidi"/>
          <w:b/>
          <w:bCs/>
          <w:color w:val="000000" w:themeColor="text1"/>
        </w:rPr>
        <w:tab/>
      </w:r>
      <w:r w:rsidRPr="00950D73">
        <w:rPr>
          <w:rFonts w:asciiTheme="majorBidi" w:hAnsiTheme="majorBidi" w:cstheme="majorBidi"/>
          <w:b/>
          <w:bCs/>
          <w:i/>
          <w:iCs/>
          <w:color w:val="000000" w:themeColor="text1"/>
        </w:rPr>
        <w:t>Classification fondée sur des méthodes sans essais pour les lésions oculaires graves</w:t>
      </w:r>
      <w:r w:rsidRPr="00950D73">
        <w:rPr>
          <w:rFonts w:asciiTheme="majorBidi" w:hAnsiTheme="majorBidi" w:cstheme="majorBidi"/>
          <w:bCs/>
          <w:iCs/>
          <w:color w:val="000000" w:themeColor="text1"/>
        </w:rPr>
        <w:t>/</w:t>
      </w:r>
      <w:r w:rsidRPr="00950D73">
        <w:rPr>
          <w:rFonts w:asciiTheme="majorBidi" w:hAnsiTheme="majorBidi" w:cstheme="majorBidi"/>
          <w:b/>
          <w:bCs/>
          <w:i/>
          <w:iCs/>
          <w:color w:val="000000" w:themeColor="text1"/>
        </w:rPr>
        <w:t>l’irritation oculaire ou pour la corrosion cutanée (étape 6 de la figure 3.3.1)</w:t>
      </w:r>
    </w:p>
    <w:p w14:paraId="79EB48C3" w14:textId="6C59D82A" w:rsidR="009F28CF" w:rsidRPr="00950D73" w:rsidRDefault="009F28CF" w:rsidP="005C2358">
      <w:pPr>
        <w:tabs>
          <w:tab w:val="left" w:pos="2268"/>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3.3.2.8.1</w:t>
      </w:r>
      <w:r w:rsidRPr="00950D73">
        <w:rPr>
          <w:rFonts w:asciiTheme="majorBidi" w:hAnsiTheme="majorBidi" w:cstheme="majorBidi"/>
          <w:color w:val="000000" w:themeColor="text1"/>
        </w:rPr>
        <w:tab/>
        <w:t xml:space="preserve">Le classement, y compris la conclusion de non-classement, peut reposer sur des méthodes sans essais appliquées au cas par cas, compte dûment tenu de la fiabilité et de l’applicabilité. </w:t>
      </w:r>
      <w:r w:rsidR="005C2358" w:rsidRPr="00950D73">
        <w:rPr>
          <w:rFonts w:asciiTheme="majorBidi" w:hAnsiTheme="majorBidi" w:cstheme="majorBidi"/>
          <w:color w:val="000000" w:themeColor="text1"/>
        </w:rPr>
        <w:t xml:space="preserve">Les </w:t>
      </w:r>
      <w:r w:rsidRPr="00950D73">
        <w:rPr>
          <w:rFonts w:asciiTheme="majorBidi" w:hAnsiTheme="majorBidi" w:cstheme="majorBidi"/>
          <w:color w:val="000000" w:themeColor="text1"/>
        </w:rPr>
        <w:t xml:space="preserve">méthodes </w:t>
      </w:r>
      <w:r w:rsidR="005C2358" w:rsidRPr="00950D73">
        <w:rPr>
          <w:rFonts w:asciiTheme="majorBidi" w:hAnsiTheme="majorBidi" w:cstheme="majorBidi"/>
          <w:color w:val="000000" w:themeColor="text1"/>
        </w:rPr>
        <w:t>sans essai</w:t>
      </w:r>
      <w:r w:rsidR="0023739C" w:rsidRPr="00950D73">
        <w:rPr>
          <w:rFonts w:asciiTheme="majorBidi" w:hAnsiTheme="majorBidi" w:cstheme="majorBidi"/>
          <w:color w:val="000000" w:themeColor="text1"/>
        </w:rPr>
        <w:t xml:space="preserve">s </w:t>
      </w:r>
      <w:r w:rsidRPr="00950D73">
        <w:rPr>
          <w:rFonts w:asciiTheme="majorBidi" w:hAnsiTheme="majorBidi" w:cstheme="majorBidi"/>
          <w:color w:val="000000" w:themeColor="text1"/>
        </w:rPr>
        <w:t>comprennent les modèles informatisés estimant les relations qualitatives structure-</w:t>
      </w:r>
      <w:r w:rsidRPr="00950D73">
        <w:rPr>
          <w:rFonts w:asciiTheme="majorBidi" w:hAnsiTheme="majorBidi" w:cstheme="majorBidi"/>
          <w:color w:val="000000" w:themeColor="text1"/>
        </w:rPr>
        <w:lastRenderedPageBreak/>
        <w:t>activité (alertes structurelles, SAR) ou les relations quantitatives structure-activité (QSAR), les systèmes informatiques experts et la lecture croisée par analogie ou par catégorie.</w:t>
      </w:r>
    </w:p>
    <w:p w14:paraId="52534E29" w14:textId="49914B4F" w:rsidR="009F28CF" w:rsidRPr="00950D73" w:rsidRDefault="009F28CF" w:rsidP="009F28CF">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3.3.2.8.2</w:t>
      </w:r>
      <w:r w:rsidRPr="00950D73">
        <w:rPr>
          <w:rFonts w:asciiTheme="majorBidi" w:hAnsiTheme="majorBidi" w:cstheme="majorBidi"/>
          <w:color w:val="000000" w:themeColor="text1"/>
        </w:rPr>
        <w:tab/>
        <w:t>La méthode de lecture croisée par analogie ou par catégorie doit pouvoir reposer sur suffisamment de données d’essai fiables pour une ou des substances similaires et justifier de la similarité des substances testées et de la ou des substances à classer. Lorsqu’une justification valable de la méthode de lecture croisée est fournie, elle a souvent un poids supérieur par rapport aux méthodes (Q)SAR.</w:t>
      </w:r>
    </w:p>
    <w:p w14:paraId="60EA60DF" w14:textId="6602F5E8" w:rsidR="009F28CF" w:rsidRPr="00950D73" w:rsidRDefault="009F28CF" w:rsidP="009F28CF">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3.3.2.8.3</w:t>
      </w:r>
      <w:r w:rsidRPr="00950D73">
        <w:rPr>
          <w:rFonts w:asciiTheme="majorBidi" w:hAnsiTheme="majorBidi" w:cstheme="majorBidi"/>
          <w:color w:val="000000" w:themeColor="text1"/>
        </w:rPr>
        <w:tab/>
        <w:t>La classification fondée sur les méthodes (Q)SAR requiert des données suffisantes et la validation du modèle. La validité des modèles informatiques et de la prévision devrait être évaluée sur la base des principes de validation des (Q)SAR internationalement reconnus. S’agissant de la fiabilité, l’absence d’alertes dans un modèle SAR ou dans un système expert ne suffit pas à justifier l’absence de classement.</w:t>
      </w:r>
    </w:p>
    <w:p w14:paraId="1A932D05" w14:textId="1AA0A7D1" w:rsidR="009F28CF" w:rsidRPr="00950D73" w:rsidRDefault="009F28CF" w:rsidP="009F28CF">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3.3.2.8.4</w:t>
      </w:r>
      <w:r w:rsidRPr="00950D73">
        <w:rPr>
          <w:rFonts w:asciiTheme="majorBidi" w:hAnsiTheme="majorBidi" w:cstheme="majorBidi"/>
          <w:color w:val="000000" w:themeColor="text1"/>
        </w:rPr>
        <w:tab/>
        <w:t>Des données obtenues sans essais</w:t>
      </w:r>
      <w:r w:rsidRPr="00950D73">
        <w:rPr>
          <w:rFonts w:asciiTheme="majorBidi" w:hAnsiTheme="majorBidi" w:cstheme="majorBidi"/>
          <w:i/>
          <w:iCs/>
          <w:color w:val="000000" w:themeColor="text1"/>
        </w:rPr>
        <w:t xml:space="preserve"> </w:t>
      </w:r>
      <w:r w:rsidRPr="00950D73">
        <w:rPr>
          <w:rFonts w:asciiTheme="majorBidi" w:hAnsiTheme="majorBidi" w:cstheme="majorBidi"/>
          <w:color w:val="000000" w:themeColor="text1"/>
        </w:rPr>
        <w:t>qui sont concluantes pour la corrosion cutanée peuvent être utilisées pour la classification des effets oculaires. En conséquence, les substances classées comme corrosives pour la peau (catégorie 1 cutanée) selon les critères du chapitre 3.2 sont également considérées comme des substances induisant des lésions oculaires graves (catégorie 1 oculaire). L’irritation cutanée (catégorie 2), l’irritation cutanée légère (catégorie 3) et l’absence de classification pour l’irritation cutanée selon le chapitre 3.2 ne peuvent pas être invoquées à elles seules pour conclure à une irritation oculaire ou à l’absence de classification pour les effets oculaires, mais peuvent être prises en considération dans le cadre d’une évaluation globale de la force probante des données.</w:t>
      </w:r>
    </w:p>
    <w:p w14:paraId="4F93C455" w14:textId="624D6A47" w:rsidR="00CA62FE" w:rsidRPr="00950D73" w:rsidRDefault="002C0394" w:rsidP="009F28CF">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lastRenderedPageBreak/>
        <w:t>3.3.2.</w:t>
      </w:r>
      <w:r w:rsidR="005E22F5" w:rsidRPr="00950D73">
        <w:rPr>
          <w:rFonts w:asciiTheme="majorBidi" w:hAnsiTheme="majorBidi" w:cstheme="majorBidi"/>
          <w:color w:val="000000" w:themeColor="text1"/>
        </w:rPr>
        <w:t>8</w:t>
      </w:r>
      <w:r w:rsidRPr="00950D73">
        <w:rPr>
          <w:rFonts w:asciiTheme="majorBidi" w:hAnsiTheme="majorBidi" w:cstheme="majorBidi"/>
          <w:color w:val="000000" w:themeColor="text1"/>
        </w:rPr>
        <w:t>.5</w:t>
      </w:r>
      <w:r w:rsidRPr="00950D73">
        <w:rPr>
          <w:rFonts w:asciiTheme="majorBidi" w:hAnsiTheme="majorBidi" w:cstheme="majorBidi"/>
          <w:color w:val="000000" w:themeColor="text1"/>
        </w:rPr>
        <w:tab/>
        <w:t xml:space="preserve">Pour les conclusions de non classement reposant sur les méthodes de lecture croisée ou (Q)SAR, l’adéquation et la fiabilité du raisonnement scientifique et des éléments de preuve doivent être bien étayés, ce qui nécessite habituellement l’existence de plusieurs substances négatives présentant une bonne similarité structurelle et physique (en termes de toxicocinétique) avec la substance à classer, ainsi qu’une absence manifeste de substances positives présentant une bonne similarité structurelle et physique avec ladite substance à classer. </w:t>
      </w:r>
    </w:p>
    <w:p w14:paraId="1B32E2C6" w14:textId="54E05E84" w:rsidR="009F28CF" w:rsidRPr="00950D73" w:rsidRDefault="009F28CF" w:rsidP="009F28CF">
      <w:pPr>
        <w:keepNext/>
        <w:tabs>
          <w:tab w:val="left" w:pos="2268"/>
        </w:tabs>
        <w:spacing w:after="120"/>
        <w:ind w:left="2268" w:right="1134"/>
        <w:jc w:val="both"/>
        <w:rPr>
          <w:rFonts w:asciiTheme="majorBidi" w:hAnsiTheme="majorBidi" w:cstheme="majorBidi"/>
          <w:b/>
          <w:bCs/>
          <w:i/>
          <w:iCs/>
          <w:color w:val="000000" w:themeColor="text1"/>
        </w:rPr>
      </w:pPr>
      <w:r w:rsidRPr="00950D73">
        <w:rPr>
          <w:rFonts w:asciiTheme="majorBidi" w:hAnsiTheme="majorBidi" w:cstheme="majorBidi"/>
          <w:b/>
          <w:bCs/>
          <w:color w:val="000000" w:themeColor="text1"/>
        </w:rPr>
        <w:t>3.3.2.9</w:t>
      </w:r>
      <w:r w:rsidRPr="00950D73">
        <w:rPr>
          <w:rFonts w:asciiTheme="majorBidi" w:hAnsiTheme="majorBidi" w:cstheme="majorBidi"/>
          <w:color w:val="000000" w:themeColor="text1"/>
        </w:rPr>
        <w:tab/>
      </w:r>
      <w:r w:rsidRPr="00950D73">
        <w:rPr>
          <w:rFonts w:asciiTheme="majorBidi" w:hAnsiTheme="majorBidi" w:cstheme="majorBidi"/>
          <w:color w:val="000000" w:themeColor="text1"/>
        </w:rPr>
        <w:tab/>
      </w:r>
      <w:r w:rsidRPr="00950D73">
        <w:rPr>
          <w:rFonts w:asciiTheme="majorBidi" w:hAnsiTheme="majorBidi" w:cstheme="majorBidi"/>
          <w:b/>
          <w:bCs/>
          <w:i/>
          <w:iCs/>
          <w:color w:val="000000" w:themeColor="text1"/>
        </w:rPr>
        <w:t>Classification fondée sur une évaluation globale de la force probante des données (étape 7 de la figure 3.3.1)</w:t>
      </w:r>
    </w:p>
    <w:p w14:paraId="0A328420" w14:textId="3E96CD56" w:rsidR="009F28CF" w:rsidRPr="00950D73" w:rsidRDefault="009F28CF" w:rsidP="009F28CF">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3.3.2.9.1</w:t>
      </w:r>
      <w:r w:rsidRPr="00950D73">
        <w:rPr>
          <w:rFonts w:asciiTheme="majorBidi" w:hAnsiTheme="majorBidi" w:cstheme="majorBidi"/>
          <w:color w:val="000000" w:themeColor="text1"/>
        </w:rPr>
        <w:tab/>
        <w:t>Une évaluation globale de la force probante des données s’appuyant sur l’avis d’un expert est indiquée lorsqu’aucune des étapes précédentes n’a abouti à une conclusion définitive sur la classification. Dans certains cas, lorsque la décision relative à la classification a été reportée jusqu’à l’étape de l’évaluation globale de la force probante des données, mais qu’aucune autre donnée n’est disponible, une classification peut encore être envisageable.</w:t>
      </w:r>
    </w:p>
    <w:p w14:paraId="4F0369F5" w14:textId="3A503ED9" w:rsidR="009F28CF" w:rsidRPr="00950D73" w:rsidRDefault="009F28CF" w:rsidP="009F28CF">
      <w:pPr>
        <w:tabs>
          <w:tab w:val="left" w:pos="2268"/>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3.3.2.9.2</w:t>
      </w:r>
      <w:r w:rsidRPr="00950D73">
        <w:rPr>
          <w:rFonts w:asciiTheme="majorBidi" w:hAnsiTheme="majorBidi" w:cstheme="majorBidi"/>
          <w:color w:val="000000" w:themeColor="text1"/>
        </w:rPr>
        <w:tab/>
        <w:t>Une substance ayant un pH extrême (pH ≤ 2 ou ≥ 11,5) et une réserve acide/alcaline négligeable (résultat jugé non concluant à l’étape 5 ; voir 3.3.2.7), et pour laquelle aucune autre information n’est disponible, doit être classée comme induisant des lésions oculaires graves (catégorie 1)</w:t>
      </w:r>
      <w:r w:rsidRPr="00950D73">
        <w:rPr>
          <w:rFonts w:asciiTheme="majorBidi" w:hAnsiTheme="majorBidi" w:cstheme="majorBidi"/>
          <w:i/>
          <w:iCs/>
          <w:color w:val="000000" w:themeColor="text1"/>
        </w:rPr>
        <w:t xml:space="preserve"> </w:t>
      </w:r>
      <w:r w:rsidRPr="00950D73">
        <w:rPr>
          <w:rFonts w:asciiTheme="majorBidi" w:hAnsiTheme="majorBidi" w:cstheme="majorBidi"/>
          <w:color w:val="000000" w:themeColor="text1"/>
        </w:rPr>
        <w:t xml:space="preserve">à cette étape. Si des données non concluantes obtenues à d’autres étapes sont également disponibles, mais que l’évaluation globale de la force probante des données reste non concluante, la valeur extrême du pH (pH ≤ 2 ou ≥ 11,5) doit être considérée en priorité et la substance doit être classée comme induisant des lésions oculaires graves (catégorie 1) à cette même étape, indépendamment de la valeur de la réserve acide/alcaline. Pour les </w:t>
      </w:r>
      <w:r w:rsidRPr="00950D73">
        <w:rPr>
          <w:rFonts w:asciiTheme="majorBidi" w:hAnsiTheme="majorBidi" w:cstheme="majorBidi"/>
          <w:color w:val="000000" w:themeColor="text1"/>
        </w:rPr>
        <w:lastRenderedPageBreak/>
        <w:t>mélanges, une autre méthode, présentée de manière détaillée au 3.3.3.1.3, est appliquée. ».</w:t>
      </w:r>
    </w:p>
    <w:p w14:paraId="5104CDE5" w14:textId="7C925774" w:rsidR="009F28CF" w:rsidRPr="00950D73" w:rsidRDefault="009F28CF" w:rsidP="009F28CF">
      <w:pPr>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Notes en bas de page </w:t>
      </w:r>
      <w:r w:rsidRPr="00950D73">
        <w:rPr>
          <w:rFonts w:asciiTheme="majorBidi" w:hAnsiTheme="majorBidi" w:cstheme="majorBidi"/>
          <w:color w:val="000000" w:themeColor="text1"/>
        </w:rPr>
        <w:tab/>
        <w:t xml:space="preserve">Insérer les nouvelles notes de bas de page 2 et 3 ci-après relatives aux 3.3.2.3 </w:t>
      </w:r>
      <w:r w:rsidR="008D0698" w:rsidRPr="00950D73">
        <w:rPr>
          <w:rFonts w:asciiTheme="majorBidi" w:hAnsiTheme="majorBidi" w:cstheme="majorBidi"/>
          <w:color w:val="000000" w:themeColor="text1"/>
        </w:rPr>
        <w:t xml:space="preserve">(note de bas de page 2) </w:t>
      </w:r>
      <w:r w:rsidRPr="00950D73">
        <w:rPr>
          <w:rFonts w:asciiTheme="majorBidi" w:hAnsiTheme="majorBidi" w:cstheme="majorBidi"/>
          <w:color w:val="000000" w:themeColor="text1"/>
        </w:rPr>
        <w:t>et 3.3.2.4.</w:t>
      </w:r>
      <w:r w:rsidR="00703F56" w:rsidRPr="00950D73">
        <w:rPr>
          <w:rFonts w:asciiTheme="majorBidi" w:hAnsiTheme="majorBidi" w:cstheme="majorBidi"/>
          <w:color w:val="000000" w:themeColor="text1"/>
        </w:rPr>
        <w:t>6</w:t>
      </w:r>
      <w:r w:rsidRPr="00950D73">
        <w:rPr>
          <w:rFonts w:asciiTheme="majorBidi" w:hAnsiTheme="majorBidi" w:cstheme="majorBidi"/>
          <w:color w:val="000000" w:themeColor="text1"/>
        </w:rPr>
        <w:t>.1</w:t>
      </w:r>
      <w:r w:rsidR="007E19B1" w:rsidRPr="00950D73">
        <w:rPr>
          <w:rFonts w:asciiTheme="majorBidi" w:hAnsiTheme="majorBidi" w:cstheme="majorBidi"/>
          <w:color w:val="000000" w:themeColor="text1"/>
        </w:rPr>
        <w:t xml:space="preserve"> (note de bas de page 3)</w:t>
      </w:r>
      <w:r w:rsidRPr="00950D73">
        <w:rPr>
          <w:rFonts w:asciiTheme="majorBidi" w:hAnsiTheme="majorBidi" w:cstheme="majorBidi"/>
          <w:color w:val="000000" w:themeColor="text1"/>
        </w:rPr>
        <w:t> :</w:t>
      </w:r>
    </w:p>
    <w:p w14:paraId="405BA7A1" w14:textId="77777777" w:rsidR="009F28CF" w:rsidRPr="00950D73" w:rsidRDefault="009F28CF" w:rsidP="009A60BB">
      <w:pPr>
        <w:tabs>
          <w:tab w:val="right" w:pos="1021"/>
        </w:tabs>
        <w:spacing w:after="240" w:line="220" w:lineRule="exact"/>
        <w:ind w:left="2268" w:right="1134" w:hanging="1134"/>
        <w:jc w:val="both"/>
        <w:rPr>
          <w:rFonts w:asciiTheme="majorBidi" w:hAnsiTheme="majorBidi" w:cstheme="majorBidi"/>
          <w:i/>
          <w:iCs/>
        </w:rPr>
      </w:pPr>
      <w:r w:rsidRPr="00950D73">
        <w:rPr>
          <w:rFonts w:asciiTheme="majorBidi" w:hAnsiTheme="majorBidi" w:cstheme="majorBidi"/>
          <w:sz w:val="18"/>
        </w:rPr>
        <w:tab/>
      </w:r>
      <w:r w:rsidRPr="00950D73">
        <w:rPr>
          <w:rFonts w:asciiTheme="majorBidi" w:hAnsiTheme="majorBidi" w:cstheme="majorBidi"/>
        </w:rPr>
        <w:tab/>
        <w:t>« </w:t>
      </w:r>
      <w:r w:rsidRPr="00950D73">
        <w:rPr>
          <w:rFonts w:asciiTheme="majorBidi" w:hAnsiTheme="majorBidi" w:cstheme="majorBidi"/>
          <w:b/>
          <w:bCs/>
          <w:i/>
          <w:iCs/>
          <w:vertAlign w:val="superscript"/>
        </w:rPr>
        <w:t>2</w:t>
      </w:r>
      <w:r w:rsidRPr="00950D73">
        <w:rPr>
          <w:rFonts w:asciiTheme="majorBidi" w:hAnsiTheme="majorBidi" w:cstheme="majorBidi"/>
          <w:i/>
          <w:iCs/>
        </w:rPr>
        <w:tab/>
        <w:t>Certaines méthodes définies ont été proposées pour les lésions oculaires graves/l’irritation oculaire (</w:t>
      </w:r>
      <w:proofErr w:type="spellStart"/>
      <w:r w:rsidRPr="00950D73">
        <w:rPr>
          <w:rFonts w:asciiTheme="majorBidi" w:hAnsiTheme="majorBidi" w:cstheme="majorBidi"/>
          <w:i/>
          <w:iCs/>
        </w:rPr>
        <w:t>Alépée</w:t>
      </w:r>
      <w:proofErr w:type="spellEnd"/>
      <w:r w:rsidRPr="00950D73">
        <w:rPr>
          <w:rFonts w:asciiTheme="majorBidi" w:hAnsiTheme="majorBidi" w:cstheme="majorBidi"/>
          <w:i/>
          <w:iCs/>
        </w:rPr>
        <w:t xml:space="preserve"> et al., 2019a, b), mais aucun critère de classification n’a encore été adopté au niveau international.</w:t>
      </w:r>
    </w:p>
    <w:p w14:paraId="173A9260" w14:textId="77777777" w:rsidR="009F28CF" w:rsidRPr="00950D73" w:rsidRDefault="009F28CF" w:rsidP="009F28CF">
      <w:pPr>
        <w:tabs>
          <w:tab w:val="right" w:pos="1021"/>
        </w:tabs>
        <w:spacing w:after="240" w:line="220" w:lineRule="exact"/>
        <w:ind w:left="2268" w:right="1134" w:hanging="1134"/>
        <w:jc w:val="both"/>
        <w:rPr>
          <w:rFonts w:asciiTheme="majorBidi" w:hAnsiTheme="majorBidi" w:cstheme="majorBidi"/>
        </w:rPr>
      </w:pPr>
      <w:r w:rsidRPr="00950D73">
        <w:rPr>
          <w:rFonts w:asciiTheme="majorBidi" w:hAnsiTheme="majorBidi" w:cstheme="majorBidi"/>
          <w:i/>
          <w:iCs/>
          <w:vertAlign w:val="superscript"/>
        </w:rPr>
        <w:tab/>
      </w:r>
      <w:r w:rsidRPr="00950D73">
        <w:rPr>
          <w:rFonts w:asciiTheme="majorBidi" w:hAnsiTheme="majorBidi" w:cstheme="majorBidi"/>
          <w:b/>
          <w:bCs/>
          <w:i/>
          <w:iCs/>
          <w:vertAlign w:val="superscript"/>
        </w:rPr>
        <w:t>3</w:t>
      </w:r>
      <w:r w:rsidRPr="00950D73">
        <w:rPr>
          <w:rFonts w:asciiTheme="majorBidi" w:hAnsiTheme="majorBidi" w:cstheme="majorBidi"/>
          <w:i/>
          <w:iCs/>
        </w:rPr>
        <w:tab/>
        <w:t>Bien qu’aucun critère de classification n’ait encore été adopté au niveau international pour certaines méthodes d’essai in vitro/ex vivo validées et/ou adoptées qui sont proposées pour recenser les substances induisant une irritation oculaire, ces méthodes peuvent être adoptées par certaines autorités compétentes (voir 3.3.2.4.2). Si une méthode définie (voir 3.3.2.3) n’est pas disponible ou n’est pas appropriée pour la classification, les données obtenues au moyen de ces méthodes peuvent être prises en considération dans le cadre d’une évaluation globale de la force probante des données à cette étape. </w:t>
      </w:r>
      <w:r w:rsidRPr="00950D73">
        <w:rPr>
          <w:rFonts w:asciiTheme="majorBidi" w:hAnsiTheme="majorBidi" w:cstheme="majorBidi"/>
        </w:rPr>
        <w:t>».</w:t>
      </w:r>
    </w:p>
    <w:p w14:paraId="726D736B" w14:textId="4B1BAABC" w:rsidR="005D5C00" w:rsidRPr="00950D73" w:rsidRDefault="005D5C00" w:rsidP="005D5C00">
      <w:pPr>
        <w:pStyle w:val="SingleTxtG"/>
        <w:ind w:left="2268" w:hanging="1134"/>
        <w:rPr>
          <w:rFonts w:asciiTheme="majorBidi" w:hAnsiTheme="majorBidi" w:cstheme="majorBidi"/>
        </w:rPr>
      </w:pPr>
      <w:r w:rsidRPr="00950D73">
        <w:rPr>
          <w:rFonts w:asciiTheme="majorBidi" w:hAnsiTheme="majorBidi" w:cstheme="majorBidi"/>
        </w:rPr>
        <w:t>3.3.2.2 et 3.3.2.2.1</w:t>
      </w:r>
      <w:r w:rsidRPr="00950D73">
        <w:rPr>
          <w:rFonts w:asciiTheme="majorBidi" w:hAnsiTheme="majorBidi" w:cstheme="majorBidi"/>
        </w:rPr>
        <w:tab/>
        <w:t>Les paragraphes 3.3.2.2 et 3.3.2.2.1 actuels deviennent les nouveaux paragraphes 3.3.2.10 et 3.3.2.10.1.</w:t>
      </w:r>
    </w:p>
    <w:p w14:paraId="392C05C7" w14:textId="59516C84" w:rsidR="005D5C00" w:rsidRPr="00950D73" w:rsidRDefault="00C149CA" w:rsidP="003229BF">
      <w:pPr>
        <w:pStyle w:val="SingleTxtG"/>
        <w:tabs>
          <w:tab w:val="left" w:pos="5670"/>
        </w:tabs>
        <w:ind w:left="2268"/>
        <w:rPr>
          <w:rFonts w:asciiTheme="majorBidi" w:hAnsiTheme="majorBidi" w:cstheme="majorBidi"/>
        </w:rPr>
      </w:pPr>
      <w:r w:rsidRPr="00950D73">
        <w:rPr>
          <w:rFonts w:asciiTheme="majorBidi" w:hAnsiTheme="majorBidi" w:cstheme="majorBidi"/>
        </w:rPr>
        <w:t xml:space="preserve">Supprimer les paragraphes </w:t>
      </w:r>
      <w:r w:rsidR="00C966D3" w:rsidRPr="00950D73">
        <w:rPr>
          <w:rFonts w:asciiTheme="majorBidi" w:hAnsiTheme="majorBidi" w:cstheme="majorBidi"/>
        </w:rPr>
        <w:t>3.3.2.2.2, 3.3.2.2.3, 3.3.2.2.4, 3.3.2.2.5 et 3.3.2.2.6 actuels.</w:t>
      </w:r>
    </w:p>
    <w:p w14:paraId="3D0E19E8" w14:textId="77777777" w:rsidR="009F28CF" w:rsidRPr="00950D73" w:rsidRDefault="009F28CF" w:rsidP="009F28CF">
      <w:pPr>
        <w:keepNext/>
        <w:tabs>
          <w:tab w:val="left" w:pos="2268"/>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3.3.2.10 et 3.3.2.10.1 (nouveaux, anciens 3.3.2.2 et 3.3.2.2.1)</w:t>
      </w:r>
      <w:r w:rsidRPr="00950D73">
        <w:rPr>
          <w:rFonts w:asciiTheme="majorBidi" w:hAnsiTheme="majorBidi" w:cstheme="majorBidi"/>
          <w:color w:val="000000" w:themeColor="text1"/>
        </w:rPr>
        <w:tab/>
        <w:t>Modifier pour lire comme suit :</w:t>
      </w:r>
    </w:p>
    <w:p w14:paraId="6104B97D" w14:textId="1D92320B" w:rsidR="009F28CF" w:rsidRPr="00950D73" w:rsidRDefault="009F28CF" w:rsidP="009F28CF">
      <w:pPr>
        <w:keepNext/>
        <w:spacing w:after="120"/>
        <w:ind w:left="2268" w:right="1134"/>
        <w:jc w:val="both"/>
        <w:rPr>
          <w:rFonts w:asciiTheme="majorBidi" w:hAnsiTheme="majorBidi" w:cstheme="majorBidi"/>
          <w:b/>
          <w:i/>
          <w:color w:val="000000" w:themeColor="text1"/>
        </w:rPr>
      </w:pPr>
      <w:r w:rsidRPr="00950D73">
        <w:rPr>
          <w:rFonts w:asciiTheme="majorBidi" w:hAnsiTheme="majorBidi" w:cstheme="majorBidi"/>
          <w:color w:val="000000" w:themeColor="text1"/>
        </w:rPr>
        <w:t>« </w:t>
      </w:r>
      <w:r w:rsidRPr="00950D73">
        <w:rPr>
          <w:rFonts w:asciiTheme="majorBidi" w:hAnsiTheme="majorBidi" w:cstheme="majorBidi"/>
          <w:b/>
          <w:bCs/>
          <w:color w:val="000000" w:themeColor="text1"/>
        </w:rPr>
        <w:t>3.3.2.10</w:t>
      </w:r>
      <w:r w:rsidRPr="00950D73">
        <w:rPr>
          <w:rFonts w:asciiTheme="majorBidi" w:hAnsiTheme="majorBidi" w:cstheme="majorBidi"/>
          <w:color w:val="000000" w:themeColor="text1"/>
        </w:rPr>
        <w:tab/>
      </w:r>
      <w:r w:rsidRPr="00950D73">
        <w:rPr>
          <w:rFonts w:asciiTheme="majorBidi" w:hAnsiTheme="majorBidi" w:cstheme="majorBidi"/>
          <w:b/>
          <w:bCs/>
          <w:i/>
          <w:iCs/>
          <w:color w:val="000000" w:themeColor="text1"/>
        </w:rPr>
        <w:t>Classification par étapes (figure 3.3.1)</w:t>
      </w:r>
    </w:p>
    <w:p w14:paraId="0D4CD2F2" w14:textId="316C51A1"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3.3.2.10.1</w:t>
      </w:r>
      <w:r w:rsidRPr="00950D73">
        <w:rPr>
          <w:rFonts w:asciiTheme="majorBidi" w:hAnsiTheme="majorBidi" w:cstheme="majorBidi"/>
          <w:color w:val="000000" w:themeColor="text1"/>
        </w:rPr>
        <w:tab/>
        <w:t>Une évaluation des données par étapes doit être envisagée, lorsque cela est possible</w:t>
      </w:r>
      <w:r w:rsidR="00725E8D" w:rsidRPr="00950D73">
        <w:rPr>
          <w:rFonts w:asciiTheme="majorBidi" w:hAnsiTheme="majorBidi" w:cstheme="majorBidi"/>
          <w:color w:val="000000" w:themeColor="text1"/>
        </w:rPr>
        <w:t xml:space="preserve"> (voir figure 3.3.1)</w:t>
      </w:r>
      <w:r w:rsidRPr="00950D73">
        <w:rPr>
          <w:rFonts w:asciiTheme="majorBidi" w:hAnsiTheme="majorBidi" w:cstheme="majorBidi"/>
          <w:color w:val="000000" w:themeColor="text1"/>
        </w:rPr>
        <w:t xml:space="preserve">, tout en sachant que </w:t>
      </w:r>
      <w:r w:rsidR="00BC1BD1" w:rsidRPr="00950D73">
        <w:rPr>
          <w:rFonts w:asciiTheme="majorBidi" w:hAnsiTheme="majorBidi" w:cstheme="majorBidi"/>
        </w:rPr>
        <w:t xml:space="preserve">toutes les étapes, ainsi que toutes les </w:t>
      </w:r>
      <w:r w:rsidR="00BC1BD1" w:rsidRPr="00950D73">
        <w:rPr>
          <w:rFonts w:asciiTheme="majorBidi" w:hAnsiTheme="majorBidi" w:cstheme="majorBidi"/>
        </w:rPr>
        <w:lastRenderedPageBreak/>
        <w:t xml:space="preserve">informations se rapportant à chacune des étapes, </w:t>
      </w:r>
      <w:r w:rsidRPr="00950D73">
        <w:rPr>
          <w:rFonts w:asciiTheme="majorBidi" w:hAnsiTheme="majorBidi" w:cstheme="majorBidi"/>
          <w:color w:val="000000" w:themeColor="text1"/>
        </w:rPr>
        <w:t>ne sont pas forcément pertinent</w:t>
      </w:r>
      <w:r w:rsidR="00635408" w:rsidRPr="00950D73">
        <w:rPr>
          <w:rFonts w:asciiTheme="majorBidi" w:hAnsiTheme="majorBidi" w:cstheme="majorBidi"/>
          <w:color w:val="000000" w:themeColor="text1"/>
        </w:rPr>
        <w:t>e</w:t>
      </w:r>
      <w:r w:rsidRPr="00950D73">
        <w:rPr>
          <w:rFonts w:asciiTheme="majorBidi" w:hAnsiTheme="majorBidi" w:cstheme="majorBidi"/>
          <w:color w:val="000000" w:themeColor="text1"/>
        </w:rPr>
        <w:t>s. Cependant, toutes les informations disponibles, utiles et d’une qualité suffisante doivent être examinées aux fins de la vérification de leur cohérence avec la classification établie. ».</w:t>
      </w:r>
    </w:p>
    <w:p w14:paraId="57453BEB" w14:textId="0AADA733" w:rsidR="009F28CF" w:rsidRPr="00950D73" w:rsidRDefault="009F28CF" w:rsidP="009F28CF">
      <w:pPr>
        <w:keepNext/>
        <w:tabs>
          <w:tab w:val="left" w:pos="2268"/>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3.3.2.10.2 et 3.3.2.10.3</w:t>
      </w:r>
      <w:r w:rsidR="004918C0" w:rsidRPr="00950D73">
        <w:rPr>
          <w:rFonts w:asciiTheme="majorBidi" w:hAnsiTheme="majorBidi" w:cstheme="majorBidi"/>
          <w:color w:val="000000" w:themeColor="text1"/>
        </w:rPr>
        <w:t xml:space="preserve"> (nouveaux)</w:t>
      </w:r>
      <w:r w:rsidRPr="00950D73">
        <w:rPr>
          <w:rFonts w:asciiTheme="majorBidi" w:hAnsiTheme="majorBidi" w:cstheme="majorBidi"/>
          <w:color w:val="000000" w:themeColor="text1"/>
        </w:rPr>
        <w:tab/>
      </w:r>
      <w:r w:rsidR="00D7024E" w:rsidRPr="00950D73">
        <w:rPr>
          <w:rFonts w:asciiTheme="majorBidi" w:hAnsiTheme="majorBidi" w:cstheme="majorBidi"/>
          <w:color w:val="000000" w:themeColor="text1"/>
        </w:rPr>
        <w:tab/>
      </w:r>
      <w:r w:rsidRPr="00950D73">
        <w:rPr>
          <w:rFonts w:asciiTheme="majorBidi" w:hAnsiTheme="majorBidi" w:cstheme="majorBidi"/>
          <w:color w:val="000000" w:themeColor="text1"/>
        </w:rPr>
        <w:t>Ajouter les deux nouveaux paragraphes suivants :</w:t>
      </w:r>
    </w:p>
    <w:p w14:paraId="16189472" w14:textId="7C07AFB0" w:rsidR="009F28CF" w:rsidRPr="00950D73" w:rsidRDefault="009F28CF" w:rsidP="009F28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 3.3.2.10.2</w:t>
      </w:r>
      <w:r w:rsidRPr="00950D73">
        <w:rPr>
          <w:rFonts w:asciiTheme="majorBidi" w:hAnsiTheme="majorBidi" w:cstheme="majorBidi"/>
          <w:color w:val="000000" w:themeColor="text1"/>
        </w:rPr>
        <w:tab/>
        <w:t>Dans la méthode par étapes (figure 3.3.1), les données existantes obtenues sur l’homme et les données normalisées sur animaux pour les effets sur l’œil constituent l’étape supérieure ; viennent ensuite les données obtenues avec des méthodes définies et les données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pour les effets oculaires, les données obtenues sur l’homme/données normalisées sur animaux/données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existantes pour la corrosion cutanée, puis les autres données existantes sur animaux pour les effets cutanés ou oculaires, les données sur le pH extrême et la réserve acide/alcaline, et enfin les données obtenues au moyen de</w:t>
      </w:r>
      <w:r w:rsidRPr="00950D73">
        <w:rPr>
          <w:rFonts w:asciiTheme="majorBidi" w:hAnsiTheme="majorBidi" w:cstheme="majorBidi"/>
          <w:b/>
          <w:bCs/>
          <w:color w:val="000000" w:themeColor="text1"/>
        </w:rPr>
        <w:t xml:space="preserve"> </w:t>
      </w:r>
      <w:r w:rsidRPr="00950D73">
        <w:rPr>
          <w:rFonts w:asciiTheme="majorBidi" w:hAnsiTheme="majorBidi" w:cstheme="majorBidi"/>
          <w:color w:val="000000" w:themeColor="text1"/>
        </w:rPr>
        <w:t>méthodes non fondées sur des essais. Lorsque les informations provenant des données réunies à la même étape sont incohérentes ou contradictoires, la conclusion pour cette étape est déterminée par une évaluation fondée sur la force probante des données.</w:t>
      </w:r>
    </w:p>
    <w:p w14:paraId="4803865F" w14:textId="5CA0D7B4" w:rsidR="009F28CF" w:rsidRPr="00950D73" w:rsidRDefault="009F28CF" w:rsidP="009F28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3.3.2.10.3</w:t>
      </w:r>
      <w:r w:rsidRPr="00950D73">
        <w:rPr>
          <w:rFonts w:asciiTheme="majorBidi" w:hAnsiTheme="majorBidi" w:cstheme="majorBidi"/>
          <w:color w:val="000000" w:themeColor="text1"/>
        </w:rPr>
        <w:tab/>
        <w:t>Lorsque les informations provenant de plusieurs étapes sont incohérentes ou contradictoires au regard de la classification établie, les informations de qualité suffisante d’une étape supérieure ont généralement un poids supérieur par rapport aux informations provenant d’une étape inférieure. Cependant, lorsque les informations d’une étape inférieure aboutiraient à une classification plus stricte que les informations d’une étape supérieure, et qu’il y a un risque de classification incorrecte, le classement est alors déterminé par une évaluation globale fondée sur la force probante des données</w:t>
      </w:r>
      <w:r w:rsidRPr="00950D73">
        <w:rPr>
          <w:rFonts w:asciiTheme="majorBidi" w:hAnsiTheme="majorBidi" w:cstheme="majorBidi"/>
          <w:i/>
          <w:iCs/>
          <w:color w:val="000000" w:themeColor="text1"/>
        </w:rPr>
        <w:t>.</w:t>
      </w:r>
      <w:r w:rsidRPr="00950D73">
        <w:rPr>
          <w:rFonts w:asciiTheme="majorBidi" w:hAnsiTheme="majorBidi" w:cstheme="majorBidi"/>
          <w:color w:val="000000" w:themeColor="text1"/>
        </w:rPr>
        <w:t xml:space="preserve"> Par exemple, après avoir consulté les instructions </w:t>
      </w:r>
      <w:r w:rsidRPr="00950D73">
        <w:rPr>
          <w:rFonts w:asciiTheme="majorBidi" w:hAnsiTheme="majorBidi" w:cstheme="majorBidi"/>
          <w:color w:val="000000" w:themeColor="text1"/>
        </w:rPr>
        <w:lastRenderedPageBreak/>
        <w:t>du 3.3.5.3 comme il convient, les responsables de la classification, préoccupés par le résultat négatif obtenu pour les lésions oculaires graves dans une étude</w:t>
      </w:r>
      <w:r w:rsidRPr="00950D73">
        <w:rPr>
          <w:rFonts w:asciiTheme="majorBidi" w:hAnsiTheme="majorBidi" w:cstheme="majorBidi"/>
          <w:i/>
          <w:iCs/>
          <w:color w:val="000000" w:themeColor="text1"/>
        </w:rPr>
        <w:t xml:space="preserve"> </w:t>
      </w:r>
      <w:r w:rsidRPr="00950D73">
        <w:rPr>
          <w:rFonts w:asciiTheme="majorBidi" w:hAnsiTheme="majorBidi" w:cstheme="majorBidi"/>
          <w:color w:val="000000" w:themeColor="text1"/>
        </w:rPr>
        <w:t>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 xml:space="preserve">ex vivo </w:t>
      </w:r>
      <w:r w:rsidRPr="00950D73">
        <w:rPr>
          <w:rFonts w:asciiTheme="majorBidi" w:hAnsiTheme="majorBidi" w:cstheme="majorBidi"/>
          <w:color w:val="000000" w:themeColor="text1"/>
        </w:rPr>
        <w:t>alors que le résultat était positif pour les lésions oculaires graves en utilisant d’autres données existantes</w:t>
      </w:r>
      <w:r w:rsidRPr="00950D73">
        <w:rPr>
          <w:rFonts w:asciiTheme="majorBidi" w:hAnsiTheme="majorBidi" w:cstheme="majorBidi"/>
          <w:i/>
          <w:iCs/>
          <w:color w:val="000000" w:themeColor="text1"/>
        </w:rPr>
        <w:t xml:space="preserve"> </w:t>
      </w:r>
      <w:r w:rsidRPr="00950D73">
        <w:rPr>
          <w:rFonts w:asciiTheme="majorBidi" w:hAnsiTheme="majorBidi" w:cstheme="majorBidi"/>
          <w:color w:val="000000" w:themeColor="text1"/>
        </w:rPr>
        <w:t>sur animaux concernant les effets</w:t>
      </w:r>
      <w:r w:rsidRPr="00950D73">
        <w:rPr>
          <w:rFonts w:asciiTheme="majorBidi" w:hAnsiTheme="majorBidi" w:cstheme="majorBidi"/>
          <w:i/>
          <w:iCs/>
          <w:color w:val="000000" w:themeColor="text1"/>
        </w:rPr>
        <w:t xml:space="preserve"> </w:t>
      </w:r>
      <w:r w:rsidRPr="00950D73">
        <w:rPr>
          <w:rFonts w:asciiTheme="majorBidi" w:hAnsiTheme="majorBidi" w:cstheme="majorBidi"/>
          <w:color w:val="000000" w:themeColor="text1"/>
        </w:rPr>
        <w:t>sur l’œil, utiliseraient une évaluation globale fondée sur la force probante des données. Il en irait de même lorsque des données obtenues sur l’homme feraient état d’une irritation oculaire, mais que l’on disposerait également de données indiquant que les essais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ont donné des résultats positifs pour les lésions oculaires graves. ».</w:t>
      </w:r>
    </w:p>
    <w:p w14:paraId="4A46C3C0" w14:textId="77777777" w:rsidR="009F28CF" w:rsidRPr="00950D73" w:rsidRDefault="009F28CF" w:rsidP="009F28CF">
      <w:pPr>
        <w:keepNext/>
        <w:keepLines/>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Figure 3.3.1 :</w:t>
      </w:r>
      <w:r w:rsidRPr="00950D73">
        <w:rPr>
          <w:rFonts w:asciiTheme="majorBidi" w:hAnsiTheme="majorBidi" w:cstheme="majorBidi"/>
          <w:color w:val="000000" w:themeColor="text1"/>
        </w:rPr>
        <w:tab/>
        <w:t>Remplacer la figure actuelle par la figure suivante :</w:t>
      </w:r>
    </w:p>
    <w:p w14:paraId="17D08368" w14:textId="77777777" w:rsidR="009F28CF" w:rsidRPr="00950D73" w:rsidRDefault="009F28CF" w:rsidP="009F28CF">
      <w:pPr>
        <w:keepNext/>
        <w:spacing w:after="120"/>
        <w:ind w:left="1134" w:right="1134"/>
        <w:jc w:val="center"/>
        <w:rPr>
          <w:rFonts w:asciiTheme="majorBidi" w:hAnsiTheme="majorBidi" w:cstheme="majorBidi"/>
          <w:color w:val="000000" w:themeColor="text1"/>
        </w:rPr>
      </w:pPr>
      <w:r w:rsidRPr="00950D73">
        <w:rPr>
          <w:rFonts w:asciiTheme="majorBidi" w:hAnsiTheme="majorBidi" w:cstheme="majorBidi"/>
          <w:color w:val="000000" w:themeColor="text1"/>
        </w:rPr>
        <w:t>« </w:t>
      </w:r>
      <w:r w:rsidRPr="00950D73">
        <w:rPr>
          <w:rFonts w:asciiTheme="majorBidi" w:hAnsiTheme="majorBidi" w:cstheme="majorBidi"/>
          <w:b/>
          <w:bCs/>
          <w:color w:val="000000" w:themeColor="text1"/>
        </w:rPr>
        <w:t xml:space="preserve">Figure 3.3.1 : Application de la méthode par étapes pour les </w:t>
      </w:r>
      <w:r w:rsidRPr="00950D73">
        <w:rPr>
          <w:rFonts w:asciiTheme="majorBidi" w:hAnsiTheme="majorBidi" w:cstheme="majorBidi"/>
          <w:b/>
          <w:bCs/>
          <w:color w:val="000000" w:themeColor="text1"/>
        </w:rPr>
        <w:lastRenderedPageBreak/>
        <w:t>lésions oculaires graves</w:t>
      </w:r>
      <w:r w:rsidRPr="00950D73">
        <w:rPr>
          <w:rFonts w:asciiTheme="majorBidi" w:hAnsiTheme="majorBidi" w:cstheme="majorBidi"/>
          <w:bCs/>
          <w:color w:val="000000" w:themeColor="text1"/>
        </w:rPr>
        <w:t>/</w:t>
      </w:r>
      <w:r w:rsidRPr="00950D73">
        <w:rPr>
          <w:rFonts w:asciiTheme="majorBidi" w:hAnsiTheme="majorBidi" w:cstheme="majorBidi"/>
          <w:b/>
          <w:bCs/>
          <w:color w:val="000000" w:themeColor="text1"/>
        </w:rPr>
        <w:t xml:space="preserve">l’irritation </w:t>
      </w:r>
      <w:proofErr w:type="spellStart"/>
      <w:r w:rsidRPr="00950D73">
        <w:rPr>
          <w:rFonts w:asciiTheme="majorBidi" w:hAnsiTheme="majorBidi" w:cstheme="majorBidi"/>
          <w:b/>
          <w:bCs/>
          <w:color w:val="000000" w:themeColor="text1"/>
        </w:rPr>
        <w:t>oculaire</w:t>
      </w:r>
      <w:r w:rsidRPr="00950D73">
        <w:rPr>
          <w:rFonts w:asciiTheme="majorBidi" w:hAnsiTheme="majorBidi" w:cstheme="majorBidi"/>
          <w:b/>
          <w:bCs/>
          <w:i/>
          <w:iCs/>
          <w:color w:val="000000" w:themeColor="text1"/>
          <w:vertAlign w:val="superscript"/>
        </w:rPr>
        <w:t>a</w:t>
      </w:r>
      <w:proofErr w:type="spellEnd"/>
    </w:p>
    <w:p w14:paraId="06C0DFBD" w14:textId="7A9B60D8" w:rsidR="009F28CF" w:rsidRPr="00950D73" w:rsidRDefault="00C32ECB" w:rsidP="009F28CF">
      <w:pPr>
        <w:spacing w:after="120"/>
        <w:ind w:left="1134" w:right="1134"/>
        <w:jc w:val="right"/>
        <w:rPr>
          <w:rFonts w:asciiTheme="majorBidi" w:hAnsiTheme="majorBidi" w:cstheme="majorBidi"/>
          <w:color w:val="000000" w:themeColor="text1"/>
        </w:rPr>
      </w:pPr>
      <w:r w:rsidRPr="00950D73">
        <w:rPr>
          <w:rFonts w:asciiTheme="majorBidi" w:hAnsiTheme="majorBidi" w:cstheme="majorBidi"/>
        </w:rPr>
        <w:object w:dxaOrig="7021" w:dyaOrig="11017" w14:anchorId="35A7B844">
          <v:shape id="_x0000_i1028" type="#_x0000_t75" style="width:392.7pt;height:615.3pt" o:ole="">
            <v:imagedata r:id="rId18" o:title=""/>
          </v:shape>
          <o:OLEObject Type="Embed" ProgID="Visio.Drawing.15" ShapeID="_x0000_i1028" DrawAspect="Content" ObjectID="_1745040348" r:id="rId19"/>
        </w:object>
      </w:r>
      <w:r w:rsidR="009F28CF" w:rsidRPr="00950D73">
        <w:rPr>
          <w:rFonts w:asciiTheme="majorBidi" w:hAnsiTheme="majorBidi" w:cstheme="majorBidi"/>
          <w:color w:val="000000" w:themeColor="text1"/>
        </w:rPr>
        <w:t> ».</w:t>
      </w:r>
    </w:p>
    <w:p w14:paraId="30541739" w14:textId="17ED6E7E" w:rsidR="009F28CF" w:rsidRPr="00950D73" w:rsidRDefault="009F28CF" w:rsidP="00360DFC">
      <w:pPr>
        <w:keepNext/>
        <w:keepLines/>
        <w:spacing w:after="120"/>
        <w:ind w:left="1134" w:right="1134"/>
        <w:jc w:val="both"/>
        <w:rPr>
          <w:rFonts w:asciiTheme="majorBidi" w:hAnsiTheme="majorBidi" w:cstheme="majorBidi"/>
          <w:color w:val="000000" w:themeColor="text1"/>
          <w:spacing w:val="-2"/>
        </w:rPr>
      </w:pPr>
      <w:bookmarkStart w:id="5" w:name="_Hlk69885616"/>
      <w:r w:rsidRPr="00950D73">
        <w:rPr>
          <w:rFonts w:asciiTheme="majorBidi" w:hAnsiTheme="majorBidi" w:cstheme="majorBidi"/>
          <w:color w:val="000000" w:themeColor="text1"/>
          <w:spacing w:val="-2"/>
        </w:rPr>
        <w:t>Remplacer les notes actuelles « a », « b », « c » et « d » de la figure 3.3.1 par les notes ci-après </w:t>
      </w:r>
      <w:r w:rsidR="005F440F">
        <w:rPr>
          <w:rFonts w:asciiTheme="majorBidi" w:hAnsiTheme="majorBidi" w:cstheme="majorBidi"/>
          <w:color w:val="000000" w:themeColor="text1"/>
          <w:spacing w:val="-2"/>
        </w:rPr>
        <w:t>et s</w:t>
      </w:r>
      <w:r w:rsidR="00360DFC" w:rsidRPr="00950D73">
        <w:rPr>
          <w:rFonts w:asciiTheme="majorBidi" w:hAnsiTheme="majorBidi" w:cstheme="majorBidi"/>
          <w:color w:val="000000" w:themeColor="text1"/>
        </w:rPr>
        <w:t>upprimer les notes « e » et « f »</w:t>
      </w:r>
      <w:r w:rsidR="00360DFC">
        <w:rPr>
          <w:rFonts w:asciiTheme="majorBidi" w:hAnsiTheme="majorBidi" w:cstheme="majorBidi"/>
          <w:color w:val="000000" w:themeColor="text1"/>
        </w:rPr>
        <w:t> :</w:t>
      </w:r>
      <w:bookmarkEnd w:id="5"/>
    </w:p>
    <w:p w14:paraId="250BBD13" w14:textId="77777777" w:rsidR="009F28CF" w:rsidRPr="00950D73" w:rsidRDefault="009F28CF" w:rsidP="00360DFC">
      <w:pPr>
        <w:keepNext/>
        <w:keepLines/>
        <w:tabs>
          <w:tab w:val="left" w:pos="1985"/>
          <w:tab w:val="left" w:pos="2552"/>
        </w:tabs>
        <w:spacing w:after="60" w:line="220" w:lineRule="exact"/>
        <w:ind w:left="1701" w:right="1134"/>
        <w:jc w:val="both"/>
        <w:rPr>
          <w:rFonts w:asciiTheme="majorBidi" w:hAnsiTheme="majorBidi" w:cstheme="majorBidi"/>
          <w:i/>
          <w:iCs/>
        </w:rPr>
      </w:pPr>
      <w:r w:rsidRPr="00950D73">
        <w:rPr>
          <w:rFonts w:asciiTheme="majorBidi" w:hAnsiTheme="majorBidi" w:cstheme="majorBidi"/>
        </w:rPr>
        <w:t>« </w:t>
      </w:r>
      <w:r w:rsidRPr="00950D73">
        <w:rPr>
          <w:rFonts w:asciiTheme="majorBidi" w:hAnsiTheme="majorBidi" w:cstheme="majorBidi"/>
          <w:i/>
          <w:iCs/>
          <w:vertAlign w:val="superscript"/>
        </w:rPr>
        <w:t>a</w:t>
      </w:r>
      <w:r w:rsidRPr="00950D73">
        <w:rPr>
          <w:rFonts w:asciiTheme="majorBidi" w:hAnsiTheme="majorBidi" w:cstheme="majorBidi"/>
          <w:i/>
          <w:iCs/>
        </w:rPr>
        <w:tab/>
        <w:t>Il convient de prendre connaissance du texte explicatif du 3.3.2.10 ainsi que des instructions du 3.3.5.3 avant d’appliquer la méthode. Seules des données fiables, adéquates et d’une qualité suffisante devraient être prises en compte dans le cadre de la méthode par étapes.</w:t>
      </w:r>
    </w:p>
    <w:p w14:paraId="4E6153CC" w14:textId="77777777" w:rsidR="009F28CF" w:rsidRPr="00950D73" w:rsidRDefault="009F28CF" w:rsidP="009F28CF">
      <w:pPr>
        <w:keepNext/>
        <w:tabs>
          <w:tab w:val="left" w:pos="1418"/>
          <w:tab w:val="left" w:pos="1985"/>
          <w:tab w:val="left" w:pos="2552"/>
        </w:tabs>
        <w:spacing w:after="60" w:line="220" w:lineRule="exact"/>
        <w:ind w:left="1701" w:right="1134"/>
        <w:jc w:val="both"/>
        <w:rPr>
          <w:rFonts w:asciiTheme="majorBidi" w:hAnsiTheme="majorBidi" w:cstheme="majorBidi"/>
          <w:i/>
          <w:iCs/>
        </w:rPr>
      </w:pPr>
      <w:r w:rsidRPr="00950D73">
        <w:rPr>
          <w:rFonts w:asciiTheme="majorBidi" w:hAnsiTheme="majorBidi" w:cstheme="majorBidi"/>
          <w:i/>
          <w:iCs/>
          <w:vertAlign w:val="superscript"/>
        </w:rPr>
        <w:t>b</w:t>
      </w:r>
      <w:r w:rsidRPr="00950D73">
        <w:rPr>
          <w:rFonts w:asciiTheme="majorBidi" w:hAnsiTheme="majorBidi" w:cstheme="majorBidi"/>
          <w:i/>
          <w:iCs/>
        </w:rPr>
        <w:tab/>
        <w:t>Les informations peuvent être non concluantes pour différentes raisons, notamment :</w:t>
      </w:r>
    </w:p>
    <w:p w14:paraId="06D8A768" w14:textId="77777777" w:rsidR="009F28CF" w:rsidRPr="00950D73" w:rsidRDefault="009F28CF" w:rsidP="009F28CF">
      <w:pPr>
        <w:tabs>
          <w:tab w:val="left" w:pos="1418"/>
          <w:tab w:val="left" w:pos="2552"/>
        </w:tabs>
        <w:spacing w:after="60" w:line="220" w:lineRule="exact"/>
        <w:ind w:left="2268" w:right="1134" w:hanging="283"/>
        <w:jc w:val="both"/>
        <w:rPr>
          <w:rFonts w:asciiTheme="majorBidi" w:hAnsiTheme="majorBidi" w:cstheme="majorBidi"/>
          <w:i/>
          <w:iCs/>
        </w:rPr>
      </w:pPr>
      <w:r w:rsidRPr="00950D73">
        <w:rPr>
          <w:rFonts w:asciiTheme="majorBidi" w:hAnsiTheme="majorBidi" w:cstheme="majorBidi"/>
          <w:i/>
          <w:iCs/>
        </w:rPr>
        <w:t>-</w:t>
      </w:r>
      <w:r w:rsidRPr="00950D73">
        <w:rPr>
          <w:rFonts w:asciiTheme="majorBidi" w:hAnsiTheme="majorBidi" w:cstheme="majorBidi"/>
          <w:i/>
          <w:iCs/>
        </w:rPr>
        <w:tab/>
        <w:t xml:space="preserve">Les données disponibles peuvent être de qualité insuffisante, ou insuffisantes ou inadéquates à d’autres titres aux fins du classement, </w:t>
      </w:r>
      <w:r w:rsidRPr="00950D73">
        <w:rPr>
          <w:rFonts w:asciiTheme="majorBidi" w:hAnsiTheme="majorBidi" w:cstheme="majorBidi"/>
          <w:i/>
          <w:iCs/>
        </w:rPr>
        <w:lastRenderedPageBreak/>
        <w:t>par exemple en raison de problèmes de qualité liés à une méthode ou à une communication des données expérimentales ;</w:t>
      </w:r>
    </w:p>
    <w:p w14:paraId="409B02A5" w14:textId="77777777" w:rsidR="009F28CF" w:rsidRPr="00950D73" w:rsidRDefault="009F28CF" w:rsidP="009F28CF">
      <w:pPr>
        <w:tabs>
          <w:tab w:val="left" w:pos="1418"/>
          <w:tab w:val="left" w:pos="2552"/>
        </w:tabs>
        <w:spacing w:after="60" w:line="220" w:lineRule="exact"/>
        <w:ind w:left="2268" w:right="1134" w:hanging="283"/>
        <w:jc w:val="both"/>
        <w:rPr>
          <w:rFonts w:asciiTheme="majorBidi" w:hAnsiTheme="majorBidi" w:cstheme="majorBidi"/>
          <w:i/>
          <w:iCs/>
        </w:rPr>
      </w:pPr>
      <w:r w:rsidRPr="00950D73">
        <w:rPr>
          <w:rFonts w:asciiTheme="majorBidi" w:hAnsiTheme="majorBidi" w:cstheme="majorBidi"/>
          <w:i/>
          <w:iCs/>
        </w:rPr>
        <w:t>-</w:t>
      </w:r>
      <w:r w:rsidRPr="00950D73">
        <w:rPr>
          <w:rFonts w:asciiTheme="majorBidi" w:hAnsiTheme="majorBidi" w:cstheme="majorBidi"/>
          <w:i/>
          <w:iCs/>
        </w:rPr>
        <w:tab/>
        <w:t>Les données disponibles peuvent être insuffisantes pour parvenir à une conclusion concernant le classement ; elles peuvent par exemple être indicatives de l’absence de lésions oculaires graves mais ne pas être adaptées pour prouver une irritation oculaire ;</w:t>
      </w:r>
    </w:p>
    <w:p w14:paraId="15C140D2" w14:textId="77777777" w:rsidR="009F28CF" w:rsidRPr="00950D73" w:rsidRDefault="009F28CF" w:rsidP="009F28CF">
      <w:pPr>
        <w:tabs>
          <w:tab w:val="left" w:pos="1418"/>
          <w:tab w:val="left" w:pos="2552"/>
        </w:tabs>
        <w:spacing w:after="60" w:line="220" w:lineRule="exact"/>
        <w:ind w:left="2268" w:right="1134" w:hanging="283"/>
        <w:jc w:val="both"/>
        <w:rPr>
          <w:rFonts w:asciiTheme="majorBidi" w:hAnsiTheme="majorBidi" w:cstheme="majorBidi"/>
          <w:i/>
          <w:iCs/>
        </w:rPr>
      </w:pPr>
      <w:r w:rsidRPr="00950D73">
        <w:rPr>
          <w:rFonts w:asciiTheme="majorBidi" w:hAnsiTheme="majorBidi" w:cstheme="majorBidi"/>
          <w:i/>
          <w:iCs/>
        </w:rPr>
        <w:t>-</w:t>
      </w:r>
      <w:r w:rsidRPr="00950D73">
        <w:rPr>
          <w:rFonts w:asciiTheme="majorBidi" w:hAnsiTheme="majorBidi" w:cstheme="majorBidi"/>
          <w:i/>
          <w:iCs/>
        </w:rPr>
        <w:tab/>
        <w:t>Si les autorités compétentes utilisent la catégorie 2A et la catégorie 2B (irritation oculaire), les données disponibles ne permettront pas toujours d’établir une distinction entre la catégorie 2A et la catégorie 2B.</w:t>
      </w:r>
    </w:p>
    <w:p w14:paraId="31E079B4" w14:textId="77777777" w:rsidR="009F28CF" w:rsidRPr="00950D73" w:rsidRDefault="009F28CF" w:rsidP="009F28CF">
      <w:pPr>
        <w:tabs>
          <w:tab w:val="left" w:pos="1985"/>
          <w:tab w:val="left" w:pos="2552"/>
        </w:tabs>
        <w:spacing w:after="60" w:line="220" w:lineRule="exact"/>
        <w:ind w:left="1701" w:right="1134"/>
        <w:jc w:val="both"/>
        <w:rPr>
          <w:rFonts w:asciiTheme="majorBidi" w:hAnsiTheme="majorBidi" w:cstheme="majorBidi"/>
          <w:i/>
          <w:iCs/>
        </w:rPr>
      </w:pPr>
      <w:r w:rsidRPr="00950D73">
        <w:rPr>
          <w:rFonts w:asciiTheme="majorBidi" w:hAnsiTheme="majorBidi" w:cstheme="majorBidi"/>
          <w:i/>
          <w:iCs/>
          <w:vertAlign w:val="superscript"/>
        </w:rPr>
        <w:t>c</w:t>
      </w:r>
      <w:r w:rsidRPr="00950D73">
        <w:rPr>
          <w:rFonts w:asciiTheme="majorBidi" w:hAnsiTheme="majorBidi" w:cstheme="majorBidi"/>
          <w:i/>
          <w:iCs/>
        </w:rPr>
        <w:tab/>
        <w:t>Il est admis que les substances irritantes pour la peau ne le sont pas forcément pour les yeux et que les substances qui ne sont pas irritantes pour la peau peuvent l’être pour les yeux (voir 3.3.2.5, 3.3.2.6, 3.3.2.8.4 et 3.3.2.9.1).</w:t>
      </w:r>
    </w:p>
    <w:p w14:paraId="0BA9B7D3" w14:textId="77777777" w:rsidR="009F28CF" w:rsidRPr="00950D73" w:rsidRDefault="009F28CF" w:rsidP="009F28CF">
      <w:pPr>
        <w:tabs>
          <w:tab w:val="left" w:pos="1985"/>
          <w:tab w:val="left" w:pos="2552"/>
        </w:tabs>
        <w:spacing w:after="60" w:line="220" w:lineRule="exact"/>
        <w:ind w:left="1701" w:right="1134"/>
        <w:jc w:val="both"/>
        <w:rPr>
          <w:rFonts w:asciiTheme="majorBidi" w:hAnsiTheme="majorBidi" w:cstheme="majorBidi"/>
        </w:rPr>
      </w:pPr>
      <w:r w:rsidRPr="00950D73">
        <w:rPr>
          <w:rFonts w:asciiTheme="majorBidi" w:hAnsiTheme="majorBidi" w:cstheme="majorBidi"/>
          <w:i/>
          <w:iCs/>
          <w:vertAlign w:val="superscript"/>
        </w:rPr>
        <w:t>d</w:t>
      </w:r>
      <w:r w:rsidRPr="00950D73">
        <w:rPr>
          <w:rFonts w:asciiTheme="majorBidi" w:hAnsiTheme="majorBidi" w:cstheme="majorBidi"/>
          <w:i/>
          <w:iCs/>
        </w:rPr>
        <w:tab/>
        <w:t>Pour les mélanges, il convient de suivre le diagramme de décision de la figure 3.3.2</w:t>
      </w:r>
      <w:r w:rsidRPr="00950D73">
        <w:rPr>
          <w:rFonts w:asciiTheme="majorBidi" w:hAnsiTheme="majorBidi" w:cstheme="majorBidi"/>
        </w:rPr>
        <w:t>. ».</w:t>
      </w:r>
    </w:p>
    <w:p w14:paraId="0BBEBC25" w14:textId="77777777" w:rsidR="009F28CF" w:rsidRPr="00950D73" w:rsidRDefault="009F28CF" w:rsidP="009F28CF">
      <w:pPr>
        <w:keepNext/>
        <w:tabs>
          <w:tab w:val="left" w:pos="2268"/>
        </w:tabs>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3.3.3</w:t>
      </w:r>
      <w:r w:rsidRPr="00950D73">
        <w:rPr>
          <w:rFonts w:asciiTheme="majorBidi" w:hAnsiTheme="majorBidi" w:cstheme="majorBidi"/>
          <w:color w:val="000000" w:themeColor="text1"/>
        </w:rPr>
        <w:tab/>
        <w:t>Modifier pour lire comme suit :</w:t>
      </w:r>
    </w:p>
    <w:p w14:paraId="2F44A059" w14:textId="77777777" w:rsidR="009F28CF" w:rsidRPr="00950D73" w:rsidRDefault="009F28CF" w:rsidP="009F28CF">
      <w:pPr>
        <w:tabs>
          <w:tab w:val="left" w:pos="3402"/>
        </w:tabs>
        <w:spacing w:after="120"/>
        <w:ind w:left="2268" w:right="1134"/>
        <w:jc w:val="both"/>
        <w:rPr>
          <w:rFonts w:asciiTheme="majorBidi" w:hAnsiTheme="majorBidi" w:cstheme="majorBidi"/>
          <w:b/>
          <w:bCs/>
          <w:color w:val="000000" w:themeColor="text1"/>
        </w:rPr>
      </w:pPr>
      <w:bookmarkStart w:id="6" w:name="_Hlk69885708"/>
      <w:r w:rsidRPr="00950D73">
        <w:rPr>
          <w:rFonts w:asciiTheme="majorBidi" w:hAnsiTheme="majorBidi" w:cstheme="majorBidi"/>
          <w:color w:val="000000" w:themeColor="text1"/>
        </w:rPr>
        <w:t>« </w:t>
      </w:r>
      <w:r w:rsidRPr="00950D73">
        <w:rPr>
          <w:rFonts w:asciiTheme="majorBidi" w:hAnsiTheme="majorBidi" w:cstheme="majorBidi"/>
          <w:b/>
          <w:bCs/>
          <w:color w:val="000000" w:themeColor="text1"/>
        </w:rPr>
        <w:t>3.3.3</w:t>
      </w:r>
      <w:r w:rsidRPr="00950D73">
        <w:rPr>
          <w:rFonts w:asciiTheme="majorBidi" w:hAnsiTheme="majorBidi" w:cstheme="majorBidi"/>
          <w:color w:val="000000" w:themeColor="text1"/>
        </w:rPr>
        <w:tab/>
      </w:r>
      <w:r w:rsidRPr="00950D73">
        <w:rPr>
          <w:rFonts w:asciiTheme="majorBidi" w:hAnsiTheme="majorBidi" w:cstheme="majorBidi"/>
          <w:color w:val="000000" w:themeColor="text1"/>
        </w:rPr>
        <w:tab/>
      </w:r>
      <w:r w:rsidRPr="00950D73">
        <w:rPr>
          <w:rFonts w:asciiTheme="majorBidi" w:hAnsiTheme="majorBidi" w:cstheme="majorBidi"/>
          <w:b/>
          <w:bCs/>
          <w:color w:val="000000" w:themeColor="text1"/>
        </w:rPr>
        <w:t>Critères de classification des mélanges</w:t>
      </w:r>
    </w:p>
    <w:p w14:paraId="76C8460D" w14:textId="77777777" w:rsidR="009F28CF" w:rsidRPr="00950D73" w:rsidRDefault="009F28CF" w:rsidP="009F28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ab/>
        <w:t>Dans la classification concernant les lésions oculaires graves et l’irritation oculaire, on procède par étapes en fonction des informations disponibles pour le mélange proprement dit et pour ses composants. Les étapes de classification qu’il convient de suivre sont représentées dans le diagramme de décision de la figure 3.3.2.</w:t>
      </w:r>
      <w:bookmarkEnd w:id="6"/>
    </w:p>
    <w:p w14:paraId="7C346B1D" w14:textId="77777777" w:rsidR="009F28CF" w:rsidRPr="00950D73" w:rsidRDefault="009F28CF" w:rsidP="009F28CF">
      <w:pPr>
        <w:keepNext/>
        <w:spacing w:after="120"/>
        <w:ind w:left="1134" w:right="1134"/>
        <w:jc w:val="center"/>
        <w:rPr>
          <w:rFonts w:asciiTheme="majorBidi" w:hAnsiTheme="majorBidi" w:cstheme="majorBidi"/>
          <w:b/>
          <w:bCs/>
          <w:color w:val="000000" w:themeColor="text1"/>
        </w:rPr>
      </w:pPr>
      <w:r w:rsidRPr="00950D73">
        <w:rPr>
          <w:rFonts w:asciiTheme="majorBidi" w:hAnsiTheme="majorBidi" w:cstheme="majorBidi"/>
          <w:b/>
          <w:bCs/>
          <w:color w:val="000000" w:themeColor="text1"/>
        </w:rPr>
        <w:t xml:space="preserve">Figure 3.3.2 : Étapes de la classification des mélanges </w:t>
      </w:r>
      <w:r w:rsidRPr="00950D73">
        <w:rPr>
          <w:rFonts w:asciiTheme="majorBidi" w:hAnsiTheme="majorBidi" w:cstheme="majorBidi"/>
          <w:b/>
          <w:bCs/>
          <w:color w:val="000000" w:themeColor="text1"/>
        </w:rPr>
        <w:br/>
      </w:r>
      <w:r w:rsidRPr="00950D73">
        <w:rPr>
          <w:rFonts w:asciiTheme="majorBidi" w:hAnsiTheme="majorBidi" w:cstheme="majorBidi"/>
          <w:b/>
          <w:bCs/>
          <w:color w:val="000000" w:themeColor="text1"/>
        </w:rPr>
        <w:lastRenderedPageBreak/>
        <w:t>pour les lésions oculaires graves et l’irritation oculaire</w:t>
      </w:r>
    </w:p>
    <w:p w14:paraId="01FE2443" w14:textId="77777777" w:rsidR="009F28CF" w:rsidRPr="00950D73" w:rsidRDefault="009F28CF" w:rsidP="009F28CF">
      <w:pPr>
        <w:spacing w:after="240"/>
        <w:ind w:left="1134" w:right="1134"/>
        <w:jc w:val="center"/>
        <w:rPr>
          <w:rFonts w:asciiTheme="majorBidi" w:hAnsiTheme="majorBidi" w:cstheme="majorBidi"/>
          <w:color w:val="000000" w:themeColor="text1"/>
        </w:rPr>
      </w:pPr>
      <w:r w:rsidRPr="00950D73">
        <w:rPr>
          <w:rFonts w:asciiTheme="majorBidi" w:hAnsiTheme="majorBidi" w:cstheme="majorBidi"/>
          <w:noProof/>
          <w:color w:val="000000" w:themeColor="text1"/>
        </w:rPr>
        <w:object w:dxaOrig="6865" w:dyaOrig="7825" w14:anchorId="68E4A65C">
          <v:shape id="_x0000_i1029" type="#_x0000_t75" alt="" style="width:363.9pt;height:417.9pt" o:ole="">
            <v:imagedata r:id="rId20" o:title=""/>
          </v:shape>
          <o:OLEObject Type="Embed" ProgID="Visio.Drawing.15" ShapeID="_x0000_i1029" DrawAspect="Content" ObjectID="_1745040349" r:id="rId21"/>
        </w:object>
      </w:r>
    </w:p>
    <w:p w14:paraId="0DC1C109" w14:textId="05DF5AAD" w:rsidR="009F28CF" w:rsidRPr="00950D73" w:rsidRDefault="009F28CF" w:rsidP="009F28CF">
      <w:pPr>
        <w:tabs>
          <w:tab w:val="left" w:pos="1418"/>
        </w:tabs>
        <w:spacing w:after="240" w:line="220" w:lineRule="atLeast"/>
        <w:ind w:left="1134" w:right="1134"/>
        <w:jc w:val="both"/>
        <w:rPr>
          <w:rFonts w:asciiTheme="majorBidi" w:hAnsiTheme="majorBidi" w:cstheme="majorBidi"/>
          <w:color w:val="000000" w:themeColor="text1"/>
        </w:rPr>
      </w:pPr>
      <w:r w:rsidRPr="00950D73">
        <w:rPr>
          <w:rFonts w:asciiTheme="majorBidi" w:hAnsiTheme="majorBidi" w:cstheme="majorBidi"/>
          <w:b/>
          <w:bCs/>
          <w:i/>
          <w:iCs/>
          <w:color w:val="000000" w:themeColor="text1"/>
          <w:vertAlign w:val="superscript"/>
        </w:rPr>
        <w:t>a</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Les cases entourées d’une ligne tiretée représentent une sous-étape individuelle à l’étape des données concluantes sur le mélange en tant que tel.</w:t>
      </w:r>
      <w:r w:rsidRPr="00950D73">
        <w:rPr>
          <w:rFonts w:asciiTheme="majorBidi" w:hAnsiTheme="majorBidi" w:cstheme="majorBidi"/>
          <w:color w:val="000000" w:themeColor="text1"/>
        </w:rPr>
        <w:t xml:space="preserve"> </w:t>
      </w:r>
      <w:r w:rsidRPr="00950D73">
        <w:rPr>
          <w:rFonts w:asciiTheme="majorBidi" w:hAnsiTheme="majorBidi" w:cstheme="majorBidi"/>
          <w:i/>
          <w:iCs/>
          <w:color w:val="000000" w:themeColor="text1"/>
        </w:rPr>
        <w:t>Toutefois, contrairement aux prescriptions concernant les substances, dans le cas des mélanges présentant un pH extrême (≤ 2 ou ≥ 11,5) et une réserve acide</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alcaline non significative, mais pour lesquels il n’existe pas d’autres données concluantes sur le mélange en tant que tel, ou pour lesquels l’évaluation globale de la force probante des données à partir de l’ensemble des données disponibles sur le mélange en tant que tel n’est pas concluante, les données sont considérées comme non concluantes à chaque sous-étape de l’étape des données concluantes sur le mélange en tant que tel.</w:t>
      </w:r>
      <w:r w:rsidRPr="00950D73">
        <w:rPr>
          <w:rFonts w:asciiTheme="majorBidi" w:hAnsiTheme="majorBidi" w:cstheme="majorBidi"/>
          <w:color w:val="000000" w:themeColor="text1"/>
        </w:rPr>
        <w:t xml:space="preserve"> </w:t>
      </w:r>
      <w:r w:rsidRPr="00950D73">
        <w:rPr>
          <w:rFonts w:asciiTheme="majorBidi" w:hAnsiTheme="majorBidi" w:cstheme="majorBidi"/>
          <w:i/>
          <w:iCs/>
          <w:color w:val="000000" w:themeColor="text1"/>
        </w:rPr>
        <w:t xml:space="preserve">Ces mélanges devraient être évalués </w:t>
      </w:r>
      <w:r w:rsidRPr="00950D73">
        <w:rPr>
          <w:rFonts w:asciiTheme="majorBidi" w:hAnsiTheme="majorBidi" w:cstheme="majorBidi"/>
          <w:i/>
          <w:iCs/>
          <w:color w:val="000000" w:themeColor="text1"/>
        </w:rPr>
        <w:lastRenderedPageBreak/>
        <w:t>conformément aux principes d’extrapolation avant que le pH extrême puisse être considéré comme concluant aux fins de la classification. </w:t>
      </w:r>
      <w:r w:rsidRPr="00950D73">
        <w:rPr>
          <w:rFonts w:asciiTheme="majorBidi" w:hAnsiTheme="majorBidi" w:cstheme="majorBidi"/>
          <w:color w:val="000000" w:themeColor="text1"/>
        </w:rPr>
        <w:t>».</w:t>
      </w:r>
    </w:p>
    <w:p w14:paraId="5D172D91" w14:textId="77777777" w:rsidR="009F28CF" w:rsidRPr="00950D73" w:rsidRDefault="009F28CF" w:rsidP="009F28CF">
      <w:pPr>
        <w:keepNext/>
        <w:tabs>
          <w:tab w:val="left" w:pos="3119"/>
        </w:tabs>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3.3.3.1.1 et 3.3.3.1.2</w:t>
      </w:r>
      <w:r w:rsidRPr="00950D73">
        <w:rPr>
          <w:rFonts w:asciiTheme="majorBidi" w:hAnsiTheme="majorBidi" w:cstheme="majorBidi"/>
          <w:color w:val="000000" w:themeColor="text1"/>
        </w:rPr>
        <w:tab/>
        <w:t>Modifier pour lire comme suit :</w:t>
      </w:r>
    </w:p>
    <w:p w14:paraId="5D3C0677" w14:textId="77777777" w:rsidR="009F28CF" w:rsidRPr="00950D73" w:rsidRDefault="009F28CF" w:rsidP="009F28CF">
      <w:pPr>
        <w:tabs>
          <w:tab w:val="left" w:pos="3402"/>
        </w:tabs>
        <w:spacing w:after="120"/>
        <w:ind w:left="2268" w:right="1134"/>
        <w:jc w:val="both"/>
        <w:rPr>
          <w:rFonts w:asciiTheme="majorBidi" w:hAnsiTheme="majorBidi" w:cstheme="majorBidi"/>
          <w:color w:val="000000" w:themeColor="text1"/>
          <w:spacing w:val="-2"/>
        </w:rPr>
      </w:pPr>
      <w:bookmarkStart w:id="7" w:name="_Hlk69885839"/>
      <w:r w:rsidRPr="00950D73">
        <w:rPr>
          <w:rFonts w:asciiTheme="majorBidi" w:hAnsiTheme="majorBidi" w:cstheme="majorBidi"/>
          <w:color w:val="000000" w:themeColor="text1"/>
          <w:spacing w:val="-2"/>
        </w:rPr>
        <w:t>« 3.3.3.1.1</w:t>
      </w:r>
      <w:r w:rsidRPr="00950D73">
        <w:rPr>
          <w:rFonts w:asciiTheme="majorBidi" w:hAnsiTheme="majorBidi" w:cstheme="majorBidi"/>
          <w:color w:val="000000" w:themeColor="text1"/>
          <w:spacing w:val="-2"/>
        </w:rPr>
        <w:tab/>
        <w:t>Le mélange doit généralement être classé à l’aide des critères applicables aux substances, en tenant compte de la méthode par étapes aux fins de l’évaluation des données pour la classe de danger visée (comme le montre la figure 3.3.1), ainsi que des paragraphes 3.3.3.1.2 et 3.3.3.1.3 ci-après. S’il est impossible d’établir une classification selon la méthode par étapes, on appliquera la méthode décrite au 3.3.3.2 (principes d’extrapolation) ou, si celle</w:t>
      </w:r>
      <w:r w:rsidRPr="00950D73">
        <w:rPr>
          <w:rFonts w:asciiTheme="majorBidi" w:hAnsiTheme="majorBidi" w:cstheme="majorBidi"/>
          <w:color w:val="000000" w:themeColor="text1"/>
          <w:spacing w:val="-2"/>
        </w:rPr>
        <w:noBreakHyphen/>
        <w:t>ci n’est pas applicable, la méthode décrite au 3.3.3.3 (classification fondée sur les composants).</w:t>
      </w:r>
      <w:bookmarkStart w:id="8" w:name="_Hlk69885903"/>
      <w:bookmarkEnd w:id="7"/>
      <w:bookmarkEnd w:id="8"/>
    </w:p>
    <w:p w14:paraId="62D0E78F" w14:textId="77777777" w:rsidR="009F28CF" w:rsidRPr="00950D73" w:rsidRDefault="009F28CF" w:rsidP="009F28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3.3.3.1.2</w:t>
      </w:r>
      <w:r w:rsidRPr="00950D73">
        <w:rPr>
          <w:rFonts w:asciiTheme="majorBidi" w:hAnsiTheme="majorBidi" w:cstheme="majorBidi"/>
          <w:color w:val="000000" w:themeColor="text1"/>
        </w:rPr>
        <w:tab/>
        <w:t>Les méthodes définies ou les méthodes d’essai in vitro/</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validées selon des procédures internationales peuvent ne pas avoir été validées avec des mélanges ; bien que ces méthodes soient jugées largement applicables à ceux-ci, elles ne peuvent être appliquées pour la classification des mélanges que si tous les composants du mélange relèvent du domaine d’application de la méthode définie ou de la (des) méthode(s) d’essai utilisée(s). Des limitations propres aux domaines d’application sont décrites dans les méthodes définies et méthodes d’essai respectives ; elles devraient être prises en compte, de même que toute information complémentaire publiée à ce sujet. Lorsqu’il existe des raisons de penser que le domaine d’application d’une méthode définie ou d’une méthode d’essai donnée est limité, ou des éléments qui l’attestent, il convient de faire preuve de circonspection dans l’interprétation des données, ou de considérer que les résultats ne sont pas applicables. ».</w:t>
      </w:r>
    </w:p>
    <w:p w14:paraId="03503B1C" w14:textId="25DF3CD5" w:rsidR="009F28CF" w:rsidRPr="00950D73" w:rsidRDefault="009F28CF" w:rsidP="009F28CF">
      <w:pPr>
        <w:keepNext/>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lastRenderedPageBreak/>
        <w:t>3.3.3.1.3</w:t>
      </w:r>
      <w:r w:rsidR="00D12896" w:rsidRPr="00950D73">
        <w:rPr>
          <w:rFonts w:asciiTheme="majorBidi" w:hAnsiTheme="majorBidi" w:cstheme="majorBidi"/>
          <w:color w:val="000000" w:themeColor="text1"/>
        </w:rPr>
        <w:t xml:space="preserve"> (nouveau)</w:t>
      </w:r>
      <w:r w:rsidRPr="00950D73">
        <w:rPr>
          <w:rFonts w:asciiTheme="majorBidi" w:hAnsiTheme="majorBidi" w:cstheme="majorBidi"/>
          <w:color w:val="000000" w:themeColor="text1"/>
        </w:rPr>
        <w:tab/>
        <w:t xml:space="preserve">Ajouter </w:t>
      </w:r>
      <w:r w:rsidR="0099599D" w:rsidRPr="00950D73">
        <w:rPr>
          <w:rFonts w:asciiTheme="majorBidi" w:hAnsiTheme="majorBidi" w:cstheme="majorBidi"/>
          <w:color w:val="000000" w:themeColor="text1"/>
        </w:rPr>
        <w:t xml:space="preserve">le </w:t>
      </w:r>
      <w:r w:rsidRPr="00950D73">
        <w:rPr>
          <w:rFonts w:asciiTheme="majorBidi" w:hAnsiTheme="majorBidi" w:cstheme="majorBidi"/>
          <w:color w:val="000000" w:themeColor="text1"/>
        </w:rPr>
        <w:t>nouveau paragraphe</w:t>
      </w:r>
      <w:r w:rsidR="0099599D" w:rsidRPr="00950D73">
        <w:rPr>
          <w:rFonts w:asciiTheme="majorBidi" w:hAnsiTheme="majorBidi" w:cstheme="majorBidi"/>
          <w:color w:val="000000" w:themeColor="text1"/>
        </w:rPr>
        <w:t xml:space="preserve"> suivant </w:t>
      </w:r>
      <w:r w:rsidRPr="00950D73">
        <w:rPr>
          <w:rFonts w:asciiTheme="majorBidi" w:hAnsiTheme="majorBidi" w:cstheme="majorBidi"/>
          <w:color w:val="000000" w:themeColor="text1"/>
        </w:rPr>
        <w:t>:</w:t>
      </w:r>
    </w:p>
    <w:p w14:paraId="37F852B3" w14:textId="77777777" w:rsidR="009F28CF" w:rsidRPr="00950D73" w:rsidRDefault="009F28CF" w:rsidP="009F28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 3.3.3.1.3</w:t>
      </w:r>
      <w:r w:rsidRPr="00950D73">
        <w:rPr>
          <w:rFonts w:asciiTheme="majorBidi" w:hAnsiTheme="majorBidi" w:cstheme="majorBidi"/>
          <w:color w:val="000000" w:themeColor="text1"/>
        </w:rPr>
        <w:tab/>
        <w:t>Un mélange dont le pH est extrême (pH ≤ 2 ou ≥ 11,5) est considéré comme mélange provoquant des lésions oculaires graves (catégorie 1) à l’étape 5 s’il présente une réserve acide/alcaline significative ou si l’on ne dispose pas de données relatives à ladite réserve. Toutefois, si l’examen de la réserve acide/alcaline laisse penser que le mélange pourrait ne pas provoquer de graves lésions oculaires malgré la valeur extrême du pH, le résultat est jugé non concluant à cette même étape (voir figure 3.3.1). Si l’évaluation globale de la force probante des données demeure non concluante ou si l’on ne dispose pas de données autres que le pH et la réserve acide/alcaline, il convient d’évaluer les mélanges présentant un pH extrême (pH ≤ 2 ou ≥ 11,5) et une réserve acide/alcaline non significative en appliquant les principes d’extrapolation décrits au 3.3.3.2. Si les principes d’extrapolation ne sont pas applicables, il convient de classer les mélanges présentant un pH extrême (pH ≤ 2 ou ≥ 11,5) et une réserve acide/alcaline non significative dans la Catégorie 1 oculaire (voir figure 3.3.2). Un pH supérieur à 2 et inférieur à 11,5 est considéré comme non concluant et ne peut être utilisé à des fins de classification. La réserve acide/alcaline et le pH peuvent être déterminés au moyen de différentes méthodes, notamment celles décrites dans la ligne directrice 122 de l’OCDE et dans la publication de Young et al. (1988), sachant qu’il existe des différences entre ces méthodes (voir 3.3.5.3.7). Une autorité compétente peut décider des critères à appliquer pour considérer qu’une réserve acide/alcaline est significative. ».</w:t>
      </w:r>
    </w:p>
    <w:p w14:paraId="77810E2B" w14:textId="15704150" w:rsidR="00EE65CC" w:rsidRPr="00950D73" w:rsidRDefault="00EE65CC" w:rsidP="009F28CF">
      <w:pPr>
        <w:tabs>
          <w:tab w:val="left" w:pos="2268"/>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3.3.3.2.6</w:t>
      </w:r>
      <w:r w:rsidRPr="00950D73">
        <w:rPr>
          <w:rFonts w:asciiTheme="majorBidi" w:hAnsiTheme="majorBidi" w:cstheme="majorBidi"/>
          <w:color w:val="000000" w:themeColor="text1"/>
        </w:rPr>
        <w:tab/>
      </w:r>
      <w:r w:rsidR="00074DB0" w:rsidRPr="00950D73">
        <w:rPr>
          <w:rFonts w:asciiTheme="majorBidi" w:hAnsiTheme="majorBidi" w:cstheme="majorBidi"/>
          <w:color w:val="000000" w:themeColor="text1"/>
        </w:rPr>
        <w:t>Modification sans objet en français.</w:t>
      </w:r>
    </w:p>
    <w:p w14:paraId="14E045EB" w14:textId="002D810A" w:rsidR="000832DD" w:rsidRPr="00950D73" w:rsidRDefault="009F28CF" w:rsidP="009F28CF">
      <w:pPr>
        <w:tabs>
          <w:tab w:val="left" w:pos="2268"/>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3.3.3.2.7</w:t>
      </w:r>
      <w:r w:rsidRPr="00950D73">
        <w:rPr>
          <w:rFonts w:asciiTheme="majorBidi" w:hAnsiTheme="majorBidi" w:cstheme="majorBidi"/>
          <w:color w:val="000000" w:themeColor="text1"/>
        </w:rPr>
        <w:tab/>
      </w:r>
      <w:r w:rsidR="00CC128D" w:rsidRPr="00950D73">
        <w:rPr>
          <w:rFonts w:asciiTheme="majorBidi" w:hAnsiTheme="majorBidi" w:cstheme="majorBidi"/>
          <w:color w:val="000000" w:themeColor="text1"/>
        </w:rPr>
        <w:t>L</w:t>
      </w:r>
      <w:r w:rsidR="001D5785" w:rsidRPr="00950D73">
        <w:rPr>
          <w:rFonts w:asciiTheme="majorBidi" w:hAnsiTheme="majorBidi" w:cstheme="majorBidi"/>
          <w:color w:val="000000" w:themeColor="text1"/>
        </w:rPr>
        <w:t>es m</w:t>
      </w:r>
      <w:r w:rsidRPr="00950D73">
        <w:rPr>
          <w:rFonts w:asciiTheme="majorBidi" w:hAnsiTheme="majorBidi" w:cstheme="majorBidi"/>
          <w:color w:val="000000" w:themeColor="text1"/>
        </w:rPr>
        <w:t>odification</w:t>
      </w:r>
      <w:r w:rsidR="000832DD" w:rsidRPr="00950D73">
        <w:rPr>
          <w:rFonts w:asciiTheme="majorBidi" w:hAnsiTheme="majorBidi" w:cstheme="majorBidi"/>
          <w:color w:val="000000" w:themeColor="text1"/>
        </w:rPr>
        <w:t>(s)</w:t>
      </w:r>
      <w:r w:rsidRPr="00950D73">
        <w:rPr>
          <w:rFonts w:asciiTheme="majorBidi" w:hAnsiTheme="majorBidi" w:cstheme="majorBidi"/>
          <w:color w:val="000000" w:themeColor="text1"/>
        </w:rPr>
        <w:t xml:space="preserve"> </w:t>
      </w:r>
      <w:r w:rsidR="001D5785" w:rsidRPr="00950D73">
        <w:rPr>
          <w:rFonts w:asciiTheme="majorBidi" w:hAnsiTheme="majorBidi" w:cstheme="majorBidi"/>
          <w:color w:val="000000" w:themeColor="text1"/>
        </w:rPr>
        <w:t xml:space="preserve">à la première phrase sont </w:t>
      </w:r>
      <w:r w:rsidRPr="00950D73">
        <w:rPr>
          <w:rFonts w:asciiTheme="majorBidi" w:hAnsiTheme="majorBidi" w:cstheme="majorBidi"/>
          <w:color w:val="000000" w:themeColor="text1"/>
        </w:rPr>
        <w:t xml:space="preserve">sans objet en français. </w:t>
      </w:r>
    </w:p>
    <w:p w14:paraId="4C897957" w14:textId="6CBBFEF3" w:rsidR="009F28CF" w:rsidRPr="00950D73" w:rsidRDefault="000832DD" w:rsidP="0036713C">
      <w:pPr>
        <w:tabs>
          <w:tab w:val="left" w:pos="2268"/>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lastRenderedPageBreak/>
        <w:tab/>
      </w:r>
      <w:r w:rsidR="009F28CF" w:rsidRPr="00950D73">
        <w:rPr>
          <w:rFonts w:asciiTheme="majorBidi" w:hAnsiTheme="majorBidi" w:cstheme="majorBidi"/>
          <w:color w:val="000000" w:themeColor="text1"/>
        </w:rPr>
        <w:t xml:space="preserve">Renuméroter la note de bas de page </w:t>
      </w:r>
      <w:r w:rsidR="00CC128D" w:rsidRPr="00950D73">
        <w:rPr>
          <w:rFonts w:asciiTheme="majorBidi" w:hAnsiTheme="majorBidi" w:cstheme="majorBidi"/>
          <w:color w:val="000000" w:themeColor="text1"/>
        </w:rPr>
        <w:t>1</w:t>
      </w:r>
      <w:r w:rsidR="009F28CF" w:rsidRPr="00950D73">
        <w:rPr>
          <w:rFonts w:asciiTheme="majorBidi" w:hAnsiTheme="majorBidi" w:cstheme="majorBidi"/>
          <w:color w:val="000000" w:themeColor="text1"/>
        </w:rPr>
        <w:t>, qui devient la note de bas de page 4.</w:t>
      </w:r>
    </w:p>
    <w:p w14:paraId="5F5D1B85" w14:textId="77777777" w:rsidR="004147AD" w:rsidRPr="00950D73" w:rsidRDefault="009A383C" w:rsidP="00FC10AB">
      <w:pPr>
        <w:pStyle w:val="SingleTxtG"/>
        <w:ind w:left="2268" w:hanging="1134"/>
        <w:rPr>
          <w:rFonts w:asciiTheme="majorBidi" w:hAnsiTheme="majorBidi" w:cstheme="majorBidi"/>
        </w:rPr>
      </w:pPr>
      <w:r w:rsidRPr="00950D73">
        <w:rPr>
          <w:rFonts w:asciiTheme="majorBidi" w:hAnsiTheme="majorBidi" w:cstheme="majorBidi"/>
        </w:rPr>
        <w:t>3.3.3.3.1</w:t>
      </w:r>
      <w:r w:rsidR="007A795F" w:rsidRPr="00950D73">
        <w:rPr>
          <w:rFonts w:asciiTheme="majorBidi" w:hAnsiTheme="majorBidi" w:cstheme="majorBidi"/>
        </w:rPr>
        <w:tab/>
      </w:r>
      <w:r w:rsidR="00A065C1" w:rsidRPr="00950D73">
        <w:rPr>
          <w:rFonts w:asciiTheme="majorBidi" w:hAnsiTheme="majorBidi" w:cstheme="majorBidi"/>
        </w:rPr>
        <w:t xml:space="preserve">Modifier le premier paragraphe pour lire comme suit : </w:t>
      </w:r>
    </w:p>
    <w:p w14:paraId="7D588F13" w14:textId="1E041033" w:rsidR="009A383C" w:rsidRPr="00950D73" w:rsidRDefault="004147AD" w:rsidP="000109AF">
      <w:pPr>
        <w:pStyle w:val="SingleTxtG"/>
        <w:tabs>
          <w:tab w:val="clear" w:pos="1701"/>
        </w:tabs>
        <w:ind w:left="2268"/>
        <w:rPr>
          <w:rFonts w:asciiTheme="majorBidi" w:hAnsiTheme="majorBidi" w:cstheme="majorBidi"/>
        </w:rPr>
      </w:pPr>
      <w:r w:rsidRPr="00950D73">
        <w:rPr>
          <w:rFonts w:asciiTheme="majorBidi" w:hAnsiTheme="majorBidi" w:cstheme="majorBidi"/>
        </w:rPr>
        <w:t xml:space="preserve">« Afin d’utiliser toutes les données disponibles dans la classification des dangers que présente un mélange en ce qui concerne les lésions oculaires graves et l’irritation oculaire, la supposition suivante est </w:t>
      </w:r>
      <w:r w:rsidR="00417764" w:rsidRPr="00950D73">
        <w:rPr>
          <w:rFonts w:asciiTheme="majorBidi" w:hAnsiTheme="majorBidi" w:cstheme="majorBidi"/>
        </w:rPr>
        <w:t xml:space="preserve">admise </w:t>
      </w:r>
      <w:r w:rsidR="007A795F" w:rsidRPr="00950D73">
        <w:rPr>
          <w:rFonts w:asciiTheme="majorBidi" w:hAnsiTheme="majorBidi" w:cstheme="majorBidi"/>
        </w:rPr>
        <w:t>et s’applique s’il y a lieu à la méthode par étapes concernant les mélanges (voir 1.3.2.3)</w:t>
      </w:r>
      <w:r w:rsidRPr="00950D73">
        <w:rPr>
          <w:rFonts w:asciiTheme="majorBidi" w:hAnsiTheme="majorBidi" w:cstheme="majorBidi"/>
        </w:rPr>
        <w:t> :</w:t>
      </w:r>
      <w:r w:rsidR="007A795F" w:rsidRPr="00950D73">
        <w:rPr>
          <w:rFonts w:asciiTheme="majorBidi" w:hAnsiTheme="majorBidi" w:cstheme="majorBidi"/>
        </w:rPr>
        <w:t xml:space="preserve"> ».</w:t>
      </w:r>
    </w:p>
    <w:p w14:paraId="7DD1671E" w14:textId="177C9BE7" w:rsidR="00727637" w:rsidRPr="00950D73" w:rsidRDefault="009F28CF" w:rsidP="0020127C">
      <w:pPr>
        <w:pStyle w:val="SingleTxtG"/>
        <w:ind w:left="2268" w:hanging="1134"/>
        <w:rPr>
          <w:rFonts w:asciiTheme="majorBidi" w:hAnsiTheme="majorBidi" w:cstheme="majorBidi"/>
        </w:rPr>
      </w:pPr>
      <w:r w:rsidRPr="00950D73">
        <w:rPr>
          <w:rFonts w:asciiTheme="majorBidi" w:hAnsiTheme="majorBidi" w:cstheme="majorBidi"/>
          <w:color w:val="000000" w:themeColor="text1"/>
        </w:rPr>
        <w:t>3.3.3.3.4</w:t>
      </w:r>
      <w:r w:rsidRPr="00950D73">
        <w:rPr>
          <w:rFonts w:asciiTheme="majorBidi" w:hAnsiTheme="majorBidi" w:cstheme="majorBidi"/>
          <w:color w:val="000000" w:themeColor="text1"/>
        </w:rPr>
        <w:tab/>
      </w:r>
      <w:r w:rsidR="00775256" w:rsidRPr="00950D73">
        <w:rPr>
          <w:rFonts w:asciiTheme="majorBidi" w:hAnsiTheme="majorBidi" w:cstheme="majorBidi"/>
        </w:rPr>
        <w:t>Modifier</w:t>
      </w:r>
      <w:r w:rsidR="0020127C" w:rsidRPr="00950D73">
        <w:rPr>
          <w:rFonts w:asciiTheme="majorBidi" w:hAnsiTheme="majorBidi" w:cstheme="majorBidi"/>
        </w:rPr>
        <w:t xml:space="preserve"> </w:t>
      </w:r>
      <w:r w:rsidR="00A13386" w:rsidRPr="00950D73">
        <w:rPr>
          <w:rFonts w:asciiTheme="majorBidi" w:hAnsiTheme="majorBidi" w:cstheme="majorBidi"/>
        </w:rPr>
        <w:t xml:space="preserve">le début de </w:t>
      </w:r>
      <w:r w:rsidR="00727637" w:rsidRPr="00950D73">
        <w:rPr>
          <w:rFonts w:asciiTheme="majorBidi" w:hAnsiTheme="majorBidi" w:cstheme="majorBidi"/>
        </w:rPr>
        <w:t>la première phrase</w:t>
      </w:r>
      <w:r w:rsidR="00A13386" w:rsidRPr="00950D73">
        <w:rPr>
          <w:rFonts w:asciiTheme="majorBidi" w:hAnsiTheme="majorBidi" w:cstheme="majorBidi"/>
        </w:rPr>
        <w:t xml:space="preserve"> pour lire comme suit : « </w:t>
      </w:r>
      <w:r w:rsidR="0020127C" w:rsidRPr="00950D73">
        <w:rPr>
          <w:rFonts w:asciiTheme="majorBidi" w:hAnsiTheme="majorBidi" w:cstheme="majorBidi"/>
        </w:rPr>
        <w:t>Il faut apporter un soin particulier lors de la classification de mélanges contenant certaines catégories de substances… »</w:t>
      </w:r>
      <w:r w:rsidR="000109AF" w:rsidRPr="00950D73">
        <w:rPr>
          <w:rFonts w:asciiTheme="majorBidi" w:hAnsiTheme="majorBidi" w:cstheme="majorBidi"/>
        </w:rPr>
        <w:t>.</w:t>
      </w:r>
    </w:p>
    <w:p w14:paraId="5100E70E" w14:textId="2540370C" w:rsidR="009F28CF" w:rsidRPr="00950D73" w:rsidRDefault="00727637" w:rsidP="0036713C">
      <w:pPr>
        <w:tabs>
          <w:tab w:val="left" w:pos="2268"/>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ab/>
      </w:r>
      <w:r w:rsidR="009F28CF" w:rsidRPr="00950D73">
        <w:rPr>
          <w:rFonts w:asciiTheme="majorBidi" w:hAnsiTheme="majorBidi" w:cstheme="majorBidi"/>
          <w:color w:val="000000" w:themeColor="text1"/>
        </w:rPr>
        <w:t>Dans la troisième phrase, remplacer « le pH est le critère de classification (voir 3.3.3.1.2) car il » par « le pH est le critère de classification (voir 3.3.3.1.3) car un pH extrême » et supprimer « (sous réserve de l’examen de la réserve acide/alcaline) ».</w:t>
      </w:r>
    </w:p>
    <w:p w14:paraId="6E91394E" w14:textId="0106CA36" w:rsidR="00187DCD" w:rsidRPr="00950D73" w:rsidRDefault="00974038" w:rsidP="00313DB9">
      <w:pPr>
        <w:pStyle w:val="SingleTxtG"/>
        <w:ind w:left="2268" w:hanging="1134"/>
        <w:rPr>
          <w:rFonts w:asciiTheme="majorBidi" w:hAnsiTheme="majorBidi" w:cstheme="majorBidi"/>
        </w:rPr>
      </w:pPr>
      <w:r w:rsidRPr="00950D73">
        <w:rPr>
          <w:rFonts w:asciiTheme="majorBidi" w:hAnsiTheme="majorBidi" w:cstheme="majorBidi"/>
        </w:rPr>
        <w:t>3.3.3.3.5</w:t>
      </w:r>
      <w:r w:rsidRPr="00950D73">
        <w:rPr>
          <w:rFonts w:asciiTheme="majorBidi" w:hAnsiTheme="majorBidi" w:cstheme="majorBidi"/>
        </w:rPr>
        <w:tab/>
      </w:r>
      <w:r w:rsidR="00187DCD" w:rsidRPr="00950D73">
        <w:rPr>
          <w:rFonts w:asciiTheme="majorBidi" w:hAnsiTheme="majorBidi" w:cstheme="majorBidi"/>
        </w:rPr>
        <w:t>Dans la première phrase, remplacer « effets irréversibles ou réversibles d’un composant » par « lésions oculaires graves ou irritations oculaires dues à un composant ».</w:t>
      </w:r>
    </w:p>
    <w:p w14:paraId="54504984" w14:textId="77777777" w:rsidR="00187DCD" w:rsidRPr="00950D73" w:rsidRDefault="00187DCD" w:rsidP="00187DCD">
      <w:pPr>
        <w:pStyle w:val="SingleTxtG"/>
        <w:ind w:left="2268"/>
        <w:rPr>
          <w:rFonts w:asciiTheme="majorBidi" w:hAnsiTheme="majorBidi" w:cstheme="majorBidi"/>
        </w:rPr>
      </w:pPr>
      <w:r w:rsidRPr="00950D73">
        <w:rPr>
          <w:rFonts w:asciiTheme="majorBidi" w:hAnsiTheme="majorBidi" w:cstheme="majorBidi"/>
        </w:rPr>
        <w:t>Supprimer « </w:t>
      </w:r>
      <w:r w:rsidRPr="00950D73">
        <w:rPr>
          <w:rFonts w:asciiTheme="majorBidi" w:hAnsiTheme="majorBidi" w:cstheme="majorBidi"/>
          <w:i/>
          <w:iCs/>
        </w:rPr>
        <w:t>Utilisation de valeurs seuil/limites de concentration</w:t>
      </w:r>
      <w:r w:rsidRPr="00950D73">
        <w:rPr>
          <w:rFonts w:asciiTheme="majorBidi" w:hAnsiTheme="majorBidi" w:cstheme="majorBidi"/>
        </w:rPr>
        <w:t> » dans la parenthèse de la deuxième phrase.</w:t>
      </w:r>
    </w:p>
    <w:p w14:paraId="27212140" w14:textId="77777777" w:rsidR="00187DCD" w:rsidRPr="00950D73" w:rsidRDefault="00187DCD" w:rsidP="00187DCD">
      <w:pPr>
        <w:pStyle w:val="SingleTxtG"/>
        <w:ind w:left="2268"/>
        <w:rPr>
          <w:rFonts w:asciiTheme="majorBidi" w:hAnsiTheme="majorBidi" w:cstheme="majorBidi"/>
        </w:rPr>
      </w:pPr>
      <w:r w:rsidRPr="00950D73">
        <w:rPr>
          <w:rFonts w:asciiTheme="majorBidi" w:hAnsiTheme="majorBidi" w:cstheme="majorBidi"/>
        </w:rPr>
        <w:t>Dans la troisième phrase, remplacer « effets irréversibles ou réversibles sur les yeux d’un composant » par « lésions oculaires graves ou irritation oculaire dues à un composant ».</w:t>
      </w:r>
    </w:p>
    <w:p w14:paraId="165959F1" w14:textId="183CC4C2" w:rsidR="00C800D7" w:rsidRPr="00950D73" w:rsidRDefault="00C800D7" w:rsidP="006C348D">
      <w:pPr>
        <w:pStyle w:val="SingleTxtG"/>
        <w:ind w:left="2268"/>
        <w:rPr>
          <w:rFonts w:asciiTheme="majorBidi" w:hAnsiTheme="majorBidi" w:cstheme="majorBidi"/>
        </w:rPr>
      </w:pPr>
      <w:r w:rsidRPr="00950D73">
        <w:rPr>
          <w:rFonts w:asciiTheme="majorBidi" w:hAnsiTheme="majorBidi" w:cstheme="majorBidi"/>
        </w:rPr>
        <w:t>Supprimer la dernière phrase du paragraphe ( « Dans ces situations </w:t>
      </w:r>
      <w:r w:rsidR="006C348D" w:rsidRPr="00950D73">
        <w:rPr>
          <w:rFonts w:asciiTheme="majorBidi" w:hAnsiTheme="majorBidi" w:cstheme="majorBidi"/>
        </w:rPr>
        <w:t>… dans ce chapitre.</w:t>
      </w:r>
      <w:r w:rsidRPr="00950D73">
        <w:rPr>
          <w:rFonts w:asciiTheme="majorBidi" w:hAnsiTheme="majorBidi" w:cstheme="majorBidi"/>
        </w:rPr>
        <w:t>»).</w:t>
      </w:r>
    </w:p>
    <w:p w14:paraId="6A64B785" w14:textId="231D0EFF" w:rsidR="00E3143B" w:rsidRPr="00950D73" w:rsidRDefault="00E3143B" w:rsidP="00E3143B">
      <w:pPr>
        <w:pStyle w:val="SingleTxtG"/>
        <w:ind w:left="2268" w:hanging="1134"/>
        <w:rPr>
          <w:rFonts w:asciiTheme="majorBidi" w:hAnsiTheme="majorBidi" w:cstheme="majorBidi"/>
        </w:rPr>
      </w:pPr>
      <w:r w:rsidRPr="00950D73">
        <w:rPr>
          <w:rFonts w:asciiTheme="majorBidi" w:hAnsiTheme="majorBidi" w:cstheme="majorBidi"/>
        </w:rPr>
        <w:t>3.3.4</w:t>
      </w:r>
      <w:r w:rsidRPr="00950D73">
        <w:rPr>
          <w:rFonts w:asciiTheme="majorBidi" w:hAnsiTheme="majorBidi" w:cstheme="majorBidi"/>
        </w:rPr>
        <w:tab/>
      </w:r>
      <w:r w:rsidRPr="00950D73">
        <w:rPr>
          <w:rFonts w:asciiTheme="majorBidi" w:hAnsiTheme="majorBidi" w:cstheme="majorBidi"/>
        </w:rPr>
        <w:tab/>
      </w:r>
      <w:r w:rsidR="00F343FD"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F343FD" w:rsidRPr="00950D73">
        <w:rPr>
          <w:rFonts w:asciiTheme="majorBidi" w:hAnsiTheme="majorBidi" w:cstheme="majorBidi"/>
        </w:rPr>
        <w:t> :</w:t>
      </w:r>
      <w:r w:rsidRPr="00950D73">
        <w:rPr>
          <w:rFonts w:asciiTheme="majorBidi" w:hAnsiTheme="majorBidi" w:cstheme="majorBidi"/>
        </w:rPr>
        <w:t xml:space="preserve">« Le tableau 3.3.5 présente les éléments d’étiquetage attribués aux substances et mélanges classés dans cette classe de </w:t>
      </w:r>
      <w:r w:rsidRPr="00950D73">
        <w:rPr>
          <w:rFonts w:asciiTheme="majorBidi" w:hAnsiTheme="majorBidi" w:cstheme="majorBidi"/>
        </w:rPr>
        <w:lastRenderedPageBreak/>
        <w:t>danger d’après les critères exposés dans le présent chapitre. ».</w:t>
      </w:r>
    </w:p>
    <w:p w14:paraId="54E5CCDB" w14:textId="77777777" w:rsidR="00F0622C" w:rsidRPr="00950D73" w:rsidRDefault="00F0622C" w:rsidP="00F0622C">
      <w:pPr>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Tableau 3.3.5, troisième colonne</w:t>
      </w:r>
      <w:r w:rsidRPr="00950D73">
        <w:rPr>
          <w:rFonts w:asciiTheme="majorBidi" w:hAnsiTheme="majorBidi" w:cstheme="majorBidi"/>
          <w:color w:val="000000" w:themeColor="text1"/>
        </w:rPr>
        <w:tab/>
        <w:t>Remplacer « Catégorie 2A » par « Catégorie 2/2A ».</w:t>
      </w:r>
    </w:p>
    <w:p w14:paraId="55619D5D" w14:textId="7AC5B0B1" w:rsidR="009F28CF" w:rsidRPr="00950D73" w:rsidRDefault="009F28CF" w:rsidP="009F28CF">
      <w:pPr>
        <w:keepNext/>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3.3.5.1</w:t>
      </w:r>
      <w:r w:rsidRPr="00950D73">
        <w:rPr>
          <w:rFonts w:asciiTheme="majorBidi" w:hAnsiTheme="majorBidi" w:cstheme="majorBidi"/>
          <w:color w:val="000000" w:themeColor="text1"/>
        </w:rPr>
        <w:tab/>
      </w:r>
      <w:r w:rsidRPr="00950D73">
        <w:rPr>
          <w:rFonts w:asciiTheme="majorBidi" w:hAnsiTheme="majorBidi" w:cstheme="majorBidi"/>
          <w:color w:val="000000" w:themeColor="text1"/>
        </w:rPr>
        <w:tab/>
        <w:t>Remplacer le diagramme de décision 3.3.1 par le diagramme suivant</w:t>
      </w:r>
      <w:r w:rsidR="001D71BC" w:rsidRPr="00950D73">
        <w:rPr>
          <w:rFonts w:asciiTheme="majorBidi" w:hAnsiTheme="majorBidi" w:cstheme="majorBidi"/>
          <w:color w:val="000000" w:themeColor="text1"/>
        </w:rPr>
        <w:t xml:space="preserve"> et supprimer les notes de bas de page</w:t>
      </w:r>
      <w:r w:rsidR="002B053E" w:rsidRPr="00950D73">
        <w:rPr>
          <w:rFonts w:asciiTheme="majorBidi" w:hAnsiTheme="majorBidi" w:cstheme="majorBidi"/>
          <w:color w:val="000000" w:themeColor="text1"/>
        </w:rPr>
        <w:t xml:space="preserve"> 2 et 3 actuelles</w:t>
      </w:r>
      <w:r w:rsidRPr="00950D73">
        <w:rPr>
          <w:rFonts w:asciiTheme="majorBidi" w:hAnsiTheme="majorBidi" w:cstheme="majorBidi"/>
          <w:color w:val="000000" w:themeColor="text1"/>
        </w:rPr>
        <w:t> :</w:t>
      </w:r>
    </w:p>
    <w:p w14:paraId="2912D16D" w14:textId="4E1DEA0D" w:rsidR="002C5CF6" w:rsidRPr="00950D73" w:rsidRDefault="009F28CF" w:rsidP="002C5CF6">
      <w:pPr>
        <w:keepNext/>
        <w:spacing w:after="120"/>
        <w:ind w:left="1134" w:right="1134"/>
        <w:jc w:val="both"/>
        <w:rPr>
          <w:rFonts w:asciiTheme="majorBidi" w:hAnsiTheme="majorBidi" w:cstheme="majorBidi"/>
        </w:rPr>
      </w:pPr>
      <w:r w:rsidRPr="00950D73">
        <w:rPr>
          <w:rFonts w:asciiTheme="majorBidi" w:hAnsiTheme="majorBidi" w:cstheme="majorBidi"/>
          <w:color w:val="000000" w:themeColor="text1"/>
        </w:rPr>
        <w:t>«</w:t>
      </w:r>
    </w:p>
    <w:p w14:paraId="0B7E49AE" w14:textId="65CF3B79" w:rsidR="002C5CF6" w:rsidRPr="00950D73" w:rsidRDefault="006F60A9" w:rsidP="002C5CF6">
      <w:pPr>
        <w:spacing w:after="120"/>
        <w:ind w:left="1134"/>
        <w:jc w:val="center"/>
        <w:rPr>
          <w:rFonts w:asciiTheme="majorBidi" w:hAnsiTheme="majorBidi" w:cstheme="majorBidi"/>
        </w:rPr>
      </w:pPr>
      <w:r>
        <w:object w:dxaOrig="7531" w:dyaOrig="7336" w14:anchorId="41DD6743">
          <v:shape id="_x0000_i1030" type="#_x0000_t75" style="width:376.8pt;height:367.2pt" o:ole="">
            <v:imagedata r:id="rId22" o:title=""/>
          </v:shape>
          <o:OLEObject Type="Embed" ProgID="Visio.Drawing.15" ShapeID="_x0000_i1030" DrawAspect="Content" ObjectID="_1745040350" r:id="rId23"/>
        </w:object>
      </w:r>
    </w:p>
    <w:p w14:paraId="7217F755" w14:textId="77777777" w:rsidR="002C5CF6" w:rsidRPr="00950D73" w:rsidRDefault="002C5CF6" w:rsidP="009F28CF">
      <w:pPr>
        <w:spacing w:after="120"/>
        <w:ind w:left="1134"/>
        <w:jc w:val="right"/>
        <w:rPr>
          <w:rFonts w:asciiTheme="majorBidi" w:hAnsiTheme="majorBidi" w:cstheme="majorBidi"/>
        </w:rPr>
      </w:pPr>
    </w:p>
    <w:p w14:paraId="50CD297F" w14:textId="06DD47CB" w:rsidR="009F28CF" w:rsidRPr="00950D73" w:rsidRDefault="009F28CF" w:rsidP="009F28CF">
      <w:pPr>
        <w:spacing w:after="120"/>
        <w:ind w:left="1134"/>
        <w:jc w:val="right"/>
        <w:rPr>
          <w:rFonts w:asciiTheme="majorBidi" w:hAnsiTheme="majorBidi" w:cstheme="majorBidi"/>
        </w:rPr>
      </w:pPr>
      <w:r w:rsidRPr="00950D73">
        <w:rPr>
          <w:rFonts w:asciiTheme="majorBidi" w:hAnsiTheme="majorBidi" w:cstheme="majorBidi"/>
        </w:rPr>
        <w:t>».</w:t>
      </w:r>
    </w:p>
    <w:p w14:paraId="69BDD4C3" w14:textId="77777777" w:rsidR="009F28CF" w:rsidRPr="00950D73" w:rsidRDefault="009F28CF" w:rsidP="009F28CF">
      <w:pPr>
        <w:spacing w:after="200" w:line="276" w:lineRule="auto"/>
        <w:rPr>
          <w:rFonts w:asciiTheme="majorBidi" w:hAnsiTheme="majorBidi" w:cstheme="majorBidi"/>
          <w:color w:val="000000" w:themeColor="text1"/>
        </w:rPr>
      </w:pPr>
      <w:r w:rsidRPr="00950D73">
        <w:rPr>
          <w:rFonts w:asciiTheme="majorBidi" w:hAnsiTheme="majorBidi" w:cstheme="majorBidi"/>
          <w:color w:val="000000" w:themeColor="text1"/>
        </w:rPr>
        <w:br w:type="page"/>
      </w:r>
    </w:p>
    <w:p w14:paraId="32981EB3" w14:textId="77777777" w:rsidR="009F28CF" w:rsidRPr="00950D73" w:rsidRDefault="009F28CF" w:rsidP="009F28CF">
      <w:pPr>
        <w:keepNext/>
        <w:spacing w:after="120"/>
        <w:ind w:left="1134" w:right="1134"/>
        <w:jc w:val="both"/>
        <w:rPr>
          <w:rFonts w:asciiTheme="majorBidi" w:hAnsiTheme="majorBidi" w:cstheme="majorBidi"/>
        </w:rPr>
      </w:pPr>
      <w:r w:rsidRPr="00DD7461">
        <w:rPr>
          <w:rFonts w:asciiTheme="majorBidi" w:hAnsiTheme="majorBidi" w:cstheme="majorBidi"/>
        </w:rPr>
        <w:lastRenderedPageBreak/>
        <w:t>3.3.5.2</w:t>
      </w:r>
      <w:r w:rsidRPr="00DD7461">
        <w:rPr>
          <w:rFonts w:asciiTheme="majorBidi" w:hAnsiTheme="majorBidi" w:cstheme="majorBidi"/>
        </w:rPr>
        <w:tab/>
      </w:r>
      <w:r w:rsidRPr="00DD7461">
        <w:rPr>
          <w:rFonts w:asciiTheme="majorBidi" w:hAnsiTheme="majorBidi" w:cstheme="majorBidi"/>
        </w:rPr>
        <w:tab/>
        <w:t>Remplacer le diagramme de décision 3.3.2 par le diagramme suivant :</w:t>
      </w:r>
    </w:p>
    <w:p w14:paraId="10DE750C" w14:textId="77777777" w:rsidR="009F28CF" w:rsidRPr="00950D73" w:rsidRDefault="009F28CF" w:rsidP="009F28CF">
      <w:pPr>
        <w:keepNext/>
        <w:spacing w:after="120"/>
        <w:ind w:left="1134" w:right="1134"/>
        <w:jc w:val="both"/>
        <w:rPr>
          <w:rFonts w:asciiTheme="majorBidi" w:hAnsiTheme="majorBidi" w:cstheme="majorBidi"/>
        </w:rPr>
      </w:pPr>
      <w:r w:rsidRPr="00950D73">
        <w:rPr>
          <w:rFonts w:asciiTheme="majorBidi" w:hAnsiTheme="majorBidi" w:cstheme="majorBidi"/>
        </w:rPr>
        <w:t>«</w:t>
      </w:r>
    </w:p>
    <w:p w14:paraId="506614EE" w14:textId="6D103D5B" w:rsidR="00910CB3" w:rsidRPr="00950D73" w:rsidRDefault="00343C85" w:rsidP="00910CB3">
      <w:pPr>
        <w:keepNext/>
        <w:spacing w:after="120"/>
        <w:ind w:left="1134" w:right="1134"/>
        <w:jc w:val="center"/>
        <w:rPr>
          <w:rFonts w:asciiTheme="majorBidi" w:hAnsiTheme="majorBidi" w:cstheme="majorBidi"/>
        </w:rPr>
      </w:pPr>
      <w:r w:rsidRPr="00950D73">
        <w:rPr>
          <w:rFonts w:asciiTheme="majorBidi" w:hAnsiTheme="majorBidi" w:cstheme="majorBidi"/>
        </w:rPr>
        <w:object w:dxaOrig="7576" w:dyaOrig="9286" w14:anchorId="125B840D">
          <v:shape id="_x0000_i1031" type="#_x0000_t75" style="width:392.1pt;height:481.5pt" o:ole="">
            <v:imagedata r:id="rId24" o:title=""/>
          </v:shape>
          <o:OLEObject Type="Embed" ProgID="Visio.Drawing.15" ShapeID="_x0000_i1031" DrawAspect="Content" ObjectID="_1745040351" r:id="rId25"/>
        </w:object>
      </w:r>
    </w:p>
    <w:p w14:paraId="5F2D22B1" w14:textId="77777777" w:rsidR="009F28CF" w:rsidRPr="00950D73" w:rsidRDefault="009F28CF" w:rsidP="009F28CF">
      <w:pPr>
        <w:spacing w:after="120"/>
        <w:ind w:left="1134"/>
        <w:jc w:val="right"/>
        <w:rPr>
          <w:rFonts w:asciiTheme="majorBidi" w:hAnsiTheme="majorBidi" w:cstheme="majorBidi"/>
        </w:rPr>
      </w:pPr>
      <w:r w:rsidRPr="00950D73">
        <w:rPr>
          <w:rFonts w:asciiTheme="majorBidi" w:hAnsiTheme="majorBidi" w:cstheme="majorBidi"/>
        </w:rPr>
        <w:t>».</w:t>
      </w:r>
    </w:p>
    <w:p w14:paraId="6198D93C" w14:textId="77777777" w:rsidR="009F28CF" w:rsidRPr="00950D73" w:rsidRDefault="009F28CF" w:rsidP="009F28CF">
      <w:pPr>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Les notes de bas de page 4, 5, 6 et 7 actuelles deviennent les notes de bas de page 5, 6, 7 et 8.</w:t>
      </w:r>
    </w:p>
    <w:p w14:paraId="112CEFC5" w14:textId="77777777" w:rsidR="009F28CF" w:rsidRPr="00950D73" w:rsidRDefault="009F28CF" w:rsidP="009F28CF">
      <w:pPr>
        <w:tabs>
          <w:tab w:val="left" w:pos="3686"/>
        </w:tabs>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3.3.5.3.1 et 3.3.5.3.2 (nouveaux)</w:t>
      </w:r>
      <w:r w:rsidRPr="00950D73">
        <w:rPr>
          <w:rFonts w:asciiTheme="majorBidi" w:hAnsiTheme="majorBidi" w:cstheme="majorBidi"/>
          <w:color w:val="000000" w:themeColor="text1"/>
        </w:rPr>
        <w:tab/>
        <w:t>Ajouter les deux nouveaux paragraphes suivants :</w:t>
      </w:r>
    </w:p>
    <w:p w14:paraId="03F70275" w14:textId="77777777" w:rsidR="009F28CF" w:rsidRPr="00950D73" w:rsidRDefault="009F28CF" w:rsidP="009F28CF">
      <w:pPr>
        <w:keepNext/>
        <w:tabs>
          <w:tab w:val="left" w:pos="3402"/>
        </w:tabs>
        <w:spacing w:after="120"/>
        <w:ind w:left="2268" w:right="1134"/>
        <w:jc w:val="both"/>
        <w:rPr>
          <w:rFonts w:asciiTheme="majorBidi" w:hAnsiTheme="majorBidi" w:cstheme="majorBidi"/>
          <w:color w:val="000000" w:themeColor="text1"/>
        </w:rPr>
      </w:pPr>
      <w:bookmarkStart w:id="9" w:name="_Hlk69885998"/>
      <w:r w:rsidRPr="00950D73">
        <w:rPr>
          <w:rFonts w:asciiTheme="majorBidi" w:hAnsiTheme="majorBidi" w:cstheme="majorBidi"/>
          <w:color w:val="000000" w:themeColor="text1"/>
        </w:rPr>
        <w:t>« 3.3.5.3.1</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Documents de référence pertinents</w:t>
      </w:r>
    </w:p>
    <w:bookmarkEnd w:id="9"/>
    <w:p w14:paraId="3625E439" w14:textId="77777777" w:rsidR="009F28CF" w:rsidRPr="00950D73" w:rsidRDefault="009F28CF" w:rsidP="009F28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ab/>
        <w:t xml:space="preserve">On trouvera dans le document d’orientation 263 de l’OCDE − Guidance Document on Integrated </w:t>
      </w:r>
      <w:proofErr w:type="spellStart"/>
      <w:r w:rsidRPr="00950D73">
        <w:rPr>
          <w:rFonts w:asciiTheme="majorBidi" w:hAnsiTheme="majorBidi" w:cstheme="majorBidi"/>
          <w:color w:val="000000" w:themeColor="text1"/>
        </w:rPr>
        <w:t>Approaches</w:t>
      </w:r>
      <w:proofErr w:type="spellEnd"/>
      <w:r w:rsidRPr="00950D73">
        <w:rPr>
          <w:rFonts w:asciiTheme="majorBidi" w:hAnsiTheme="majorBidi" w:cstheme="majorBidi"/>
          <w:color w:val="000000" w:themeColor="text1"/>
        </w:rPr>
        <w:t xml:space="preserve"> to </w:t>
      </w:r>
      <w:proofErr w:type="spellStart"/>
      <w:r w:rsidRPr="00950D73">
        <w:rPr>
          <w:rFonts w:asciiTheme="majorBidi" w:hAnsiTheme="majorBidi" w:cstheme="majorBidi"/>
          <w:color w:val="000000" w:themeColor="text1"/>
        </w:rPr>
        <w:t>Testing</w:t>
      </w:r>
      <w:proofErr w:type="spellEnd"/>
      <w:r w:rsidRPr="00950D73">
        <w:rPr>
          <w:rFonts w:asciiTheme="majorBidi" w:hAnsiTheme="majorBidi" w:cstheme="majorBidi"/>
          <w:color w:val="000000" w:themeColor="text1"/>
        </w:rPr>
        <w:t xml:space="preserve"> and </w:t>
      </w:r>
      <w:proofErr w:type="spellStart"/>
      <w:r w:rsidRPr="00950D73">
        <w:rPr>
          <w:rFonts w:asciiTheme="majorBidi" w:hAnsiTheme="majorBidi" w:cstheme="majorBidi"/>
          <w:color w:val="000000" w:themeColor="text1"/>
        </w:rPr>
        <w:t>Assessment</w:t>
      </w:r>
      <w:proofErr w:type="spellEnd"/>
      <w:r w:rsidRPr="00950D73">
        <w:rPr>
          <w:rFonts w:asciiTheme="majorBidi" w:hAnsiTheme="majorBidi" w:cstheme="majorBidi"/>
          <w:color w:val="000000" w:themeColor="text1"/>
        </w:rPr>
        <w:t xml:space="preserve"> (IATA) for </w:t>
      </w:r>
      <w:proofErr w:type="spellStart"/>
      <w:r w:rsidRPr="00950D73">
        <w:rPr>
          <w:rFonts w:asciiTheme="majorBidi" w:hAnsiTheme="majorBidi" w:cstheme="majorBidi"/>
          <w:color w:val="000000" w:themeColor="text1"/>
        </w:rPr>
        <w:t>Serious</w:t>
      </w:r>
      <w:proofErr w:type="spellEnd"/>
      <w:r w:rsidRPr="00950D73">
        <w:rPr>
          <w:rFonts w:asciiTheme="majorBidi" w:hAnsiTheme="majorBidi" w:cstheme="majorBidi"/>
          <w:color w:val="000000" w:themeColor="text1"/>
        </w:rPr>
        <w:t xml:space="preserve"> Eye Damage and Eye Irritation − des informations sur les avantages et les inconvénients des différentes méthodes avec ou sans essais, ainsi que des indications sur la </w:t>
      </w:r>
      <w:r w:rsidRPr="00950D73">
        <w:rPr>
          <w:rFonts w:asciiTheme="majorBidi" w:hAnsiTheme="majorBidi" w:cstheme="majorBidi"/>
          <w:color w:val="000000" w:themeColor="text1"/>
        </w:rPr>
        <w:lastRenderedPageBreak/>
        <w:t>façon d’appliquer une méthode fondée sur la force probante des données.</w:t>
      </w:r>
    </w:p>
    <w:p w14:paraId="66B12E81" w14:textId="77777777" w:rsidR="009F28CF" w:rsidRPr="00950D73" w:rsidRDefault="009F28CF" w:rsidP="009F28CF">
      <w:pPr>
        <w:tabs>
          <w:tab w:val="left" w:pos="3402"/>
        </w:tabs>
        <w:spacing w:after="120"/>
        <w:ind w:left="2268" w:right="1134"/>
        <w:jc w:val="both"/>
        <w:rPr>
          <w:rFonts w:asciiTheme="majorBidi" w:hAnsiTheme="majorBidi" w:cstheme="majorBidi"/>
          <w:i/>
          <w:iCs/>
          <w:color w:val="000000" w:themeColor="text1"/>
        </w:rPr>
      </w:pPr>
      <w:r w:rsidRPr="00950D73">
        <w:rPr>
          <w:rFonts w:asciiTheme="majorBidi" w:hAnsiTheme="majorBidi" w:cstheme="majorBidi"/>
          <w:color w:val="000000" w:themeColor="text1"/>
        </w:rPr>
        <w:t>3.3.5.3.2</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Directives sur l’utilisation des données obtenues sur l’homme pour la classification au titre des lésions oculaires graves ou de l’irritation oculaire</w:t>
      </w:r>
    </w:p>
    <w:p w14:paraId="3651F5DD" w14:textId="77777777" w:rsidR="009F28CF" w:rsidRPr="00950D73" w:rsidRDefault="009F28CF" w:rsidP="009F28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ab/>
        <w:t xml:space="preserve">La disponibilité de données sur l’homme pour les lésions oculaires graves et l’irritation oculaire est limitée et les données disponibles peuvent comporter des incertitudes. Toutefois, lorsque ces données existent, il convient de les prendre en compte en fonction de leur qualité. Les données sur l’homme peuvent provenir d’études épidémiologiques, de l’expérience humaine (expérience de consommateurs, par exemple), des centres antipoison, des programmes nationaux et internationaux de surveillance des accidents de la vie courante, d’études de cas, ou encore d’expériences et d’accidents dans le monde du travail. Les études de cas sur l’homme peuvent avoir une valeur prédictive limitée, car dans bien des cas la présence d’une substance ou d’un mélange dans l’œil entraîne une douleur et un rapide rinçage des yeux. Les effets observés peuvent ainsi conduire à sous-estimer la propriété intrinsèque de la substance ou du mélange à affecter l’œil lorsqu’il n’est pas rincé. On trouvera dans le document d’orientation 263 de l’OCDE (sect. 4.1, module 1 : </w:t>
      </w:r>
      <w:proofErr w:type="spellStart"/>
      <w:r w:rsidRPr="00950D73">
        <w:rPr>
          <w:rFonts w:asciiTheme="majorBidi" w:hAnsiTheme="majorBidi" w:cstheme="majorBidi"/>
          <w:color w:val="000000" w:themeColor="text1"/>
        </w:rPr>
        <w:t>Existing</w:t>
      </w:r>
      <w:proofErr w:type="spellEnd"/>
      <w:r w:rsidRPr="00950D73">
        <w:rPr>
          <w:rFonts w:asciiTheme="majorBidi" w:hAnsiTheme="majorBidi" w:cstheme="majorBidi"/>
          <w:color w:val="000000" w:themeColor="text1"/>
        </w:rPr>
        <w:t xml:space="preserve"> </w:t>
      </w:r>
      <w:proofErr w:type="spellStart"/>
      <w:r w:rsidRPr="00950D73">
        <w:rPr>
          <w:rFonts w:asciiTheme="majorBidi" w:hAnsiTheme="majorBidi" w:cstheme="majorBidi"/>
          <w:color w:val="000000" w:themeColor="text1"/>
        </w:rPr>
        <w:t>human</w:t>
      </w:r>
      <w:proofErr w:type="spellEnd"/>
      <w:r w:rsidRPr="00950D73">
        <w:rPr>
          <w:rFonts w:asciiTheme="majorBidi" w:hAnsiTheme="majorBidi" w:cstheme="majorBidi"/>
          <w:color w:val="000000" w:themeColor="text1"/>
        </w:rPr>
        <w:t xml:space="preserve"> data on </w:t>
      </w:r>
      <w:proofErr w:type="spellStart"/>
      <w:r w:rsidRPr="00950D73">
        <w:rPr>
          <w:rFonts w:asciiTheme="majorBidi" w:hAnsiTheme="majorBidi" w:cstheme="majorBidi"/>
          <w:color w:val="000000" w:themeColor="text1"/>
        </w:rPr>
        <w:t>serious</w:t>
      </w:r>
      <w:proofErr w:type="spellEnd"/>
      <w:r w:rsidRPr="00950D73">
        <w:rPr>
          <w:rFonts w:asciiTheme="majorBidi" w:hAnsiTheme="majorBidi" w:cstheme="majorBidi"/>
          <w:color w:val="000000" w:themeColor="text1"/>
        </w:rPr>
        <w:t xml:space="preserve"> </w:t>
      </w:r>
      <w:proofErr w:type="spellStart"/>
      <w:r w:rsidRPr="00950D73">
        <w:rPr>
          <w:rFonts w:asciiTheme="majorBidi" w:hAnsiTheme="majorBidi" w:cstheme="majorBidi"/>
          <w:color w:val="000000" w:themeColor="text1"/>
        </w:rPr>
        <w:t>eye</w:t>
      </w:r>
      <w:proofErr w:type="spellEnd"/>
      <w:r w:rsidRPr="00950D73">
        <w:rPr>
          <w:rFonts w:asciiTheme="majorBidi" w:hAnsiTheme="majorBidi" w:cstheme="majorBidi"/>
          <w:color w:val="000000" w:themeColor="text1"/>
        </w:rPr>
        <w:t xml:space="preserve"> damage and </w:t>
      </w:r>
      <w:proofErr w:type="spellStart"/>
      <w:r w:rsidRPr="00950D73">
        <w:rPr>
          <w:rFonts w:asciiTheme="majorBidi" w:hAnsiTheme="majorBidi" w:cstheme="majorBidi"/>
          <w:color w:val="000000" w:themeColor="text1"/>
        </w:rPr>
        <w:t>eye</w:t>
      </w:r>
      <w:proofErr w:type="spellEnd"/>
      <w:r w:rsidRPr="00950D73">
        <w:rPr>
          <w:rFonts w:asciiTheme="majorBidi" w:hAnsiTheme="majorBidi" w:cstheme="majorBidi"/>
          <w:color w:val="000000" w:themeColor="text1"/>
        </w:rPr>
        <w:t xml:space="preserve"> irritation), de plus amples informations sur les avantages et les inconvénients des données sur l’homme pour les lésions oculaires graves et l’irritation oculaire). ».</w:t>
      </w:r>
    </w:p>
    <w:p w14:paraId="0151E173" w14:textId="77777777" w:rsidR="009F28CF" w:rsidRPr="00950D73" w:rsidRDefault="009F28CF" w:rsidP="009F28CF">
      <w:pPr>
        <w:keepNext/>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3.3.5.3.3</w:t>
      </w:r>
      <w:r w:rsidRPr="00950D73">
        <w:rPr>
          <w:rFonts w:asciiTheme="majorBidi" w:hAnsiTheme="majorBidi" w:cstheme="majorBidi"/>
          <w:color w:val="000000" w:themeColor="text1"/>
        </w:rPr>
        <w:tab/>
        <w:t>Ajouter le nouveau titre suivant :</w:t>
      </w:r>
    </w:p>
    <w:p w14:paraId="3D42BB2A" w14:textId="7777777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 3.3.5.3.3</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Classification fondée sur les résultats d’essais normalisés sur des animaux, portant sur plus de trois animaux </w:t>
      </w:r>
      <w:r w:rsidRPr="00950D73">
        <w:rPr>
          <w:rFonts w:asciiTheme="majorBidi" w:hAnsiTheme="majorBidi" w:cstheme="majorBidi"/>
          <w:color w:val="000000" w:themeColor="text1"/>
        </w:rPr>
        <w:t>».</w:t>
      </w:r>
    </w:p>
    <w:p w14:paraId="1338FE71" w14:textId="13EBA871" w:rsidR="00B32455" w:rsidRPr="00950D73" w:rsidRDefault="00B32455" w:rsidP="00B32455">
      <w:pPr>
        <w:tabs>
          <w:tab w:val="left" w:pos="2268"/>
          <w:tab w:val="left" w:pos="3119"/>
          <w:tab w:val="left" w:pos="3686"/>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lastRenderedPageBreak/>
        <w:t>3.3.5.3.1 à 3.3.5.3.5</w:t>
      </w:r>
      <w:r w:rsidRPr="00950D73">
        <w:rPr>
          <w:rFonts w:asciiTheme="majorBidi" w:hAnsiTheme="majorBidi" w:cstheme="majorBidi"/>
          <w:color w:val="000000" w:themeColor="text1"/>
        </w:rPr>
        <w:tab/>
        <w:t xml:space="preserve">Les paragraphes 3.3.5.3.1 à 3.3.5.3.5 deviennent les </w:t>
      </w:r>
      <w:r w:rsidR="00CB0844" w:rsidRPr="00950D73">
        <w:rPr>
          <w:rFonts w:asciiTheme="majorBidi" w:hAnsiTheme="majorBidi" w:cstheme="majorBidi"/>
          <w:color w:val="000000" w:themeColor="text1"/>
        </w:rPr>
        <w:t xml:space="preserve">nouveaux </w:t>
      </w:r>
      <w:r w:rsidRPr="00950D73">
        <w:rPr>
          <w:rFonts w:asciiTheme="majorBidi" w:hAnsiTheme="majorBidi" w:cstheme="majorBidi"/>
          <w:color w:val="000000" w:themeColor="text1"/>
        </w:rPr>
        <w:t>paragraphes 3.3.5.3.3.1 à 3.3.5.3.3.5.</w:t>
      </w:r>
    </w:p>
    <w:p w14:paraId="4413118D" w14:textId="3AB87148" w:rsidR="009F28CF" w:rsidRPr="00950D73" w:rsidRDefault="009F28CF" w:rsidP="009F28CF">
      <w:pPr>
        <w:tabs>
          <w:tab w:val="left" w:pos="2268"/>
          <w:tab w:val="left" w:pos="4820"/>
          <w:tab w:val="left" w:pos="5954"/>
        </w:tabs>
        <w:spacing w:after="120"/>
        <w:ind w:left="2268" w:right="1134" w:hanging="1134"/>
        <w:jc w:val="both"/>
        <w:rPr>
          <w:rFonts w:asciiTheme="majorBidi" w:hAnsiTheme="majorBidi" w:cstheme="majorBidi"/>
          <w:color w:val="000000" w:themeColor="text1"/>
        </w:rPr>
      </w:pPr>
      <w:r w:rsidRPr="00950D73">
        <w:rPr>
          <w:rFonts w:asciiTheme="majorBidi" w:hAnsiTheme="majorBidi" w:cstheme="majorBidi"/>
          <w:color w:val="000000" w:themeColor="text1"/>
        </w:rPr>
        <w:t>3.3.5.3.3.2 (nouveau, ancien 3.3.5.3.2)</w:t>
      </w:r>
      <w:r w:rsidRPr="00950D73">
        <w:rPr>
          <w:rFonts w:asciiTheme="majorBidi" w:hAnsiTheme="majorBidi" w:cstheme="majorBidi"/>
          <w:color w:val="000000" w:themeColor="text1"/>
        </w:rPr>
        <w:tab/>
        <w:t>Remplacer « 3.3.2.1 » par « 3.3.2.2 ».</w:t>
      </w:r>
      <w:r w:rsidR="00BB4EE2" w:rsidRPr="00950D73">
        <w:rPr>
          <w:rFonts w:asciiTheme="majorBidi" w:hAnsiTheme="majorBidi" w:cstheme="majorBidi"/>
          <w:color w:val="000000" w:themeColor="text1"/>
        </w:rPr>
        <w:t xml:space="preserve"> Deuxième modification sans objet en français.</w:t>
      </w:r>
    </w:p>
    <w:p w14:paraId="2A95249E" w14:textId="77777777" w:rsidR="009F28CF" w:rsidRPr="00950D73" w:rsidRDefault="009F28CF" w:rsidP="009F28CF">
      <w:pPr>
        <w:keepNext/>
        <w:spacing w:after="120"/>
        <w:ind w:left="1134"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3.3.5.3.4 à 3.3.5.3.7.2</w:t>
      </w:r>
      <w:r w:rsidRPr="00950D73">
        <w:rPr>
          <w:rFonts w:asciiTheme="majorBidi" w:hAnsiTheme="majorBidi" w:cstheme="majorBidi"/>
          <w:color w:val="000000" w:themeColor="text1"/>
        </w:rPr>
        <w:tab/>
        <w:t>Ajouter les nouvelles sections suivantes :</w:t>
      </w:r>
    </w:p>
    <w:p w14:paraId="36AA856F" w14:textId="7777777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 3.3.5.3.4</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Directive sur l’utilisation de méthodes définies et</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ou de données in vitro/</w:t>
      </w:r>
      <w:r w:rsidRPr="00950D73">
        <w:rPr>
          <w:rFonts w:asciiTheme="majorBidi" w:hAnsiTheme="majorBidi" w:cstheme="majorBidi"/>
          <w:color w:val="000000" w:themeColor="text1"/>
        </w:rPr>
        <w:t>ex vivo</w:t>
      </w:r>
      <w:r w:rsidRPr="00950D73">
        <w:rPr>
          <w:rFonts w:asciiTheme="majorBidi" w:hAnsiTheme="majorBidi" w:cstheme="majorBidi"/>
          <w:i/>
          <w:iCs/>
          <w:color w:val="000000" w:themeColor="text1"/>
        </w:rPr>
        <w:t xml:space="preserve"> pour la classification à l’étape 2 de la figure 3.3.1</w:t>
      </w:r>
    </w:p>
    <w:p w14:paraId="46CDCA77" w14:textId="7777777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3.3.5.3.4.1</w:t>
      </w:r>
      <w:r w:rsidRPr="00950D73">
        <w:rPr>
          <w:rFonts w:asciiTheme="majorBidi" w:hAnsiTheme="majorBidi" w:cstheme="majorBidi"/>
          <w:color w:val="000000" w:themeColor="text1"/>
        </w:rPr>
        <w:tab/>
        <w:t xml:space="preserve">Les méthodes définies désignent un ensemble prédéfini de sources d’information différentes (méthodes in vitro, méthodes </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propriétés physico-chimiques ou méthodes sans essais, par exemple) qui, lorsqu’on les combine entre elles au moyen d’une procédure d’interprétation des données établie, en vue d’obtenir une prédiction (ou un résultat) à partir des données en entrée, peuvent produire une conclusion sur la classification d’une substance ou d’un mélange. Une procédure d’interprétation des données établie est un algorithme établi qui permet d’interpréter des données provenant d’une ou généralement de plusieurs sources d’information et qui s’appuie sur des règles dans le sens où il est fondé, par exemple, sur une formule ou un algorithme (des critères de décision, une règle ou un ensemble de règles, par exemple) qui ne dépendent pas du jugement d’un expert. Le résultat d’une procédure d’interprétation des données est généralement une prédiction d’un effet biologique présentant un intérêt ou un critère terminal d’évaluation. Dans le cas d’une méthode définie, sachant que les sources d’information sont prescrites et que l’ensemble des règles sur la manière de les intégrer et de les interpréter est prédéterminé, on parvient toujours à la même conclusion sur le même ensemble de données, car il n’y a aucune place pour une interprétation subjective. Dans le cas d’une évaluation de la force </w:t>
      </w:r>
      <w:r w:rsidRPr="00950D73">
        <w:rPr>
          <w:rFonts w:asciiTheme="majorBidi" w:hAnsiTheme="majorBidi" w:cstheme="majorBidi"/>
          <w:color w:val="000000" w:themeColor="text1"/>
        </w:rPr>
        <w:lastRenderedPageBreak/>
        <w:t>probante des données, en revanche, un expert porte un jugement au cas par cas sur la base des informations disponibles, ce qui peut conduire à des conclusions différentes car il n’y a pas de règles établies pour l’interprétation des données.</w:t>
      </w:r>
    </w:p>
    <w:p w14:paraId="5FDD1A95" w14:textId="069CA89E" w:rsidR="009F28CF" w:rsidRPr="00950D73" w:rsidRDefault="009F28CF" w:rsidP="009F28CF">
      <w:pPr>
        <w:spacing w:after="120"/>
        <w:ind w:left="2268" w:right="1134"/>
        <w:jc w:val="both"/>
        <w:rPr>
          <w:rFonts w:asciiTheme="majorBidi" w:hAnsiTheme="majorBidi" w:cstheme="majorBidi"/>
          <w:color w:val="000000" w:themeColor="text1"/>
          <w:spacing w:val="-1"/>
        </w:rPr>
      </w:pPr>
      <w:bookmarkStart w:id="10" w:name="_Hlk69886088"/>
      <w:r w:rsidRPr="00950D73">
        <w:rPr>
          <w:rFonts w:asciiTheme="majorBidi" w:hAnsiTheme="majorBidi" w:cstheme="majorBidi"/>
          <w:color w:val="000000" w:themeColor="text1"/>
          <w:spacing w:val="-1"/>
        </w:rPr>
        <w:t>3.3.5.3.4.2</w:t>
      </w:r>
      <w:r w:rsidRPr="00950D73">
        <w:rPr>
          <w:rFonts w:asciiTheme="majorBidi" w:hAnsiTheme="majorBidi" w:cstheme="majorBidi"/>
          <w:color w:val="000000" w:themeColor="text1"/>
          <w:spacing w:val="-1"/>
        </w:rPr>
        <w:tab/>
        <w:t>Une démarche par étapes pour l’évaluation des informations issues de l’étape 2 de la figure 3.3.1, à savoir les données des méthodes définies et/ou des méthodes d’essai in vitro</w:t>
      </w:r>
      <w:r w:rsidRPr="00950D73">
        <w:rPr>
          <w:rFonts w:asciiTheme="majorBidi" w:hAnsiTheme="majorBidi" w:cstheme="majorBidi"/>
          <w:iCs/>
          <w:color w:val="000000" w:themeColor="text1"/>
          <w:spacing w:val="-1"/>
        </w:rPr>
        <w:t>/</w:t>
      </w:r>
      <w:r w:rsidRPr="00950D73">
        <w:rPr>
          <w:rFonts w:asciiTheme="majorBidi" w:hAnsiTheme="majorBidi" w:cstheme="majorBidi"/>
          <w:i/>
          <w:iCs/>
          <w:color w:val="000000" w:themeColor="text1"/>
          <w:spacing w:val="-1"/>
        </w:rPr>
        <w:t>ex vivo</w:t>
      </w:r>
      <w:r w:rsidRPr="00950D73">
        <w:rPr>
          <w:rFonts w:asciiTheme="majorBidi" w:hAnsiTheme="majorBidi" w:cstheme="majorBidi"/>
          <w:color w:val="000000" w:themeColor="text1"/>
          <w:spacing w:val="-1"/>
        </w:rPr>
        <w:t xml:space="preserve">, doit être envisagée s’il y a lieu (figure 3.3.3), sachant que </w:t>
      </w:r>
      <w:r w:rsidR="00C54D3E" w:rsidRPr="00950D73">
        <w:rPr>
          <w:rFonts w:asciiTheme="majorBidi" w:hAnsiTheme="majorBidi" w:cstheme="majorBidi"/>
          <w:color w:val="000000" w:themeColor="text1"/>
          <w:spacing w:val="-1"/>
        </w:rPr>
        <w:t>toutes les étapes</w:t>
      </w:r>
      <w:r w:rsidR="007C304D" w:rsidRPr="00950D73">
        <w:rPr>
          <w:rFonts w:asciiTheme="majorBidi" w:hAnsiTheme="majorBidi" w:cstheme="majorBidi"/>
          <w:color w:val="000000" w:themeColor="text1"/>
          <w:spacing w:val="-1"/>
        </w:rPr>
        <w:t xml:space="preserve">, ainsi que toutes les informations se rapportant à chacune des étapes ne sont pas forcément </w:t>
      </w:r>
      <w:r w:rsidRPr="00950D73">
        <w:rPr>
          <w:rFonts w:asciiTheme="majorBidi" w:hAnsiTheme="majorBidi" w:cstheme="majorBidi"/>
          <w:color w:val="000000" w:themeColor="text1"/>
          <w:spacing w:val="-1"/>
        </w:rPr>
        <w:t>pertinent</w:t>
      </w:r>
      <w:r w:rsidR="007C304D" w:rsidRPr="00950D73">
        <w:rPr>
          <w:rFonts w:asciiTheme="majorBidi" w:hAnsiTheme="majorBidi" w:cstheme="majorBidi"/>
          <w:color w:val="000000" w:themeColor="text1"/>
          <w:spacing w:val="-1"/>
        </w:rPr>
        <w:t>e</w:t>
      </w:r>
      <w:r w:rsidRPr="00950D73">
        <w:rPr>
          <w:rFonts w:asciiTheme="majorBidi" w:hAnsiTheme="majorBidi" w:cstheme="majorBidi"/>
          <w:color w:val="000000" w:themeColor="text1"/>
          <w:spacing w:val="-1"/>
        </w:rPr>
        <w:t>s. Cependant, il convient d’examiner toutes les informations disponibles, pertinentes et de qualité suffisante pour s’assurer de leur cohérence avec la classification résultante. Un résultat d’application d’une méthode définie comportant des données concluantes sur l’animal et/ou l’homme peut aussi être pris en compte ultérieurement, au moment de l’évaluation globale de la force probante des données, à l’étape 7 (voir figure 3.3.1). Lorsque les informations provenant de plusieurs étapes sont incohérentes ou contradictoires au regard de la classification établie, les informations de qualité suffisante d’une étape supérieure ont généralement un poids supérieur par rapport aux informations provenant d’une étape inférieure. Néanmoins, lorsque les informations d’une étape inférieure aboutiraient à une classification plus stricte que les informations d’une étape supérieure, et qu’il existe un risque de classification incorrecte, on classe sur la base d’une évaluation de la force probante des données au niveau d’une étape. Par exemple, si l’on est préoccupé par un résultat négatif pour des lésions oculaires graves selon une méthode définie, alors qu’il existe un résultat positif pour lesdites lésions selon une méthode in vitro</w:t>
      </w:r>
      <w:r w:rsidRPr="00950D73">
        <w:rPr>
          <w:rFonts w:asciiTheme="majorBidi" w:hAnsiTheme="majorBidi" w:cstheme="majorBidi"/>
          <w:iCs/>
          <w:color w:val="000000" w:themeColor="text1"/>
          <w:spacing w:val="-1"/>
        </w:rPr>
        <w:t>/</w:t>
      </w:r>
      <w:r w:rsidRPr="00950D73">
        <w:rPr>
          <w:rFonts w:asciiTheme="majorBidi" w:hAnsiTheme="majorBidi" w:cstheme="majorBidi"/>
          <w:i/>
          <w:iCs/>
          <w:color w:val="000000" w:themeColor="text1"/>
          <w:spacing w:val="-1"/>
        </w:rPr>
        <w:t>ex vivo</w:t>
      </w:r>
      <w:r w:rsidRPr="00950D73">
        <w:rPr>
          <w:rFonts w:asciiTheme="majorBidi" w:hAnsiTheme="majorBidi" w:cstheme="majorBidi"/>
          <w:color w:val="000000" w:themeColor="text1"/>
          <w:spacing w:val="-1"/>
        </w:rPr>
        <w:t>, il convient de procéder à une évaluation de la force probante des données au niveau d’une étape.</w:t>
      </w:r>
      <w:bookmarkEnd w:id="10"/>
    </w:p>
    <w:p w14:paraId="4051C0C9" w14:textId="77777777" w:rsidR="009F28CF" w:rsidRPr="00950D73" w:rsidRDefault="009F28CF" w:rsidP="009A60BB">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lastRenderedPageBreak/>
        <w:t>3.3.5.3.4.3</w:t>
      </w:r>
      <w:r w:rsidRPr="00950D73">
        <w:rPr>
          <w:rFonts w:asciiTheme="majorBidi" w:hAnsiTheme="majorBidi" w:cstheme="majorBidi"/>
          <w:color w:val="000000" w:themeColor="text1"/>
        </w:rPr>
        <w:tab/>
        <w:t>Les méthodes d’essai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 xml:space="preserve">ex vivo </w:t>
      </w:r>
      <w:r w:rsidRPr="00950D73">
        <w:rPr>
          <w:rFonts w:asciiTheme="majorBidi" w:hAnsiTheme="majorBidi" w:cstheme="majorBidi"/>
          <w:color w:val="000000" w:themeColor="text1"/>
        </w:rPr>
        <w:t xml:space="preserve">actuelles ne permettent pas de distinguer certains effets </w:t>
      </w:r>
      <w:r w:rsidRPr="00950D73">
        <w:rPr>
          <w:rFonts w:asciiTheme="majorBidi" w:hAnsiTheme="majorBidi" w:cstheme="majorBidi"/>
          <w:i/>
          <w:iCs/>
          <w:color w:val="000000" w:themeColor="text1"/>
        </w:rPr>
        <w:t>in vivo</w:t>
      </w:r>
      <w:r w:rsidRPr="00950D73">
        <w:rPr>
          <w:rFonts w:asciiTheme="majorBidi" w:hAnsiTheme="majorBidi" w:cstheme="majorBidi"/>
          <w:color w:val="000000" w:themeColor="text1"/>
        </w:rPr>
        <w:t xml:space="preserve"> tels que l’opacité de la cornée, l’iritis, la rougeur conjonctivale ou l’œdème conjonctival, mais elles ont montré leur capacité à mettre en évidence correctement les substances induisant des lésions oculaires graves ou une irritation oculaire, indépendamment des types d’effets oculaires observés </w:t>
      </w:r>
      <w:r w:rsidRPr="00950D73">
        <w:rPr>
          <w:rFonts w:asciiTheme="majorBidi" w:hAnsiTheme="majorBidi" w:cstheme="majorBidi"/>
          <w:i/>
          <w:iCs/>
          <w:color w:val="000000" w:themeColor="text1"/>
        </w:rPr>
        <w:t>in vivo</w:t>
      </w:r>
      <w:r w:rsidRPr="00950D73">
        <w:rPr>
          <w:rFonts w:asciiTheme="majorBidi" w:hAnsiTheme="majorBidi" w:cstheme="majorBidi"/>
          <w:color w:val="000000" w:themeColor="text1"/>
        </w:rPr>
        <w:t>. Un grand nombre de ces méthodes permettent ainsi de mettre en évidence des substances ou des mélanges ne nécessitant pas de classification avec une grande sensibilité, mais présentent une spécificité limitée lorsqu’on les utilise pour distinguer les substances ou les mélanges non classés des substances ou des mélanges classés. Cela signifie qu’il est raisonnablement certain qu’une substance ou un mélange reconnu comme substance ou mélange ne nécessitant pas de classification selon les lignes directrices 437, 438, 491, 492, 494 ou 496 de l’OCDE (voir tableau 3.3.6) n’induit effectivement pas d’effets oculaires justifiant une classification, mais que certaines substances ou certains mélanges ne nécessitant pas de classification sont surestimés par lesdites méthodes lorsqu’elles sont utilisées isolément. En outre, il convient de noter que les substances induisant des lésions oculaires graves sont mises en évidence par nombre de ces méthodes avec une spécificité élevée mais une sensibilité limitée lorsque ces dernières sont utilisées pour distinguer la catégorie 1 de la catégorie 2 et les substances non classées. Par conséquent, il est raisonnablement certain qu’une substance ou un mélange reconnu comme substance ou mélange de la catégorie 1 selon les lignes directrices 437, 438, 460, 491 ou 496 de l’OCDE (voir tableau 3.3.6) induit effectivement des effets oculaires irréversibles, tandis que certaines substances ou certains mélanges induisant des lésions oculaires graves sont sous-estimés par lesdites méthodes lorsqu’elles sont utilisées isolément. Il en découle qu’une seule méthode d’essai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de l’OCDE suffit </w:t>
      </w:r>
      <w:r w:rsidRPr="00950D73">
        <w:rPr>
          <w:rFonts w:asciiTheme="majorBidi" w:hAnsiTheme="majorBidi" w:cstheme="majorBidi"/>
          <w:color w:val="000000" w:themeColor="text1"/>
        </w:rPr>
        <w:lastRenderedPageBreak/>
        <w:t>actuellement pour conclure à une classification dans la catégorie 1 ou à l’absence de classification selon les critères définis du tableau 3.3.6, mais pas pour conclure à une classification dans la catégorie 2. Lorsque l’application d’une méthode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débouche sur l’impossibilité de faire une prédiction indépendante (voir par exemple le tableau 3.3.6), on ne peut pas tirer de conclusion sur la base de ce seul résultat et des données complémentaires sont nécessaires aux fins de la classification. Certaines méthodes d’essai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 xml:space="preserve">ex vivo </w:t>
      </w:r>
      <w:r w:rsidRPr="00950D73">
        <w:rPr>
          <w:rFonts w:asciiTheme="majorBidi" w:hAnsiTheme="majorBidi" w:cstheme="majorBidi"/>
          <w:color w:val="000000" w:themeColor="text1"/>
        </w:rPr>
        <w:t>qui ont été validées conformément à des procédures internationales, mais qui n’ont pas été adoptées par l’OCDE, peuvent être acceptées par certaines autorités compétentes pour une classification dans la catégorie 2 (voir 3.3.5.3.5.2). De plus, la combinaison de méthodes d’essai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dans des méthodes par étapes ou leur intégration dans celles-ci (voir 3.3.2.3) peuvent réduire le nombre de prédictions erronées et offrir des résultats appropriés aux fins de la classification.</w:t>
      </w:r>
    </w:p>
    <w:p w14:paraId="1B5DC620" w14:textId="77777777" w:rsidR="009F28CF" w:rsidRPr="00950D73" w:rsidRDefault="009F28CF" w:rsidP="009F28CF">
      <w:pPr>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3.3.5.3.4.4</w:t>
      </w:r>
      <w:r w:rsidRPr="00950D73">
        <w:rPr>
          <w:rFonts w:asciiTheme="majorBidi" w:hAnsiTheme="majorBidi" w:cstheme="majorBidi"/>
          <w:color w:val="000000" w:themeColor="text1"/>
        </w:rPr>
        <w:tab/>
        <w:t>En l’absence d’une méthode définie adéquate (voir 3.3.2.3) ou de données in vitro</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ex vivo</w:t>
      </w:r>
      <w:r w:rsidRPr="00950D73">
        <w:rPr>
          <w:rFonts w:asciiTheme="majorBidi" w:hAnsiTheme="majorBidi" w:cstheme="majorBidi"/>
          <w:color w:val="000000" w:themeColor="text1"/>
        </w:rPr>
        <w:t xml:space="preserve"> concluantes (voir 3.3.2.4.1 et 3.3.2.4.2), il n’est pas possible de faire une prédiction indépendante. Dans ce cas, une évaluation de la force probante des données en appliquant plus d’une méthode au niveau d’une étape s’impose pour une classification à l’étape 2. Si cette évaluation n’est toujours pas concluante, des données provenant d’étapes inférieures peuvent être nécessaires pour parvenir à une conclusion (voir figure 3.3.1).</w:t>
      </w:r>
    </w:p>
    <w:p w14:paraId="7ED42C5A" w14:textId="00A92C09" w:rsidR="00690BB0" w:rsidRPr="00950D73" w:rsidRDefault="009F28CF" w:rsidP="004959FE">
      <w:pPr>
        <w:keepNext/>
        <w:keepLines/>
        <w:spacing w:after="120"/>
        <w:ind w:left="1134"/>
        <w:jc w:val="center"/>
        <w:rPr>
          <w:rFonts w:asciiTheme="majorBidi" w:hAnsiTheme="majorBidi" w:cstheme="majorBidi"/>
          <w:b/>
          <w:bCs/>
        </w:rPr>
      </w:pPr>
      <w:r w:rsidRPr="00950D73">
        <w:rPr>
          <w:rFonts w:asciiTheme="majorBidi" w:hAnsiTheme="majorBidi" w:cstheme="majorBidi"/>
          <w:b/>
          <w:bCs/>
        </w:rPr>
        <w:lastRenderedPageBreak/>
        <w:t xml:space="preserve">Figure 3.3.3 : Classification fondée sur l’utilisation de méthodes définies </w:t>
      </w:r>
      <w:r w:rsidRPr="00950D73">
        <w:rPr>
          <w:rFonts w:asciiTheme="majorBidi" w:hAnsiTheme="majorBidi" w:cstheme="majorBidi"/>
          <w:b/>
          <w:bCs/>
        </w:rPr>
        <w:br/>
        <w:t xml:space="preserve">et/ou de données </w:t>
      </w:r>
      <w:r w:rsidRPr="00950D73">
        <w:rPr>
          <w:rFonts w:asciiTheme="majorBidi" w:hAnsiTheme="majorBidi" w:cstheme="majorBidi"/>
          <w:b/>
          <w:bCs/>
          <w:i/>
          <w:iCs/>
        </w:rPr>
        <w:t>in vitro</w:t>
      </w:r>
      <w:r w:rsidRPr="00950D73">
        <w:rPr>
          <w:rFonts w:asciiTheme="majorBidi" w:hAnsiTheme="majorBidi" w:cstheme="majorBidi"/>
          <w:b/>
          <w:bCs/>
          <w:iCs/>
        </w:rPr>
        <w:t>/</w:t>
      </w:r>
      <w:r w:rsidRPr="00950D73">
        <w:rPr>
          <w:rFonts w:asciiTheme="majorBidi" w:hAnsiTheme="majorBidi" w:cstheme="majorBidi"/>
          <w:b/>
          <w:bCs/>
          <w:i/>
          <w:iCs/>
        </w:rPr>
        <w:t xml:space="preserve">ex vivo </w:t>
      </w:r>
      <w:r w:rsidRPr="00950D73">
        <w:rPr>
          <w:rFonts w:asciiTheme="majorBidi" w:hAnsiTheme="majorBidi" w:cstheme="majorBidi"/>
          <w:b/>
          <w:bCs/>
        </w:rPr>
        <w:t>dans le cadre de l’étape 2 de la figure 3.3.1</w:t>
      </w:r>
    </w:p>
    <w:p w14:paraId="5BB42839" w14:textId="3BC539F0" w:rsidR="00690BB0" w:rsidRPr="00950D73" w:rsidRDefault="00972365" w:rsidP="009F28CF">
      <w:pPr>
        <w:spacing w:after="120"/>
        <w:ind w:left="1134"/>
        <w:jc w:val="center"/>
        <w:rPr>
          <w:rFonts w:asciiTheme="majorBidi" w:hAnsiTheme="majorBidi" w:cstheme="majorBidi"/>
          <w:b/>
          <w:bCs/>
        </w:rPr>
      </w:pPr>
      <w:r w:rsidRPr="00950D73">
        <w:rPr>
          <w:rFonts w:asciiTheme="majorBidi" w:hAnsiTheme="majorBidi" w:cstheme="majorBidi"/>
        </w:rPr>
        <w:object w:dxaOrig="8235" w:dyaOrig="12226" w14:anchorId="163CF665">
          <v:shape id="_x0000_i1032" type="#_x0000_t75" style="width:410.1pt;height:612pt" o:ole="">
            <v:imagedata r:id="rId26" o:title=""/>
          </v:shape>
          <o:OLEObject Type="Embed" ProgID="Visio.Drawing.15" ShapeID="_x0000_i1032" DrawAspect="Content" ObjectID="_1745040352" r:id="rId27"/>
        </w:object>
      </w:r>
    </w:p>
    <w:p w14:paraId="1EAE8F5D" w14:textId="77777777" w:rsidR="004959FE" w:rsidRPr="00950D73" w:rsidRDefault="004959FE" w:rsidP="009F28CF">
      <w:pPr>
        <w:spacing w:after="120"/>
        <w:ind w:left="1134"/>
        <w:jc w:val="both"/>
        <w:rPr>
          <w:rFonts w:asciiTheme="majorBidi" w:hAnsiTheme="majorBidi" w:cstheme="majorBidi"/>
          <w:b/>
          <w:bCs/>
          <w:i/>
          <w:iCs/>
          <w:color w:val="000000" w:themeColor="text1"/>
          <w:sz w:val="18"/>
          <w:szCs w:val="18"/>
          <w:vertAlign w:val="superscript"/>
        </w:rPr>
      </w:pPr>
    </w:p>
    <w:p w14:paraId="0C852BF1" w14:textId="15EF76D5" w:rsidR="009F28CF" w:rsidRPr="00950D73" w:rsidRDefault="009F28CF" w:rsidP="0073394B">
      <w:pPr>
        <w:spacing w:after="120"/>
        <w:ind w:left="2268" w:right="1133"/>
        <w:jc w:val="both"/>
        <w:rPr>
          <w:rFonts w:asciiTheme="majorBidi" w:hAnsiTheme="majorBidi" w:cstheme="majorBidi"/>
          <w:i/>
          <w:color w:val="000000" w:themeColor="text1"/>
          <w:sz w:val="18"/>
          <w:szCs w:val="18"/>
        </w:rPr>
      </w:pPr>
      <w:r w:rsidRPr="00950D73">
        <w:rPr>
          <w:rFonts w:asciiTheme="majorBidi" w:hAnsiTheme="majorBidi" w:cstheme="majorBidi"/>
          <w:b/>
          <w:bCs/>
          <w:i/>
          <w:iCs/>
          <w:color w:val="000000" w:themeColor="text1"/>
          <w:sz w:val="18"/>
          <w:szCs w:val="18"/>
          <w:vertAlign w:val="superscript"/>
        </w:rPr>
        <w:t>a</w:t>
      </w:r>
      <w:r w:rsidRPr="00950D73">
        <w:rPr>
          <w:rFonts w:asciiTheme="majorBidi" w:hAnsiTheme="majorBidi" w:cstheme="majorBidi"/>
          <w:color w:val="000000" w:themeColor="text1"/>
          <w:sz w:val="18"/>
          <w:szCs w:val="18"/>
        </w:rPr>
        <w:t xml:space="preserve">  </w:t>
      </w:r>
      <w:r w:rsidRPr="00950D73">
        <w:rPr>
          <w:rFonts w:asciiTheme="majorBidi" w:hAnsiTheme="majorBidi" w:cstheme="majorBidi"/>
          <w:color w:val="000000" w:themeColor="text1"/>
          <w:sz w:val="18"/>
          <w:szCs w:val="18"/>
        </w:rPr>
        <w:tab/>
      </w:r>
      <w:r w:rsidRPr="00950D73">
        <w:rPr>
          <w:rFonts w:asciiTheme="majorBidi" w:hAnsiTheme="majorBidi" w:cstheme="majorBidi"/>
          <w:i/>
          <w:iCs/>
          <w:color w:val="000000" w:themeColor="text1"/>
          <w:sz w:val="18"/>
          <w:szCs w:val="18"/>
        </w:rPr>
        <w:t>Les éléments de preuve sont jugés concluants si les données répondent aux critères de la méthode définie, ou d’une autre méthode, et si aucune donnée in vitro/ex vivo ne vient les contredire.</w:t>
      </w:r>
      <w:r w:rsidRPr="00950D73">
        <w:rPr>
          <w:rFonts w:asciiTheme="majorBidi" w:hAnsiTheme="majorBidi" w:cstheme="majorBidi"/>
          <w:color w:val="000000" w:themeColor="text1"/>
          <w:sz w:val="18"/>
          <w:szCs w:val="18"/>
        </w:rPr>
        <w:t xml:space="preserve"> </w:t>
      </w:r>
      <w:r w:rsidRPr="00950D73">
        <w:rPr>
          <w:rFonts w:asciiTheme="majorBidi" w:hAnsiTheme="majorBidi" w:cstheme="majorBidi"/>
          <w:i/>
          <w:iCs/>
          <w:color w:val="000000" w:themeColor="text1"/>
          <w:sz w:val="18"/>
          <w:szCs w:val="18"/>
        </w:rPr>
        <w:t>Cependant, lorsque les informations d’une étape inférieure aboutiraient à une classification plus stricte que les informations d’une étape supérieure, et qu’il existe un risque de classification incorrecte, la classification s’effectue sur la base d’une évaluation fondée sur la force probante des données au niveau d’une étape.</w:t>
      </w:r>
    </w:p>
    <w:p w14:paraId="6BF3666F" w14:textId="77777777" w:rsidR="009F28CF" w:rsidRPr="00950D73" w:rsidRDefault="009F28CF" w:rsidP="0073394B">
      <w:pPr>
        <w:pStyle w:val="SingleTxtG"/>
        <w:keepNext/>
        <w:keepLines/>
        <w:ind w:left="2268" w:right="1133"/>
        <w:rPr>
          <w:rFonts w:asciiTheme="majorBidi" w:hAnsiTheme="majorBidi" w:cstheme="majorBidi"/>
          <w:i/>
          <w:iCs/>
        </w:rPr>
      </w:pPr>
      <w:r w:rsidRPr="00950D73">
        <w:rPr>
          <w:rFonts w:asciiTheme="majorBidi" w:hAnsiTheme="majorBidi" w:cstheme="majorBidi"/>
        </w:rPr>
        <w:lastRenderedPageBreak/>
        <w:t>3.3.5.3.5</w:t>
      </w:r>
      <w:r w:rsidRPr="00950D73">
        <w:rPr>
          <w:rFonts w:asciiTheme="majorBidi" w:hAnsiTheme="majorBidi" w:cstheme="majorBidi"/>
        </w:rPr>
        <w:tab/>
      </w:r>
      <w:r w:rsidRPr="00950D73">
        <w:rPr>
          <w:rFonts w:asciiTheme="majorBidi" w:hAnsiTheme="majorBidi" w:cstheme="majorBidi"/>
          <w:i/>
          <w:iCs/>
        </w:rPr>
        <w:t>Critères de classification fondés sur des données in vitro/ex vivo</w:t>
      </w:r>
    </w:p>
    <w:p w14:paraId="79A75D71" w14:textId="589F87B1" w:rsidR="009F28CF" w:rsidRPr="00950D73" w:rsidRDefault="009F28CF" w:rsidP="0073394B">
      <w:pPr>
        <w:pStyle w:val="SingleTxtG"/>
        <w:keepNext/>
        <w:keepLines/>
        <w:ind w:left="2268" w:right="1133"/>
        <w:rPr>
          <w:rFonts w:asciiTheme="majorBidi" w:hAnsiTheme="majorBidi" w:cstheme="majorBidi"/>
          <w:color w:val="000000"/>
          <w:sz w:val="22"/>
          <w:szCs w:val="22"/>
          <w:lang w:eastAsia="fr-FR"/>
        </w:rPr>
      </w:pPr>
      <w:r w:rsidRPr="00950D73">
        <w:rPr>
          <w:rFonts w:asciiTheme="majorBidi" w:hAnsiTheme="majorBidi" w:cstheme="majorBidi"/>
        </w:rPr>
        <w:t>3.3.5.3.5.1</w:t>
      </w:r>
      <w:r w:rsidRPr="00950D73">
        <w:rPr>
          <w:rFonts w:asciiTheme="majorBidi" w:hAnsiTheme="majorBidi" w:cstheme="majorBidi"/>
        </w:rPr>
        <w:tab/>
        <w:t>Le tableau 3.3.6 indique les critères de classification dans la catégorie 1 pour les lésions oculaires graves ou les effets irréversibles sur l’œil, ainsi que les critères donnant lieu à l’absence de classification, lorsque des essais in vitro</w:t>
      </w:r>
      <w:r w:rsidRPr="00950D73">
        <w:rPr>
          <w:rFonts w:asciiTheme="majorBidi" w:hAnsiTheme="majorBidi" w:cstheme="majorBidi"/>
          <w:iCs/>
        </w:rPr>
        <w:t>/</w:t>
      </w:r>
      <w:r w:rsidRPr="00950D73">
        <w:rPr>
          <w:rFonts w:asciiTheme="majorBidi" w:hAnsiTheme="majorBidi" w:cstheme="majorBidi"/>
          <w:i/>
          <w:iCs/>
        </w:rPr>
        <w:t>ex vivo</w:t>
      </w:r>
      <w:r w:rsidRPr="00950D73">
        <w:rPr>
          <w:rFonts w:asciiTheme="majorBidi" w:hAnsiTheme="majorBidi" w:cstheme="majorBidi"/>
        </w:rPr>
        <w:t xml:space="preserve"> sont menés conformément aux lignes directrices 437, 438, 460, 491, 492, 494 ou 496 de l’OCDE</w:t>
      </w:r>
      <w:r w:rsidR="008B3B98" w:rsidRPr="00950D73">
        <w:rPr>
          <w:rFonts w:asciiTheme="majorBidi" w:hAnsiTheme="majorBidi" w:cstheme="majorBidi"/>
        </w:rPr>
        <w:t>.</w:t>
      </w:r>
      <w:r w:rsidRPr="00950D73">
        <w:rPr>
          <w:rFonts w:asciiTheme="majorBidi" w:hAnsiTheme="majorBidi" w:cstheme="majorBidi"/>
          <w:color w:val="000000"/>
          <w:sz w:val="22"/>
          <w:szCs w:val="22"/>
          <w:lang w:eastAsia="fr-FR"/>
        </w:rPr>
        <w:t xml:space="preserve"> </w:t>
      </w:r>
    </w:p>
    <w:p w14:paraId="040E9E35" w14:textId="3FD81080" w:rsidR="00564760" w:rsidRPr="00950D73" w:rsidRDefault="00564760" w:rsidP="0073394B">
      <w:pPr>
        <w:spacing w:before="240" w:after="240" w:line="220" w:lineRule="atLeast"/>
        <w:ind w:left="2268" w:right="1133"/>
        <w:outlineLvl w:val="2"/>
        <w:rPr>
          <w:rFonts w:asciiTheme="majorBidi" w:hAnsiTheme="majorBidi" w:cstheme="majorBidi"/>
          <w:color w:val="000000"/>
          <w:sz w:val="22"/>
          <w:szCs w:val="22"/>
          <w:lang w:eastAsia="fr-FR"/>
        </w:rPr>
      </w:pPr>
    </w:p>
    <w:p w14:paraId="11EB6A77" w14:textId="77777777" w:rsidR="001A0D08" w:rsidRPr="00950D73" w:rsidRDefault="001A0D08" w:rsidP="00862DB5">
      <w:pPr>
        <w:spacing w:before="240" w:after="240" w:line="220" w:lineRule="atLeast"/>
        <w:ind w:left="1134" w:right="1134"/>
        <w:outlineLvl w:val="2"/>
        <w:rPr>
          <w:rFonts w:asciiTheme="majorBidi" w:hAnsiTheme="majorBidi" w:cstheme="majorBidi"/>
          <w:color w:val="000000"/>
          <w:sz w:val="22"/>
          <w:szCs w:val="22"/>
          <w:lang w:eastAsia="fr-FR"/>
        </w:rPr>
        <w:sectPr w:rsidR="001A0D08" w:rsidRPr="00950D73" w:rsidSect="00281BEC">
          <w:headerReference w:type="even" r:id="rId28"/>
          <w:headerReference w:type="default" r:id="rId29"/>
          <w:footerReference w:type="even" r:id="rId30"/>
          <w:footerReference w:type="default" r:id="rId31"/>
          <w:footerReference w:type="first" r:id="rId32"/>
          <w:endnotePr>
            <w:numFmt w:val="decimal"/>
          </w:endnotePr>
          <w:pgSz w:w="11906" w:h="16838" w:code="9"/>
          <w:pgMar w:top="1418" w:right="1134" w:bottom="1134" w:left="1134" w:header="851" w:footer="567" w:gutter="0"/>
          <w:cols w:space="708"/>
          <w:titlePg/>
          <w:docGrid w:linePitch="360"/>
        </w:sectPr>
      </w:pPr>
    </w:p>
    <w:p w14:paraId="439E597C" w14:textId="77777777" w:rsidR="00AE5881" w:rsidRPr="00950D73" w:rsidRDefault="00AE5881" w:rsidP="00AE5881">
      <w:pPr>
        <w:spacing w:after="120"/>
        <w:ind w:left="284" w:right="284"/>
        <w:jc w:val="center"/>
        <w:rPr>
          <w:rFonts w:asciiTheme="majorBidi" w:hAnsiTheme="majorBidi" w:cstheme="majorBidi"/>
          <w:b/>
          <w:bCs/>
          <w:i/>
          <w:iCs/>
        </w:rPr>
      </w:pPr>
      <w:r w:rsidRPr="00950D73">
        <w:rPr>
          <w:rFonts w:asciiTheme="majorBidi" w:hAnsiTheme="majorBidi" w:cstheme="majorBidi"/>
          <w:b/>
          <w:bCs/>
        </w:rPr>
        <w:lastRenderedPageBreak/>
        <w:t xml:space="preserve">Tableau 3.3.6 : Critères indiquant des lésions oculaires graves ou des effets irréversibles sur l’œil et critères donnant lieu à l’absence de </w:t>
      </w:r>
      <w:proofErr w:type="spellStart"/>
      <w:r w:rsidRPr="00950D73">
        <w:rPr>
          <w:rFonts w:asciiTheme="majorBidi" w:hAnsiTheme="majorBidi" w:cstheme="majorBidi"/>
          <w:b/>
          <w:bCs/>
        </w:rPr>
        <w:t>classification</w:t>
      </w:r>
      <w:r w:rsidRPr="00950D73">
        <w:rPr>
          <w:rFonts w:asciiTheme="majorBidi" w:hAnsiTheme="majorBidi" w:cstheme="majorBidi"/>
          <w:b/>
          <w:bCs/>
          <w:i/>
          <w:iCs/>
          <w:sz w:val="18"/>
          <w:szCs w:val="18"/>
          <w:vertAlign w:val="superscript"/>
        </w:rPr>
        <w:t>a</w:t>
      </w:r>
      <w:proofErr w:type="spellEnd"/>
      <w:r w:rsidRPr="00950D73">
        <w:rPr>
          <w:rFonts w:asciiTheme="majorBidi" w:hAnsiTheme="majorBidi" w:cstheme="majorBidi"/>
          <w:b/>
          <w:bCs/>
        </w:rPr>
        <w:t xml:space="preserve"> </w:t>
      </w:r>
      <w:r w:rsidRPr="00950D73">
        <w:rPr>
          <w:rFonts w:asciiTheme="majorBidi" w:hAnsiTheme="majorBidi" w:cstheme="majorBidi"/>
          <w:b/>
          <w:bCs/>
        </w:rPr>
        <w:br/>
        <w:t xml:space="preserve">pour les méthodes </w:t>
      </w:r>
      <w:r w:rsidRPr="00950D73">
        <w:rPr>
          <w:rFonts w:asciiTheme="majorBidi" w:hAnsiTheme="majorBidi" w:cstheme="majorBidi"/>
          <w:b/>
          <w:bCs/>
          <w:i/>
          <w:iCs/>
        </w:rPr>
        <w:t>in vitro</w:t>
      </w:r>
      <w:r w:rsidRPr="00950D73">
        <w:rPr>
          <w:rFonts w:asciiTheme="majorBidi" w:hAnsiTheme="majorBidi" w:cstheme="majorBidi"/>
          <w:b/>
          <w:bCs/>
          <w:iCs/>
        </w:rPr>
        <w:t>/</w:t>
      </w:r>
      <w:r w:rsidRPr="00950D73">
        <w:rPr>
          <w:rFonts w:asciiTheme="majorBidi" w:hAnsiTheme="majorBidi" w:cstheme="majorBidi"/>
          <w:b/>
          <w:bCs/>
          <w:i/>
          <w:iCs/>
        </w:rPr>
        <w:t>ex vivo</w:t>
      </w:r>
    </w:p>
    <w:tbl>
      <w:tblPr>
        <w:tblW w:w="1377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6"/>
        <w:gridCol w:w="978"/>
        <w:gridCol w:w="978"/>
        <w:gridCol w:w="1667"/>
        <w:gridCol w:w="1667"/>
        <w:gridCol w:w="1667"/>
        <w:gridCol w:w="785"/>
        <w:gridCol w:w="788"/>
        <w:gridCol w:w="788"/>
        <w:gridCol w:w="788"/>
        <w:gridCol w:w="1433"/>
        <w:gridCol w:w="1433"/>
      </w:tblGrid>
      <w:tr w:rsidR="00AE5881" w:rsidRPr="00950D73" w14:paraId="1A82EE37" w14:textId="77777777" w:rsidTr="00A96F1F">
        <w:trPr>
          <w:tblHeader/>
        </w:trPr>
        <w:tc>
          <w:tcPr>
            <w:tcW w:w="2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DBB414"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eastAsia="Calibri" w:hAnsiTheme="majorBidi" w:cstheme="majorBidi"/>
                <w:b/>
                <w:bCs/>
                <w:noProof/>
                <w:color w:val="000000" w:themeColor="text1"/>
                <w:sz w:val="14"/>
                <w:szCs w:val="14"/>
              </w:rPr>
              <w:t>Catégorie</w:t>
            </w:r>
          </w:p>
        </w:tc>
        <w:tc>
          <w:tcPr>
            <w:tcW w:w="71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98286E"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bookmarkStart w:id="12" w:name="OLE_LINK10"/>
            <w:bookmarkStart w:id="13" w:name="OLE_LINK7"/>
            <w:r w:rsidRPr="00950D73">
              <w:rPr>
                <w:rFonts w:asciiTheme="majorBidi" w:hAnsiTheme="majorBidi" w:cstheme="majorBidi"/>
                <w:b/>
                <w:bCs/>
                <w:noProof/>
                <w:color w:val="000000" w:themeColor="text1"/>
                <w:sz w:val="14"/>
                <w:szCs w:val="14"/>
              </w:rPr>
              <w:t>Ligne directrice 437 de l’OCDE</w:t>
            </w:r>
            <w:bookmarkEnd w:id="12"/>
            <w:bookmarkEnd w:id="13"/>
            <w:r w:rsidRPr="00950D73">
              <w:rPr>
                <w:rFonts w:asciiTheme="majorBidi" w:hAnsiTheme="majorBidi" w:cstheme="majorBidi"/>
                <w:b/>
                <w:bCs/>
                <w:noProof/>
                <w:color w:val="000000" w:themeColor="text1"/>
                <w:sz w:val="14"/>
                <w:szCs w:val="14"/>
              </w:rPr>
              <w:t xml:space="preserve"> − Méthode d’essai d’opacité et de perméabilité de la cornée bovine</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53AA2C"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hAnsiTheme="majorBidi" w:cstheme="majorBidi"/>
                <w:b/>
                <w:bCs/>
                <w:noProof/>
                <w:color w:val="000000" w:themeColor="text1"/>
                <w:sz w:val="14"/>
                <w:szCs w:val="14"/>
              </w:rPr>
              <w:t>Ligne directrice 438 de l’OCDE − Méthode d’essai sur oeil de poulet isolé</w:t>
            </w:r>
          </w:p>
        </w:tc>
        <w:tc>
          <w:tcPr>
            <w:tcW w:w="605" w:type="pct"/>
            <w:tcBorders>
              <w:top w:val="single" w:sz="4" w:space="0" w:color="auto"/>
              <w:left w:val="single" w:sz="4" w:space="0" w:color="auto"/>
              <w:bottom w:val="single" w:sz="4" w:space="0" w:color="auto"/>
              <w:right w:val="single" w:sz="4" w:space="0" w:color="auto"/>
            </w:tcBorders>
            <w:hideMark/>
          </w:tcPr>
          <w:p w14:paraId="47B44C40"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hAnsiTheme="majorBidi" w:cstheme="majorBidi"/>
                <w:b/>
                <w:bCs/>
                <w:noProof/>
                <w:color w:val="000000" w:themeColor="text1"/>
                <w:sz w:val="14"/>
                <w:szCs w:val="14"/>
              </w:rPr>
              <w:t>Ligne directrice 460 de l’OCDE − Méthode d’essai de diffusion de fluorescéine</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DE0D3D"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hAnsiTheme="majorBidi" w:cstheme="majorBidi"/>
                <w:b/>
                <w:bCs/>
                <w:noProof/>
                <w:color w:val="000000" w:themeColor="text1"/>
                <w:sz w:val="14"/>
                <w:szCs w:val="14"/>
              </w:rPr>
              <w:t>Ligne directrice 491 de l’OCDE − Méthode d’essai d’exposition de courte durée</w:t>
            </w:r>
          </w:p>
        </w:tc>
        <w:tc>
          <w:tcPr>
            <w:tcW w:w="1143"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AEBCC4"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hAnsiTheme="majorBidi" w:cstheme="majorBidi"/>
                <w:b/>
                <w:bCs/>
                <w:noProof/>
                <w:color w:val="000000" w:themeColor="text1"/>
                <w:sz w:val="14"/>
                <w:szCs w:val="14"/>
              </w:rPr>
              <w:t>Ligne directrice 492 de l’OCDE − Méthodes d’essai sur modèle d’épithéliumcornéen humain reconstitué (echr) : méthodes 1, 2, 3 et 4 visées à l’annexe II de la ligne directrice de l’OCDE pour l’essai 492</w:t>
            </w:r>
          </w:p>
        </w:tc>
        <w:tc>
          <w:tcPr>
            <w:tcW w:w="520" w:type="pct"/>
            <w:tcBorders>
              <w:top w:val="single" w:sz="4" w:space="0" w:color="auto"/>
              <w:left w:val="single" w:sz="4" w:space="0" w:color="auto"/>
              <w:bottom w:val="single" w:sz="4" w:space="0" w:color="auto"/>
              <w:right w:val="single" w:sz="4" w:space="0" w:color="auto"/>
            </w:tcBorders>
            <w:hideMark/>
          </w:tcPr>
          <w:p w14:paraId="418CA2B7"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hAnsiTheme="majorBidi" w:cstheme="majorBidi"/>
                <w:b/>
                <w:bCs/>
                <w:noProof/>
                <w:color w:val="000000" w:themeColor="text1"/>
                <w:sz w:val="14"/>
                <w:szCs w:val="14"/>
              </w:rPr>
              <w:t>Ligne directrice 494 de l’OCDE − Méthode d’essai Vitrigel</w:t>
            </w:r>
          </w:p>
        </w:tc>
        <w:tc>
          <w:tcPr>
            <w:tcW w:w="520" w:type="pct"/>
            <w:tcBorders>
              <w:top w:val="single" w:sz="4" w:space="0" w:color="auto"/>
              <w:left w:val="single" w:sz="4" w:space="0" w:color="auto"/>
              <w:bottom w:val="single" w:sz="4" w:space="0" w:color="auto"/>
              <w:right w:val="single" w:sz="4" w:space="0" w:color="auto"/>
            </w:tcBorders>
            <w:hideMark/>
          </w:tcPr>
          <w:p w14:paraId="4B4B1574" w14:textId="77777777" w:rsidR="00AE5881" w:rsidRPr="00950D73" w:rsidRDefault="00AE5881" w:rsidP="00A96F1F">
            <w:pPr>
              <w:spacing w:before="40" w:after="40" w:line="240" w:lineRule="auto"/>
              <w:ind w:left="57" w:right="57"/>
              <w:jc w:val="center"/>
              <w:rPr>
                <w:rFonts w:asciiTheme="majorBidi" w:hAnsiTheme="majorBidi" w:cstheme="majorBidi"/>
                <w:b/>
                <w:bCs/>
                <w:noProof/>
                <w:color w:val="000000" w:themeColor="text1"/>
                <w:sz w:val="14"/>
                <w:szCs w:val="14"/>
              </w:rPr>
            </w:pPr>
            <w:bookmarkStart w:id="14" w:name="_Hlk69886218"/>
            <w:r w:rsidRPr="00950D73">
              <w:rPr>
                <w:rFonts w:asciiTheme="majorBidi" w:hAnsiTheme="majorBidi" w:cstheme="majorBidi"/>
                <w:b/>
                <w:bCs/>
                <w:noProof/>
                <w:color w:val="000000" w:themeColor="text1"/>
                <w:sz w:val="14"/>
                <w:szCs w:val="14"/>
              </w:rPr>
              <w:t xml:space="preserve">Ligne directrice 496 de l’OCDE − </w:t>
            </w:r>
            <w:r w:rsidRPr="00950D73">
              <w:rPr>
                <w:rFonts w:asciiTheme="majorBidi" w:hAnsiTheme="majorBidi" w:cstheme="majorBidi"/>
                <w:b/>
                <w:bCs/>
                <w:iCs/>
                <w:noProof/>
                <w:color w:val="000000" w:themeColor="text1"/>
                <w:sz w:val="14"/>
                <w:szCs w:val="14"/>
              </w:rPr>
              <w:t>Méthode d’essai macromoléculaire</w:t>
            </w:r>
            <w:r w:rsidRPr="00950D73">
              <w:rPr>
                <w:rFonts w:asciiTheme="majorBidi" w:hAnsiTheme="majorBidi" w:cstheme="majorBidi"/>
                <w:b/>
                <w:bCs/>
                <w:noProof/>
                <w:color w:val="000000" w:themeColor="text1"/>
                <w:sz w:val="14"/>
                <w:szCs w:val="14"/>
              </w:rPr>
              <w:t xml:space="preserve"> in vitro (méthode d’essai 1)</w:t>
            </w:r>
            <w:bookmarkEnd w:id="14"/>
          </w:p>
        </w:tc>
      </w:tr>
      <w:tr w:rsidR="00AE5881" w:rsidRPr="00950D73" w14:paraId="6FDF1EA6" w14:textId="77777777" w:rsidTr="00A96F1F">
        <w:tc>
          <w:tcPr>
            <w:tcW w:w="2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BF97D1D" w14:textId="77777777" w:rsidR="00AE5881" w:rsidRPr="00950D73" w:rsidRDefault="00AE5881" w:rsidP="00A96F1F">
            <w:pPr>
              <w:spacing w:before="60" w:after="60" w:line="200" w:lineRule="atLeast"/>
              <w:ind w:left="57" w:right="57"/>
              <w:contextualSpacing/>
              <w:jc w:val="center"/>
              <w:rPr>
                <w:rFonts w:asciiTheme="majorBidi" w:eastAsia="Calibri" w:hAnsiTheme="majorBidi" w:cstheme="majorBidi"/>
                <w:b/>
                <w:bCs/>
                <w:noProof/>
                <w:color w:val="000000" w:themeColor="text1"/>
                <w:sz w:val="14"/>
                <w:szCs w:val="14"/>
              </w:rPr>
            </w:pPr>
          </w:p>
        </w:tc>
        <w:tc>
          <w:tcPr>
            <w:tcW w:w="71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417FCE" w14:textId="77777777" w:rsidR="00AE5881" w:rsidRPr="00950D73" w:rsidRDefault="00AE5881" w:rsidP="007E5566">
            <w:pPr>
              <w:spacing w:before="60" w:after="60" w:line="240" w:lineRule="auto"/>
              <w:ind w:left="57" w:right="57"/>
              <w:rPr>
                <w:rFonts w:asciiTheme="majorBidi" w:eastAsia="Calibri" w:hAnsiTheme="majorBidi" w:cstheme="majorBidi"/>
                <w:bCs/>
                <w:noProof/>
                <w:color w:val="000000" w:themeColor="text1"/>
                <w:sz w:val="14"/>
                <w:szCs w:val="14"/>
              </w:rPr>
            </w:pPr>
            <w:bookmarkStart w:id="15" w:name="OLE_LINK8"/>
            <w:r w:rsidRPr="00950D73">
              <w:rPr>
                <w:rFonts w:asciiTheme="majorBidi" w:eastAsia="Calibri" w:hAnsiTheme="majorBidi" w:cstheme="majorBidi"/>
                <w:bCs/>
                <w:noProof/>
                <w:color w:val="000000" w:themeColor="text1"/>
                <w:sz w:val="14"/>
                <w:szCs w:val="14"/>
              </w:rPr>
              <w:t xml:space="preserve">Essai organotypique </w:t>
            </w:r>
            <w:r w:rsidRPr="00950D73">
              <w:rPr>
                <w:rFonts w:asciiTheme="majorBidi" w:eastAsia="Calibri" w:hAnsiTheme="majorBidi" w:cstheme="majorBidi"/>
                <w:bCs/>
                <w:i/>
                <w:noProof/>
                <w:color w:val="000000" w:themeColor="text1"/>
                <w:sz w:val="14"/>
                <w:szCs w:val="14"/>
              </w:rPr>
              <w:t>ex vivo</w:t>
            </w:r>
            <w:r w:rsidRPr="00950D73">
              <w:rPr>
                <w:rFonts w:asciiTheme="majorBidi" w:eastAsia="Calibri" w:hAnsiTheme="majorBidi" w:cstheme="majorBidi"/>
                <w:bCs/>
                <w:noProof/>
                <w:color w:val="000000" w:themeColor="text1"/>
                <w:sz w:val="14"/>
                <w:szCs w:val="14"/>
              </w:rPr>
              <w:t xml:space="preserve"> portant sur des cornées isolées provenant d’yeux de bovins récemment abattus. </w:t>
            </w:r>
            <w:bookmarkEnd w:id="15"/>
            <w:r w:rsidRPr="00950D73">
              <w:rPr>
                <w:rFonts w:asciiTheme="majorBidi" w:eastAsia="Calibri" w:hAnsiTheme="majorBidi" w:cstheme="majorBidi"/>
                <w:bCs/>
                <w:noProof/>
                <w:color w:val="000000" w:themeColor="text1"/>
                <w:sz w:val="14"/>
                <w:szCs w:val="14"/>
              </w:rPr>
              <w:t xml:space="preserve">Les produits </w:t>
            </w:r>
            <w:r w:rsidRPr="00950D73">
              <w:rPr>
                <w:rFonts w:asciiTheme="majorBidi" w:hAnsiTheme="majorBidi" w:cstheme="majorBidi"/>
                <w:sz w:val="14"/>
                <w:szCs w:val="14"/>
              </w:rPr>
              <w:t>chimiques</w:t>
            </w:r>
            <w:r w:rsidRPr="00950D73">
              <w:rPr>
                <w:rFonts w:asciiTheme="majorBidi" w:eastAsia="Calibri" w:hAnsiTheme="majorBidi" w:cstheme="majorBidi"/>
                <w:bCs/>
                <w:noProof/>
                <w:color w:val="000000" w:themeColor="text1"/>
                <w:sz w:val="14"/>
                <w:szCs w:val="14"/>
              </w:rPr>
              <w:t xml:space="preserve"> testés sont appliqués sur la surface épithéliale de la cornée. Les dommages causés par le produit chimique testé sont évalués par des mesures quantitatives :</w:t>
            </w:r>
          </w:p>
          <w:p w14:paraId="74D0B323" w14:textId="77777777" w:rsidR="00AE5881" w:rsidRPr="00950D73" w:rsidRDefault="00AE5881" w:rsidP="007E5566">
            <w:pPr>
              <w:tabs>
                <w:tab w:val="left" w:pos="284"/>
              </w:tabs>
              <w:spacing w:before="60" w:after="60" w:line="240" w:lineRule="auto"/>
              <w:ind w:left="57" w:right="57"/>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w:t>
            </w:r>
            <w:r w:rsidRPr="00950D73">
              <w:rPr>
                <w:rFonts w:asciiTheme="majorBidi" w:eastAsia="Calibri" w:hAnsiTheme="majorBidi" w:cstheme="majorBidi"/>
                <w:bCs/>
                <w:noProof/>
                <w:color w:val="000000" w:themeColor="text1"/>
                <w:sz w:val="14"/>
                <w:szCs w:val="14"/>
              </w:rPr>
              <w:tab/>
              <w:t xml:space="preserve">Des </w:t>
            </w:r>
            <w:r w:rsidRPr="00950D73">
              <w:rPr>
                <w:rFonts w:asciiTheme="majorBidi" w:hAnsiTheme="majorBidi" w:cstheme="majorBidi"/>
                <w:sz w:val="14"/>
                <w:szCs w:val="14"/>
              </w:rPr>
              <w:t>modifications</w:t>
            </w:r>
            <w:r w:rsidRPr="00950D73">
              <w:rPr>
                <w:rFonts w:asciiTheme="majorBidi" w:eastAsia="Calibri" w:hAnsiTheme="majorBidi" w:cstheme="majorBidi"/>
                <w:bCs/>
                <w:noProof/>
                <w:color w:val="000000" w:themeColor="text1"/>
                <w:sz w:val="14"/>
                <w:szCs w:val="14"/>
              </w:rPr>
              <w:t xml:space="preserve"> de l’opacité de la cornée, à l’aide d’un opacimètre classique (opacimètre 1) ou à laser (opacimètre 2) ;</w:t>
            </w:r>
          </w:p>
          <w:p w14:paraId="0575337D" w14:textId="77777777" w:rsidR="00AE5881" w:rsidRPr="00950D73" w:rsidRDefault="00AE5881" w:rsidP="007E5566">
            <w:pPr>
              <w:tabs>
                <w:tab w:val="left" w:pos="284"/>
              </w:tabs>
              <w:spacing w:before="60" w:after="60" w:line="240" w:lineRule="auto"/>
              <w:ind w:left="57" w:right="57"/>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w:t>
            </w:r>
            <w:r w:rsidRPr="00950D73">
              <w:rPr>
                <w:rFonts w:asciiTheme="majorBidi" w:eastAsia="Calibri" w:hAnsiTheme="majorBidi" w:cstheme="majorBidi"/>
                <w:bCs/>
                <w:noProof/>
                <w:color w:val="000000" w:themeColor="text1"/>
                <w:sz w:val="14"/>
                <w:szCs w:val="14"/>
              </w:rPr>
              <w:tab/>
              <w:t xml:space="preserve">Des </w:t>
            </w:r>
            <w:r w:rsidRPr="00950D73">
              <w:rPr>
                <w:rFonts w:asciiTheme="majorBidi" w:hAnsiTheme="majorBidi" w:cstheme="majorBidi"/>
                <w:sz w:val="14"/>
                <w:szCs w:val="14"/>
              </w:rPr>
              <w:t>modifications</w:t>
            </w:r>
            <w:r w:rsidRPr="00950D73">
              <w:rPr>
                <w:rFonts w:asciiTheme="majorBidi" w:eastAsia="Calibri" w:hAnsiTheme="majorBidi" w:cstheme="majorBidi"/>
                <w:bCs/>
                <w:noProof/>
                <w:color w:val="000000" w:themeColor="text1"/>
                <w:sz w:val="14"/>
                <w:szCs w:val="14"/>
              </w:rPr>
              <w:t xml:space="preserve"> de la perméabilité de la cornée (au moyen de fluorescéine sodique).</w:t>
            </w:r>
          </w:p>
          <w:p w14:paraId="7C44F9EE" w14:textId="77777777" w:rsidR="00AE5881" w:rsidRPr="00950D73" w:rsidRDefault="00AE5881" w:rsidP="007E5566">
            <w:pPr>
              <w:spacing w:before="60" w:after="60" w:line="240" w:lineRule="auto"/>
              <w:ind w:left="57" w:right="57"/>
              <w:rPr>
                <w:rFonts w:asciiTheme="majorBidi" w:eastAsia="Calibri" w:hAnsiTheme="majorBidi" w:cstheme="majorBidi"/>
                <w:b/>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Les deux mesures servent à déterminer </w:t>
            </w:r>
            <w:bookmarkStart w:id="16" w:name="OLE_LINK9"/>
            <w:r w:rsidRPr="00950D73">
              <w:rPr>
                <w:rFonts w:asciiTheme="majorBidi" w:eastAsia="Calibri" w:hAnsiTheme="majorBidi" w:cstheme="majorBidi"/>
                <w:bCs/>
                <w:noProof/>
                <w:color w:val="000000" w:themeColor="text1"/>
                <w:sz w:val="14"/>
                <w:szCs w:val="14"/>
              </w:rPr>
              <w:t xml:space="preserve">le score d’irritation </w:t>
            </w:r>
            <w:r w:rsidRPr="00950D73">
              <w:rPr>
                <w:rFonts w:asciiTheme="majorBidi" w:eastAsia="Calibri" w:hAnsiTheme="majorBidi" w:cstheme="majorBidi"/>
                <w:bCs/>
                <w:iCs/>
                <w:noProof/>
                <w:color w:val="000000" w:themeColor="text1"/>
                <w:sz w:val="14"/>
                <w:szCs w:val="14"/>
              </w:rPr>
              <w:t>in vitro</w:t>
            </w:r>
            <w:r w:rsidRPr="00950D73">
              <w:rPr>
                <w:rFonts w:asciiTheme="majorBidi" w:eastAsia="Calibri" w:hAnsiTheme="majorBidi" w:cstheme="majorBidi"/>
                <w:bCs/>
                <w:noProof/>
                <w:color w:val="000000" w:themeColor="text1"/>
                <w:sz w:val="14"/>
                <w:szCs w:val="14"/>
              </w:rPr>
              <w:t xml:space="preserve"> </w:t>
            </w:r>
            <w:bookmarkEnd w:id="16"/>
            <w:r w:rsidRPr="00950D73">
              <w:rPr>
                <w:rFonts w:asciiTheme="majorBidi" w:eastAsia="Calibri" w:hAnsiTheme="majorBidi" w:cstheme="majorBidi"/>
                <w:bCs/>
                <w:noProof/>
                <w:color w:val="000000" w:themeColor="text1"/>
                <w:sz w:val="14"/>
                <w:szCs w:val="14"/>
              </w:rPr>
              <w:t>(IVIS) lorsqu’on utilise l’opacimètre 1, ou le score d’irritation LLBO (LIS) lorsqu’on utilise l’opacimètre 2.</w:t>
            </w:r>
          </w:p>
          <w:p w14:paraId="7D351026" w14:textId="77777777" w:rsidR="00AE5881" w:rsidRPr="00950D73" w:rsidRDefault="00AE5881" w:rsidP="007E5566">
            <w:pPr>
              <w:spacing w:before="60" w:after="60" w:line="240" w:lineRule="auto"/>
              <w:ind w:left="57" w:right="57"/>
              <w:rPr>
                <w:rFonts w:asciiTheme="majorBidi" w:eastAsia="Calibri" w:hAnsiTheme="majorBidi" w:cstheme="majorBidi"/>
                <w:b/>
                <w:bCs/>
                <w:noProof/>
                <w:color w:val="000000" w:themeColor="text1"/>
                <w:sz w:val="14"/>
                <w:szCs w:val="14"/>
              </w:rPr>
            </w:pPr>
            <w:r w:rsidRPr="00950D73">
              <w:rPr>
                <w:rFonts w:asciiTheme="majorBidi" w:eastAsia="Calibri" w:hAnsiTheme="majorBidi" w:cstheme="majorBidi"/>
                <w:b/>
                <w:bCs/>
                <w:noProof/>
                <w:color w:val="000000" w:themeColor="text1"/>
                <w:sz w:val="14"/>
                <w:szCs w:val="14"/>
              </w:rPr>
              <w:t xml:space="preserve">Critères </w:t>
            </w:r>
            <w:r w:rsidRPr="00950D73">
              <w:rPr>
                <w:rFonts w:asciiTheme="majorBidi" w:hAnsiTheme="majorBidi" w:cstheme="majorBidi"/>
                <w:b/>
                <w:bCs/>
                <w:sz w:val="14"/>
                <w:szCs w:val="14"/>
              </w:rPr>
              <w:t>fondés</w:t>
            </w:r>
            <w:r w:rsidRPr="00950D73">
              <w:rPr>
                <w:rFonts w:asciiTheme="majorBidi" w:eastAsia="Calibri" w:hAnsiTheme="majorBidi" w:cstheme="majorBidi"/>
                <w:b/>
                <w:bCs/>
                <w:noProof/>
                <w:color w:val="000000" w:themeColor="text1"/>
                <w:sz w:val="14"/>
                <w:szCs w:val="14"/>
              </w:rPr>
              <w:t xml:space="preserve"> sur le score IVIS ou LIS.</w:t>
            </w:r>
          </w:p>
        </w:tc>
        <w:tc>
          <w:tcPr>
            <w:tcW w:w="605" w:type="pct"/>
            <w:tcBorders>
              <w:top w:val="single" w:sz="4" w:space="0" w:color="auto"/>
              <w:left w:val="single" w:sz="4" w:space="0" w:color="auto"/>
              <w:bottom w:val="single" w:sz="4" w:space="0" w:color="auto"/>
              <w:right w:val="single" w:sz="4" w:space="0" w:color="auto"/>
            </w:tcBorders>
            <w:hideMark/>
          </w:tcPr>
          <w:p w14:paraId="77B98932" w14:textId="77777777" w:rsidR="00AE5881" w:rsidRPr="00950D73" w:rsidRDefault="00AE5881" w:rsidP="007E5566">
            <w:pPr>
              <w:spacing w:before="60" w:after="60" w:line="240" w:lineRule="auto"/>
              <w:ind w:left="57" w:right="57"/>
              <w:rPr>
                <w:rFonts w:asciiTheme="majorBidi" w:eastAsia="Calibri" w:hAnsiTheme="majorBidi" w:cstheme="majorBidi"/>
                <w:bCs/>
                <w:noProof/>
                <w:color w:val="000000" w:themeColor="text1"/>
                <w:spacing w:val="-1"/>
                <w:sz w:val="14"/>
                <w:szCs w:val="14"/>
              </w:rPr>
            </w:pPr>
            <w:r w:rsidRPr="00950D73">
              <w:rPr>
                <w:rFonts w:asciiTheme="majorBidi" w:eastAsia="Calibri" w:hAnsiTheme="majorBidi" w:cstheme="majorBidi"/>
                <w:bCs/>
                <w:noProof/>
                <w:color w:val="000000" w:themeColor="text1"/>
                <w:spacing w:val="-1"/>
                <w:sz w:val="14"/>
                <w:szCs w:val="14"/>
              </w:rPr>
              <w:t xml:space="preserve">Essai organotypique </w:t>
            </w:r>
            <w:r w:rsidRPr="00950D73">
              <w:rPr>
                <w:rFonts w:asciiTheme="majorBidi" w:eastAsia="Calibri" w:hAnsiTheme="majorBidi" w:cstheme="majorBidi"/>
                <w:bCs/>
                <w:i/>
                <w:noProof/>
                <w:color w:val="000000" w:themeColor="text1"/>
                <w:spacing w:val="-1"/>
                <w:sz w:val="14"/>
                <w:szCs w:val="14"/>
              </w:rPr>
              <w:t>ex vivo</w:t>
            </w:r>
            <w:r w:rsidRPr="00950D73">
              <w:rPr>
                <w:rFonts w:asciiTheme="majorBidi" w:eastAsia="Calibri" w:hAnsiTheme="majorBidi" w:cstheme="majorBidi"/>
                <w:bCs/>
                <w:noProof/>
                <w:color w:val="000000" w:themeColor="text1"/>
                <w:spacing w:val="-1"/>
                <w:sz w:val="14"/>
                <w:szCs w:val="14"/>
              </w:rPr>
              <w:t xml:space="preserve"> consistant à conserver des yeux de poulet </w:t>
            </w:r>
            <w:r w:rsidRPr="00950D73">
              <w:rPr>
                <w:rFonts w:asciiTheme="majorBidi" w:eastAsia="Calibri" w:hAnsiTheme="majorBidi" w:cstheme="majorBidi"/>
                <w:bCs/>
                <w:iCs/>
                <w:noProof/>
                <w:color w:val="000000" w:themeColor="text1"/>
                <w:spacing w:val="-1"/>
                <w:sz w:val="14"/>
                <w:szCs w:val="14"/>
              </w:rPr>
              <w:t>in vitro</w:t>
            </w:r>
            <w:r w:rsidRPr="00950D73">
              <w:rPr>
                <w:rFonts w:asciiTheme="majorBidi" w:eastAsia="Calibri" w:hAnsiTheme="majorBidi" w:cstheme="majorBidi"/>
                <w:bCs/>
                <w:noProof/>
                <w:color w:val="000000" w:themeColor="text1"/>
                <w:spacing w:val="-1"/>
                <w:sz w:val="14"/>
                <w:szCs w:val="14"/>
              </w:rPr>
              <w:t xml:space="preserve"> durant une brève période. Les produits chimiques testés sont appliqués sur la surface épithéliale de la cornée. Les dommages causés par le produit chimique testé sont évalués par : i) une mesure quantitative de l’augmentation de l’épaisseur de la cornée (gonflement) ; ii) une mesure </w:t>
            </w:r>
            <w:r w:rsidRPr="00950D73">
              <w:rPr>
                <w:rFonts w:asciiTheme="majorBidi" w:hAnsiTheme="majorBidi" w:cstheme="majorBidi"/>
                <w:spacing w:val="-1"/>
                <w:sz w:val="14"/>
                <w:szCs w:val="14"/>
              </w:rPr>
              <w:t>qualitative</w:t>
            </w:r>
            <w:r w:rsidRPr="00950D73">
              <w:rPr>
                <w:rFonts w:asciiTheme="majorBidi" w:eastAsia="Calibri" w:hAnsiTheme="majorBidi" w:cstheme="majorBidi"/>
                <w:bCs/>
                <w:noProof/>
                <w:color w:val="000000" w:themeColor="text1"/>
                <w:spacing w:val="-1"/>
                <w:sz w:val="14"/>
                <w:szCs w:val="14"/>
              </w:rPr>
              <w:t xml:space="preserve"> de l’opacité de la cornée ; iii) une mesure qualitative des dommages causés à l’épithélium, par application de fluorescéine sur l’œil ; et iv) une évaluation qualitative des dommages morphologiques macroscopiques causés à la surface. Un examen histopathologique peut être utilisé pour accroître la sensibilité de la méthode en vue d’identifier les détergents et surfactants de la Catégorie 1 à pH non extrême </w:t>
            </w:r>
            <w:r w:rsidRPr="00950D73">
              <w:rPr>
                <w:rFonts w:asciiTheme="majorBidi" w:eastAsia="Calibri" w:hAnsiTheme="majorBidi" w:cstheme="majorBidi"/>
                <w:bCs/>
                <w:noProof/>
                <w:color w:val="000000" w:themeColor="text1"/>
                <w:spacing w:val="-1"/>
                <w:sz w:val="14"/>
                <w:szCs w:val="14"/>
              </w:rPr>
              <w:br/>
              <w:t>(2 &lt; pH &lt; 11,5)</w:t>
            </w:r>
            <w:r w:rsidRPr="00950D73">
              <w:rPr>
                <w:rFonts w:asciiTheme="majorBidi" w:eastAsia="Calibri" w:hAnsiTheme="majorBidi" w:cstheme="majorBidi"/>
                <w:bCs/>
                <w:i/>
                <w:iCs/>
                <w:noProof/>
                <w:color w:val="000000" w:themeColor="text1"/>
                <w:spacing w:val="-1"/>
                <w:sz w:val="14"/>
                <w:szCs w:val="14"/>
                <w:vertAlign w:val="superscript"/>
              </w:rPr>
              <w:t>b</w:t>
            </w:r>
            <w:r w:rsidRPr="00950D73">
              <w:rPr>
                <w:rFonts w:asciiTheme="majorBidi" w:eastAsia="Calibri" w:hAnsiTheme="majorBidi" w:cstheme="majorBidi"/>
                <w:bCs/>
                <w:noProof/>
                <w:color w:val="000000" w:themeColor="text1"/>
                <w:spacing w:val="-1"/>
                <w:sz w:val="14"/>
                <w:szCs w:val="14"/>
              </w:rPr>
              <w:t>.</w:t>
            </w:r>
          </w:p>
          <w:p w14:paraId="23D14C0F" w14:textId="77777777" w:rsidR="00AE5881" w:rsidRPr="00950D73" w:rsidRDefault="00AE5881" w:rsidP="007E5566">
            <w:pPr>
              <w:spacing w:before="60" w:after="60" w:line="240" w:lineRule="auto"/>
              <w:ind w:left="57" w:right="57"/>
              <w:rPr>
                <w:rFonts w:asciiTheme="majorBidi" w:eastAsia="Calibri" w:hAnsiTheme="majorBidi" w:cstheme="majorBidi"/>
                <w:b/>
                <w:bCs/>
                <w:noProof/>
                <w:color w:val="000000" w:themeColor="text1"/>
                <w:spacing w:val="-1"/>
                <w:sz w:val="14"/>
                <w:szCs w:val="14"/>
              </w:rPr>
            </w:pPr>
            <w:r w:rsidRPr="00950D73">
              <w:rPr>
                <w:rFonts w:asciiTheme="majorBidi" w:eastAsia="Calibri" w:hAnsiTheme="majorBidi" w:cstheme="majorBidi"/>
                <w:b/>
                <w:bCs/>
                <w:noProof/>
                <w:color w:val="000000" w:themeColor="text1"/>
                <w:spacing w:val="-1"/>
                <w:sz w:val="14"/>
                <w:szCs w:val="14"/>
              </w:rPr>
              <w:t>Critères fondés sur les scores obtenus pour le gonflement de la cornée, l’opacité et la rétention de fluorescéine, lesquels servent à attribuer une classe OPI (I, II, III ou IV) à chaque critère terminal, et sur une évaluation macroscopique et histopathologique</w:t>
            </w:r>
            <w:r w:rsidRPr="00950D73">
              <w:rPr>
                <w:rFonts w:asciiTheme="majorBidi" w:eastAsia="Calibri" w:hAnsiTheme="majorBidi" w:cstheme="majorBidi"/>
                <w:b/>
                <w:bCs/>
                <w:i/>
                <w:iCs/>
                <w:noProof/>
                <w:color w:val="000000" w:themeColor="text1"/>
                <w:spacing w:val="-1"/>
                <w:sz w:val="14"/>
                <w:szCs w:val="14"/>
                <w:vertAlign w:val="superscript"/>
              </w:rPr>
              <w:t>b</w:t>
            </w:r>
            <w:r w:rsidRPr="00950D73">
              <w:rPr>
                <w:rFonts w:asciiTheme="majorBidi" w:hAnsiTheme="majorBidi" w:cstheme="majorBidi"/>
                <w:b/>
                <w:bCs/>
                <w:spacing w:val="-1"/>
                <w:sz w:val="14"/>
                <w:szCs w:val="14"/>
              </w:rPr>
              <w:t>.</w:t>
            </w:r>
          </w:p>
        </w:tc>
        <w:tc>
          <w:tcPr>
            <w:tcW w:w="605" w:type="pct"/>
            <w:tcBorders>
              <w:top w:val="single" w:sz="4" w:space="0" w:color="auto"/>
              <w:left w:val="single" w:sz="4" w:space="0" w:color="auto"/>
              <w:bottom w:val="single" w:sz="4" w:space="0" w:color="auto"/>
              <w:right w:val="single" w:sz="4" w:space="0" w:color="auto"/>
            </w:tcBorders>
            <w:hideMark/>
          </w:tcPr>
          <w:p w14:paraId="2F5FAFE5" w14:textId="77777777" w:rsidR="00AE5881" w:rsidRPr="00950D73" w:rsidRDefault="00AE5881" w:rsidP="007E5566">
            <w:pPr>
              <w:spacing w:before="60" w:after="60" w:line="240" w:lineRule="auto"/>
              <w:ind w:left="57" w:right="57"/>
              <w:rPr>
                <w:rFonts w:asciiTheme="majorBidi" w:eastAsia="Calibri" w:hAnsiTheme="majorBidi" w:cstheme="majorBidi"/>
                <w:b/>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Essai in vitro fondé sur des paramètres de cytotoxicité et de fonctionnement cellulaire, réalisé sur une monocouche confluente de cellules épithéliales tubulaires MDCK CB997 cultivées sur des inserts perméables. Les effets toxiques du produit chimique testé induits après un court temps </w:t>
            </w:r>
            <w:r w:rsidRPr="00950D73">
              <w:rPr>
                <w:rFonts w:asciiTheme="majorBidi" w:hAnsiTheme="majorBidi" w:cstheme="majorBidi"/>
                <w:sz w:val="14"/>
                <w:szCs w:val="14"/>
              </w:rPr>
              <w:t>d’exposition</w:t>
            </w:r>
            <w:r w:rsidRPr="00950D73">
              <w:rPr>
                <w:rFonts w:asciiTheme="majorBidi" w:eastAsia="Calibri" w:hAnsiTheme="majorBidi" w:cstheme="majorBidi"/>
                <w:bCs/>
                <w:noProof/>
                <w:color w:val="000000" w:themeColor="text1"/>
                <w:sz w:val="14"/>
                <w:szCs w:val="14"/>
              </w:rPr>
              <w:t xml:space="preserve"> (1 minute) à la substance d’essai sont mesurés en déterminant l’augmentation de la perméabilité à la fluorescéine-sodium d’une monocouche épithéliale de cellules MDCK. La quantité de fluorescéine qui se diffuse est proportionnelle aux lésions provoquées par le produit chimique testé sur les jonctions serrées, les desmosomes et les cellules membranaires, et permet ainsi d’estimer sa toxicité potentielle pour l’oeil.</w:t>
            </w:r>
          </w:p>
          <w:p w14:paraId="04EBB2DF" w14:textId="77777777" w:rsidR="00AE5881" w:rsidRPr="00950D73" w:rsidRDefault="00AE5881" w:rsidP="007E5566">
            <w:pPr>
              <w:keepLines/>
              <w:spacing w:before="60" w:after="60" w:line="240" w:lineRule="auto"/>
              <w:ind w:left="57" w:right="57"/>
              <w:rPr>
                <w:rFonts w:asciiTheme="majorBidi" w:eastAsia="Calibri" w:hAnsiTheme="majorBidi" w:cstheme="majorBidi"/>
                <w:b/>
                <w:bCs/>
                <w:noProof/>
                <w:color w:val="000000" w:themeColor="text1"/>
                <w:sz w:val="14"/>
                <w:szCs w:val="14"/>
              </w:rPr>
            </w:pPr>
            <w:r w:rsidRPr="00950D73">
              <w:rPr>
                <w:rFonts w:asciiTheme="majorBidi" w:eastAsia="Calibri" w:hAnsiTheme="majorBidi" w:cstheme="majorBidi"/>
                <w:b/>
                <w:bCs/>
                <w:noProof/>
                <w:color w:val="000000" w:themeColor="text1"/>
                <w:sz w:val="14"/>
                <w:szCs w:val="14"/>
              </w:rPr>
              <w:t>Critères fondés sur la diffusion de fluorescéine moyenne en pourcentage à l’issue d’une période d’exposition donnée.</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39BDD9" w14:textId="77777777" w:rsidR="00AE5881" w:rsidRPr="00950D73" w:rsidRDefault="00AE5881" w:rsidP="007E5566">
            <w:pPr>
              <w:spacing w:before="60" w:after="60" w:line="240" w:lineRule="auto"/>
              <w:ind w:left="57" w:right="57"/>
              <w:rPr>
                <w:rFonts w:asciiTheme="majorBidi" w:hAnsiTheme="majorBidi" w:cstheme="majorBidi"/>
                <w:color w:val="000000" w:themeColor="text1"/>
                <w:sz w:val="14"/>
                <w:szCs w:val="14"/>
              </w:rPr>
            </w:pPr>
            <w:r w:rsidRPr="00950D73">
              <w:rPr>
                <w:rFonts w:asciiTheme="majorBidi" w:eastAsia="Calibri" w:hAnsiTheme="majorBidi" w:cstheme="majorBidi"/>
                <w:bCs/>
                <w:noProof/>
                <w:color w:val="000000" w:themeColor="text1"/>
                <w:sz w:val="14"/>
                <w:szCs w:val="14"/>
              </w:rPr>
              <w:t xml:space="preserve">Essai </w:t>
            </w:r>
            <w:r w:rsidRPr="00950D73">
              <w:rPr>
                <w:rFonts w:asciiTheme="majorBidi" w:eastAsia="Calibri" w:hAnsiTheme="majorBidi" w:cstheme="majorBidi"/>
                <w:bCs/>
                <w:iCs/>
                <w:noProof/>
                <w:color w:val="000000" w:themeColor="text1"/>
                <w:sz w:val="14"/>
                <w:szCs w:val="14"/>
              </w:rPr>
              <w:t>in vitro</w:t>
            </w:r>
            <w:r w:rsidRPr="00950D73">
              <w:rPr>
                <w:rFonts w:asciiTheme="majorBidi" w:eastAsia="Calibri" w:hAnsiTheme="majorBidi" w:cstheme="majorBidi"/>
                <w:bCs/>
                <w:noProof/>
                <w:color w:val="000000" w:themeColor="text1"/>
                <w:sz w:val="14"/>
                <w:szCs w:val="14"/>
              </w:rPr>
              <w:t xml:space="preserve"> de cytotoxicité, réalisé sur une monocouche confluente de fibroblastes de cornée de lapin du Statens Seruminstitut (SIRC). Chaque produit chimique soumis à l’essai est testé aux concentrations de 5 % et de 0,05 %. Après 5 minutes </w:t>
            </w:r>
            <w:r w:rsidRPr="00950D73">
              <w:rPr>
                <w:rFonts w:asciiTheme="majorBidi" w:hAnsiTheme="majorBidi" w:cstheme="majorBidi"/>
                <w:sz w:val="14"/>
                <w:szCs w:val="14"/>
              </w:rPr>
              <w:t>d’exposition</w:t>
            </w:r>
            <w:r w:rsidRPr="00950D73">
              <w:rPr>
                <w:rFonts w:asciiTheme="majorBidi" w:eastAsia="Calibri" w:hAnsiTheme="majorBidi" w:cstheme="majorBidi"/>
                <w:bCs/>
                <w:noProof/>
                <w:color w:val="000000" w:themeColor="text1"/>
                <w:sz w:val="14"/>
                <w:szCs w:val="14"/>
              </w:rPr>
              <w:t>, on évalue la viabilité cellulaire par un dosage quantitatif des cristaux de formazan bleu extraits des cellules et produits par les cellules vivantes lors de la conversion enzymatique du colorant vital MTT.</w:t>
            </w:r>
          </w:p>
          <w:p w14:paraId="7F350771" w14:textId="77777777" w:rsidR="00AE5881" w:rsidRPr="00950D73" w:rsidRDefault="00AE5881" w:rsidP="007E5566">
            <w:pPr>
              <w:spacing w:before="60" w:after="60" w:line="240" w:lineRule="auto"/>
              <w:ind w:left="57" w:right="57"/>
              <w:rPr>
                <w:rFonts w:asciiTheme="majorBidi" w:hAnsiTheme="majorBidi" w:cstheme="majorBidi"/>
                <w:b/>
                <w:bCs/>
                <w:color w:val="000000" w:themeColor="text1"/>
                <w:sz w:val="14"/>
                <w:szCs w:val="14"/>
              </w:rPr>
            </w:pPr>
            <w:r w:rsidRPr="00950D73">
              <w:rPr>
                <w:rFonts w:asciiTheme="majorBidi" w:eastAsia="Calibri" w:hAnsiTheme="majorBidi" w:cstheme="majorBidi"/>
                <w:b/>
                <w:bCs/>
                <w:noProof/>
                <w:color w:val="000000" w:themeColor="text1"/>
                <w:sz w:val="14"/>
                <w:szCs w:val="14"/>
              </w:rPr>
              <w:t>Critères fondés sur la viabilité cellulaire moyenne en pourcentage à l’issue d’une période d’exposition donnée.</w:t>
            </w:r>
          </w:p>
        </w:tc>
        <w:tc>
          <w:tcPr>
            <w:tcW w:w="1143" w:type="pct"/>
            <w:gridSpan w:val="4"/>
            <w:tcBorders>
              <w:top w:val="single" w:sz="4" w:space="0" w:color="auto"/>
              <w:left w:val="single" w:sz="4" w:space="0" w:color="auto"/>
              <w:bottom w:val="single" w:sz="4" w:space="0" w:color="auto"/>
              <w:right w:val="single" w:sz="4" w:space="0" w:color="auto"/>
            </w:tcBorders>
            <w:hideMark/>
          </w:tcPr>
          <w:p w14:paraId="306B838C" w14:textId="77777777" w:rsidR="00AE5881" w:rsidRPr="00950D73" w:rsidRDefault="00AE5881" w:rsidP="007E5566">
            <w:pPr>
              <w:spacing w:before="60" w:after="60" w:line="240" w:lineRule="auto"/>
              <w:ind w:left="57" w:right="57"/>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Des modèles tridimensionnels d’echr sont reconstitués à partir de cellules humaines primaires ou de cellules épithéliales cornéennes humaines immortalisées, cultivées pendant plusieurs jours jusqu’à la formation d’un épithélium stratifié, hautement différencié, constitué d’au moins trois couches cellulaires viables et d’une surface non kératinisée présentant une structure morphologiquement similaire à celle de la cornée humaine. Après l’exposition et une période d’incubation post-traitement (s’il y a </w:t>
            </w:r>
            <w:r w:rsidRPr="00950D73">
              <w:rPr>
                <w:rFonts w:asciiTheme="majorBidi" w:hAnsiTheme="majorBidi" w:cstheme="majorBidi"/>
                <w:sz w:val="14"/>
                <w:szCs w:val="14"/>
              </w:rPr>
              <w:t>lieu</w:t>
            </w:r>
            <w:r w:rsidRPr="00950D73">
              <w:rPr>
                <w:rFonts w:asciiTheme="majorBidi" w:eastAsia="Calibri" w:hAnsiTheme="majorBidi" w:cstheme="majorBidi"/>
                <w:bCs/>
                <w:noProof/>
                <w:color w:val="000000" w:themeColor="text1"/>
                <w:sz w:val="14"/>
                <w:szCs w:val="14"/>
              </w:rPr>
              <w:t>), on évalue la viabilité tissulaire par un dosage quantitatif des cristaux de formazan bleu extraits des tissus et produits par les tissus vivants lors de la conversion enzymatique du colorant vital MTT.</w:t>
            </w:r>
          </w:p>
          <w:p w14:paraId="27A25153" w14:textId="77777777" w:rsidR="00AE5881" w:rsidRPr="00950D73" w:rsidRDefault="00AE5881" w:rsidP="007E5566">
            <w:pPr>
              <w:spacing w:before="60" w:after="60" w:line="240" w:lineRule="auto"/>
              <w:ind w:left="57" w:right="57"/>
              <w:rPr>
                <w:rFonts w:asciiTheme="majorBidi" w:eastAsia="Calibri" w:hAnsiTheme="majorBidi" w:cstheme="majorBidi"/>
                <w:b/>
                <w:bCs/>
                <w:noProof/>
                <w:color w:val="000000" w:themeColor="text1"/>
                <w:sz w:val="14"/>
                <w:szCs w:val="14"/>
              </w:rPr>
            </w:pPr>
            <w:r w:rsidRPr="00950D73">
              <w:rPr>
                <w:rFonts w:asciiTheme="majorBidi" w:eastAsia="Calibri" w:hAnsiTheme="majorBidi" w:cstheme="majorBidi"/>
                <w:b/>
                <w:bCs/>
                <w:noProof/>
                <w:color w:val="000000" w:themeColor="text1"/>
                <w:sz w:val="14"/>
                <w:szCs w:val="14"/>
              </w:rPr>
              <w:t>Critères fondés sur la viabilité tissulaire moyenne en pourcentage à l’issue d’une période d’exposition et d’une période de post-traitement (s’il y a lieu) données.</w:t>
            </w:r>
          </w:p>
        </w:tc>
        <w:tc>
          <w:tcPr>
            <w:tcW w:w="520" w:type="pct"/>
            <w:tcBorders>
              <w:top w:val="single" w:sz="4" w:space="0" w:color="auto"/>
              <w:left w:val="single" w:sz="4" w:space="0" w:color="auto"/>
              <w:bottom w:val="single" w:sz="4" w:space="0" w:color="auto"/>
              <w:right w:val="single" w:sz="4" w:space="0" w:color="auto"/>
            </w:tcBorders>
            <w:hideMark/>
          </w:tcPr>
          <w:p w14:paraId="1916B139" w14:textId="77777777" w:rsidR="00AE5881" w:rsidRPr="00950D73" w:rsidRDefault="00AE5881" w:rsidP="007E5566">
            <w:pPr>
              <w:spacing w:before="60" w:after="60" w:line="240" w:lineRule="auto"/>
              <w:ind w:left="57" w:right="57"/>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Essai </w:t>
            </w:r>
            <w:r w:rsidRPr="00950D73">
              <w:rPr>
                <w:rFonts w:asciiTheme="majorBidi" w:eastAsia="Calibri" w:hAnsiTheme="majorBidi" w:cstheme="majorBidi"/>
                <w:bCs/>
                <w:iCs/>
                <w:noProof/>
                <w:color w:val="000000" w:themeColor="text1"/>
                <w:sz w:val="14"/>
                <w:szCs w:val="14"/>
              </w:rPr>
              <w:t>in vitro</w:t>
            </w:r>
            <w:r w:rsidRPr="00950D73">
              <w:rPr>
                <w:rFonts w:asciiTheme="majorBidi" w:eastAsia="Calibri" w:hAnsiTheme="majorBidi" w:cstheme="majorBidi"/>
                <w:bCs/>
                <w:noProof/>
                <w:color w:val="000000" w:themeColor="text1"/>
                <w:sz w:val="14"/>
                <w:szCs w:val="14"/>
              </w:rPr>
              <w:t xml:space="preserve"> qui exploite des modèles d’épithélium cornéen humain reconstitués dans une chambre contenant une matrice en vitrigel de collagène. Le potentiel d’irritation oculaire du produit chimique testé est prédit par l’analyse des changements dans le temps de la valeur de la résistance électrique transépithéliale, sur la base des scores de trois indices. La valeur de résistance est mesurée toutes les 10 secondes pendant les 3 minutes qui suivent l’exposition au produit chimique testé.</w:t>
            </w:r>
          </w:p>
          <w:p w14:paraId="1699A9E8" w14:textId="77777777" w:rsidR="00AE5881" w:rsidRPr="00950D73" w:rsidRDefault="00AE5881" w:rsidP="007E5566">
            <w:pPr>
              <w:spacing w:before="60" w:after="60" w:line="240" w:lineRule="auto"/>
              <w:ind w:left="57" w:right="57"/>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
                <w:bCs/>
                <w:noProof/>
                <w:color w:val="000000" w:themeColor="text1"/>
                <w:sz w:val="14"/>
                <w:szCs w:val="14"/>
              </w:rPr>
              <w:t>Critères fondés sur les trois indices obtenus, à savoir le délai, l’intensité et le niveau plateau de la résistance électrique</w:t>
            </w:r>
            <w:r w:rsidRPr="00950D73">
              <w:rPr>
                <w:rFonts w:asciiTheme="majorBidi" w:eastAsia="Calibri" w:hAnsiTheme="majorBidi" w:cstheme="majorBidi"/>
                <w:bCs/>
                <w:noProof/>
                <w:color w:val="000000" w:themeColor="text1"/>
                <w:sz w:val="14"/>
                <w:szCs w:val="14"/>
              </w:rPr>
              <w:t>.</w:t>
            </w:r>
          </w:p>
        </w:tc>
        <w:tc>
          <w:tcPr>
            <w:tcW w:w="520" w:type="pct"/>
            <w:tcBorders>
              <w:top w:val="single" w:sz="4" w:space="0" w:color="auto"/>
              <w:left w:val="single" w:sz="4" w:space="0" w:color="auto"/>
              <w:bottom w:val="single" w:sz="4" w:space="0" w:color="auto"/>
              <w:right w:val="single" w:sz="4" w:space="0" w:color="auto"/>
            </w:tcBorders>
            <w:hideMark/>
          </w:tcPr>
          <w:p w14:paraId="2017E6BA" w14:textId="77777777" w:rsidR="00AE5881" w:rsidRPr="00950D73" w:rsidRDefault="00AE5881" w:rsidP="007E5566">
            <w:pPr>
              <w:spacing w:before="60" w:after="60" w:line="240" w:lineRule="auto"/>
              <w:ind w:left="57" w:right="57"/>
              <w:rPr>
                <w:rFonts w:asciiTheme="majorBidi" w:eastAsia="Calibri" w:hAnsiTheme="majorBidi" w:cstheme="majorBidi"/>
                <w:bCs/>
                <w:noProof/>
                <w:color w:val="000000" w:themeColor="text1"/>
                <w:spacing w:val="-1"/>
                <w:sz w:val="14"/>
                <w:szCs w:val="14"/>
              </w:rPr>
            </w:pPr>
            <w:r w:rsidRPr="00950D73">
              <w:rPr>
                <w:rFonts w:asciiTheme="majorBidi" w:eastAsia="Calibri" w:hAnsiTheme="majorBidi" w:cstheme="majorBidi"/>
                <w:bCs/>
                <w:noProof/>
                <w:color w:val="000000" w:themeColor="text1"/>
                <w:spacing w:val="-1"/>
                <w:sz w:val="14"/>
                <w:szCs w:val="14"/>
              </w:rPr>
              <w:t xml:space="preserve">Essai </w:t>
            </w:r>
            <w:r w:rsidRPr="00950D73">
              <w:rPr>
                <w:rFonts w:asciiTheme="majorBidi" w:eastAsia="Calibri" w:hAnsiTheme="majorBidi" w:cstheme="majorBidi"/>
                <w:bCs/>
                <w:iCs/>
                <w:noProof/>
                <w:color w:val="000000" w:themeColor="text1"/>
                <w:spacing w:val="-1"/>
                <w:sz w:val="14"/>
                <w:szCs w:val="14"/>
              </w:rPr>
              <w:t>in vitro</w:t>
            </w:r>
            <w:r w:rsidRPr="00950D73">
              <w:rPr>
                <w:rFonts w:asciiTheme="majorBidi" w:eastAsia="Calibri" w:hAnsiTheme="majorBidi" w:cstheme="majorBidi"/>
                <w:bCs/>
                <w:noProof/>
                <w:color w:val="000000" w:themeColor="text1"/>
                <w:spacing w:val="-1"/>
                <w:sz w:val="14"/>
                <w:szCs w:val="14"/>
              </w:rPr>
              <w:t xml:space="preserve"> réalisé à partir d’une matrice macromoléculaire du pois sabre blanc (</w:t>
            </w:r>
            <w:r w:rsidRPr="00950D73">
              <w:rPr>
                <w:rFonts w:asciiTheme="majorBidi" w:eastAsia="Calibri" w:hAnsiTheme="majorBidi" w:cstheme="majorBidi"/>
                <w:bCs/>
                <w:i/>
                <w:noProof/>
                <w:color w:val="000000" w:themeColor="text1"/>
                <w:spacing w:val="-1"/>
                <w:sz w:val="14"/>
                <w:szCs w:val="14"/>
              </w:rPr>
              <w:t>Canavalis enisformis)</w:t>
            </w:r>
            <w:r w:rsidRPr="00950D73">
              <w:rPr>
                <w:rFonts w:asciiTheme="majorBidi" w:eastAsia="Calibri" w:hAnsiTheme="majorBidi" w:cstheme="majorBidi"/>
                <w:bCs/>
                <w:noProof/>
                <w:color w:val="000000" w:themeColor="text1"/>
                <w:spacing w:val="-1"/>
                <w:sz w:val="14"/>
                <w:szCs w:val="14"/>
              </w:rPr>
              <w:t xml:space="preserve">. La matrice macromoléculaire est la cible du produit chimique testé ; elle est composée d’un mélange de protéines, de glycoprotéines, de glucides, de lipides et d’éléments à faible masse moléculaire qui forment une structure </w:t>
            </w:r>
            <w:r w:rsidRPr="00950D73">
              <w:rPr>
                <w:rFonts w:asciiTheme="majorBidi" w:hAnsiTheme="majorBidi" w:cstheme="majorBidi"/>
                <w:spacing w:val="-1"/>
                <w:sz w:val="14"/>
                <w:szCs w:val="14"/>
              </w:rPr>
              <w:t>gélifiée</w:t>
            </w:r>
            <w:r w:rsidRPr="00950D73">
              <w:rPr>
                <w:rFonts w:asciiTheme="majorBidi" w:eastAsia="Calibri" w:hAnsiTheme="majorBidi" w:cstheme="majorBidi"/>
                <w:bCs/>
                <w:noProof/>
                <w:color w:val="000000" w:themeColor="text1"/>
                <w:spacing w:val="-1"/>
                <w:sz w:val="14"/>
                <w:szCs w:val="14"/>
              </w:rPr>
              <w:t xml:space="preserve"> hautement organisée et transparente après réhydratation. Les produits chimiques testés, causant des lésions oculaires, induisent une désorganisation et une désagrégation de la structure hautement organisée de la matrice macromoléculaire, ce qui génère une turbidité du réactif macromoléculaire. Ce phénomène est quantifié en mesurant les changements dans la diffusion de la lumière.</w:t>
            </w:r>
          </w:p>
          <w:p w14:paraId="4FFB1EF3" w14:textId="77777777" w:rsidR="00AE5881" w:rsidRPr="00950D73" w:rsidRDefault="00AE5881" w:rsidP="007E5566">
            <w:pPr>
              <w:spacing w:before="60" w:after="60" w:line="240" w:lineRule="auto"/>
              <w:ind w:left="57" w:right="57"/>
              <w:rPr>
                <w:rFonts w:asciiTheme="majorBidi" w:eastAsia="Calibri" w:hAnsiTheme="majorBidi" w:cstheme="majorBidi"/>
                <w:b/>
                <w:bCs/>
                <w:noProof/>
                <w:color w:val="000000" w:themeColor="text1"/>
                <w:spacing w:val="-1"/>
                <w:sz w:val="14"/>
                <w:szCs w:val="14"/>
              </w:rPr>
            </w:pPr>
            <w:r w:rsidRPr="00950D73">
              <w:rPr>
                <w:rFonts w:asciiTheme="majorBidi" w:eastAsia="Calibri" w:hAnsiTheme="majorBidi" w:cstheme="majorBidi"/>
                <w:b/>
                <w:bCs/>
                <w:noProof/>
                <w:color w:val="000000" w:themeColor="text1"/>
                <w:spacing w:val="-1"/>
                <w:sz w:val="14"/>
                <w:szCs w:val="14"/>
              </w:rPr>
              <w:t>Critères fondés sur un score maximal qualifié (SMQ) obtenu à la lecture de la densité optique à différentes concentrations, au moyen d’un logiciel.</w:t>
            </w:r>
          </w:p>
        </w:tc>
      </w:tr>
      <w:tr w:rsidR="00AE5881" w:rsidRPr="00950D73" w14:paraId="3FEA4083" w14:textId="77777777" w:rsidTr="00A96F1F">
        <w:trPr>
          <w:trHeight w:val="1454"/>
        </w:trPr>
        <w:tc>
          <w:tcPr>
            <w:tcW w:w="2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A7C65B" w14:textId="77777777" w:rsidR="00AE5881" w:rsidRPr="00950D73" w:rsidRDefault="00AE5881" w:rsidP="007E5566">
            <w:pPr>
              <w:spacing w:before="40" w:after="40" w:line="240" w:lineRule="auto"/>
              <w:ind w:left="57" w:right="57"/>
              <w:jc w:val="center"/>
              <w:rPr>
                <w:rFonts w:asciiTheme="majorBidi" w:eastAsia="Calibri" w:hAnsiTheme="majorBidi" w:cstheme="majorBidi"/>
                <w:b/>
                <w:bCs/>
                <w:noProof/>
                <w:color w:val="000000" w:themeColor="text1"/>
                <w:sz w:val="14"/>
                <w:szCs w:val="14"/>
              </w:rPr>
            </w:pPr>
            <w:r w:rsidRPr="00950D73">
              <w:rPr>
                <w:rFonts w:asciiTheme="majorBidi" w:eastAsia="Calibri" w:hAnsiTheme="majorBidi" w:cstheme="majorBidi"/>
                <w:b/>
                <w:bCs/>
                <w:noProof/>
                <w:color w:val="000000" w:themeColor="text1"/>
                <w:sz w:val="14"/>
                <w:szCs w:val="14"/>
              </w:rPr>
              <w:t>1</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717B3C"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hAnsiTheme="majorBidi" w:cstheme="majorBidi"/>
                <w:sz w:val="14"/>
                <w:szCs w:val="14"/>
              </w:rPr>
              <w:t>Opacimètre</w:t>
            </w:r>
            <w:r w:rsidRPr="00950D73">
              <w:rPr>
                <w:rFonts w:asciiTheme="majorBidi" w:eastAsia="Calibri" w:hAnsiTheme="majorBidi" w:cstheme="majorBidi"/>
                <w:bCs/>
                <w:noProof/>
                <w:color w:val="000000" w:themeColor="text1"/>
                <w:sz w:val="14"/>
                <w:szCs w:val="14"/>
              </w:rPr>
              <w:t xml:space="preserve"> </w:t>
            </w:r>
            <w:r w:rsidRPr="00950D73">
              <w:rPr>
                <w:rFonts w:asciiTheme="majorBidi" w:eastAsia="Calibri" w:hAnsiTheme="majorBidi" w:cstheme="majorBidi"/>
                <w:bCs/>
                <w:noProof/>
                <w:color w:val="000000" w:themeColor="text1"/>
                <w:sz w:val="14"/>
                <w:szCs w:val="14"/>
              </w:rPr>
              <w:br/>
              <w:t>1</w:t>
            </w:r>
          </w:p>
          <w:p w14:paraId="04916F0A" w14:textId="77777777" w:rsidR="00AE5881" w:rsidRPr="00950D73" w:rsidRDefault="00AE5881" w:rsidP="007E5566">
            <w:pPr>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IVIS &gt; 55</w:t>
            </w:r>
          </w:p>
        </w:tc>
        <w:tc>
          <w:tcPr>
            <w:tcW w:w="355" w:type="pct"/>
            <w:tcBorders>
              <w:top w:val="single" w:sz="4" w:space="0" w:color="auto"/>
              <w:left w:val="single" w:sz="4" w:space="0" w:color="auto"/>
              <w:bottom w:val="single" w:sz="4" w:space="0" w:color="auto"/>
              <w:right w:val="single" w:sz="4" w:space="0" w:color="auto"/>
            </w:tcBorders>
          </w:tcPr>
          <w:p w14:paraId="5A5D75A0"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hAnsiTheme="majorBidi" w:cstheme="majorBidi"/>
                <w:sz w:val="14"/>
                <w:szCs w:val="14"/>
              </w:rPr>
              <w:t>Opacimètre</w:t>
            </w:r>
            <w:r w:rsidRPr="00950D73">
              <w:rPr>
                <w:rFonts w:asciiTheme="majorBidi" w:eastAsia="Calibri" w:hAnsiTheme="majorBidi" w:cstheme="majorBidi"/>
                <w:bCs/>
                <w:noProof/>
                <w:color w:val="000000" w:themeColor="text1"/>
                <w:sz w:val="14"/>
                <w:szCs w:val="14"/>
              </w:rPr>
              <w:t xml:space="preserve"> </w:t>
            </w:r>
            <w:r w:rsidRPr="00950D73">
              <w:rPr>
                <w:rFonts w:asciiTheme="majorBidi" w:eastAsia="Calibri" w:hAnsiTheme="majorBidi" w:cstheme="majorBidi"/>
                <w:bCs/>
                <w:noProof/>
                <w:color w:val="000000" w:themeColor="text1"/>
                <w:sz w:val="14"/>
                <w:szCs w:val="14"/>
              </w:rPr>
              <w:br/>
              <w:t>2</w:t>
            </w:r>
          </w:p>
          <w:p w14:paraId="4E764E4B"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LIS &gt; 30 et lux/7 ≤ 145 et OD490 &gt;2,5, </w:t>
            </w:r>
            <w:r w:rsidRPr="00950D73">
              <w:rPr>
                <w:rFonts w:asciiTheme="majorBidi" w:eastAsia="Calibri" w:hAnsiTheme="majorBidi" w:cstheme="majorBidi"/>
                <w:bCs/>
                <w:noProof/>
                <w:color w:val="000000" w:themeColor="text1"/>
                <w:sz w:val="14"/>
                <w:szCs w:val="14"/>
              </w:rPr>
              <w:br/>
            </w:r>
            <w:r w:rsidRPr="00950D73">
              <w:rPr>
                <w:rFonts w:asciiTheme="majorBidi" w:hAnsiTheme="majorBidi" w:cstheme="majorBidi"/>
                <w:sz w:val="14"/>
                <w:szCs w:val="14"/>
              </w:rPr>
              <w:t>OU</w:t>
            </w:r>
            <w:r w:rsidRPr="00950D73">
              <w:rPr>
                <w:rFonts w:asciiTheme="majorBidi" w:hAnsiTheme="majorBidi" w:cstheme="majorBidi"/>
                <w:sz w:val="14"/>
                <w:szCs w:val="14"/>
              </w:rPr>
              <w:br/>
            </w:r>
            <w:r w:rsidRPr="00950D73">
              <w:rPr>
                <w:rFonts w:asciiTheme="majorBidi" w:eastAsia="Calibri" w:hAnsiTheme="majorBidi" w:cstheme="majorBidi"/>
                <w:bCs/>
                <w:noProof/>
                <w:color w:val="000000" w:themeColor="text1"/>
                <w:sz w:val="14"/>
                <w:szCs w:val="14"/>
              </w:rPr>
              <w:t>LIS &gt; 30 et lux/7 &gt; 145</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A684EA"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 </w:t>
            </w:r>
            <w:r w:rsidRPr="00950D73">
              <w:rPr>
                <w:rFonts w:asciiTheme="majorBidi" w:hAnsiTheme="majorBidi" w:cstheme="majorBidi"/>
                <w:sz w:val="14"/>
                <w:szCs w:val="14"/>
              </w:rPr>
              <w:t>moins</w:t>
            </w:r>
            <w:r w:rsidRPr="00950D73">
              <w:rPr>
                <w:rFonts w:asciiTheme="majorBidi" w:eastAsia="Calibri" w:hAnsiTheme="majorBidi" w:cstheme="majorBidi"/>
                <w:bCs/>
                <w:noProof/>
                <w:color w:val="000000" w:themeColor="text1"/>
                <w:sz w:val="14"/>
                <w:szCs w:val="14"/>
              </w:rPr>
              <w:t xml:space="preserve"> 2 OPI de classe IV, </w:t>
            </w:r>
            <w:r w:rsidRPr="00950D73">
              <w:rPr>
                <w:rFonts w:asciiTheme="majorBidi" w:eastAsia="Calibri" w:hAnsiTheme="majorBidi" w:cstheme="majorBidi"/>
                <w:bCs/>
                <w:noProof/>
                <w:color w:val="000000" w:themeColor="text1"/>
                <w:sz w:val="14"/>
                <w:szCs w:val="14"/>
              </w:rPr>
              <w:br/>
              <w:t>OU</w:t>
            </w:r>
            <w:r w:rsidRPr="00950D73">
              <w:rPr>
                <w:rFonts w:asciiTheme="majorBidi" w:eastAsia="Calibri" w:hAnsiTheme="majorBidi" w:cstheme="majorBidi"/>
                <w:bCs/>
                <w:noProof/>
                <w:color w:val="000000" w:themeColor="text1"/>
                <w:sz w:val="14"/>
                <w:szCs w:val="14"/>
              </w:rPr>
              <w:br/>
              <w:t xml:space="preserve">opacité de la cornée = 3 à 30 min (dans au moins 2 yeux), </w:t>
            </w:r>
            <w:r w:rsidRPr="00950D73">
              <w:rPr>
                <w:rFonts w:asciiTheme="majorBidi" w:eastAsia="Calibri" w:hAnsiTheme="majorBidi" w:cstheme="majorBidi"/>
                <w:bCs/>
                <w:noProof/>
                <w:color w:val="000000" w:themeColor="text1"/>
                <w:sz w:val="14"/>
                <w:szCs w:val="14"/>
              </w:rPr>
              <w:br/>
              <w:t>OU</w:t>
            </w:r>
            <w:r w:rsidRPr="00950D73">
              <w:rPr>
                <w:rFonts w:asciiTheme="majorBidi" w:eastAsia="Calibri" w:hAnsiTheme="majorBidi" w:cstheme="majorBidi"/>
                <w:bCs/>
                <w:noProof/>
                <w:color w:val="000000" w:themeColor="text1"/>
                <w:sz w:val="14"/>
                <w:szCs w:val="14"/>
              </w:rPr>
              <w:br/>
              <w:t xml:space="preserve">opacité de la cornée = 4 à tout </w:t>
            </w:r>
            <w:r w:rsidRPr="00950D73">
              <w:rPr>
                <w:rFonts w:asciiTheme="majorBidi" w:hAnsiTheme="majorBidi" w:cstheme="majorBidi"/>
                <w:sz w:val="14"/>
                <w:szCs w:val="14"/>
              </w:rPr>
              <w:t>moment</w:t>
            </w:r>
            <w:r w:rsidRPr="00950D73">
              <w:rPr>
                <w:rFonts w:asciiTheme="majorBidi" w:eastAsia="Calibri" w:hAnsiTheme="majorBidi" w:cstheme="majorBidi"/>
                <w:bCs/>
                <w:noProof/>
                <w:color w:val="000000" w:themeColor="text1"/>
                <w:sz w:val="14"/>
                <w:szCs w:val="14"/>
              </w:rPr>
              <w:t xml:space="preserve"> (dans au moins 2 yeux), OU décollement prononcé de l’épithélium (dans au moins 1 oeil), OU </w:t>
            </w:r>
            <w:r w:rsidRPr="00950D73">
              <w:rPr>
                <w:rFonts w:asciiTheme="majorBidi" w:hAnsiTheme="majorBidi" w:cstheme="majorBidi"/>
                <w:color w:val="000000" w:themeColor="text1"/>
                <w:sz w:val="14"/>
                <w:szCs w:val="14"/>
              </w:rPr>
              <w:t xml:space="preserve">certains effets </w:t>
            </w:r>
            <w:proofErr w:type="spellStart"/>
            <w:r w:rsidRPr="00950D73">
              <w:rPr>
                <w:rFonts w:asciiTheme="majorBidi" w:hAnsiTheme="majorBidi" w:cstheme="majorBidi"/>
                <w:color w:val="000000" w:themeColor="text1"/>
                <w:sz w:val="14"/>
                <w:szCs w:val="14"/>
              </w:rPr>
              <w:t>histopathologiques</w:t>
            </w:r>
            <w:r w:rsidRPr="00950D73">
              <w:rPr>
                <w:rFonts w:asciiTheme="majorBidi" w:hAnsiTheme="majorBidi" w:cstheme="majorBidi"/>
                <w:i/>
                <w:iCs/>
                <w:color w:val="000000" w:themeColor="text1"/>
                <w:sz w:val="14"/>
                <w:szCs w:val="14"/>
                <w:vertAlign w:val="superscript"/>
              </w:rPr>
              <w:t>b</w:t>
            </w:r>
            <w:proofErr w:type="spellEnd"/>
          </w:p>
        </w:tc>
        <w:tc>
          <w:tcPr>
            <w:tcW w:w="605" w:type="pct"/>
            <w:tcBorders>
              <w:top w:val="single" w:sz="4" w:space="0" w:color="auto"/>
              <w:left w:val="single" w:sz="4" w:space="0" w:color="auto"/>
              <w:bottom w:val="single" w:sz="4" w:space="0" w:color="auto"/>
              <w:right w:val="single" w:sz="4" w:space="0" w:color="auto"/>
            </w:tcBorders>
            <w:hideMark/>
          </w:tcPr>
          <w:p w14:paraId="2E45CD8A"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Concentration chimique entraînant une diffusion de fluorescéine de 20 % (FL</w:t>
            </w:r>
            <w:r w:rsidRPr="00950D73">
              <w:rPr>
                <w:rFonts w:asciiTheme="majorBidi" w:eastAsia="Calibri" w:hAnsiTheme="majorBidi" w:cstheme="majorBidi"/>
                <w:bCs/>
                <w:noProof/>
                <w:color w:val="000000" w:themeColor="text1"/>
                <w:sz w:val="14"/>
                <w:szCs w:val="14"/>
                <w:vertAlign w:val="subscript"/>
              </w:rPr>
              <w:t>20</w:t>
            </w:r>
            <w:r w:rsidRPr="00950D73">
              <w:rPr>
                <w:rFonts w:asciiTheme="majorBidi" w:eastAsia="Calibri" w:hAnsiTheme="majorBidi" w:cstheme="majorBidi"/>
                <w:bCs/>
                <w:noProof/>
                <w:color w:val="000000" w:themeColor="text1"/>
                <w:sz w:val="14"/>
                <w:szCs w:val="14"/>
              </w:rPr>
              <w:t>) ≤100 </w:t>
            </w:r>
            <w:r w:rsidRPr="00950D73">
              <w:rPr>
                <w:rFonts w:asciiTheme="majorBidi" w:hAnsiTheme="majorBidi" w:cstheme="majorBidi"/>
                <w:sz w:val="14"/>
                <w:szCs w:val="14"/>
              </w:rPr>
              <w:t>mg</w:t>
            </w:r>
            <w:r w:rsidRPr="00950D73">
              <w:rPr>
                <w:rFonts w:asciiTheme="majorBidi" w:eastAsia="Calibri" w:hAnsiTheme="majorBidi" w:cstheme="majorBidi"/>
                <w:bCs/>
                <w:noProof/>
                <w:color w:val="000000" w:themeColor="text1"/>
                <w:sz w:val="14"/>
                <w:szCs w:val="14"/>
              </w:rPr>
              <w:t>/</w:t>
            </w:r>
            <w:proofErr w:type="spellStart"/>
            <w:r w:rsidRPr="00950D73">
              <w:rPr>
                <w:rFonts w:asciiTheme="majorBidi" w:eastAsia="Calibri" w:hAnsiTheme="majorBidi" w:cstheme="majorBidi"/>
                <w:bCs/>
                <w:noProof/>
                <w:color w:val="000000" w:themeColor="text1"/>
                <w:sz w:val="14"/>
                <w:szCs w:val="14"/>
              </w:rPr>
              <w:t>mL</w:t>
            </w:r>
            <w:proofErr w:type="spellEnd"/>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EAFA61"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Viabilité ≤70 % à 5 % et à 0,05 %</w:t>
            </w:r>
          </w:p>
        </w:tc>
        <w:tc>
          <w:tcPr>
            <w:tcW w:w="1143" w:type="pct"/>
            <w:gridSpan w:val="4"/>
            <w:tcBorders>
              <w:top w:val="single" w:sz="4" w:space="0" w:color="auto"/>
              <w:left w:val="single" w:sz="4" w:space="0" w:color="auto"/>
              <w:bottom w:val="single" w:sz="4" w:space="0" w:color="auto"/>
              <w:right w:val="single" w:sz="4" w:space="0" w:color="auto"/>
            </w:tcBorders>
            <w:hideMark/>
          </w:tcPr>
          <w:p w14:paraId="3F942D83"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prédiction indépendante </w:t>
            </w:r>
            <w:r w:rsidRPr="00950D73">
              <w:rPr>
                <w:rFonts w:asciiTheme="majorBidi" w:eastAsia="Calibri" w:hAnsiTheme="majorBidi" w:cstheme="majorBidi"/>
                <w:bCs/>
                <w:noProof/>
                <w:color w:val="000000" w:themeColor="text1"/>
                <w:sz w:val="14"/>
                <w:szCs w:val="14"/>
              </w:rPr>
              <w:br/>
              <w:t xml:space="preserve">ne peut être </w:t>
            </w:r>
            <w:r w:rsidRPr="00950D73">
              <w:rPr>
                <w:rFonts w:asciiTheme="majorBidi" w:hAnsiTheme="majorBidi" w:cstheme="majorBidi"/>
                <w:sz w:val="14"/>
                <w:szCs w:val="14"/>
              </w:rPr>
              <w:t>faite</w:t>
            </w:r>
          </w:p>
        </w:tc>
        <w:tc>
          <w:tcPr>
            <w:tcW w:w="520" w:type="pct"/>
            <w:tcBorders>
              <w:top w:val="single" w:sz="4" w:space="0" w:color="auto"/>
              <w:left w:val="single" w:sz="4" w:space="0" w:color="auto"/>
              <w:bottom w:val="single" w:sz="4" w:space="0" w:color="auto"/>
              <w:right w:val="single" w:sz="4" w:space="0" w:color="auto"/>
            </w:tcBorders>
            <w:hideMark/>
          </w:tcPr>
          <w:p w14:paraId="32A2BF00"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prédiction </w:t>
            </w:r>
            <w:r w:rsidRPr="00950D73">
              <w:rPr>
                <w:rFonts w:asciiTheme="majorBidi" w:hAnsiTheme="majorBidi" w:cstheme="majorBidi"/>
                <w:sz w:val="14"/>
                <w:szCs w:val="14"/>
              </w:rPr>
              <w:t>indépendante</w:t>
            </w:r>
            <w:r w:rsidRPr="00950D73">
              <w:rPr>
                <w:rFonts w:asciiTheme="majorBidi" w:eastAsia="Calibri" w:hAnsiTheme="majorBidi" w:cstheme="majorBidi"/>
                <w:bCs/>
                <w:noProof/>
                <w:color w:val="000000" w:themeColor="text1"/>
                <w:sz w:val="14"/>
                <w:szCs w:val="14"/>
              </w:rPr>
              <w:t xml:space="preserve"> ne peut être faite</w:t>
            </w:r>
          </w:p>
        </w:tc>
        <w:tc>
          <w:tcPr>
            <w:tcW w:w="520" w:type="pct"/>
            <w:tcBorders>
              <w:top w:val="single" w:sz="4" w:space="0" w:color="auto"/>
              <w:left w:val="single" w:sz="4" w:space="0" w:color="auto"/>
              <w:bottom w:val="single" w:sz="4" w:space="0" w:color="auto"/>
              <w:right w:val="single" w:sz="4" w:space="0" w:color="auto"/>
            </w:tcBorders>
            <w:hideMark/>
          </w:tcPr>
          <w:p w14:paraId="2886369F"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SMQ</w:t>
            </w:r>
            <w:r w:rsidRPr="00950D73">
              <w:rPr>
                <w:rFonts w:asciiTheme="majorBidi" w:hAnsiTheme="majorBidi" w:cstheme="majorBidi"/>
                <w:color w:val="000000" w:themeColor="text1"/>
                <w:sz w:val="14"/>
                <w:szCs w:val="14"/>
              </w:rPr>
              <w:t xml:space="preserve"> </w:t>
            </w:r>
            <w:r w:rsidRPr="00950D73">
              <w:rPr>
                <w:rFonts w:asciiTheme="majorBidi" w:eastAsia="Calibri" w:hAnsiTheme="majorBidi" w:cstheme="majorBidi"/>
                <w:bCs/>
                <w:noProof/>
                <w:color w:val="000000" w:themeColor="text1"/>
                <w:sz w:val="14"/>
                <w:szCs w:val="14"/>
              </w:rPr>
              <w:t>&gt;30,0</w:t>
            </w:r>
          </w:p>
        </w:tc>
      </w:tr>
      <w:tr w:rsidR="00AE5881" w:rsidRPr="00950D73" w14:paraId="568494B3" w14:textId="77777777" w:rsidTr="00A96F1F">
        <w:trPr>
          <w:trHeight w:val="192"/>
        </w:trPr>
        <w:tc>
          <w:tcPr>
            <w:tcW w:w="2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B9B7C3" w14:textId="77777777" w:rsidR="00AE5881" w:rsidRPr="00950D73" w:rsidRDefault="00AE5881" w:rsidP="007E5566">
            <w:pPr>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hAnsiTheme="majorBidi" w:cstheme="majorBidi"/>
                <w:b/>
                <w:bCs/>
                <w:noProof/>
                <w:color w:val="000000" w:themeColor="text1"/>
                <w:sz w:val="14"/>
                <w:szCs w:val="14"/>
              </w:rPr>
              <w:t>2</w:t>
            </w:r>
            <w:r w:rsidRPr="00950D73">
              <w:rPr>
                <w:rFonts w:asciiTheme="majorBidi" w:hAnsiTheme="majorBidi" w:cstheme="majorBidi"/>
                <w:bCs/>
                <w:noProof/>
                <w:color w:val="000000" w:themeColor="text1"/>
                <w:sz w:val="14"/>
                <w:szCs w:val="14"/>
              </w:rPr>
              <w:t>/</w:t>
            </w:r>
            <w:r w:rsidRPr="00950D73">
              <w:rPr>
                <w:rFonts w:asciiTheme="majorBidi" w:hAnsiTheme="majorBidi" w:cstheme="majorBidi"/>
                <w:b/>
                <w:bCs/>
                <w:noProof/>
                <w:color w:val="000000" w:themeColor="text1"/>
                <w:sz w:val="14"/>
                <w:szCs w:val="14"/>
              </w:rPr>
              <w:t>2A</w:t>
            </w:r>
            <w:r w:rsidRPr="00950D73">
              <w:rPr>
                <w:rFonts w:asciiTheme="majorBidi" w:hAnsiTheme="majorBidi" w:cstheme="majorBidi"/>
                <w:bCs/>
                <w:noProof/>
                <w:color w:val="000000" w:themeColor="text1"/>
                <w:sz w:val="14"/>
                <w:szCs w:val="14"/>
              </w:rPr>
              <w:t>/</w:t>
            </w:r>
            <w:r w:rsidRPr="00950D73">
              <w:rPr>
                <w:rFonts w:asciiTheme="majorBidi" w:hAnsiTheme="majorBidi" w:cstheme="majorBidi"/>
                <w:b/>
                <w:bCs/>
                <w:noProof/>
                <w:color w:val="000000" w:themeColor="text1"/>
                <w:sz w:val="14"/>
                <w:szCs w:val="14"/>
              </w:rPr>
              <w:t>2B</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CB62F9" w14:textId="77777777" w:rsidR="00AE5881" w:rsidRPr="00950D73" w:rsidRDefault="00AE5881" w:rsidP="007E5566">
            <w:pPr>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Aucune prédiction indépendante ne peut être faite</w:t>
            </w:r>
          </w:p>
        </w:tc>
        <w:tc>
          <w:tcPr>
            <w:tcW w:w="355" w:type="pct"/>
            <w:tcBorders>
              <w:top w:val="single" w:sz="4" w:space="0" w:color="auto"/>
              <w:left w:val="single" w:sz="4" w:space="0" w:color="auto"/>
              <w:bottom w:val="single" w:sz="4" w:space="0" w:color="auto"/>
              <w:right w:val="single" w:sz="4" w:space="0" w:color="auto"/>
            </w:tcBorders>
            <w:vAlign w:val="center"/>
            <w:hideMark/>
          </w:tcPr>
          <w:p w14:paraId="40A0A799" w14:textId="77777777" w:rsidR="00AE5881" w:rsidRPr="00950D73" w:rsidRDefault="00AE5881" w:rsidP="007E5566">
            <w:pPr>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prédiction indépendante ne peut </w:t>
            </w:r>
            <w:r w:rsidRPr="00950D73">
              <w:rPr>
                <w:rFonts w:asciiTheme="majorBidi" w:hAnsiTheme="majorBidi" w:cstheme="majorBidi"/>
                <w:sz w:val="14"/>
                <w:szCs w:val="14"/>
              </w:rPr>
              <w:t>être</w:t>
            </w:r>
            <w:r w:rsidRPr="00950D73">
              <w:rPr>
                <w:rFonts w:asciiTheme="majorBidi" w:eastAsia="Calibri" w:hAnsiTheme="majorBidi" w:cstheme="majorBidi"/>
                <w:bCs/>
                <w:noProof/>
                <w:color w:val="000000" w:themeColor="text1"/>
                <w:sz w:val="14"/>
                <w:szCs w:val="14"/>
              </w:rPr>
              <w:t xml:space="preserve"> faite</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4A7ACF" w14:textId="77777777" w:rsidR="00AE5881" w:rsidRPr="00950D73" w:rsidRDefault="00AE5881" w:rsidP="007E5566">
            <w:pPr>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w:t>
            </w:r>
            <w:r w:rsidRPr="00950D73">
              <w:rPr>
                <w:rFonts w:asciiTheme="majorBidi" w:hAnsiTheme="majorBidi" w:cstheme="majorBidi"/>
                <w:sz w:val="14"/>
                <w:szCs w:val="14"/>
              </w:rPr>
              <w:t>prédiction</w:t>
            </w:r>
            <w:r w:rsidRPr="00950D73">
              <w:rPr>
                <w:rFonts w:asciiTheme="majorBidi" w:eastAsia="Calibri" w:hAnsiTheme="majorBidi" w:cstheme="majorBidi"/>
                <w:bCs/>
                <w:noProof/>
                <w:color w:val="000000" w:themeColor="text1"/>
                <w:sz w:val="14"/>
                <w:szCs w:val="14"/>
              </w:rPr>
              <w:t xml:space="preserve"> indépendante ne peut être faite</w:t>
            </w:r>
          </w:p>
        </w:tc>
        <w:tc>
          <w:tcPr>
            <w:tcW w:w="605" w:type="pct"/>
            <w:tcBorders>
              <w:top w:val="single" w:sz="4" w:space="0" w:color="auto"/>
              <w:left w:val="single" w:sz="4" w:space="0" w:color="auto"/>
              <w:bottom w:val="single" w:sz="4" w:space="0" w:color="auto"/>
              <w:right w:val="single" w:sz="4" w:space="0" w:color="auto"/>
            </w:tcBorders>
            <w:hideMark/>
          </w:tcPr>
          <w:p w14:paraId="3A565C6C"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prédiction indépendante </w:t>
            </w:r>
            <w:r w:rsidRPr="00950D73">
              <w:rPr>
                <w:rFonts w:asciiTheme="majorBidi" w:hAnsiTheme="majorBidi" w:cstheme="majorBidi"/>
                <w:sz w:val="14"/>
                <w:szCs w:val="14"/>
              </w:rPr>
              <w:t>ne</w:t>
            </w:r>
            <w:r w:rsidRPr="00950D73">
              <w:rPr>
                <w:rFonts w:asciiTheme="majorBidi" w:eastAsia="Calibri" w:hAnsiTheme="majorBidi" w:cstheme="majorBidi"/>
                <w:bCs/>
                <w:noProof/>
                <w:color w:val="000000" w:themeColor="text1"/>
                <w:sz w:val="14"/>
                <w:szCs w:val="14"/>
              </w:rPr>
              <w:t xml:space="preserve"> peut être faite</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247394" w14:textId="77777777" w:rsidR="00AE5881" w:rsidRPr="00950D73" w:rsidRDefault="00AE5881" w:rsidP="007E5566">
            <w:pPr>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Aucune prédiction indépendante ne peut être faite</w:t>
            </w:r>
          </w:p>
        </w:tc>
        <w:tc>
          <w:tcPr>
            <w:tcW w:w="1143"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72AE28" w14:textId="77777777" w:rsidR="00AE5881" w:rsidRPr="00950D73" w:rsidRDefault="00AE5881" w:rsidP="007E5566">
            <w:pPr>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prédiction indépendante </w:t>
            </w:r>
            <w:r w:rsidRPr="00950D73">
              <w:rPr>
                <w:rFonts w:asciiTheme="majorBidi" w:eastAsia="Calibri" w:hAnsiTheme="majorBidi" w:cstheme="majorBidi"/>
                <w:bCs/>
                <w:noProof/>
                <w:color w:val="000000" w:themeColor="text1"/>
                <w:sz w:val="14"/>
                <w:szCs w:val="14"/>
              </w:rPr>
              <w:br/>
              <w:t>ne peut être faite</w:t>
            </w:r>
          </w:p>
        </w:tc>
        <w:tc>
          <w:tcPr>
            <w:tcW w:w="520" w:type="pct"/>
            <w:tcBorders>
              <w:top w:val="single" w:sz="4" w:space="0" w:color="auto"/>
              <w:left w:val="single" w:sz="4" w:space="0" w:color="auto"/>
              <w:bottom w:val="single" w:sz="4" w:space="0" w:color="auto"/>
              <w:right w:val="single" w:sz="4" w:space="0" w:color="auto"/>
            </w:tcBorders>
            <w:hideMark/>
          </w:tcPr>
          <w:p w14:paraId="059039FC"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w:t>
            </w:r>
            <w:r w:rsidRPr="00950D73">
              <w:rPr>
                <w:rFonts w:asciiTheme="majorBidi" w:hAnsiTheme="majorBidi" w:cstheme="majorBidi"/>
                <w:sz w:val="14"/>
                <w:szCs w:val="14"/>
              </w:rPr>
              <w:t>prédiction</w:t>
            </w:r>
            <w:r w:rsidRPr="00950D73">
              <w:rPr>
                <w:rFonts w:asciiTheme="majorBidi" w:eastAsia="Calibri" w:hAnsiTheme="majorBidi" w:cstheme="majorBidi"/>
                <w:bCs/>
                <w:noProof/>
                <w:color w:val="000000" w:themeColor="text1"/>
                <w:sz w:val="14"/>
                <w:szCs w:val="14"/>
              </w:rPr>
              <w:t xml:space="preserve"> indépendante ne peut être faite</w:t>
            </w:r>
          </w:p>
        </w:tc>
        <w:tc>
          <w:tcPr>
            <w:tcW w:w="520" w:type="pct"/>
            <w:tcBorders>
              <w:top w:val="single" w:sz="4" w:space="0" w:color="auto"/>
              <w:left w:val="single" w:sz="4" w:space="0" w:color="auto"/>
              <w:bottom w:val="single" w:sz="4" w:space="0" w:color="auto"/>
              <w:right w:val="single" w:sz="4" w:space="0" w:color="auto"/>
            </w:tcBorders>
            <w:hideMark/>
          </w:tcPr>
          <w:p w14:paraId="090D18FF" w14:textId="77777777" w:rsidR="00AE5881" w:rsidRPr="00950D73" w:rsidRDefault="00AE5881" w:rsidP="007E5566">
            <w:pPr>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prédiction indépendante </w:t>
            </w:r>
            <w:r w:rsidRPr="00950D73">
              <w:rPr>
                <w:rFonts w:asciiTheme="majorBidi" w:hAnsiTheme="majorBidi" w:cstheme="majorBidi"/>
                <w:sz w:val="14"/>
                <w:szCs w:val="14"/>
              </w:rPr>
              <w:t>ne</w:t>
            </w:r>
            <w:r w:rsidRPr="00950D73">
              <w:rPr>
                <w:rFonts w:asciiTheme="majorBidi" w:eastAsia="Calibri" w:hAnsiTheme="majorBidi" w:cstheme="majorBidi"/>
                <w:bCs/>
                <w:noProof/>
                <w:color w:val="000000" w:themeColor="text1"/>
                <w:sz w:val="14"/>
                <w:szCs w:val="14"/>
              </w:rPr>
              <w:t xml:space="preserve"> peut être faite</w:t>
            </w:r>
          </w:p>
        </w:tc>
      </w:tr>
      <w:tr w:rsidR="00AE5881" w:rsidRPr="00950D73" w14:paraId="1F24E443" w14:textId="77777777" w:rsidTr="00A96F1F">
        <w:trPr>
          <w:trHeight w:val="399"/>
        </w:trPr>
        <w:tc>
          <w:tcPr>
            <w:tcW w:w="2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497B5B" w14:textId="77777777" w:rsidR="00AE5881" w:rsidRPr="00950D73" w:rsidRDefault="00AE5881" w:rsidP="007E5566">
            <w:pPr>
              <w:keepNext/>
              <w:keepLines/>
              <w:spacing w:before="40" w:after="40" w:line="240" w:lineRule="auto"/>
              <w:ind w:left="57" w:right="57"/>
              <w:jc w:val="center"/>
              <w:rPr>
                <w:rFonts w:asciiTheme="majorBidi" w:hAnsiTheme="majorBidi" w:cstheme="majorBidi"/>
                <w:b/>
                <w:bCs/>
                <w:noProof/>
                <w:color w:val="000000" w:themeColor="text1"/>
                <w:sz w:val="14"/>
                <w:szCs w:val="14"/>
              </w:rPr>
            </w:pPr>
            <w:r w:rsidRPr="00950D73">
              <w:rPr>
                <w:rFonts w:asciiTheme="majorBidi" w:eastAsia="Calibri" w:hAnsiTheme="majorBidi" w:cstheme="majorBidi"/>
                <w:b/>
                <w:bCs/>
                <w:noProof/>
                <w:color w:val="000000" w:themeColor="text1"/>
                <w:sz w:val="14"/>
                <w:szCs w:val="14"/>
              </w:rPr>
              <w:t xml:space="preserve">Non </w:t>
            </w:r>
            <w:r w:rsidRPr="00950D73">
              <w:rPr>
                <w:rFonts w:asciiTheme="majorBidi" w:hAnsiTheme="majorBidi" w:cstheme="majorBidi"/>
                <w:b/>
                <w:bCs/>
                <w:sz w:val="14"/>
                <w:szCs w:val="14"/>
              </w:rPr>
              <w:t>classé</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0E3438"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hAnsiTheme="majorBidi" w:cstheme="majorBidi"/>
                <w:sz w:val="14"/>
                <w:szCs w:val="14"/>
              </w:rPr>
              <w:t>Opacimètre</w:t>
            </w:r>
            <w:r w:rsidRPr="00950D73">
              <w:rPr>
                <w:rFonts w:asciiTheme="majorBidi" w:hAnsiTheme="majorBidi" w:cstheme="majorBidi"/>
                <w:sz w:val="14"/>
                <w:szCs w:val="14"/>
              </w:rPr>
              <w:br/>
            </w:r>
            <w:r w:rsidRPr="00950D73">
              <w:rPr>
                <w:rFonts w:asciiTheme="majorBidi" w:eastAsia="Calibri" w:hAnsiTheme="majorBidi" w:cstheme="majorBidi"/>
                <w:bCs/>
                <w:noProof/>
                <w:color w:val="000000" w:themeColor="text1"/>
                <w:sz w:val="14"/>
                <w:szCs w:val="14"/>
              </w:rPr>
              <w:t>1</w:t>
            </w:r>
          </w:p>
          <w:p w14:paraId="50F5F9DF" w14:textId="77777777" w:rsidR="00AE5881" w:rsidRPr="00950D73" w:rsidRDefault="00AE5881" w:rsidP="007E5566">
            <w:pPr>
              <w:keepNext/>
              <w:keepLines/>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IVIS ≤ 3</w:t>
            </w:r>
          </w:p>
        </w:tc>
        <w:tc>
          <w:tcPr>
            <w:tcW w:w="355" w:type="pct"/>
            <w:tcBorders>
              <w:top w:val="single" w:sz="4" w:space="0" w:color="auto"/>
              <w:left w:val="single" w:sz="4" w:space="0" w:color="auto"/>
              <w:bottom w:val="single" w:sz="4" w:space="0" w:color="auto"/>
              <w:right w:val="single" w:sz="4" w:space="0" w:color="auto"/>
            </w:tcBorders>
          </w:tcPr>
          <w:p w14:paraId="077FBC54" w14:textId="77777777" w:rsidR="00AE5881" w:rsidRPr="00950D73" w:rsidRDefault="00AE5881" w:rsidP="007E5566">
            <w:pPr>
              <w:keepNext/>
              <w:keepLines/>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hAnsiTheme="majorBidi" w:cstheme="majorBidi"/>
                <w:sz w:val="14"/>
                <w:szCs w:val="14"/>
              </w:rPr>
              <w:t>Opacimètre</w:t>
            </w:r>
            <w:r w:rsidRPr="00950D73">
              <w:rPr>
                <w:rFonts w:asciiTheme="majorBidi" w:hAnsiTheme="majorBidi" w:cstheme="majorBidi"/>
                <w:sz w:val="14"/>
                <w:szCs w:val="14"/>
              </w:rPr>
              <w:br/>
            </w:r>
            <w:r w:rsidRPr="00950D73">
              <w:rPr>
                <w:rFonts w:asciiTheme="majorBidi" w:hAnsiTheme="majorBidi" w:cstheme="majorBidi"/>
                <w:bCs/>
                <w:noProof/>
                <w:color w:val="000000" w:themeColor="text1"/>
                <w:sz w:val="14"/>
                <w:szCs w:val="14"/>
              </w:rPr>
              <w:t>2</w:t>
            </w:r>
          </w:p>
          <w:p w14:paraId="4A688D99" w14:textId="77777777" w:rsidR="00AE5881" w:rsidRPr="00950D73" w:rsidRDefault="00AE5881" w:rsidP="007E5566">
            <w:pPr>
              <w:keepNext/>
              <w:keepLines/>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hAnsiTheme="majorBidi" w:cstheme="majorBidi"/>
                <w:bCs/>
                <w:noProof/>
                <w:color w:val="000000" w:themeColor="text1"/>
                <w:sz w:val="14"/>
                <w:szCs w:val="14"/>
              </w:rPr>
              <w:t>LIS ≤ 30</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0D116E" w14:textId="77777777" w:rsidR="00AE5881" w:rsidRPr="00950D73" w:rsidRDefault="00AE5881" w:rsidP="007E5566">
            <w:pPr>
              <w:keepNext/>
              <w:keepLines/>
              <w:spacing w:before="40" w:after="40" w:line="240" w:lineRule="auto"/>
              <w:ind w:left="57" w:right="57"/>
              <w:jc w:val="center"/>
              <w:rPr>
                <w:rFonts w:asciiTheme="majorBidi" w:hAnsiTheme="majorBidi" w:cstheme="majorBidi"/>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OPI de classe I pour les 3 critères </w:t>
            </w:r>
            <w:r w:rsidRPr="00950D73">
              <w:rPr>
                <w:rFonts w:asciiTheme="majorBidi" w:hAnsiTheme="majorBidi" w:cstheme="majorBidi"/>
                <w:sz w:val="14"/>
                <w:szCs w:val="14"/>
              </w:rPr>
              <w:t>terminaux</w:t>
            </w:r>
            <w:r w:rsidRPr="00950D73">
              <w:rPr>
                <w:rFonts w:asciiTheme="majorBidi" w:eastAsia="Calibri" w:hAnsiTheme="majorBidi" w:cstheme="majorBidi"/>
                <w:bCs/>
                <w:noProof/>
                <w:color w:val="000000" w:themeColor="text1"/>
                <w:sz w:val="14"/>
                <w:szCs w:val="14"/>
              </w:rPr>
              <w:t xml:space="preserve">, </w:t>
            </w:r>
            <w:r w:rsidRPr="00950D73">
              <w:rPr>
                <w:rFonts w:asciiTheme="majorBidi" w:eastAsia="Calibri" w:hAnsiTheme="majorBidi" w:cstheme="majorBidi"/>
                <w:bCs/>
                <w:noProof/>
                <w:color w:val="000000" w:themeColor="text1"/>
                <w:sz w:val="14"/>
                <w:szCs w:val="14"/>
              </w:rPr>
              <w:br/>
              <w:t>OU</w:t>
            </w:r>
            <w:r w:rsidRPr="00950D73">
              <w:rPr>
                <w:rFonts w:asciiTheme="majorBidi" w:eastAsia="Calibri" w:hAnsiTheme="majorBidi" w:cstheme="majorBidi"/>
                <w:bCs/>
                <w:noProof/>
                <w:color w:val="000000" w:themeColor="text1"/>
                <w:sz w:val="14"/>
                <w:szCs w:val="14"/>
              </w:rPr>
              <w:br/>
              <w:t xml:space="preserve">OPI de classe I pour 2 critères terminaux et OPI de classe II pour l’autre critère terminal, </w:t>
            </w:r>
            <w:r w:rsidRPr="00950D73">
              <w:rPr>
                <w:rFonts w:asciiTheme="majorBidi" w:eastAsia="Calibri" w:hAnsiTheme="majorBidi" w:cstheme="majorBidi"/>
                <w:bCs/>
                <w:noProof/>
                <w:color w:val="000000" w:themeColor="text1"/>
                <w:sz w:val="14"/>
                <w:szCs w:val="14"/>
              </w:rPr>
              <w:br/>
              <w:t>OU</w:t>
            </w:r>
            <w:r w:rsidRPr="00950D73">
              <w:rPr>
                <w:rFonts w:asciiTheme="majorBidi" w:eastAsia="Calibri" w:hAnsiTheme="majorBidi" w:cstheme="majorBidi"/>
                <w:bCs/>
                <w:noProof/>
                <w:color w:val="000000" w:themeColor="text1"/>
                <w:sz w:val="14"/>
                <w:szCs w:val="14"/>
              </w:rPr>
              <w:br/>
              <w:t>OPI de classe II pour 2 critères terminaux et OPI de classe I pour l’autre critère terminal</w:t>
            </w:r>
          </w:p>
        </w:tc>
        <w:tc>
          <w:tcPr>
            <w:tcW w:w="605" w:type="pct"/>
            <w:tcBorders>
              <w:top w:val="single" w:sz="4" w:space="0" w:color="auto"/>
              <w:left w:val="single" w:sz="4" w:space="0" w:color="auto"/>
              <w:bottom w:val="single" w:sz="4" w:space="0" w:color="auto"/>
              <w:right w:val="single" w:sz="4" w:space="0" w:color="auto"/>
            </w:tcBorders>
            <w:hideMark/>
          </w:tcPr>
          <w:p w14:paraId="1862838D"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Aucune prédiction indépendante ne peut être </w:t>
            </w:r>
            <w:r w:rsidRPr="00950D73">
              <w:rPr>
                <w:rFonts w:asciiTheme="majorBidi" w:hAnsiTheme="majorBidi" w:cstheme="majorBidi"/>
                <w:sz w:val="14"/>
                <w:szCs w:val="14"/>
              </w:rPr>
              <w:t>faite</w:t>
            </w:r>
          </w:p>
        </w:tc>
        <w:tc>
          <w:tcPr>
            <w:tcW w:w="60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5D82DB" w14:textId="77777777" w:rsidR="00AE5881" w:rsidRPr="00950D73" w:rsidRDefault="00AE5881" w:rsidP="007E5566">
            <w:pPr>
              <w:keepNext/>
              <w:keepLines/>
              <w:spacing w:before="40" w:after="40" w:line="240" w:lineRule="auto"/>
              <w:ind w:left="57" w:right="57"/>
              <w:jc w:val="center"/>
              <w:rPr>
                <w:rFonts w:asciiTheme="majorBid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Viabilité &gt;70 %</w:t>
            </w:r>
            <w:r w:rsidRPr="00950D73">
              <w:rPr>
                <w:rFonts w:asciiTheme="majorBidi" w:eastAsia="Calibri" w:hAnsiTheme="majorBidi" w:cstheme="majorBidi"/>
                <w:bCs/>
                <w:noProof/>
                <w:color w:val="000000" w:themeColor="text1"/>
                <w:sz w:val="14"/>
                <w:szCs w:val="14"/>
              </w:rPr>
              <w:br/>
              <w:t xml:space="preserve">à 5 % </w:t>
            </w:r>
            <w:r w:rsidRPr="00950D73">
              <w:rPr>
                <w:rFonts w:asciiTheme="majorBidi" w:hAnsiTheme="majorBidi" w:cstheme="majorBidi"/>
                <w:sz w:val="14"/>
                <w:szCs w:val="14"/>
              </w:rPr>
              <w:t>et</w:t>
            </w:r>
            <w:r w:rsidRPr="00950D73">
              <w:rPr>
                <w:rFonts w:asciiTheme="majorBidi" w:eastAsia="Calibri" w:hAnsiTheme="majorBidi" w:cstheme="majorBidi"/>
                <w:bCs/>
                <w:noProof/>
                <w:color w:val="000000" w:themeColor="text1"/>
                <w:sz w:val="14"/>
                <w:szCs w:val="14"/>
              </w:rPr>
              <w:t xml:space="preserve"> à 0,05 %</w:t>
            </w:r>
          </w:p>
        </w:tc>
        <w:tc>
          <w:tcPr>
            <w:tcW w:w="285" w:type="pct"/>
            <w:tcBorders>
              <w:top w:val="single" w:sz="4" w:space="0" w:color="auto"/>
              <w:left w:val="single" w:sz="4" w:space="0" w:color="auto"/>
              <w:bottom w:val="single" w:sz="4" w:space="0" w:color="auto"/>
              <w:right w:val="single" w:sz="4" w:space="0" w:color="auto"/>
            </w:tcBorders>
          </w:tcPr>
          <w:p w14:paraId="1C71BBBD" w14:textId="77777777" w:rsidR="00AE5881" w:rsidRPr="00950D73" w:rsidRDefault="00AE5881" w:rsidP="007E5566">
            <w:pPr>
              <w:keepNext/>
              <w:keepLines/>
              <w:spacing w:before="40" w:after="40" w:line="240" w:lineRule="auto"/>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Méthode </w:t>
            </w:r>
            <w:r w:rsidRPr="00950D73">
              <w:rPr>
                <w:rFonts w:asciiTheme="majorBidi" w:hAnsiTheme="majorBidi" w:cstheme="majorBidi"/>
                <w:sz w:val="14"/>
                <w:szCs w:val="14"/>
              </w:rPr>
              <w:t>d’essai</w:t>
            </w:r>
            <w:r w:rsidRPr="00950D73">
              <w:rPr>
                <w:rFonts w:asciiTheme="majorBidi" w:hAnsiTheme="majorBidi" w:cstheme="majorBidi"/>
                <w:sz w:val="14"/>
                <w:szCs w:val="14"/>
              </w:rPr>
              <w:br/>
            </w:r>
            <w:r w:rsidRPr="00950D73">
              <w:rPr>
                <w:rFonts w:asciiTheme="majorBidi" w:eastAsia="Calibri" w:hAnsiTheme="majorBidi" w:cstheme="majorBidi"/>
                <w:bCs/>
                <w:noProof/>
                <w:color w:val="000000" w:themeColor="text1"/>
                <w:sz w:val="14"/>
                <w:szCs w:val="14"/>
              </w:rPr>
              <w:t>1</w:t>
            </w:r>
          </w:p>
          <w:p w14:paraId="523C13A2"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Liquides et solides : viabilité &gt;60 %</w:t>
            </w:r>
          </w:p>
        </w:tc>
        <w:tc>
          <w:tcPr>
            <w:tcW w:w="286" w:type="pct"/>
            <w:tcBorders>
              <w:top w:val="single" w:sz="4" w:space="0" w:color="auto"/>
              <w:left w:val="single" w:sz="4" w:space="0" w:color="auto"/>
              <w:bottom w:val="single" w:sz="4" w:space="0" w:color="auto"/>
              <w:right w:val="single" w:sz="4" w:space="0" w:color="auto"/>
            </w:tcBorders>
          </w:tcPr>
          <w:p w14:paraId="65C9FCC0"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Méthode </w:t>
            </w:r>
            <w:r w:rsidRPr="00950D73">
              <w:rPr>
                <w:rFonts w:asciiTheme="majorBidi" w:hAnsiTheme="majorBidi" w:cstheme="majorBidi"/>
                <w:sz w:val="14"/>
                <w:szCs w:val="14"/>
              </w:rPr>
              <w:t>d’essai</w:t>
            </w:r>
            <w:r w:rsidRPr="00950D73">
              <w:rPr>
                <w:rFonts w:asciiTheme="majorBidi" w:hAnsiTheme="majorBidi" w:cstheme="majorBidi"/>
                <w:sz w:val="14"/>
                <w:szCs w:val="14"/>
              </w:rPr>
              <w:br/>
            </w:r>
            <w:r w:rsidRPr="00950D73">
              <w:rPr>
                <w:rFonts w:asciiTheme="majorBidi" w:eastAsia="Calibri" w:hAnsiTheme="majorBidi" w:cstheme="majorBidi"/>
                <w:bCs/>
                <w:noProof/>
                <w:color w:val="000000" w:themeColor="text1"/>
                <w:sz w:val="14"/>
                <w:szCs w:val="14"/>
              </w:rPr>
              <w:t>2</w:t>
            </w:r>
          </w:p>
          <w:p w14:paraId="10F235DB"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Liquides : </w:t>
            </w:r>
            <w:r w:rsidRPr="00950D73">
              <w:rPr>
                <w:rFonts w:asciiTheme="majorBidi" w:hAnsiTheme="majorBidi" w:cstheme="majorBidi"/>
                <w:sz w:val="14"/>
                <w:szCs w:val="14"/>
              </w:rPr>
              <w:t>viabilité</w:t>
            </w:r>
            <w:r w:rsidRPr="00950D73">
              <w:rPr>
                <w:rFonts w:asciiTheme="majorBidi" w:eastAsia="Calibri" w:hAnsiTheme="majorBidi" w:cstheme="majorBidi"/>
                <w:bCs/>
                <w:noProof/>
                <w:color w:val="000000" w:themeColor="text1"/>
                <w:sz w:val="14"/>
                <w:szCs w:val="14"/>
              </w:rPr>
              <w:t xml:space="preserve"> &gt;60 % ; solides : viabilité &gt;50 %</w:t>
            </w:r>
          </w:p>
        </w:tc>
        <w:tc>
          <w:tcPr>
            <w:tcW w:w="286" w:type="pct"/>
            <w:tcBorders>
              <w:top w:val="single" w:sz="4" w:space="0" w:color="auto"/>
              <w:left w:val="single" w:sz="4" w:space="0" w:color="auto"/>
              <w:bottom w:val="single" w:sz="4" w:space="0" w:color="auto"/>
              <w:right w:val="single" w:sz="4" w:space="0" w:color="auto"/>
            </w:tcBorders>
          </w:tcPr>
          <w:p w14:paraId="3708DFCF"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hAnsiTheme="majorBidi" w:cstheme="majorBidi"/>
                <w:sz w:val="14"/>
                <w:szCs w:val="14"/>
              </w:rPr>
              <w:t>Méthode</w:t>
            </w:r>
            <w:r w:rsidRPr="00950D73">
              <w:rPr>
                <w:rFonts w:asciiTheme="majorBidi" w:eastAsia="Calibri" w:hAnsiTheme="majorBidi" w:cstheme="majorBidi"/>
                <w:bCs/>
                <w:noProof/>
                <w:color w:val="000000" w:themeColor="text1"/>
                <w:sz w:val="14"/>
                <w:szCs w:val="14"/>
              </w:rPr>
              <w:t xml:space="preserve"> d’essai</w:t>
            </w:r>
            <w:r w:rsidRPr="00950D73">
              <w:rPr>
                <w:rFonts w:asciiTheme="majorBidi" w:eastAsia="Calibri" w:hAnsiTheme="majorBidi" w:cstheme="majorBidi"/>
                <w:bCs/>
                <w:noProof/>
                <w:color w:val="000000" w:themeColor="text1"/>
                <w:sz w:val="14"/>
                <w:szCs w:val="14"/>
              </w:rPr>
              <w:br/>
              <w:t>3</w:t>
            </w:r>
          </w:p>
          <w:p w14:paraId="6A7EEC73"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Liquides et </w:t>
            </w:r>
            <w:r w:rsidRPr="00950D73">
              <w:rPr>
                <w:rFonts w:asciiTheme="majorBidi" w:hAnsiTheme="majorBidi" w:cstheme="majorBidi"/>
                <w:sz w:val="14"/>
                <w:szCs w:val="14"/>
              </w:rPr>
              <w:t>solides</w:t>
            </w:r>
            <w:r w:rsidRPr="00950D73">
              <w:rPr>
                <w:rFonts w:asciiTheme="majorBidi" w:eastAsia="Calibri" w:hAnsiTheme="majorBidi" w:cstheme="majorBidi"/>
                <w:bCs/>
                <w:noProof/>
                <w:color w:val="000000" w:themeColor="text1"/>
                <w:sz w:val="14"/>
                <w:szCs w:val="14"/>
              </w:rPr>
              <w:t> : viabilité &gt;40 %</w:t>
            </w:r>
          </w:p>
        </w:tc>
        <w:tc>
          <w:tcPr>
            <w:tcW w:w="286" w:type="pct"/>
            <w:tcBorders>
              <w:top w:val="single" w:sz="4" w:space="0" w:color="auto"/>
              <w:left w:val="single" w:sz="4" w:space="0" w:color="auto"/>
              <w:bottom w:val="single" w:sz="4" w:space="0" w:color="auto"/>
              <w:right w:val="single" w:sz="4" w:space="0" w:color="auto"/>
            </w:tcBorders>
          </w:tcPr>
          <w:p w14:paraId="2241F955"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Méthode </w:t>
            </w:r>
            <w:r w:rsidRPr="00950D73">
              <w:rPr>
                <w:rFonts w:asciiTheme="majorBidi" w:hAnsiTheme="majorBidi" w:cstheme="majorBidi"/>
                <w:sz w:val="14"/>
                <w:szCs w:val="14"/>
              </w:rPr>
              <w:t>d’essai</w:t>
            </w:r>
            <w:r w:rsidRPr="00950D73">
              <w:rPr>
                <w:rFonts w:asciiTheme="majorBidi" w:hAnsiTheme="majorBidi" w:cstheme="majorBidi"/>
                <w:sz w:val="14"/>
                <w:szCs w:val="14"/>
              </w:rPr>
              <w:br/>
            </w:r>
            <w:r w:rsidRPr="00950D73">
              <w:rPr>
                <w:rFonts w:asciiTheme="majorBidi" w:eastAsia="Calibri" w:hAnsiTheme="majorBidi" w:cstheme="majorBidi"/>
                <w:bCs/>
                <w:noProof/>
                <w:color w:val="000000" w:themeColor="text1"/>
                <w:sz w:val="14"/>
                <w:szCs w:val="14"/>
              </w:rPr>
              <w:t>4</w:t>
            </w:r>
          </w:p>
          <w:p w14:paraId="5806E787"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Liquides : viabilité &gt;35 % ; solides : viabilité &gt;60 %</w:t>
            </w:r>
          </w:p>
        </w:tc>
        <w:tc>
          <w:tcPr>
            <w:tcW w:w="520" w:type="pct"/>
            <w:tcBorders>
              <w:top w:val="single" w:sz="4" w:space="0" w:color="auto"/>
              <w:left w:val="single" w:sz="4" w:space="0" w:color="auto"/>
              <w:bottom w:val="single" w:sz="4" w:space="0" w:color="auto"/>
              <w:right w:val="single" w:sz="4" w:space="0" w:color="auto"/>
            </w:tcBorders>
            <w:hideMark/>
          </w:tcPr>
          <w:p w14:paraId="1BED01FC"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 xml:space="preserve">Délai &gt;180 secondes </w:t>
            </w:r>
            <w:r w:rsidRPr="00950D73">
              <w:rPr>
                <w:rFonts w:asciiTheme="majorBidi" w:eastAsia="Calibri" w:hAnsiTheme="majorBidi" w:cstheme="majorBidi"/>
                <w:bCs/>
                <w:noProof/>
                <w:color w:val="000000" w:themeColor="text1"/>
                <w:sz w:val="14"/>
                <w:szCs w:val="14"/>
              </w:rPr>
              <w:br/>
              <w:t xml:space="preserve">et </w:t>
            </w:r>
            <w:r w:rsidRPr="00950D73">
              <w:rPr>
                <w:rFonts w:asciiTheme="majorBidi" w:hAnsiTheme="majorBidi" w:cstheme="majorBidi"/>
                <w:sz w:val="14"/>
                <w:szCs w:val="14"/>
              </w:rPr>
              <w:t>intensité</w:t>
            </w:r>
            <w:r w:rsidRPr="00950D73">
              <w:rPr>
                <w:rFonts w:asciiTheme="majorBidi" w:eastAsia="Calibri" w:hAnsiTheme="majorBidi" w:cstheme="majorBidi"/>
                <w:bCs/>
                <w:noProof/>
                <w:color w:val="000000" w:themeColor="text1"/>
                <w:sz w:val="14"/>
                <w:szCs w:val="14"/>
              </w:rPr>
              <w:t xml:space="preserve"> &lt;0,05 %/seconde et </w:t>
            </w:r>
            <w:r w:rsidRPr="00950D73">
              <w:rPr>
                <w:rFonts w:asciiTheme="majorBidi" w:hAnsiTheme="majorBidi" w:cstheme="majorBidi"/>
                <w:sz w:val="14"/>
                <w:szCs w:val="14"/>
              </w:rPr>
              <w:t>niveau</w:t>
            </w:r>
            <w:r w:rsidRPr="00950D73">
              <w:rPr>
                <w:rFonts w:asciiTheme="majorBidi" w:eastAsia="Calibri" w:hAnsiTheme="majorBidi" w:cstheme="majorBidi"/>
                <w:bCs/>
                <w:noProof/>
                <w:color w:val="000000" w:themeColor="text1"/>
                <w:sz w:val="14"/>
                <w:szCs w:val="14"/>
              </w:rPr>
              <w:t xml:space="preserve"> plateau ≤5,0 %</w:t>
            </w:r>
          </w:p>
        </w:tc>
        <w:tc>
          <w:tcPr>
            <w:tcW w:w="520" w:type="pct"/>
            <w:tcBorders>
              <w:top w:val="single" w:sz="4" w:space="0" w:color="auto"/>
              <w:left w:val="single" w:sz="4" w:space="0" w:color="auto"/>
              <w:bottom w:val="single" w:sz="4" w:space="0" w:color="auto"/>
              <w:right w:val="single" w:sz="4" w:space="0" w:color="auto"/>
            </w:tcBorders>
            <w:hideMark/>
          </w:tcPr>
          <w:p w14:paraId="6E71CF26" w14:textId="77777777" w:rsidR="00AE5881" w:rsidRPr="00950D73" w:rsidRDefault="00AE5881" w:rsidP="007E5566">
            <w:pPr>
              <w:keepNext/>
              <w:keepLines/>
              <w:spacing w:before="40" w:after="40" w:line="240" w:lineRule="auto"/>
              <w:ind w:left="57" w:right="57"/>
              <w:jc w:val="center"/>
              <w:rPr>
                <w:rFonts w:asciiTheme="majorBidi" w:eastAsia="Calibri" w:hAnsiTheme="majorBidi" w:cstheme="majorBidi"/>
                <w:bCs/>
                <w:noProof/>
                <w:color w:val="000000" w:themeColor="text1"/>
                <w:sz w:val="14"/>
                <w:szCs w:val="14"/>
              </w:rPr>
            </w:pPr>
            <w:r w:rsidRPr="00950D73">
              <w:rPr>
                <w:rFonts w:asciiTheme="majorBidi" w:eastAsia="Calibri" w:hAnsiTheme="majorBidi" w:cstheme="majorBidi"/>
                <w:bCs/>
                <w:noProof/>
                <w:color w:val="000000" w:themeColor="text1"/>
                <w:sz w:val="14"/>
                <w:szCs w:val="14"/>
              </w:rPr>
              <w:t>SMQ ≤12,5</w:t>
            </w:r>
          </w:p>
        </w:tc>
      </w:tr>
    </w:tbl>
    <w:p w14:paraId="655590C4" w14:textId="77777777" w:rsidR="00AE5881" w:rsidRPr="00950D73" w:rsidRDefault="00AE5881" w:rsidP="007E5566">
      <w:pPr>
        <w:spacing w:before="200" w:line="240" w:lineRule="auto"/>
        <w:ind w:left="284" w:firstLine="170"/>
        <w:rPr>
          <w:rFonts w:asciiTheme="majorBidi" w:hAnsiTheme="majorBidi" w:cstheme="majorBidi"/>
          <w:i/>
          <w:iCs/>
          <w:color w:val="000000" w:themeColor="text1"/>
          <w:sz w:val="18"/>
          <w:szCs w:val="18"/>
        </w:rPr>
      </w:pPr>
      <w:r w:rsidRPr="00950D73">
        <w:rPr>
          <w:rFonts w:asciiTheme="majorBidi" w:hAnsiTheme="majorBidi" w:cstheme="majorBidi"/>
          <w:b/>
          <w:bCs/>
          <w:i/>
          <w:iCs/>
          <w:color w:val="000000" w:themeColor="text1"/>
          <w:sz w:val="18"/>
          <w:szCs w:val="18"/>
          <w:vertAlign w:val="superscript"/>
        </w:rPr>
        <w:t>a</w:t>
      </w:r>
      <w:r w:rsidRPr="00950D73">
        <w:rPr>
          <w:rFonts w:asciiTheme="majorBidi" w:hAnsiTheme="majorBidi" w:cstheme="majorBidi"/>
          <w:color w:val="000000" w:themeColor="text1"/>
          <w:sz w:val="18"/>
          <w:szCs w:val="18"/>
        </w:rPr>
        <w:t xml:space="preserve">  </w:t>
      </w:r>
      <w:r w:rsidRPr="00950D73">
        <w:rPr>
          <w:rFonts w:asciiTheme="majorBidi" w:hAnsiTheme="majorBidi" w:cstheme="majorBidi"/>
          <w:i/>
          <w:iCs/>
          <w:color w:val="000000" w:themeColor="text1"/>
          <w:sz w:val="18"/>
          <w:szCs w:val="18"/>
        </w:rPr>
        <w:t>Les critères de classification doivent être interprétés dans le contexte des lignes directrices 437, 438, 460, 491, 492, 494 et 496 de l’OCDE.</w:t>
      </w:r>
    </w:p>
    <w:p w14:paraId="7F59E339" w14:textId="2E7D6057" w:rsidR="001A0D08" w:rsidRPr="00950D73" w:rsidRDefault="00AE5881" w:rsidP="003229BF">
      <w:pPr>
        <w:ind w:left="426"/>
        <w:rPr>
          <w:rFonts w:asciiTheme="majorBidi" w:hAnsiTheme="majorBidi" w:cstheme="majorBidi"/>
          <w:lang w:eastAsia="fr-FR"/>
        </w:rPr>
      </w:pPr>
      <w:r w:rsidRPr="00950D73">
        <w:rPr>
          <w:rFonts w:asciiTheme="majorBidi" w:hAnsiTheme="majorBidi" w:cstheme="majorBidi"/>
          <w:b/>
          <w:bCs/>
          <w:i/>
          <w:iCs/>
          <w:color w:val="000000" w:themeColor="text1"/>
          <w:sz w:val="18"/>
          <w:szCs w:val="18"/>
          <w:vertAlign w:val="superscript"/>
        </w:rPr>
        <w:t>b</w:t>
      </w:r>
      <w:r w:rsidRPr="00950D73">
        <w:rPr>
          <w:rFonts w:asciiTheme="majorBidi" w:hAnsiTheme="majorBidi" w:cstheme="majorBidi"/>
          <w:color w:val="000000" w:themeColor="text1"/>
          <w:sz w:val="18"/>
          <w:szCs w:val="18"/>
        </w:rPr>
        <w:t xml:space="preserve">  </w:t>
      </w:r>
      <w:r w:rsidRPr="00950D73">
        <w:rPr>
          <w:rFonts w:asciiTheme="majorBidi" w:hAnsiTheme="majorBidi" w:cstheme="majorBidi"/>
          <w:i/>
          <w:iCs/>
          <w:color w:val="000000" w:themeColor="text1"/>
          <w:sz w:val="18"/>
          <w:szCs w:val="18"/>
        </w:rPr>
        <w:t>En ce qui concerne les critères, on se reportera à la ligne directrice 438 de l’OCDE.</w:t>
      </w:r>
    </w:p>
    <w:p w14:paraId="58B53820" w14:textId="77777777" w:rsidR="00E871C6" w:rsidRPr="00950D73" w:rsidRDefault="00E871C6" w:rsidP="001A0D08">
      <w:pPr>
        <w:rPr>
          <w:rFonts w:asciiTheme="majorBidi" w:hAnsiTheme="majorBidi" w:cstheme="majorBidi"/>
          <w:lang w:eastAsia="fr-FR"/>
        </w:rPr>
        <w:sectPr w:rsidR="00E871C6" w:rsidRPr="00950D73" w:rsidSect="001A0D08">
          <w:headerReference w:type="even" r:id="rId33"/>
          <w:headerReference w:type="default" r:id="rId34"/>
          <w:footerReference w:type="even" r:id="rId35"/>
          <w:footerReference w:type="default" r:id="rId36"/>
          <w:endnotePr>
            <w:numFmt w:val="decimal"/>
          </w:endnotePr>
          <w:pgSz w:w="16838" w:h="11906" w:orient="landscape" w:code="9"/>
          <w:pgMar w:top="1134" w:right="1417" w:bottom="1134" w:left="1134" w:header="567" w:footer="567" w:gutter="0"/>
          <w:cols w:space="708"/>
          <w:docGrid w:linePitch="360"/>
        </w:sectPr>
      </w:pPr>
    </w:p>
    <w:p w14:paraId="57CFDF4A" w14:textId="77777777" w:rsidR="009C5BA4" w:rsidRPr="00950D73" w:rsidRDefault="009C5BA4" w:rsidP="009C5BA4">
      <w:pPr>
        <w:tabs>
          <w:tab w:val="left" w:pos="2268"/>
          <w:tab w:val="left" w:pos="3402"/>
        </w:tabs>
        <w:spacing w:after="120"/>
        <w:ind w:left="2268" w:right="1134"/>
        <w:jc w:val="both"/>
        <w:rPr>
          <w:rFonts w:asciiTheme="majorBidi" w:hAnsiTheme="majorBidi" w:cstheme="majorBidi"/>
          <w:color w:val="000000" w:themeColor="text1"/>
          <w:lang w:val="fr-FR"/>
        </w:rPr>
      </w:pPr>
      <w:r w:rsidRPr="00950D73">
        <w:rPr>
          <w:rFonts w:asciiTheme="majorBidi" w:hAnsiTheme="majorBidi" w:cstheme="majorBidi"/>
          <w:color w:val="000000" w:themeColor="text1"/>
          <w:lang w:val="fr-FR"/>
        </w:rPr>
        <w:lastRenderedPageBreak/>
        <w:t>3.3.5.3.5.2</w:t>
      </w:r>
      <w:r w:rsidRPr="00950D73">
        <w:rPr>
          <w:rFonts w:asciiTheme="majorBidi" w:hAnsiTheme="majorBidi" w:cstheme="majorBidi"/>
          <w:color w:val="000000" w:themeColor="text1"/>
          <w:lang w:val="fr-FR"/>
        </w:rPr>
        <w:tab/>
        <w:t>On trouvera ci-dessous une liste non exhaustive d’autres méthodes d’essai in vitro</w:t>
      </w:r>
      <w:r w:rsidRPr="00950D73">
        <w:rPr>
          <w:rFonts w:asciiTheme="majorBidi" w:hAnsiTheme="majorBidi" w:cstheme="majorBidi"/>
          <w:iCs/>
          <w:color w:val="000000" w:themeColor="text1"/>
          <w:lang w:val="fr-FR"/>
        </w:rPr>
        <w:t>/</w:t>
      </w:r>
      <w:r w:rsidRPr="00950D73">
        <w:rPr>
          <w:rFonts w:asciiTheme="majorBidi" w:hAnsiTheme="majorBidi" w:cstheme="majorBidi"/>
          <w:i/>
          <w:iCs/>
          <w:color w:val="000000" w:themeColor="text1"/>
          <w:lang w:val="fr-FR"/>
        </w:rPr>
        <w:t>ex vivo</w:t>
      </w:r>
      <w:r w:rsidRPr="00950D73">
        <w:rPr>
          <w:rFonts w:asciiTheme="majorBidi" w:hAnsiTheme="majorBidi" w:cstheme="majorBidi"/>
          <w:color w:val="000000" w:themeColor="text1"/>
          <w:lang w:val="fr-FR"/>
        </w:rPr>
        <w:t xml:space="preserve"> validées, qui ont été acceptées par certaines autorités compétentes, mais qui n’ont pas été adoptées par l’OCDE au titre de ses lignes directrices pour les essais. Une autorité compétente peut décider des éventuels critères de classification à appliquer à ces méthodes d’essai :</w:t>
      </w:r>
    </w:p>
    <w:p w14:paraId="5CB5EDBA"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Essais d’exposition TE</w:t>
      </w:r>
      <w:r w:rsidRPr="00950D73">
        <w:rPr>
          <w:rFonts w:asciiTheme="majorBidi" w:hAnsiTheme="majorBidi" w:cstheme="majorBidi"/>
          <w:vertAlign w:val="subscript"/>
          <w:lang w:val="fr-FR"/>
        </w:rPr>
        <w:t>50</w:t>
      </w:r>
      <w:r w:rsidRPr="00950D73">
        <w:rPr>
          <w:rFonts w:asciiTheme="majorBidi" w:hAnsiTheme="majorBidi" w:cstheme="majorBidi"/>
          <w:lang w:val="fr-FR"/>
        </w:rPr>
        <w:t xml:space="preserve"> sur des épithéliums cornéens humains reconstitués (</w:t>
      </w:r>
      <w:proofErr w:type="spellStart"/>
      <w:r w:rsidRPr="00950D73">
        <w:rPr>
          <w:rFonts w:asciiTheme="majorBidi" w:hAnsiTheme="majorBidi" w:cstheme="majorBidi"/>
          <w:lang w:val="fr-FR"/>
        </w:rPr>
        <w:t>echr</w:t>
      </w:r>
      <w:proofErr w:type="spellEnd"/>
      <w:r w:rsidRPr="00950D73">
        <w:rPr>
          <w:rFonts w:asciiTheme="majorBidi" w:hAnsiTheme="majorBidi" w:cstheme="majorBidi"/>
          <w:lang w:val="fr-FR"/>
        </w:rPr>
        <w:t>), décrits dans la ligne directrice 492 de l’OCDE (</w:t>
      </w:r>
      <w:proofErr w:type="spellStart"/>
      <w:r w:rsidRPr="00950D73">
        <w:rPr>
          <w:rFonts w:asciiTheme="majorBidi" w:hAnsiTheme="majorBidi" w:cstheme="majorBidi"/>
          <w:lang w:val="fr-FR"/>
        </w:rPr>
        <w:t>Kandarova</w:t>
      </w:r>
      <w:proofErr w:type="spellEnd"/>
      <w:r w:rsidRPr="00950D73">
        <w:rPr>
          <w:rFonts w:asciiTheme="majorBidi" w:hAnsiTheme="majorBidi" w:cstheme="majorBidi"/>
          <w:lang w:val="fr-FR"/>
        </w:rPr>
        <w:t xml:space="preserve"> et al., 2018 ; </w:t>
      </w:r>
      <w:proofErr w:type="spellStart"/>
      <w:r w:rsidRPr="00950D73">
        <w:rPr>
          <w:rFonts w:asciiTheme="majorBidi" w:hAnsiTheme="majorBidi" w:cstheme="majorBidi"/>
          <w:lang w:val="fr-FR"/>
        </w:rPr>
        <w:t>Alépée</w:t>
      </w:r>
      <w:proofErr w:type="spellEnd"/>
      <w:r w:rsidRPr="00950D73">
        <w:rPr>
          <w:rFonts w:asciiTheme="majorBidi" w:hAnsiTheme="majorBidi" w:cstheme="majorBidi"/>
          <w:lang w:val="fr-FR"/>
        </w:rPr>
        <w:t xml:space="preserve"> et al., 2020) ;</w:t>
      </w:r>
    </w:p>
    <w:p w14:paraId="4A6DDC3A"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Essai d’irritation oculaire </w:t>
      </w:r>
      <w:r w:rsidRPr="00950D73">
        <w:rPr>
          <w:rFonts w:asciiTheme="majorBidi" w:hAnsiTheme="majorBidi" w:cstheme="majorBidi"/>
          <w:i/>
          <w:iCs/>
          <w:lang w:val="fr-FR"/>
        </w:rPr>
        <w:t>ex vivo</w:t>
      </w:r>
      <w:r w:rsidRPr="00950D73">
        <w:rPr>
          <w:rFonts w:asciiTheme="majorBidi" w:hAnsiTheme="majorBidi" w:cstheme="majorBidi"/>
          <w:lang w:val="fr-FR"/>
        </w:rPr>
        <w:t xml:space="preserve"> EVEIT : essai </w:t>
      </w:r>
      <w:r w:rsidRPr="00950D73">
        <w:rPr>
          <w:rFonts w:asciiTheme="majorBidi" w:hAnsiTheme="majorBidi" w:cstheme="majorBidi"/>
          <w:i/>
          <w:iCs/>
          <w:lang w:val="fr-FR"/>
        </w:rPr>
        <w:t>ex vivo</w:t>
      </w:r>
      <w:r w:rsidRPr="00950D73">
        <w:rPr>
          <w:rFonts w:asciiTheme="majorBidi" w:hAnsiTheme="majorBidi" w:cstheme="majorBidi"/>
          <w:lang w:val="fr-FR"/>
        </w:rPr>
        <w:t xml:space="preserve"> réalisé à partir de tissus cornéens de lapin excisés, maintenus en culture pendant plusieurs jours, qui consiste à observer la reconstitution des tissus en vue de modéliser les effets réversibles et les effets non réversibles sur les yeux. La reconstitution des tissus à leur pleine épaisseur est observée de manière non invasive, par tomographie par cohérence optique (</w:t>
      </w:r>
      <w:proofErr w:type="spellStart"/>
      <w:r w:rsidRPr="00950D73">
        <w:rPr>
          <w:rFonts w:asciiTheme="majorBidi" w:hAnsiTheme="majorBidi" w:cstheme="majorBidi"/>
          <w:lang w:val="fr-FR"/>
        </w:rPr>
        <w:t>Frentz</w:t>
      </w:r>
      <w:proofErr w:type="spellEnd"/>
      <w:r w:rsidRPr="00950D73">
        <w:rPr>
          <w:rFonts w:asciiTheme="majorBidi" w:hAnsiTheme="majorBidi" w:cstheme="majorBidi"/>
          <w:lang w:val="fr-FR"/>
        </w:rPr>
        <w:t xml:space="preserve"> et al., 2008 ; </w:t>
      </w:r>
      <w:proofErr w:type="spellStart"/>
      <w:r w:rsidRPr="00950D73">
        <w:rPr>
          <w:rFonts w:asciiTheme="majorBidi" w:hAnsiTheme="majorBidi" w:cstheme="majorBidi"/>
          <w:lang w:val="fr-FR"/>
        </w:rPr>
        <w:t>Spöler</w:t>
      </w:r>
      <w:proofErr w:type="spellEnd"/>
      <w:r w:rsidRPr="00950D73">
        <w:rPr>
          <w:rFonts w:asciiTheme="majorBidi" w:hAnsiTheme="majorBidi" w:cstheme="majorBidi"/>
          <w:lang w:val="fr-FR"/>
        </w:rPr>
        <w:t xml:space="preserve"> et al., 2007 ; </w:t>
      </w:r>
      <w:proofErr w:type="spellStart"/>
      <w:r w:rsidRPr="00950D73">
        <w:rPr>
          <w:rFonts w:asciiTheme="majorBidi" w:hAnsiTheme="majorBidi" w:cstheme="majorBidi"/>
          <w:lang w:val="fr-FR"/>
        </w:rPr>
        <w:t>Spöler</w:t>
      </w:r>
      <w:proofErr w:type="spellEnd"/>
      <w:r w:rsidRPr="00950D73">
        <w:rPr>
          <w:rFonts w:asciiTheme="majorBidi" w:hAnsiTheme="majorBidi" w:cstheme="majorBidi"/>
          <w:lang w:val="fr-FR"/>
        </w:rPr>
        <w:t xml:space="preserve"> et al., 2015) ;</w:t>
      </w:r>
    </w:p>
    <w:p w14:paraId="73A666DF"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Essai d’opacité et de réversibilité </w:t>
      </w:r>
      <w:proofErr w:type="spellStart"/>
      <w:r w:rsidRPr="00950D73">
        <w:rPr>
          <w:rFonts w:asciiTheme="majorBidi" w:hAnsiTheme="majorBidi" w:cstheme="majorBidi"/>
          <w:lang w:val="fr-FR"/>
        </w:rPr>
        <w:t>PorCORA</w:t>
      </w:r>
      <w:proofErr w:type="spellEnd"/>
      <w:r w:rsidRPr="00950D73">
        <w:rPr>
          <w:rFonts w:asciiTheme="majorBidi" w:hAnsiTheme="majorBidi" w:cstheme="majorBidi"/>
          <w:lang w:val="fr-FR"/>
        </w:rPr>
        <w:t xml:space="preserve"> : essai </w:t>
      </w:r>
      <w:r w:rsidRPr="00950D73">
        <w:rPr>
          <w:rFonts w:asciiTheme="majorBidi" w:hAnsiTheme="majorBidi" w:cstheme="majorBidi"/>
          <w:i/>
          <w:iCs/>
          <w:lang w:val="fr-FR"/>
        </w:rPr>
        <w:t xml:space="preserve">ex vivo </w:t>
      </w:r>
      <w:r w:rsidRPr="00950D73">
        <w:rPr>
          <w:rFonts w:asciiTheme="majorBidi" w:hAnsiTheme="majorBidi" w:cstheme="majorBidi"/>
          <w:lang w:val="fr-FR"/>
        </w:rPr>
        <w:t>réalisé à partir de tissus cornéens de porc excisés, maintenus en culture jusqu’à 21 jours, qui consiste à observer la reconstitution des tissus en vue de modéliser les effets réversibles et les effets non réversibles sur les yeux. Un colorant fluorescent est appliqué sur les tissus, ce qui permet d’observer les effets sur les épithéliums cornéens (</w:t>
      </w:r>
      <w:proofErr w:type="spellStart"/>
      <w:r w:rsidRPr="00950D73">
        <w:rPr>
          <w:rFonts w:asciiTheme="majorBidi" w:hAnsiTheme="majorBidi" w:cstheme="majorBidi"/>
          <w:lang w:val="fr-FR"/>
        </w:rPr>
        <w:t>Piehl</w:t>
      </w:r>
      <w:proofErr w:type="spellEnd"/>
      <w:r w:rsidRPr="00950D73">
        <w:rPr>
          <w:rFonts w:asciiTheme="majorBidi" w:hAnsiTheme="majorBidi" w:cstheme="majorBidi"/>
          <w:lang w:val="fr-FR"/>
        </w:rPr>
        <w:t xml:space="preserve"> et al., 2010 ; </w:t>
      </w:r>
      <w:proofErr w:type="spellStart"/>
      <w:r w:rsidRPr="00950D73">
        <w:rPr>
          <w:rFonts w:asciiTheme="majorBidi" w:hAnsiTheme="majorBidi" w:cstheme="majorBidi"/>
          <w:lang w:val="fr-FR"/>
        </w:rPr>
        <w:t>Piehl</w:t>
      </w:r>
      <w:proofErr w:type="spellEnd"/>
      <w:r w:rsidRPr="00950D73">
        <w:rPr>
          <w:rFonts w:asciiTheme="majorBidi" w:hAnsiTheme="majorBidi" w:cstheme="majorBidi"/>
          <w:lang w:val="fr-FR"/>
        </w:rPr>
        <w:t xml:space="preserve"> et al., 2011) ;</w:t>
      </w:r>
    </w:p>
    <w:p w14:paraId="51C575FE"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Essai </w:t>
      </w:r>
      <w:proofErr w:type="spellStart"/>
      <w:r w:rsidRPr="00950D73">
        <w:rPr>
          <w:rFonts w:asciiTheme="majorBidi" w:hAnsiTheme="majorBidi" w:cstheme="majorBidi"/>
          <w:lang w:val="fr-FR"/>
        </w:rPr>
        <w:t>EyeIRR</w:t>
      </w:r>
      <w:proofErr w:type="spellEnd"/>
      <w:r w:rsidRPr="00950D73">
        <w:rPr>
          <w:rFonts w:asciiTheme="majorBidi" w:hAnsiTheme="majorBidi" w:cstheme="majorBidi"/>
          <w:lang w:val="fr-FR"/>
        </w:rPr>
        <w:t xml:space="preserve">-IS : méthode génomique appliquée à un modèle </w:t>
      </w:r>
      <w:proofErr w:type="spellStart"/>
      <w:r w:rsidRPr="00950D73">
        <w:rPr>
          <w:rFonts w:asciiTheme="majorBidi" w:hAnsiTheme="majorBidi" w:cstheme="majorBidi"/>
          <w:lang w:val="fr-FR"/>
        </w:rPr>
        <w:t>echr</w:t>
      </w:r>
      <w:proofErr w:type="spellEnd"/>
      <w:r w:rsidRPr="00950D73">
        <w:rPr>
          <w:rFonts w:asciiTheme="majorBidi" w:hAnsiTheme="majorBidi" w:cstheme="majorBidi"/>
          <w:lang w:val="fr-FR"/>
        </w:rPr>
        <w:t xml:space="preserve"> (</w:t>
      </w:r>
      <w:proofErr w:type="spellStart"/>
      <w:r w:rsidRPr="00950D73">
        <w:rPr>
          <w:rFonts w:asciiTheme="majorBidi" w:hAnsiTheme="majorBidi" w:cstheme="majorBidi"/>
          <w:lang w:val="fr-FR"/>
        </w:rPr>
        <w:t>Cottrez</w:t>
      </w:r>
      <w:proofErr w:type="spellEnd"/>
      <w:r w:rsidRPr="00950D73">
        <w:rPr>
          <w:rFonts w:asciiTheme="majorBidi" w:hAnsiTheme="majorBidi" w:cstheme="majorBidi"/>
          <w:lang w:val="fr-FR"/>
        </w:rPr>
        <w:t xml:space="preserve"> et al., 2021) ;</w:t>
      </w:r>
    </w:p>
    <w:p w14:paraId="1F4C6A37"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Méthode d’essai macromoléculaire in vitro (méthode d’essai 2), comparable à la méthode d’essai 1 décrite dans la ligne </w:t>
      </w:r>
      <w:r w:rsidRPr="00950D73">
        <w:rPr>
          <w:rFonts w:asciiTheme="majorBidi" w:hAnsiTheme="majorBidi" w:cstheme="majorBidi"/>
          <w:lang w:val="fr-FR"/>
        </w:rPr>
        <w:lastRenderedPageBreak/>
        <w:t>directrice 496 de l’OCDE (</w:t>
      </w:r>
      <w:proofErr w:type="spellStart"/>
      <w:r w:rsidRPr="00950D73">
        <w:rPr>
          <w:rFonts w:asciiTheme="majorBidi" w:hAnsiTheme="majorBidi" w:cstheme="majorBidi"/>
          <w:lang w:val="fr-FR"/>
        </w:rPr>
        <w:t>Choksi</w:t>
      </w:r>
      <w:proofErr w:type="spellEnd"/>
      <w:r w:rsidRPr="00950D73">
        <w:rPr>
          <w:rFonts w:asciiTheme="majorBidi" w:hAnsiTheme="majorBidi" w:cstheme="majorBidi"/>
          <w:lang w:val="fr-FR"/>
        </w:rPr>
        <w:t xml:space="preserve"> et al</w:t>
      </w:r>
      <w:r w:rsidRPr="00950D73">
        <w:rPr>
          <w:rFonts w:asciiTheme="majorBidi" w:hAnsiTheme="majorBidi" w:cstheme="majorBidi"/>
          <w:i/>
          <w:iCs/>
          <w:lang w:val="fr-FR"/>
        </w:rPr>
        <w:t>.</w:t>
      </w:r>
      <w:r w:rsidRPr="00950D73">
        <w:rPr>
          <w:rFonts w:asciiTheme="majorBidi" w:hAnsiTheme="majorBidi" w:cstheme="majorBidi"/>
          <w:lang w:val="fr-FR"/>
        </w:rPr>
        <w:t>, 2020) ;</w:t>
      </w:r>
    </w:p>
    <w:p w14:paraId="51938AC2"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Essai d’activité métabolique : essai in vitro consistant à mesurer les changements du taux métabolique dans une monocouche cellulaire L929 à laquelle on a appliqué le matériau d’essai (</w:t>
      </w:r>
      <w:proofErr w:type="spellStart"/>
      <w:r w:rsidRPr="00950D73">
        <w:rPr>
          <w:rFonts w:asciiTheme="majorBidi" w:hAnsiTheme="majorBidi" w:cstheme="majorBidi"/>
          <w:lang w:val="fr-FR"/>
        </w:rPr>
        <w:t>Harbell</w:t>
      </w:r>
      <w:proofErr w:type="spellEnd"/>
      <w:r w:rsidRPr="00950D73">
        <w:rPr>
          <w:rFonts w:asciiTheme="majorBidi" w:hAnsiTheme="majorBidi" w:cstheme="majorBidi"/>
          <w:lang w:val="fr-FR"/>
        </w:rPr>
        <w:t xml:space="preserve"> et al., 1999 ; EURL ECVAM, 2004a ; </w:t>
      </w:r>
      <w:proofErr w:type="spellStart"/>
      <w:r w:rsidRPr="00950D73">
        <w:rPr>
          <w:rFonts w:asciiTheme="majorBidi" w:hAnsiTheme="majorBidi" w:cstheme="majorBidi"/>
          <w:lang w:val="fr-FR"/>
        </w:rPr>
        <w:t>Hartog</w:t>
      </w:r>
      <w:proofErr w:type="spellEnd"/>
      <w:r w:rsidRPr="00950D73">
        <w:rPr>
          <w:rFonts w:asciiTheme="majorBidi" w:hAnsiTheme="majorBidi" w:cstheme="majorBidi"/>
          <w:lang w:val="fr-FR"/>
        </w:rPr>
        <w:t xml:space="preserve"> et al., 2010 ; Nash </w:t>
      </w:r>
      <w:r w:rsidRPr="00950D73">
        <w:rPr>
          <w:rFonts w:asciiTheme="majorBidi" w:hAnsiTheme="majorBidi" w:cstheme="majorBidi"/>
          <w:iCs/>
          <w:lang w:val="fr-FR"/>
        </w:rPr>
        <w:t>et al</w:t>
      </w:r>
      <w:r w:rsidRPr="00950D73">
        <w:rPr>
          <w:rFonts w:asciiTheme="majorBidi" w:hAnsiTheme="majorBidi" w:cstheme="majorBidi"/>
          <w:lang w:val="fr-FR"/>
        </w:rPr>
        <w:t>., 2014) ;</w:t>
      </w:r>
    </w:p>
    <w:p w14:paraId="243F18F5"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Essai sur la membrane </w:t>
      </w:r>
      <w:proofErr w:type="spellStart"/>
      <w:r w:rsidRPr="00950D73">
        <w:rPr>
          <w:rFonts w:asciiTheme="majorBidi" w:hAnsiTheme="majorBidi" w:cstheme="majorBidi"/>
          <w:lang w:val="fr-FR"/>
        </w:rPr>
        <w:t>chorio</w:t>
      </w:r>
      <w:proofErr w:type="spellEnd"/>
      <w:r w:rsidRPr="00950D73">
        <w:rPr>
          <w:rFonts w:asciiTheme="majorBidi" w:hAnsiTheme="majorBidi" w:cstheme="majorBidi"/>
          <w:lang w:val="fr-FR"/>
        </w:rPr>
        <w:t xml:space="preserve">-allantoïque de l’œuf de poule (HET-CAM) : essai organotypique réalisé sur la membrane vascularisée d’œufs de poule fertiles pour évaluer la capacité d’un matériau d’essai à provoquer des changements vasculaires (Spielmann et al., 1993 ; Balls et al., 1995 ; Spielmann et al., 1996 ; </w:t>
      </w:r>
      <w:proofErr w:type="spellStart"/>
      <w:r w:rsidRPr="00950D73">
        <w:rPr>
          <w:rFonts w:asciiTheme="majorBidi" w:hAnsiTheme="majorBidi" w:cstheme="majorBidi"/>
          <w:lang w:val="fr-FR"/>
        </w:rPr>
        <w:t>Brantom</w:t>
      </w:r>
      <w:proofErr w:type="spellEnd"/>
      <w:r w:rsidRPr="00950D73">
        <w:rPr>
          <w:rFonts w:asciiTheme="majorBidi" w:hAnsiTheme="majorBidi" w:cstheme="majorBidi"/>
          <w:lang w:val="fr-FR"/>
        </w:rPr>
        <w:t xml:space="preserve"> et al., 1997 ; ICCVAM, 2007 ; ICCVAM, 2010) ;</w:t>
      </w:r>
    </w:p>
    <w:p w14:paraId="23AD38BC"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Essai vasculaire sur la membrane </w:t>
      </w:r>
      <w:proofErr w:type="spellStart"/>
      <w:r w:rsidRPr="00950D73">
        <w:rPr>
          <w:rFonts w:asciiTheme="majorBidi" w:hAnsiTheme="majorBidi" w:cstheme="majorBidi"/>
          <w:lang w:val="fr-FR"/>
        </w:rPr>
        <w:t>chorio</w:t>
      </w:r>
      <w:proofErr w:type="spellEnd"/>
      <w:r w:rsidRPr="00950D73">
        <w:rPr>
          <w:rFonts w:asciiTheme="majorBidi" w:hAnsiTheme="majorBidi" w:cstheme="majorBidi"/>
          <w:lang w:val="fr-FR"/>
        </w:rPr>
        <w:t>-allantoïque (CAMVA) : essai organotypique réalisé sur la membrane vascularisée d’œufs de poule fertiles pour évaluer la capacité d’un matériau d’essai à provoquer des changements vasculaires (</w:t>
      </w:r>
      <w:proofErr w:type="spellStart"/>
      <w:r w:rsidRPr="00950D73">
        <w:rPr>
          <w:rFonts w:asciiTheme="majorBidi" w:hAnsiTheme="majorBidi" w:cstheme="majorBidi"/>
          <w:lang w:val="fr-FR"/>
        </w:rPr>
        <w:t>Bagley</w:t>
      </w:r>
      <w:proofErr w:type="spellEnd"/>
      <w:r w:rsidRPr="00950D73">
        <w:rPr>
          <w:rFonts w:asciiTheme="majorBidi" w:hAnsiTheme="majorBidi" w:cstheme="majorBidi"/>
          <w:lang w:val="fr-FR"/>
        </w:rPr>
        <w:t xml:space="preserve"> </w:t>
      </w:r>
      <w:r w:rsidRPr="00950D73">
        <w:rPr>
          <w:rFonts w:asciiTheme="majorBidi" w:hAnsiTheme="majorBidi" w:cstheme="majorBidi"/>
          <w:i/>
          <w:iCs/>
          <w:lang w:val="fr-FR"/>
        </w:rPr>
        <w:t>et al</w:t>
      </w:r>
      <w:r w:rsidRPr="00950D73">
        <w:rPr>
          <w:rFonts w:asciiTheme="majorBidi" w:hAnsiTheme="majorBidi" w:cstheme="majorBidi"/>
          <w:lang w:val="fr-FR"/>
        </w:rPr>
        <w:t xml:space="preserve">., 1994 ; </w:t>
      </w:r>
      <w:proofErr w:type="spellStart"/>
      <w:r w:rsidRPr="00950D73">
        <w:rPr>
          <w:rFonts w:asciiTheme="majorBidi" w:hAnsiTheme="majorBidi" w:cstheme="majorBidi"/>
          <w:lang w:val="fr-FR"/>
        </w:rPr>
        <w:t>Brantom</w:t>
      </w:r>
      <w:proofErr w:type="spellEnd"/>
      <w:r w:rsidRPr="00950D73">
        <w:rPr>
          <w:rFonts w:asciiTheme="majorBidi" w:hAnsiTheme="majorBidi" w:cstheme="majorBidi"/>
          <w:lang w:val="fr-FR"/>
        </w:rPr>
        <w:t xml:space="preserve"> </w:t>
      </w:r>
      <w:r w:rsidRPr="00950D73">
        <w:rPr>
          <w:rFonts w:asciiTheme="majorBidi" w:hAnsiTheme="majorBidi" w:cstheme="majorBidi"/>
          <w:i/>
          <w:iCs/>
          <w:lang w:val="fr-FR"/>
        </w:rPr>
        <w:t>et al</w:t>
      </w:r>
      <w:r w:rsidRPr="00950D73">
        <w:rPr>
          <w:rFonts w:asciiTheme="majorBidi" w:hAnsiTheme="majorBidi" w:cstheme="majorBidi"/>
          <w:lang w:val="fr-FR"/>
        </w:rPr>
        <w:t xml:space="preserve">., 1997 ; </w:t>
      </w:r>
      <w:proofErr w:type="spellStart"/>
      <w:r w:rsidRPr="00950D73">
        <w:rPr>
          <w:rFonts w:asciiTheme="majorBidi" w:hAnsiTheme="majorBidi" w:cstheme="majorBidi"/>
          <w:lang w:val="fr-FR"/>
        </w:rPr>
        <w:t>Bagley</w:t>
      </w:r>
      <w:proofErr w:type="spellEnd"/>
      <w:r w:rsidRPr="00950D73">
        <w:rPr>
          <w:rFonts w:asciiTheme="majorBidi" w:hAnsiTheme="majorBidi" w:cstheme="majorBidi"/>
          <w:lang w:val="fr-FR"/>
        </w:rPr>
        <w:t xml:space="preserve"> </w:t>
      </w:r>
      <w:r w:rsidRPr="00950D73">
        <w:rPr>
          <w:rFonts w:asciiTheme="majorBidi" w:hAnsiTheme="majorBidi" w:cstheme="majorBidi"/>
          <w:i/>
          <w:iCs/>
          <w:lang w:val="fr-FR"/>
        </w:rPr>
        <w:t>et al</w:t>
      </w:r>
      <w:r w:rsidRPr="00950D73">
        <w:rPr>
          <w:rFonts w:asciiTheme="majorBidi" w:hAnsiTheme="majorBidi" w:cstheme="majorBidi"/>
          <w:lang w:val="fr-FR"/>
        </w:rPr>
        <w:t xml:space="preserve">., 1999 ; </w:t>
      </w:r>
      <w:proofErr w:type="spellStart"/>
      <w:r w:rsidRPr="00950D73">
        <w:rPr>
          <w:rFonts w:asciiTheme="majorBidi" w:hAnsiTheme="majorBidi" w:cstheme="majorBidi"/>
          <w:lang w:val="fr-FR"/>
        </w:rPr>
        <w:t>Donahue</w:t>
      </w:r>
      <w:proofErr w:type="spellEnd"/>
      <w:r w:rsidRPr="00950D73">
        <w:rPr>
          <w:rFonts w:asciiTheme="majorBidi" w:hAnsiTheme="majorBidi" w:cstheme="majorBidi"/>
          <w:lang w:val="fr-FR"/>
        </w:rPr>
        <w:t xml:space="preserve"> </w:t>
      </w:r>
      <w:r w:rsidRPr="00950D73">
        <w:rPr>
          <w:rFonts w:asciiTheme="majorBidi" w:hAnsiTheme="majorBidi" w:cstheme="majorBidi"/>
          <w:i/>
          <w:iCs/>
          <w:lang w:val="fr-FR"/>
        </w:rPr>
        <w:t>et al</w:t>
      </w:r>
      <w:r w:rsidRPr="00950D73">
        <w:rPr>
          <w:rFonts w:asciiTheme="majorBidi" w:hAnsiTheme="majorBidi" w:cstheme="majorBidi"/>
          <w:lang w:val="fr-FR"/>
        </w:rPr>
        <w:t>., 2011) ;</w:t>
      </w:r>
    </w:p>
    <w:p w14:paraId="476653F2"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Essai au rouge neutre (NRR) : essai in vitro consistant à mesurer quantitativement la capacité d’une substance à causer des dommages aux membranes cellulaires dans une monocouche de kératinocytes épidermiques humains normaux (NHEK) (Reader </w:t>
      </w:r>
      <w:r w:rsidRPr="00950D73">
        <w:rPr>
          <w:rFonts w:asciiTheme="majorBidi" w:hAnsiTheme="majorBidi" w:cstheme="majorBidi"/>
          <w:i/>
          <w:iCs/>
          <w:lang w:val="fr-FR"/>
        </w:rPr>
        <w:t>et al</w:t>
      </w:r>
      <w:r w:rsidRPr="00950D73">
        <w:rPr>
          <w:rFonts w:asciiTheme="majorBidi" w:hAnsiTheme="majorBidi" w:cstheme="majorBidi"/>
          <w:lang w:val="fr-FR"/>
        </w:rPr>
        <w:t xml:space="preserve">., 1989 ; Reader </w:t>
      </w:r>
      <w:r w:rsidRPr="00950D73">
        <w:rPr>
          <w:rFonts w:asciiTheme="majorBidi" w:hAnsiTheme="majorBidi" w:cstheme="majorBidi"/>
          <w:i/>
          <w:iCs/>
          <w:lang w:val="fr-FR"/>
        </w:rPr>
        <w:t>et al</w:t>
      </w:r>
      <w:r w:rsidRPr="00950D73">
        <w:rPr>
          <w:rFonts w:asciiTheme="majorBidi" w:hAnsiTheme="majorBidi" w:cstheme="majorBidi"/>
          <w:lang w:val="fr-FR"/>
        </w:rPr>
        <w:t xml:space="preserve">., 1990 ; </w:t>
      </w:r>
      <w:proofErr w:type="spellStart"/>
      <w:r w:rsidRPr="00950D73">
        <w:rPr>
          <w:rFonts w:asciiTheme="majorBidi" w:hAnsiTheme="majorBidi" w:cstheme="majorBidi"/>
          <w:lang w:val="fr-FR"/>
        </w:rPr>
        <w:t>Zuang</w:t>
      </w:r>
      <w:proofErr w:type="spellEnd"/>
      <w:r w:rsidRPr="00950D73">
        <w:rPr>
          <w:rFonts w:asciiTheme="majorBidi" w:hAnsiTheme="majorBidi" w:cstheme="majorBidi"/>
          <w:lang w:val="fr-FR"/>
        </w:rPr>
        <w:t xml:space="preserve">, 2001 ; EURL ECVAM, 2004b ; </w:t>
      </w:r>
      <w:proofErr w:type="spellStart"/>
      <w:r w:rsidRPr="00950D73">
        <w:rPr>
          <w:rFonts w:asciiTheme="majorBidi" w:hAnsiTheme="majorBidi" w:cstheme="majorBidi"/>
          <w:lang w:val="fr-FR"/>
        </w:rPr>
        <w:t>Settivari</w:t>
      </w:r>
      <w:proofErr w:type="spellEnd"/>
      <w:r w:rsidRPr="00950D73">
        <w:rPr>
          <w:rFonts w:asciiTheme="majorBidi" w:hAnsiTheme="majorBidi" w:cstheme="majorBidi"/>
          <w:lang w:val="fr-FR"/>
        </w:rPr>
        <w:t xml:space="preserve"> </w:t>
      </w:r>
      <w:r w:rsidRPr="00950D73">
        <w:rPr>
          <w:rFonts w:asciiTheme="majorBidi" w:hAnsiTheme="majorBidi" w:cstheme="majorBidi"/>
          <w:i/>
          <w:iCs/>
          <w:lang w:val="fr-FR"/>
        </w:rPr>
        <w:t>et al</w:t>
      </w:r>
      <w:r w:rsidRPr="00950D73">
        <w:rPr>
          <w:rFonts w:asciiTheme="majorBidi" w:hAnsiTheme="majorBidi" w:cstheme="majorBidi"/>
          <w:lang w:val="fr-FR"/>
        </w:rPr>
        <w:t>., 2016) ;</w:t>
      </w:r>
    </w:p>
    <w:p w14:paraId="3BAF47FA" w14:textId="77777777" w:rsidR="009C5BA4" w:rsidRPr="00950D73" w:rsidRDefault="009C5BA4" w:rsidP="009C5BA4">
      <w:pPr>
        <w:numPr>
          <w:ilvl w:val="0"/>
          <w:numId w:val="2"/>
        </w:numPr>
        <w:suppressAutoHyphens/>
        <w:kinsoku w:val="0"/>
        <w:overflowPunct w:val="0"/>
        <w:autoSpaceDE w:val="0"/>
        <w:autoSpaceDN w:val="0"/>
        <w:adjustRightInd w:val="0"/>
        <w:snapToGrid w:val="0"/>
        <w:spacing w:after="120"/>
        <w:ind w:left="2552" w:right="1134" w:hanging="284"/>
        <w:jc w:val="both"/>
        <w:rPr>
          <w:rFonts w:asciiTheme="majorBidi" w:hAnsiTheme="majorBidi" w:cstheme="majorBidi"/>
          <w:lang w:val="fr-FR"/>
        </w:rPr>
      </w:pPr>
      <w:r w:rsidRPr="00950D73">
        <w:rPr>
          <w:rFonts w:asciiTheme="majorBidi" w:hAnsiTheme="majorBidi" w:cstheme="majorBidi"/>
          <w:lang w:val="fr-FR"/>
        </w:rPr>
        <w:t xml:space="preserve">Essai sur œil de lapin isolé (IRE), comparable à l’essai 438 de l’OCDE, mais avec des yeux de lapin isolés, et non des yeux de poulet isolés (Burton </w:t>
      </w:r>
      <w:r w:rsidRPr="00950D73">
        <w:rPr>
          <w:rFonts w:asciiTheme="majorBidi" w:hAnsiTheme="majorBidi" w:cstheme="majorBidi"/>
          <w:i/>
          <w:iCs/>
          <w:lang w:val="fr-FR"/>
        </w:rPr>
        <w:t>et al</w:t>
      </w:r>
      <w:r w:rsidRPr="00950D73">
        <w:rPr>
          <w:rFonts w:asciiTheme="majorBidi" w:hAnsiTheme="majorBidi" w:cstheme="majorBidi"/>
          <w:lang w:val="fr-FR"/>
        </w:rPr>
        <w:t xml:space="preserve">., 1981 ; Whittle </w:t>
      </w:r>
      <w:r w:rsidRPr="00950D73">
        <w:rPr>
          <w:rFonts w:asciiTheme="majorBidi" w:hAnsiTheme="majorBidi" w:cstheme="majorBidi"/>
          <w:i/>
          <w:iCs/>
          <w:lang w:val="fr-FR"/>
        </w:rPr>
        <w:t>et al</w:t>
      </w:r>
      <w:r w:rsidRPr="00950D73">
        <w:rPr>
          <w:rFonts w:asciiTheme="majorBidi" w:hAnsiTheme="majorBidi" w:cstheme="majorBidi"/>
          <w:lang w:val="fr-FR"/>
        </w:rPr>
        <w:t xml:space="preserve">. 1992 ; Balls </w:t>
      </w:r>
      <w:r w:rsidRPr="00950D73">
        <w:rPr>
          <w:rFonts w:asciiTheme="majorBidi" w:hAnsiTheme="majorBidi" w:cstheme="majorBidi"/>
          <w:i/>
          <w:iCs/>
          <w:lang w:val="fr-FR"/>
        </w:rPr>
        <w:t>et al</w:t>
      </w:r>
      <w:r w:rsidRPr="00950D73">
        <w:rPr>
          <w:rFonts w:asciiTheme="majorBidi" w:hAnsiTheme="majorBidi" w:cstheme="majorBidi"/>
          <w:lang w:val="fr-FR"/>
        </w:rPr>
        <w:t xml:space="preserve">., 1995 ; </w:t>
      </w:r>
      <w:proofErr w:type="spellStart"/>
      <w:r w:rsidRPr="00950D73">
        <w:rPr>
          <w:rFonts w:asciiTheme="majorBidi" w:hAnsiTheme="majorBidi" w:cstheme="majorBidi"/>
          <w:lang w:val="fr-FR"/>
        </w:rPr>
        <w:t>Brantom</w:t>
      </w:r>
      <w:proofErr w:type="spellEnd"/>
      <w:r w:rsidRPr="00950D73">
        <w:rPr>
          <w:rFonts w:asciiTheme="majorBidi" w:hAnsiTheme="majorBidi" w:cstheme="majorBidi"/>
          <w:lang w:val="fr-FR"/>
        </w:rPr>
        <w:t xml:space="preserve"> </w:t>
      </w:r>
      <w:r w:rsidRPr="00950D73">
        <w:rPr>
          <w:rFonts w:asciiTheme="majorBidi" w:hAnsiTheme="majorBidi" w:cstheme="majorBidi"/>
          <w:i/>
          <w:iCs/>
          <w:lang w:val="fr-FR"/>
        </w:rPr>
        <w:t>et al</w:t>
      </w:r>
      <w:r w:rsidRPr="00950D73">
        <w:rPr>
          <w:rFonts w:asciiTheme="majorBidi" w:hAnsiTheme="majorBidi" w:cstheme="majorBidi"/>
          <w:lang w:val="fr-FR"/>
        </w:rPr>
        <w:t>., 1997 ; ICCVAM, 2007 ; ICCVAM, 2010).</w:t>
      </w:r>
    </w:p>
    <w:p w14:paraId="48C8198C" w14:textId="1A820F45" w:rsidR="00C94ECF" w:rsidRPr="00950D73" w:rsidRDefault="00C94ECF" w:rsidP="00C94ECF">
      <w:pPr>
        <w:keepNext/>
        <w:tabs>
          <w:tab w:val="left" w:pos="3402"/>
        </w:tabs>
        <w:spacing w:after="120"/>
        <w:ind w:left="2268" w:right="1134"/>
        <w:jc w:val="both"/>
        <w:rPr>
          <w:rFonts w:asciiTheme="majorBidi" w:hAnsiTheme="majorBidi" w:cstheme="majorBidi"/>
          <w:i/>
          <w:iCs/>
          <w:color w:val="000000" w:themeColor="text1"/>
        </w:rPr>
      </w:pPr>
      <w:r w:rsidRPr="00950D73">
        <w:rPr>
          <w:rFonts w:asciiTheme="majorBidi" w:hAnsiTheme="majorBidi" w:cstheme="majorBidi"/>
          <w:color w:val="000000" w:themeColor="text1"/>
        </w:rPr>
        <w:lastRenderedPageBreak/>
        <w:t>3.3.5.3.6</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Instructions d’utilisation d’autres données existantes sur des effets cutanés ou oculaires sur animaux aux fins de classification au titre des lésions oculaires graves ou de l’irritation oculaire</w:t>
      </w:r>
    </w:p>
    <w:p w14:paraId="3F88FA2F" w14:textId="77777777" w:rsidR="00C94ECF" w:rsidRPr="00950D73" w:rsidRDefault="00C94ECF" w:rsidP="00C94E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3.3.5.3.6.1</w:t>
      </w:r>
      <w:r w:rsidRPr="00950D73">
        <w:rPr>
          <w:rFonts w:asciiTheme="majorBidi" w:hAnsiTheme="majorBidi" w:cstheme="majorBidi"/>
          <w:color w:val="000000" w:themeColor="text1"/>
        </w:rPr>
        <w:tab/>
        <w:t>La disponibilité d’autres données animales sur des lésions oculaires graves ou une irritation oculaire peut être limitée, sachant qu’on n’effectue généralement pas d’essais sur l’œil comme voie d’exposition. On dispose toutefois des données rétrospectives de l’essai Low Volume Eye Test (LVET), lesquelles peuvent être utilisées dans une évaluation de la force probante des données. L’essai LVET est une variante de l’essai 405 de l’OCDE.</w:t>
      </w:r>
    </w:p>
    <w:p w14:paraId="04F2AD40" w14:textId="77777777" w:rsidR="00C94ECF" w:rsidRPr="00950D73" w:rsidRDefault="00C94ECF" w:rsidP="00C94E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3.3.5.3.6.2</w:t>
      </w:r>
      <w:r w:rsidRPr="00950D73">
        <w:rPr>
          <w:rFonts w:asciiTheme="majorBidi" w:hAnsiTheme="majorBidi" w:cstheme="majorBidi"/>
          <w:color w:val="000000" w:themeColor="text1"/>
        </w:rPr>
        <w:tab/>
        <w:t xml:space="preserve">Les données disponibles sur l’essai LVET peuvent être prises en compte aux fins d’une classification et d’un étiquetage à condition d’être soigneusement analysées. Les différences entre l’essai LVET et l’essai 405 de l’OCDE peuvent aboutir à une classification dans une catégorie inférieure (ou à aucune classification) sur la base des données LVET, par rapport à ce qui aurait été obtenu à partir des données de l’essai </w:t>
      </w:r>
      <w:r w:rsidRPr="00950D73">
        <w:rPr>
          <w:rFonts w:asciiTheme="majorBidi" w:hAnsiTheme="majorBidi" w:cstheme="majorBidi"/>
          <w:i/>
          <w:color w:val="000000" w:themeColor="text1"/>
        </w:rPr>
        <w:t>in vivo</w:t>
      </w:r>
      <w:r w:rsidRPr="00950D73">
        <w:rPr>
          <w:rFonts w:asciiTheme="majorBidi" w:hAnsiTheme="majorBidi" w:cstheme="majorBidi"/>
          <w:color w:val="000000" w:themeColor="text1"/>
        </w:rPr>
        <w:t xml:space="preserve"> standard (essai 405 de l’OCDE). Ainsi, des données positives obtenues au moyen de l’essai LVET peuvent inciter à envisager une classification dans la catégorie 1, mais elles ne sont pas concluantes pour une classification dans la catégorie 2 ou pour l’absence de classification (ECHA, 2017). Ces données sont néanmoins utilisables dans une évaluation globale de la force probante des données. On notera que le domaine d’application de l’essai LVET se limite aux détergents et autres nettoyants ménagers et à leurs principaux composants (agents tensioactifs) (ESAC, 2009).</w:t>
      </w:r>
    </w:p>
    <w:p w14:paraId="6CED315C" w14:textId="77777777" w:rsidR="00C94ECF" w:rsidRPr="00950D73" w:rsidRDefault="00C94ECF" w:rsidP="00C94E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3.3.5.3.6.3</w:t>
      </w:r>
      <w:r w:rsidRPr="00950D73">
        <w:rPr>
          <w:rFonts w:asciiTheme="majorBidi" w:hAnsiTheme="majorBidi" w:cstheme="majorBidi"/>
          <w:color w:val="000000" w:themeColor="text1"/>
        </w:rPr>
        <w:tab/>
        <w:t xml:space="preserve">Des effets sur les yeux sont observables dans des études d’inhalation de doses fortes ou répétées, le corps entier étant exposé. Cependant, on ne fait généralement pas d’évaluation selon les critères de </w:t>
      </w:r>
      <w:r w:rsidRPr="00950D73">
        <w:rPr>
          <w:rFonts w:asciiTheme="majorBidi" w:hAnsiTheme="majorBidi" w:cstheme="majorBidi"/>
          <w:color w:val="000000" w:themeColor="text1"/>
        </w:rPr>
        <w:lastRenderedPageBreak/>
        <w:t>Draize et la période d’observation peut être inférieure à 21 jours. En outre, les effets sur les yeux dépendent souvent de la concentration de la substance ou du mélange et de la durée d’exposition. Sachant qu’il n’existe pas de critères pour la concentration et la durée minimales, l’absence d’effets sur les yeux ou d’irritation oculaire peut ne pas être concluante s’agissant de l’absence de lésions oculaires graves. La présence d’effets irréversibles sur l’œil doit être prise en compte dans le cadre d’une évaluation de la force probante des données.</w:t>
      </w:r>
    </w:p>
    <w:p w14:paraId="628B90B4" w14:textId="77777777" w:rsidR="00C94ECF" w:rsidRPr="00950D73" w:rsidRDefault="00C94ECF" w:rsidP="00C94ECF">
      <w:pPr>
        <w:tabs>
          <w:tab w:val="left" w:pos="3402"/>
        </w:tabs>
        <w:spacing w:after="120"/>
        <w:ind w:left="2268" w:right="1134"/>
        <w:jc w:val="both"/>
        <w:rPr>
          <w:rFonts w:asciiTheme="majorBidi" w:hAnsiTheme="majorBidi" w:cstheme="majorBidi"/>
          <w:i/>
          <w:iCs/>
          <w:color w:val="000000" w:themeColor="text1"/>
        </w:rPr>
      </w:pPr>
      <w:r w:rsidRPr="00950D73">
        <w:rPr>
          <w:rFonts w:asciiTheme="majorBidi" w:hAnsiTheme="majorBidi" w:cstheme="majorBidi"/>
          <w:color w:val="000000" w:themeColor="text1"/>
        </w:rPr>
        <w:t>3.3.5.3.7</w:t>
      </w:r>
      <w:r w:rsidRPr="00950D73">
        <w:rPr>
          <w:rFonts w:asciiTheme="majorBidi" w:hAnsiTheme="majorBidi" w:cstheme="majorBidi"/>
          <w:color w:val="000000" w:themeColor="text1"/>
        </w:rPr>
        <w:tab/>
      </w:r>
      <w:r w:rsidRPr="00950D73">
        <w:rPr>
          <w:rFonts w:asciiTheme="majorBidi" w:hAnsiTheme="majorBidi" w:cstheme="majorBidi"/>
          <w:i/>
          <w:iCs/>
          <w:color w:val="000000" w:themeColor="text1"/>
        </w:rPr>
        <w:t>Instructions d’utilisation du pH et de la réserve acide</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alcaline pour la classification au titre des lésions oculaires graves</w:t>
      </w:r>
    </w:p>
    <w:p w14:paraId="1F3B3404" w14:textId="77777777" w:rsidR="00C94ECF" w:rsidRPr="00950D73" w:rsidRDefault="00C94ECF" w:rsidP="00C94E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3.3.5.3.7.1</w:t>
      </w:r>
      <w:r w:rsidRPr="00950D73">
        <w:rPr>
          <w:rFonts w:asciiTheme="majorBidi" w:hAnsiTheme="majorBidi" w:cstheme="majorBidi"/>
          <w:color w:val="000000" w:themeColor="text1"/>
        </w:rPr>
        <w:tab/>
        <w:t xml:space="preserve">Les méthodes permettant de déterminer le pH, telles que la ligne directrice 122 de l’OCDE et la méthode décrite par Young </w:t>
      </w:r>
      <w:r w:rsidRPr="00950D73">
        <w:rPr>
          <w:rFonts w:asciiTheme="majorBidi" w:hAnsiTheme="majorBidi" w:cstheme="majorBidi"/>
          <w:iCs/>
          <w:color w:val="000000" w:themeColor="text1"/>
        </w:rPr>
        <w:t>et al.</w:t>
      </w:r>
      <w:r w:rsidRPr="00950D73">
        <w:rPr>
          <w:rFonts w:asciiTheme="majorBidi" w:hAnsiTheme="majorBidi" w:cstheme="majorBidi"/>
          <w:color w:val="000000" w:themeColor="text1"/>
        </w:rPr>
        <w:t xml:space="preserve"> (1988), divergent en ce qui concerne la concentration de la substance ou du mélange dont le pH est déterminé, avec des valeurs de 1 %, 10 % et 100 %. La réserve acide/alcaline est aussi déterminée différemment entre ces méthodes, à savoir jusqu’à un pH de 7 pour les acides et les bases (ligne directrice 122 de l’OCDE) ou jusqu’à un pH de 4 pour les acides et de 10 pour les bases (Young et al., 1988). En outre, les unités utilisées pour exprimer la réserve acide/alcaline sont différentes entre ces deux méthodes.</w:t>
      </w:r>
    </w:p>
    <w:p w14:paraId="3D474323" w14:textId="77777777" w:rsidR="00C94ECF" w:rsidRPr="00950D73" w:rsidRDefault="00C94ECF" w:rsidP="00C94ECF">
      <w:pPr>
        <w:tabs>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3.3.5.3.7.2</w:t>
      </w:r>
      <w:r w:rsidRPr="00950D73">
        <w:rPr>
          <w:rFonts w:asciiTheme="majorBidi" w:hAnsiTheme="majorBidi" w:cstheme="majorBidi"/>
          <w:color w:val="000000" w:themeColor="text1"/>
        </w:rPr>
        <w:tab/>
        <w:t xml:space="preserve">Des critères permettant de mettre en évidence les substances et les mélanges devant être classés dans la catégorie 1 pour les effets cutanés en fonction du pH et de la réserve acide/alcaline ont été mis au point, à partir d’une combinaison de valeurs de pH et de réserve acide/alcaline qui ont été calculées selon une méthode particulière (Young </w:t>
      </w:r>
      <w:r w:rsidRPr="00950D73">
        <w:rPr>
          <w:rFonts w:asciiTheme="majorBidi" w:hAnsiTheme="majorBidi" w:cstheme="majorBidi"/>
          <w:iCs/>
          <w:color w:val="000000" w:themeColor="text1"/>
        </w:rPr>
        <w:t>et al.,</w:t>
      </w:r>
      <w:r w:rsidRPr="00950D73">
        <w:rPr>
          <w:rFonts w:asciiTheme="majorBidi" w:hAnsiTheme="majorBidi" w:cstheme="majorBidi"/>
          <w:color w:val="000000" w:themeColor="text1"/>
        </w:rPr>
        <w:t xml:space="preserve"> 1988), et ces mêmes critères sont appliqués pour les effets sur les yeux. Il se peut donc que ces critères ne soient pas directement applicables lorsque d’autres </w:t>
      </w:r>
      <w:r w:rsidRPr="00950D73">
        <w:rPr>
          <w:rFonts w:asciiTheme="majorBidi" w:hAnsiTheme="majorBidi" w:cstheme="majorBidi"/>
          <w:color w:val="000000" w:themeColor="text1"/>
        </w:rPr>
        <w:lastRenderedPageBreak/>
        <w:t xml:space="preserve">concentrations ou méthodes d’essai sont utilisées pour mesurer le pH et la réserve acide/alcaline. Par ailleurs, l’étalonnage et la validation de ces critères étaient fondés sur un ensemble de données limité concernant les effets cutanés. La valeur prédictive de la combinaison du pH et de la réserve acide/alcaline pour la classification dans la catégorie 1 au titre des effets cutanés est donc limitée, en particulier pour les substances et les mélanges présentant un pH extrême, mais une réserve acide/alcaline négligeable. Les critères élaborés par Young </w:t>
      </w:r>
      <w:r w:rsidRPr="00950D73">
        <w:rPr>
          <w:rFonts w:asciiTheme="majorBidi" w:hAnsiTheme="majorBidi" w:cstheme="majorBidi"/>
          <w:i/>
          <w:color w:val="000000" w:themeColor="text1"/>
        </w:rPr>
        <w:t>et al</w:t>
      </w:r>
      <w:r w:rsidRPr="00950D73">
        <w:rPr>
          <w:rFonts w:asciiTheme="majorBidi" w:hAnsiTheme="majorBidi" w:cstheme="majorBidi"/>
          <w:color w:val="000000" w:themeColor="text1"/>
        </w:rPr>
        <w:t>. (1988) pour la classification dans la catégorie 1 peuvent servir de point de départ pour déterminer si une substance ou un mélange a une réserve acide/alcaline significative ou non. Une autorité compétente peut décider des critères à appliquer pour déterminer si une réserve acide/alcaline est significative.</w:t>
      </w:r>
    </w:p>
    <w:p w14:paraId="71E76CB4" w14:textId="77777777" w:rsidR="00C94ECF" w:rsidRPr="00950D73" w:rsidRDefault="00C94ECF" w:rsidP="00C94ECF">
      <w:pPr>
        <w:keepNext/>
        <w:tabs>
          <w:tab w:val="left" w:pos="1560"/>
          <w:tab w:val="left" w:pos="3402"/>
        </w:tabs>
        <w:spacing w:after="120"/>
        <w:ind w:left="2268" w:right="1134"/>
        <w:jc w:val="both"/>
        <w:rPr>
          <w:rFonts w:asciiTheme="majorBidi" w:hAnsiTheme="majorBidi" w:cstheme="majorBidi"/>
          <w:color w:val="000000" w:themeColor="text1"/>
        </w:rPr>
      </w:pPr>
      <w:r w:rsidRPr="00950D73">
        <w:rPr>
          <w:rFonts w:asciiTheme="majorBidi" w:hAnsiTheme="majorBidi" w:cstheme="majorBidi"/>
          <w:color w:val="000000" w:themeColor="text1"/>
        </w:rPr>
        <w:t>________________</w:t>
      </w:r>
    </w:p>
    <w:p w14:paraId="5642312C" w14:textId="77777777" w:rsidR="00C94ECF" w:rsidRPr="00950D73" w:rsidRDefault="00C94ECF" w:rsidP="00C94ECF">
      <w:pPr>
        <w:tabs>
          <w:tab w:val="left" w:pos="2835"/>
        </w:tabs>
        <w:spacing w:after="120"/>
        <w:ind w:left="2268" w:right="1134"/>
        <w:jc w:val="both"/>
        <w:rPr>
          <w:rFonts w:asciiTheme="majorBidi" w:hAnsiTheme="majorBidi" w:cstheme="majorBidi"/>
          <w:i/>
          <w:iCs/>
        </w:rPr>
      </w:pPr>
      <w:r w:rsidRPr="00950D73">
        <w:rPr>
          <w:rFonts w:asciiTheme="majorBidi" w:hAnsiTheme="majorBidi" w:cstheme="majorBidi"/>
        </w:rPr>
        <w:t>*</w:t>
      </w:r>
      <w:r w:rsidRPr="00950D73">
        <w:rPr>
          <w:rFonts w:asciiTheme="majorBidi" w:hAnsiTheme="majorBidi" w:cstheme="majorBidi"/>
        </w:rPr>
        <w:tab/>
      </w:r>
      <w:r w:rsidRPr="00950D73">
        <w:rPr>
          <w:rFonts w:asciiTheme="majorBidi" w:hAnsiTheme="majorBidi" w:cstheme="majorBidi"/>
          <w:i/>
          <w:iCs/>
        </w:rPr>
        <w:t>Références :</w:t>
      </w:r>
    </w:p>
    <w:p w14:paraId="44654185" w14:textId="06263965"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950D73">
        <w:rPr>
          <w:rFonts w:asciiTheme="majorBidi" w:hAnsiTheme="majorBidi" w:cstheme="majorBidi"/>
          <w:i/>
          <w:color w:val="000000" w:themeColor="text1"/>
        </w:rPr>
        <w:t>Alépée</w:t>
      </w:r>
      <w:proofErr w:type="spellEnd"/>
      <w:r w:rsidRPr="00950D73">
        <w:rPr>
          <w:rFonts w:asciiTheme="majorBidi" w:hAnsiTheme="majorBidi" w:cstheme="majorBidi"/>
          <w:i/>
          <w:color w:val="000000" w:themeColor="text1"/>
        </w:rPr>
        <w:t xml:space="preserve">, N., E. </w:t>
      </w:r>
      <w:proofErr w:type="spellStart"/>
      <w:r w:rsidRPr="00950D73">
        <w:rPr>
          <w:rFonts w:asciiTheme="majorBidi" w:hAnsiTheme="majorBidi" w:cstheme="majorBidi"/>
          <w:i/>
          <w:color w:val="000000" w:themeColor="text1"/>
        </w:rPr>
        <w:t>Adriaens</w:t>
      </w:r>
      <w:proofErr w:type="spellEnd"/>
      <w:r w:rsidRPr="00950D73">
        <w:rPr>
          <w:rFonts w:asciiTheme="majorBidi" w:hAnsiTheme="majorBidi" w:cstheme="majorBidi"/>
          <w:i/>
          <w:color w:val="000000" w:themeColor="text1"/>
        </w:rPr>
        <w:t xml:space="preserve">, T. Abo, D. </w:t>
      </w:r>
      <w:proofErr w:type="spellStart"/>
      <w:r w:rsidRPr="00950D73">
        <w:rPr>
          <w:rFonts w:asciiTheme="majorBidi" w:hAnsiTheme="majorBidi" w:cstheme="majorBidi"/>
          <w:i/>
          <w:color w:val="000000" w:themeColor="text1"/>
        </w:rPr>
        <w:t>Bagley</w:t>
      </w:r>
      <w:proofErr w:type="spellEnd"/>
      <w:r w:rsidRPr="00950D73">
        <w:rPr>
          <w:rFonts w:asciiTheme="majorBidi" w:hAnsiTheme="majorBidi" w:cstheme="majorBidi"/>
          <w:i/>
          <w:color w:val="000000" w:themeColor="text1"/>
        </w:rPr>
        <w:t xml:space="preserve">, B. Desprez, J. </w:t>
      </w:r>
      <w:proofErr w:type="spellStart"/>
      <w:r w:rsidRPr="00950D73">
        <w:rPr>
          <w:rFonts w:asciiTheme="majorBidi" w:hAnsiTheme="majorBidi" w:cstheme="majorBidi"/>
          <w:i/>
          <w:color w:val="000000" w:themeColor="text1"/>
        </w:rPr>
        <w:t>Hibatallah</w:t>
      </w:r>
      <w:proofErr w:type="spellEnd"/>
      <w:r w:rsidRPr="00950D73">
        <w:rPr>
          <w:rFonts w:asciiTheme="majorBidi" w:hAnsiTheme="majorBidi" w:cstheme="majorBidi"/>
          <w:i/>
          <w:color w:val="000000" w:themeColor="text1"/>
        </w:rPr>
        <w:t xml:space="preserve">, K. </w:t>
      </w:r>
      <w:proofErr w:type="spellStart"/>
      <w:r w:rsidRPr="00950D73">
        <w:rPr>
          <w:rFonts w:asciiTheme="majorBidi" w:hAnsiTheme="majorBidi" w:cstheme="majorBidi"/>
          <w:i/>
          <w:color w:val="000000" w:themeColor="text1"/>
        </w:rPr>
        <w:t>Mewes</w:t>
      </w:r>
      <w:proofErr w:type="spellEnd"/>
      <w:r w:rsidRPr="00950D73">
        <w:rPr>
          <w:rFonts w:asciiTheme="majorBidi" w:hAnsiTheme="majorBidi" w:cstheme="majorBidi"/>
          <w:i/>
          <w:color w:val="000000" w:themeColor="text1"/>
        </w:rPr>
        <w:t>, U. </w:t>
      </w:r>
      <w:proofErr w:type="spellStart"/>
      <w:r w:rsidRPr="00950D73">
        <w:rPr>
          <w:rFonts w:asciiTheme="majorBidi" w:hAnsiTheme="majorBidi" w:cstheme="majorBidi"/>
          <w:i/>
          <w:color w:val="000000" w:themeColor="text1"/>
        </w:rPr>
        <w:t>Pfannenbecker</w:t>
      </w:r>
      <w:proofErr w:type="spellEnd"/>
      <w:r w:rsidRPr="00950D73">
        <w:rPr>
          <w:rFonts w:asciiTheme="majorBidi" w:hAnsiTheme="majorBidi" w:cstheme="majorBidi"/>
          <w:i/>
          <w:color w:val="000000" w:themeColor="text1"/>
        </w:rPr>
        <w:t xml:space="preserve">, À. Sala, A.R. Van </w:t>
      </w:r>
      <w:proofErr w:type="spellStart"/>
      <w:r w:rsidRPr="00950D73">
        <w:rPr>
          <w:rFonts w:asciiTheme="majorBidi" w:hAnsiTheme="majorBidi" w:cstheme="majorBidi"/>
          <w:i/>
          <w:color w:val="000000" w:themeColor="text1"/>
        </w:rPr>
        <w:t>Rompay</w:t>
      </w:r>
      <w:proofErr w:type="spellEnd"/>
      <w:r w:rsidRPr="00950D73">
        <w:rPr>
          <w:rFonts w:asciiTheme="majorBidi" w:hAnsiTheme="majorBidi" w:cstheme="majorBidi"/>
          <w:i/>
          <w:color w:val="000000" w:themeColor="text1"/>
        </w:rPr>
        <w:t xml:space="preserve">, S. </w:t>
      </w:r>
      <w:proofErr w:type="spellStart"/>
      <w:r w:rsidRPr="00950D73">
        <w:rPr>
          <w:rFonts w:asciiTheme="majorBidi" w:hAnsiTheme="majorBidi" w:cstheme="majorBidi"/>
          <w:i/>
          <w:color w:val="000000" w:themeColor="text1"/>
        </w:rPr>
        <w:t>Verstraelen</w:t>
      </w:r>
      <w:proofErr w:type="spellEnd"/>
      <w:r w:rsidRPr="00950D73">
        <w:rPr>
          <w:rFonts w:asciiTheme="majorBidi" w:hAnsiTheme="majorBidi" w:cstheme="majorBidi"/>
          <w:i/>
          <w:color w:val="000000" w:themeColor="text1"/>
        </w:rPr>
        <w:t xml:space="preserve"> et P. </w:t>
      </w:r>
      <w:proofErr w:type="spellStart"/>
      <w:r w:rsidRPr="00950D73">
        <w:rPr>
          <w:rFonts w:asciiTheme="majorBidi" w:hAnsiTheme="majorBidi" w:cstheme="majorBidi"/>
          <w:i/>
          <w:color w:val="000000" w:themeColor="text1"/>
        </w:rPr>
        <w:t>McNamee</w:t>
      </w:r>
      <w:proofErr w:type="spellEnd"/>
      <w:r w:rsidRPr="00950D73">
        <w:rPr>
          <w:rFonts w:asciiTheme="majorBidi" w:hAnsiTheme="majorBidi" w:cstheme="majorBidi"/>
          <w:i/>
          <w:color w:val="000000" w:themeColor="text1"/>
        </w:rPr>
        <w:t xml:space="preserve">. </w:t>
      </w:r>
      <w:r w:rsidRPr="007E44E1">
        <w:rPr>
          <w:rFonts w:asciiTheme="majorBidi" w:hAnsiTheme="majorBidi" w:cstheme="majorBidi"/>
          <w:i/>
          <w:color w:val="000000" w:themeColor="text1"/>
          <w:lang w:val="en-US"/>
        </w:rPr>
        <w:t xml:space="preserve">2019a. Development of a defined approach for eye irritation or serious eye damage for liquids, neat and in dilution, based on Cosmetics Europe analysis of in vitro STE and BCOP test methods.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57: 154-163.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j.tiv.2019.02.019.</w:t>
      </w:r>
    </w:p>
    <w:p w14:paraId="7B8F71AA" w14:textId="037492E4" w:rsidR="00C94ECF" w:rsidRPr="00950D73"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rPr>
      </w:pPr>
      <w:proofErr w:type="spellStart"/>
      <w:r w:rsidRPr="007E44E1">
        <w:rPr>
          <w:rFonts w:asciiTheme="majorBidi" w:hAnsiTheme="majorBidi" w:cstheme="majorBidi"/>
          <w:i/>
          <w:color w:val="000000" w:themeColor="text1"/>
          <w:lang w:val="en-US"/>
        </w:rPr>
        <w:t>Alépée</w:t>
      </w:r>
      <w:proofErr w:type="spellEnd"/>
      <w:r w:rsidRPr="007E44E1">
        <w:rPr>
          <w:rFonts w:asciiTheme="majorBidi" w:hAnsiTheme="majorBidi" w:cstheme="majorBidi"/>
          <w:i/>
          <w:color w:val="000000" w:themeColor="text1"/>
          <w:lang w:val="en-US"/>
        </w:rPr>
        <w:t xml:space="preserve">, N., E. </w:t>
      </w:r>
      <w:proofErr w:type="spellStart"/>
      <w:r w:rsidRPr="007E44E1">
        <w:rPr>
          <w:rFonts w:asciiTheme="majorBidi" w:hAnsiTheme="majorBidi" w:cstheme="majorBidi"/>
          <w:i/>
          <w:color w:val="000000" w:themeColor="text1"/>
          <w:lang w:val="en-US"/>
        </w:rPr>
        <w:t>Adriaens</w:t>
      </w:r>
      <w:proofErr w:type="spellEnd"/>
      <w:r w:rsidRPr="007E44E1">
        <w:rPr>
          <w:rFonts w:asciiTheme="majorBidi" w:hAnsiTheme="majorBidi" w:cstheme="majorBidi"/>
          <w:i/>
          <w:color w:val="000000" w:themeColor="text1"/>
          <w:lang w:val="en-US"/>
        </w:rPr>
        <w:t xml:space="preserve">, T. Abo, D. Bagley, B. </w:t>
      </w:r>
      <w:proofErr w:type="spellStart"/>
      <w:r w:rsidRPr="007E44E1">
        <w:rPr>
          <w:rFonts w:asciiTheme="majorBidi" w:hAnsiTheme="majorBidi" w:cstheme="majorBidi"/>
          <w:i/>
          <w:color w:val="000000" w:themeColor="text1"/>
          <w:lang w:val="en-US"/>
        </w:rPr>
        <w:t>Desprez</w:t>
      </w:r>
      <w:proofErr w:type="spellEnd"/>
      <w:r w:rsidRPr="007E44E1">
        <w:rPr>
          <w:rFonts w:asciiTheme="majorBidi" w:hAnsiTheme="majorBidi" w:cstheme="majorBidi"/>
          <w:i/>
          <w:color w:val="000000" w:themeColor="text1"/>
          <w:lang w:val="en-US"/>
        </w:rPr>
        <w:t xml:space="preserve">, J. </w:t>
      </w:r>
      <w:proofErr w:type="spellStart"/>
      <w:r w:rsidRPr="007E44E1">
        <w:rPr>
          <w:rFonts w:asciiTheme="majorBidi" w:hAnsiTheme="majorBidi" w:cstheme="majorBidi"/>
          <w:i/>
          <w:color w:val="000000" w:themeColor="text1"/>
          <w:lang w:val="en-US"/>
        </w:rPr>
        <w:t>Hibatallah</w:t>
      </w:r>
      <w:proofErr w:type="spellEnd"/>
      <w:r w:rsidRPr="007E44E1">
        <w:rPr>
          <w:rFonts w:asciiTheme="majorBidi" w:hAnsiTheme="majorBidi" w:cstheme="majorBidi"/>
          <w:i/>
          <w:color w:val="000000" w:themeColor="text1"/>
          <w:lang w:val="en-US"/>
        </w:rPr>
        <w:t xml:space="preserve">, K. </w:t>
      </w:r>
      <w:proofErr w:type="spellStart"/>
      <w:r w:rsidRPr="007E44E1">
        <w:rPr>
          <w:rFonts w:asciiTheme="majorBidi" w:hAnsiTheme="majorBidi" w:cstheme="majorBidi"/>
          <w:i/>
          <w:color w:val="000000" w:themeColor="text1"/>
          <w:lang w:val="en-US"/>
        </w:rPr>
        <w:t>Mewes</w:t>
      </w:r>
      <w:proofErr w:type="spellEnd"/>
      <w:r w:rsidRPr="007E44E1">
        <w:rPr>
          <w:rFonts w:asciiTheme="majorBidi" w:hAnsiTheme="majorBidi" w:cstheme="majorBidi"/>
          <w:i/>
          <w:color w:val="000000" w:themeColor="text1"/>
          <w:lang w:val="en-US"/>
        </w:rPr>
        <w:t>, U. </w:t>
      </w:r>
      <w:proofErr w:type="spellStart"/>
      <w:r w:rsidRPr="007E44E1">
        <w:rPr>
          <w:rFonts w:asciiTheme="majorBidi" w:hAnsiTheme="majorBidi" w:cstheme="majorBidi"/>
          <w:i/>
          <w:color w:val="000000" w:themeColor="text1"/>
          <w:lang w:val="en-US"/>
        </w:rPr>
        <w:t>Pfannenbecker</w:t>
      </w:r>
      <w:proofErr w:type="spellEnd"/>
      <w:r w:rsidRPr="007E44E1">
        <w:rPr>
          <w:rFonts w:asciiTheme="majorBidi" w:hAnsiTheme="majorBidi" w:cstheme="majorBidi"/>
          <w:i/>
          <w:color w:val="000000" w:themeColor="text1"/>
          <w:lang w:val="en-US"/>
        </w:rPr>
        <w:t xml:space="preserve">, À. Sala, A.R. Van </w:t>
      </w:r>
      <w:proofErr w:type="spellStart"/>
      <w:r w:rsidRPr="007E44E1">
        <w:rPr>
          <w:rFonts w:asciiTheme="majorBidi" w:hAnsiTheme="majorBidi" w:cstheme="majorBidi"/>
          <w:i/>
          <w:color w:val="000000" w:themeColor="text1"/>
          <w:lang w:val="en-US"/>
        </w:rPr>
        <w:t>Rompay</w:t>
      </w:r>
      <w:proofErr w:type="spellEnd"/>
      <w:r w:rsidRPr="007E44E1">
        <w:rPr>
          <w:rFonts w:asciiTheme="majorBidi" w:hAnsiTheme="majorBidi" w:cstheme="majorBidi"/>
          <w:i/>
          <w:color w:val="000000" w:themeColor="text1"/>
          <w:lang w:val="en-US"/>
        </w:rPr>
        <w:t xml:space="preserve">, S. </w:t>
      </w:r>
      <w:proofErr w:type="spellStart"/>
      <w:r w:rsidRPr="007E44E1">
        <w:rPr>
          <w:rFonts w:asciiTheme="majorBidi" w:hAnsiTheme="majorBidi" w:cstheme="majorBidi"/>
          <w:i/>
          <w:color w:val="000000" w:themeColor="text1"/>
          <w:lang w:val="en-US"/>
        </w:rPr>
        <w:t>Verstraelen</w:t>
      </w:r>
      <w:proofErr w:type="spellEnd"/>
      <w:r w:rsidRPr="007E44E1">
        <w:rPr>
          <w:rFonts w:asciiTheme="majorBidi" w:hAnsiTheme="majorBidi" w:cstheme="majorBidi"/>
          <w:i/>
          <w:color w:val="000000" w:themeColor="text1"/>
          <w:lang w:val="en-US"/>
        </w:rPr>
        <w:t xml:space="preserve"> et P. McNamee. 2019b. Development of a defined approach for eye irritation or serious eye damage for neat liquids based on Cosmetics Europe analysis of in vitro </w:t>
      </w:r>
      <w:proofErr w:type="spellStart"/>
      <w:r w:rsidRPr="007E44E1">
        <w:rPr>
          <w:rFonts w:asciiTheme="majorBidi" w:hAnsiTheme="majorBidi" w:cstheme="majorBidi"/>
          <w:i/>
          <w:color w:val="000000" w:themeColor="text1"/>
          <w:lang w:val="en-US"/>
        </w:rPr>
        <w:t>RhCE</w:t>
      </w:r>
      <w:proofErr w:type="spellEnd"/>
      <w:r w:rsidRPr="007E44E1">
        <w:rPr>
          <w:rFonts w:asciiTheme="majorBidi" w:hAnsiTheme="majorBidi" w:cstheme="majorBidi"/>
          <w:i/>
          <w:color w:val="000000" w:themeColor="text1"/>
          <w:lang w:val="en-US"/>
        </w:rPr>
        <w:t xml:space="preserve"> and BCOP test methods. </w:t>
      </w:r>
      <w:proofErr w:type="spellStart"/>
      <w:r w:rsidRPr="00950D73">
        <w:rPr>
          <w:rFonts w:asciiTheme="majorBidi" w:hAnsiTheme="majorBidi" w:cstheme="majorBidi"/>
          <w:i/>
          <w:color w:val="000000" w:themeColor="text1"/>
        </w:rPr>
        <w:t>Toxicol</w:t>
      </w:r>
      <w:proofErr w:type="spellEnd"/>
      <w:r w:rsidRPr="00950D73">
        <w:rPr>
          <w:rFonts w:asciiTheme="majorBidi" w:hAnsiTheme="majorBidi" w:cstheme="majorBidi"/>
          <w:i/>
          <w:color w:val="000000" w:themeColor="text1"/>
        </w:rPr>
        <w:t xml:space="preserve">. In vitro, 59: 100-114. </w:t>
      </w:r>
      <w:proofErr w:type="spellStart"/>
      <w:r w:rsidR="00F929E2" w:rsidRPr="00950D73">
        <w:rPr>
          <w:rFonts w:asciiTheme="majorBidi" w:hAnsiTheme="majorBidi" w:cstheme="majorBidi"/>
          <w:i/>
          <w:color w:val="000000" w:themeColor="text1"/>
        </w:rPr>
        <w:t>Doi</w:t>
      </w:r>
      <w:proofErr w:type="spellEnd"/>
      <w:r w:rsidRPr="00950D73">
        <w:rPr>
          <w:rFonts w:asciiTheme="majorBidi" w:hAnsiTheme="majorBidi" w:cstheme="majorBidi"/>
          <w:i/>
          <w:color w:val="000000" w:themeColor="text1"/>
        </w:rPr>
        <w:t>: 10.1016</w:t>
      </w:r>
      <w:r w:rsidRPr="00950D73">
        <w:rPr>
          <w:rFonts w:asciiTheme="majorBidi" w:hAnsiTheme="majorBidi" w:cstheme="majorBidi"/>
          <w:color w:val="000000" w:themeColor="text1"/>
        </w:rPr>
        <w:t>/</w:t>
      </w:r>
      <w:r w:rsidRPr="00950D73">
        <w:rPr>
          <w:rFonts w:asciiTheme="majorBidi" w:hAnsiTheme="majorBidi" w:cstheme="majorBidi"/>
          <w:i/>
          <w:color w:val="000000" w:themeColor="text1"/>
        </w:rPr>
        <w:t>j.tiv.2019.04.011.</w:t>
      </w:r>
    </w:p>
    <w:p w14:paraId="49088B9B" w14:textId="2A33D4F9"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950D73">
        <w:rPr>
          <w:rFonts w:asciiTheme="majorBidi" w:hAnsiTheme="majorBidi" w:cstheme="majorBidi"/>
          <w:i/>
          <w:color w:val="000000" w:themeColor="text1"/>
        </w:rPr>
        <w:t>Alépée</w:t>
      </w:r>
      <w:proofErr w:type="spellEnd"/>
      <w:r w:rsidRPr="00950D73">
        <w:rPr>
          <w:rFonts w:asciiTheme="majorBidi" w:hAnsiTheme="majorBidi" w:cstheme="majorBidi"/>
          <w:i/>
          <w:color w:val="000000" w:themeColor="text1"/>
        </w:rPr>
        <w:t xml:space="preserve">, N., V. Leblanc, M.H. Grandidier, S. </w:t>
      </w:r>
      <w:proofErr w:type="spellStart"/>
      <w:r w:rsidRPr="00950D73">
        <w:rPr>
          <w:rFonts w:asciiTheme="majorBidi" w:hAnsiTheme="majorBidi" w:cstheme="majorBidi"/>
          <w:i/>
          <w:color w:val="000000" w:themeColor="text1"/>
        </w:rPr>
        <w:t>Teluob</w:t>
      </w:r>
      <w:proofErr w:type="spellEnd"/>
      <w:r w:rsidRPr="00950D73">
        <w:rPr>
          <w:rFonts w:asciiTheme="majorBidi" w:hAnsiTheme="majorBidi" w:cstheme="majorBidi"/>
          <w:i/>
          <w:color w:val="000000" w:themeColor="text1"/>
        </w:rPr>
        <w:t xml:space="preserve">, V. </w:t>
      </w:r>
      <w:proofErr w:type="spellStart"/>
      <w:r w:rsidRPr="00950D73">
        <w:rPr>
          <w:rFonts w:asciiTheme="majorBidi" w:hAnsiTheme="majorBidi" w:cstheme="majorBidi"/>
          <w:i/>
          <w:color w:val="000000" w:themeColor="text1"/>
        </w:rPr>
        <w:t>Tagliati</w:t>
      </w:r>
      <w:proofErr w:type="spellEnd"/>
      <w:r w:rsidRPr="00950D73">
        <w:rPr>
          <w:rFonts w:asciiTheme="majorBidi" w:hAnsiTheme="majorBidi" w:cstheme="majorBidi"/>
          <w:i/>
          <w:color w:val="000000" w:themeColor="text1"/>
        </w:rPr>
        <w:t xml:space="preserve">, E. </w:t>
      </w:r>
      <w:proofErr w:type="spellStart"/>
      <w:r w:rsidRPr="00950D73">
        <w:rPr>
          <w:rFonts w:asciiTheme="majorBidi" w:hAnsiTheme="majorBidi" w:cstheme="majorBidi"/>
          <w:i/>
          <w:color w:val="000000" w:themeColor="text1"/>
        </w:rPr>
        <w:t>Adriaens</w:t>
      </w:r>
      <w:proofErr w:type="spellEnd"/>
      <w:r w:rsidRPr="00950D73">
        <w:rPr>
          <w:rFonts w:asciiTheme="majorBidi" w:hAnsiTheme="majorBidi" w:cstheme="majorBidi"/>
          <w:i/>
          <w:color w:val="000000" w:themeColor="text1"/>
        </w:rPr>
        <w:t xml:space="preserve"> et V. </w:t>
      </w:r>
      <w:proofErr w:type="spellStart"/>
      <w:r w:rsidRPr="00950D73">
        <w:rPr>
          <w:rFonts w:asciiTheme="majorBidi" w:hAnsiTheme="majorBidi" w:cstheme="majorBidi"/>
          <w:i/>
          <w:color w:val="000000" w:themeColor="text1"/>
        </w:rPr>
        <w:t>Michaut</w:t>
      </w:r>
      <w:proofErr w:type="spellEnd"/>
      <w:r w:rsidRPr="00950D73">
        <w:rPr>
          <w:rFonts w:asciiTheme="majorBidi" w:hAnsiTheme="majorBidi" w:cstheme="majorBidi"/>
          <w:i/>
          <w:color w:val="000000" w:themeColor="text1"/>
        </w:rPr>
        <w:t xml:space="preserve">. </w:t>
      </w:r>
      <w:r w:rsidRPr="007E44E1">
        <w:rPr>
          <w:rFonts w:asciiTheme="majorBidi" w:hAnsiTheme="majorBidi" w:cstheme="majorBidi"/>
          <w:i/>
          <w:color w:val="000000" w:themeColor="text1"/>
          <w:lang w:val="en-US"/>
        </w:rPr>
        <w:t xml:space="preserve">2020. Development of the </w:t>
      </w:r>
      <w:proofErr w:type="spellStart"/>
      <w:r w:rsidRPr="007E44E1">
        <w:rPr>
          <w:rFonts w:asciiTheme="majorBidi" w:hAnsiTheme="majorBidi" w:cstheme="majorBidi"/>
          <w:i/>
          <w:color w:val="000000" w:themeColor="text1"/>
          <w:lang w:val="en-US"/>
        </w:rPr>
        <w:t>SkinEthic</w:t>
      </w:r>
      <w:proofErr w:type="spellEnd"/>
      <w:r w:rsidRPr="007E44E1">
        <w:rPr>
          <w:rFonts w:asciiTheme="majorBidi" w:hAnsiTheme="majorBidi" w:cstheme="majorBidi"/>
          <w:i/>
          <w:color w:val="000000" w:themeColor="text1"/>
          <w:lang w:val="en-US"/>
        </w:rPr>
        <w:t xml:space="preserve"> HCE </w:t>
      </w:r>
      <w:r w:rsidRPr="007E44E1">
        <w:rPr>
          <w:rFonts w:asciiTheme="majorBidi" w:hAnsiTheme="majorBidi" w:cstheme="majorBidi"/>
          <w:i/>
          <w:color w:val="000000" w:themeColor="text1"/>
          <w:lang w:val="en-US"/>
        </w:rPr>
        <w:lastRenderedPageBreak/>
        <w:t xml:space="preserve">Time-to-Toxicity test method for identifying liquid chemicals not requiring classification and labelling and liquids inducing serious eye damage and eye irritation.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69: 104960.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j.tiv.2020.104960.</w:t>
      </w:r>
    </w:p>
    <w:p w14:paraId="67E09518" w14:textId="217E2B60"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t xml:space="preserve">Bagley, D.M., D. Waters et B.M. Kong. 1994. Development of a 10-day </w:t>
      </w:r>
      <w:proofErr w:type="spellStart"/>
      <w:r w:rsidRPr="007E44E1">
        <w:rPr>
          <w:rFonts w:asciiTheme="majorBidi" w:hAnsiTheme="majorBidi" w:cstheme="majorBidi"/>
          <w:i/>
          <w:color w:val="000000" w:themeColor="text1"/>
          <w:lang w:val="en-US"/>
        </w:rPr>
        <w:t>chorioallantoic</w:t>
      </w:r>
      <w:proofErr w:type="spellEnd"/>
      <w:r w:rsidRPr="007E44E1">
        <w:rPr>
          <w:rFonts w:asciiTheme="majorBidi" w:hAnsiTheme="majorBidi" w:cstheme="majorBidi"/>
          <w:i/>
          <w:color w:val="000000" w:themeColor="text1"/>
          <w:lang w:val="en-US"/>
        </w:rPr>
        <w:t xml:space="preserve"> membrane vascular assay as an alternative to the Draize rabbit eye irritation test. </w:t>
      </w:r>
      <w:r w:rsidRPr="00464F7A">
        <w:rPr>
          <w:rFonts w:asciiTheme="majorBidi" w:hAnsiTheme="majorBidi" w:cstheme="majorBidi"/>
          <w:i/>
          <w:color w:val="000000" w:themeColor="text1"/>
          <w:lang w:val="en-US"/>
        </w:rPr>
        <w:t xml:space="preserve">Food Chem. </w:t>
      </w:r>
      <w:proofErr w:type="spellStart"/>
      <w:r w:rsidRPr="00464F7A">
        <w:rPr>
          <w:rFonts w:asciiTheme="majorBidi" w:hAnsiTheme="majorBidi" w:cstheme="majorBidi"/>
          <w:i/>
          <w:color w:val="000000" w:themeColor="text1"/>
          <w:lang w:val="en-US"/>
        </w:rPr>
        <w:t>Toxicol</w:t>
      </w:r>
      <w:proofErr w:type="spellEnd"/>
      <w:r w:rsidRPr="00464F7A">
        <w:rPr>
          <w:rFonts w:asciiTheme="majorBidi" w:hAnsiTheme="majorBidi" w:cstheme="majorBidi"/>
          <w:i/>
          <w:color w:val="000000" w:themeColor="text1"/>
          <w:lang w:val="en-US"/>
        </w:rPr>
        <w:t xml:space="preserve">., 32(12): 1155-1160. </w:t>
      </w:r>
      <w:r w:rsidR="00F929E2" w:rsidRPr="00464F7A">
        <w:rPr>
          <w:rFonts w:asciiTheme="majorBidi" w:hAnsiTheme="majorBidi" w:cstheme="majorBidi"/>
          <w:i/>
          <w:color w:val="000000" w:themeColor="text1"/>
          <w:lang w:val="en-US"/>
        </w:rPr>
        <w:t>Doi</w:t>
      </w:r>
      <w:r w:rsidRPr="00464F7A">
        <w:rPr>
          <w:rFonts w:asciiTheme="majorBidi" w:hAnsiTheme="majorBidi" w:cstheme="majorBidi"/>
          <w:i/>
          <w:color w:val="000000" w:themeColor="text1"/>
          <w:lang w:val="en-US"/>
        </w:rPr>
        <w:t>: 10.1016</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0278-6915(94)90131-7.</w:t>
      </w:r>
    </w:p>
    <w:p w14:paraId="2DC4A71E" w14:textId="0052D054"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464F7A">
        <w:rPr>
          <w:rFonts w:asciiTheme="majorBidi" w:hAnsiTheme="majorBidi" w:cstheme="majorBidi"/>
          <w:i/>
          <w:color w:val="000000" w:themeColor="text1"/>
          <w:lang w:val="en-US"/>
        </w:rPr>
        <w:t xml:space="preserve">Bagley, D.M., D. </w:t>
      </w:r>
      <w:proofErr w:type="spellStart"/>
      <w:r w:rsidRPr="00464F7A">
        <w:rPr>
          <w:rFonts w:asciiTheme="majorBidi" w:hAnsiTheme="majorBidi" w:cstheme="majorBidi"/>
          <w:i/>
          <w:color w:val="000000" w:themeColor="text1"/>
          <w:lang w:val="en-US"/>
        </w:rPr>
        <w:t>Cerven</w:t>
      </w:r>
      <w:proofErr w:type="spellEnd"/>
      <w:r w:rsidRPr="00464F7A">
        <w:rPr>
          <w:rFonts w:asciiTheme="majorBidi" w:hAnsiTheme="majorBidi" w:cstheme="majorBidi"/>
          <w:i/>
          <w:color w:val="000000" w:themeColor="text1"/>
          <w:lang w:val="en-US"/>
        </w:rPr>
        <w:t xml:space="preserve"> et J. </w:t>
      </w:r>
      <w:proofErr w:type="spellStart"/>
      <w:r w:rsidRPr="00464F7A">
        <w:rPr>
          <w:rFonts w:asciiTheme="majorBidi" w:hAnsiTheme="majorBidi" w:cstheme="majorBidi"/>
          <w:i/>
          <w:color w:val="000000" w:themeColor="text1"/>
          <w:lang w:val="en-US"/>
        </w:rPr>
        <w:t>Harbell</w:t>
      </w:r>
      <w:proofErr w:type="spellEnd"/>
      <w:r w:rsidRPr="00464F7A">
        <w:rPr>
          <w:rFonts w:asciiTheme="majorBidi" w:hAnsiTheme="majorBidi" w:cstheme="majorBidi"/>
          <w:i/>
          <w:color w:val="000000" w:themeColor="text1"/>
          <w:lang w:val="en-US"/>
        </w:rPr>
        <w:t xml:space="preserve">. </w:t>
      </w:r>
      <w:r w:rsidRPr="007E44E1">
        <w:rPr>
          <w:rFonts w:asciiTheme="majorBidi" w:hAnsiTheme="majorBidi" w:cstheme="majorBidi"/>
          <w:i/>
          <w:color w:val="000000" w:themeColor="text1"/>
          <w:lang w:val="en-US"/>
        </w:rPr>
        <w:t xml:space="preserve">1999. Assessment of the </w:t>
      </w:r>
      <w:proofErr w:type="spellStart"/>
      <w:r w:rsidRPr="007E44E1">
        <w:rPr>
          <w:rFonts w:asciiTheme="majorBidi" w:hAnsiTheme="majorBidi" w:cstheme="majorBidi"/>
          <w:i/>
          <w:color w:val="000000" w:themeColor="text1"/>
          <w:lang w:val="en-US"/>
        </w:rPr>
        <w:t>chorioallantoic</w:t>
      </w:r>
      <w:proofErr w:type="spellEnd"/>
      <w:r w:rsidRPr="007E44E1">
        <w:rPr>
          <w:rFonts w:asciiTheme="majorBidi" w:hAnsiTheme="majorBidi" w:cstheme="majorBidi"/>
          <w:i/>
          <w:color w:val="000000" w:themeColor="text1"/>
          <w:lang w:val="en-US"/>
        </w:rPr>
        <w:t xml:space="preserve"> membrane vascular assay (CAMVA) in the COLIPA in vitro eye irritation validation study.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13(2): 285-293.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s0887-2333(98)00089-7.</w:t>
      </w:r>
    </w:p>
    <w:p w14:paraId="6C4BE4DD" w14:textId="040EE0D0"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t xml:space="preserve">Balls, M., P.A. Botham, L.H. Bruner et H. </w:t>
      </w:r>
      <w:proofErr w:type="spellStart"/>
      <w:r w:rsidRPr="007E44E1">
        <w:rPr>
          <w:rFonts w:asciiTheme="majorBidi" w:hAnsiTheme="majorBidi" w:cstheme="majorBidi"/>
          <w:i/>
          <w:color w:val="000000" w:themeColor="text1"/>
          <w:lang w:val="en-US"/>
        </w:rPr>
        <w:t>Spielmann</w:t>
      </w:r>
      <w:proofErr w:type="spellEnd"/>
      <w:r w:rsidRPr="007E44E1">
        <w:rPr>
          <w:rFonts w:asciiTheme="majorBidi" w:hAnsiTheme="majorBidi" w:cstheme="majorBidi"/>
          <w:i/>
          <w:color w:val="000000" w:themeColor="text1"/>
          <w:lang w:val="en-US"/>
        </w:rPr>
        <w:t>. 1995. The EC</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 xml:space="preserve">HO international validation study on alternatives to the </w:t>
      </w:r>
      <w:proofErr w:type="spellStart"/>
      <w:r w:rsidRPr="007E44E1">
        <w:rPr>
          <w:rFonts w:asciiTheme="majorBidi" w:hAnsiTheme="majorBidi" w:cstheme="majorBidi"/>
          <w:i/>
          <w:color w:val="000000" w:themeColor="text1"/>
          <w:lang w:val="en-US"/>
        </w:rPr>
        <w:t>draize</w:t>
      </w:r>
      <w:proofErr w:type="spellEnd"/>
      <w:r w:rsidRPr="007E44E1">
        <w:rPr>
          <w:rFonts w:asciiTheme="majorBidi" w:hAnsiTheme="majorBidi" w:cstheme="majorBidi"/>
          <w:i/>
          <w:color w:val="000000" w:themeColor="text1"/>
          <w:lang w:val="en-US"/>
        </w:rPr>
        <w:t xml:space="preserve"> eye irritation test.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9(6): 871-929.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0887-2333(95)00092-5.</w:t>
      </w:r>
    </w:p>
    <w:p w14:paraId="3697F09D" w14:textId="49D34B2E"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Brantom</w:t>
      </w:r>
      <w:proofErr w:type="spellEnd"/>
      <w:r w:rsidRPr="007E44E1">
        <w:rPr>
          <w:rFonts w:asciiTheme="majorBidi" w:hAnsiTheme="majorBidi" w:cstheme="majorBidi"/>
          <w:i/>
          <w:color w:val="000000" w:themeColor="text1"/>
          <w:lang w:val="en-US"/>
        </w:rPr>
        <w:t xml:space="preserve">, P.G., L.H. Bruner, M. Chamberlain, O. De Silva, J. Dupuis, L.K. Earl, D.P. Lovell, W.J. Pape, M. </w:t>
      </w:r>
      <w:proofErr w:type="spellStart"/>
      <w:r w:rsidRPr="007E44E1">
        <w:rPr>
          <w:rFonts w:asciiTheme="majorBidi" w:hAnsiTheme="majorBidi" w:cstheme="majorBidi"/>
          <w:i/>
          <w:color w:val="000000" w:themeColor="text1"/>
          <w:lang w:val="en-US"/>
        </w:rPr>
        <w:t>Uttley</w:t>
      </w:r>
      <w:proofErr w:type="spellEnd"/>
      <w:r w:rsidRPr="007E44E1">
        <w:rPr>
          <w:rFonts w:asciiTheme="majorBidi" w:hAnsiTheme="majorBidi" w:cstheme="majorBidi"/>
          <w:i/>
          <w:color w:val="000000" w:themeColor="text1"/>
          <w:lang w:val="en-US"/>
        </w:rPr>
        <w:t xml:space="preserve">, D.M. Bagley, F.W. Baker, M. </w:t>
      </w:r>
      <w:proofErr w:type="spellStart"/>
      <w:r w:rsidRPr="007E44E1">
        <w:rPr>
          <w:rFonts w:asciiTheme="majorBidi" w:hAnsiTheme="majorBidi" w:cstheme="majorBidi"/>
          <w:i/>
          <w:color w:val="000000" w:themeColor="text1"/>
          <w:lang w:val="en-US"/>
        </w:rPr>
        <w:t>Bracher</w:t>
      </w:r>
      <w:proofErr w:type="spellEnd"/>
      <w:r w:rsidRPr="007E44E1">
        <w:rPr>
          <w:rFonts w:asciiTheme="majorBidi" w:hAnsiTheme="majorBidi" w:cstheme="majorBidi"/>
          <w:i/>
          <w:color w:val="000000" w:themeColor="text1"/>
          <w:lang w:val="en-US"/>
        </w:rPr>
        <w:t xml:space="preserve">, P. </w:t>
      </w:r>
      <w:proofErr w:type="spellStart"/>
      <w:r w:rsidRPr="007E44E1">
        <w:rPr>
          <w:rFonts w:asciiTheme="majorBidi" w:hAnsiTheme="majorBidi" w:cstheme="majorBidi"/>
          <w:i/>
          <w:color w:val="000000" w:themeColor="text1"/>
          <w:lang w:val="en-US"/>
        </w:rPr>
        <w:t>Courtellemont</w:t>
      </w:r>
      <w:proofErr w:type="spellEnd"/>
      <w:r w:rsidRPr="007E44E1">
        <w:rPr>
          <w:rFonts w:asciiTheme="majorBidi" w:hAnsiTheme="majorBidi" w:cstheme="majorBidi"/>
          <w:i/>
          <w:color w:val="000000" w:themeColor="text1"/>
          <w:lang w:val="en-US"/>
        </w:rPr>
        <w:t xml:space="preserve">, L. </w:t>
      </w:r>
      <w:proofErr w:type="spellStart"/>
      <w:r w:rsidRPr="007E44E1">
        <w:rPr>
          <w:rFonts w:asciiTheme="majorBidi" w:hAnsiTheme="majorBidi" w:cstheme="majorBidi"/>
          <w:i/>
          <w:color w:val="000000" w:themeColor="text1"/>
          <w:lang w:val="en-US"/>
        </w:rPr>
        <w:t>Declercq</w:t>
      </w:r>
      <w:proofErr w:type="spellEnd"/>
      <w:r w:rsidRPr="007E44E1">
        <w:rPr>
          <w:rFonts w:asciiTheme="majorBidi" w:hAnsiTheme="majorBidi" w:cstheme="majorBidi"/>
          <w:i/>
          <w:color w:val="000000" w:themeColor="text1"/>
          <w:lang w:val="en-US"/>
        </w:rPr>
        <w:t xml:space="preserve">, S. Freeman, W. </w:t>
      </w:r>
      <w:proofErr w:type="spellStart"/>
      <w:r w:rsidRPr="007E44E1">
        <w:rPr>
          <w:rFonts w:asciiTheme="majorBidi" w:hAnsiTheme="majorBidi" w:cstheme="majorBidi"/>
          <w:i/>
          <w:color w:val="000000" w:themeColor="text1"/>
          <w:lang w:val="en-US"/>
        </w:rPr>
        <w:t>Steiling</w:t>
      </w:r>
      <w:proofErr w:type="spellEnd"/>
      <w:r w:rsidRPr="007E44E1">
        <w:rPr>
          <w:rFonts w:asciiTheme="majorBidi" w:hAnsiTheme="majorBidi" w:cstheme="majorBidi"/>
          <w:i/>
          <w:color w:val="000000" w:themeColor="text1"/>
          <w:lang w:val="en-US"/>
        </w:rPr>
        <w:t xml:space="preserve">, A.P. Walker, G.J. </w:t>
      </w:r>
      <w:proofErr w:type="spellStart"/>
      <w:r w:rsidRPr="007E44E1">
        <w:rPr>
          <w:rFonts w:asciiTheme="majorBidi" w:hAnsiTheme="majorBidi" w:cstheme="majorBidi"/>
          <w:i/>
          <w:color w:val="000000" w:themeColor="text1"/>
          <w:lang w:val="en-US"/>
        </w:rPr>
        <w:t>Carr</w:t>
      </w:r>
      <w:proofErr w:type="spellEnd"/>
      <w:r w:rsidRPr="007E44E1">
        <w:rPr>
          <w:rFonts w:asciiTheme="majorBidi" w:hAnsiTheme="majorBidi" w:cstheme="majorBidi"/>
          <w:i/>
          <w:color w:val="000000" w:themeColor="text1"/>
          <w:lang w:val="en-US"/>
        </w:rPr>
        <w:t xml:space="preserve">, N. </w:t>
      </w:r>
      <w:proofErr w:type="spellStart"/>
      <w:r w:rsidRPr="007E44E1">
        <w:rPr>
          <w:rFonts w:asciiTheme="majorBidi" w:hAnsiTheme="majorBidi" w:cstheme="majorBidi"/>
          <w:i/>
          <w:color w:val="000000" w:themeColor="text1"/>
          <w:lang w:val="en-US"/>
        </w:rPr>
        <w:t>Dami</w:t>
      </w:r>
      <w:proofErr w:type="spellEnd"/>
      <w:r w:rsidRPr="007E44E1">
        <w:rPr>
          <w:rFonts w:asciiTheme="majorBidi" w:hAnsiTheme="majorBidi" w:cstheme="majorBidi"/>
          <w:i/>
          <w:color w:val="000000" w:themeColor="text1"/>
          <w:lang w:val="en-US"/>
        </w:rPr>
        <w:t xml:space="preserve">, G. Thomas, J. </w:t>
      </w:r>
      <w:proofErr w:type="spellStart"/>
      <w:r w:rsidRPr="007E44E1">
        <w:rPr>
          <w:rFonts w:asciiTheme="majorBidi" w:hAnsiTheme="majorBidi" w:cstheme="majorBidi"/>
          <w:i/>
          <w:color w:val="000000" w:themeColor="text1"/>
          <w:lang w:val="en-US"/>
        </w:rPr>
        <w:t>Harbell</w:t>
      </w:r>
      <w:proofErr w:type="spellEnd"/>
      <w:r w:rsidRPr="007E44E1">
        <w:rPr>
          <w:rFonts w:asciiTheme="majorBidi" w:hAnsiTheme="majorBidi" w:cstheme="majorBidi"/>
          <w:i/>
          <w:color w:val="000000" w:themeColor="text1"/>
          <w:lang w:val="en-US"/>
        </w:rPr>
        <w:t xml:space="preserve">, P.A. Jones, U. </w:t>
      </w:r>
      <w:proofErr w:type="spellStart"/>
      <w:r w:rsidRPr="007E44E1">
        <w:rPr>
          <w:rFonts w:asciiTheme="majorBidi" w:hAnsiTheme="majorBidi" w:cstheme="majorBidi"/>
          <w:i/>
          <w:color w:val="000000" w:themeColor="text1"/>
          <w:lang w:val="en-US"/>
        </w:rPr>
        <w:t>Pfannenbecker</w:t>
      </w:r>
      <w:proofErr w:type="spellEnd"/>
      <w:r w:rsidRPr="007E44E1">
        <w:rPr>
          <w:rFonts w:asciiTheme="majorBidi" w:hAnsiTheme="majorBidi" w:cstheme="majorBidi"/>
          <w:i/>
          <w:color w:val="000000" w:themeColor="text1"/>
          <w:lang w:val="en-US"/>
        </w:rPr>
        <w:t xml:space="preserve">, J.A. Southee, M. </w:t>
      </w:r>
      <w:proofErr w:type="spellStart"/>
      <w:r w:rsidRPr="007E44E1">
        <w:rPr>
          <w:rFonts w:asciiTheme="majorBidi" w:hAnsiTheme="majorBidi" w:cstheme="majorBidi"/>
          <w:i/>
          <w:color w:val="000000" w:themeColor="text1"/>
          <w:lang w:val="en-US"/>
        </w:rPr>
        <w:t>Tcheng</w:t>
      </w:r>
      <w:proofErr w:type="spellEnd"/>
      <w:r w:rsidRPr="007E44E1">
        <w:rPr>
          <w:rFonts w:asciiTheme="majorBidi" w:hAnsiTheme="majorBidi" w:cstheme="majorBidi"/>
          <w:i/>
          <w:color w:val="000000" w:themeColor="text1"/>
          <w:lang w:val="en-US"/>
        </w:rPr>
        <w:t xml:space="preserve">, H. </w:t>
      </w:r>
      <w:proofErr w:type="spellStart"/>
      <w:r w:rsidRPr="007E44E1">
        <w:rPr>
          <w:rFonts w:asciiTheme="majorBidi" w:hAnsiTheme="majorBidi" w:cstheme="majorBidi"/>
          <w:i/>
          <w:color w:val="000000" w:themeColor="text1"/>
          <w:lang w:val="en-US"/>
        </w:rPr>
        <w:t>Argembeaux</w:t>
      </w:r>
      <w:proofErr w:type="spellEnd"/>
      <w:r w:rsidRPr="007E44E1">
        <w:rPr>
          <w:rFonts w:asciiTheme="majorBidi" w:hAnsiTheme="majorBidi" w:cstheme="majorBidi"/>
          <w:i/>
          <w:color w:val="000000" w:themeColor="text1"/>
          <w:lang w:val="en-US"/>
        </w:rPr>
        <w:t xml:space="preserve">, D. Castelli, R. Clothier, D.J. Esdaile, H. </w:t>
      </w:r>
      <w:proofErr w:type="spellStart"/>
      <w:r w:rsidRPr="007E44E1">
        <w:rPr>
          <w:rFonts w:asciiTheme="majorBidi" w:hAnsiTheme="majorBidi" w:cstheme="majorBidi"/>
          <w:i/>
          <w:color w:val="000000" w:themeColor="text1"/>
          <w:lang w:val="en-US"/>
        </w:rPr>
        <w:t>Itigaki</w:t>
      </w:r>
      <w:proofErr w:type="spellEnd"/>
      <w:r w:rsidRPr="007E44E1">
        <w:rPr>
          <w:rFonts w:asciiTheme="majorBidi" w:hAnsiTheme="majorBidi" w:cstheme="majorBidi"/>
          <w:i/>
          <w:color w:val="000000" w:themeColor="text1"/>
          <w:lang w:val="en-US"/>
        </w:rPr>
        <w:t xml:space="preserve">, K. Jung, Y. Kasai, H. Kojima, U. Kristen, M. </w:t>
      </w:r>
      <w:proofErr w:type="spellStart"/>
      <w:r w:rsidRPr="007E44E1">
        <w:rPr>
          <w:rFonts w:asciiTheme="majorBidi" w:hAnsiTheme="majorBidi" w:cstheme="majorBidi"/>
          <w:i/>
          <w:color w:val="000000" w:themeColor="text1"/>
          <w:lang w:val="en-US"/>
        </w:rPr>
        <w:t>Larnicol</w:t>
      </w:r>
      <w:proofErr w:type="spellEnd"/>
      <w:r w:rsidRPr="007E44E1">
        <w:rPr>
          <w:rFonts w:asciiTheme="majorBidi" w:hAnsiTheme="majorBidi" w:cstheme="majorBidi"/>
          <w:i/>
          <w:color w:val="000000" w:themeColor="text1"/>
          <w:lang w:val="en-US"/>
        </w:rPr>
        <w:t xml:space="preserve">, R.W. Lewis, K. </w:t>
      </w:r>
      <w:proofErr w:type="spellStart"/>
      <w:r w:rsidRPr="007E44E1">
        <w:rPr>
          <w:rFonts w:asciiTheme="majorBidi" w:hAnsiTheme="majorBidi" w:cstheme="majorBidi"/>
          <w:i/>
          <w:color w:val="000000" w:themeColor="text1"/>
          <w:lang w:val="en-US"/>
        </w:rPr>
        <w:t>Marenus</w:t>
      </w:r>
      <w:proofErr w:type="spellEnd"/>
      <w:r w:rsidRPr="007E44E1">
        <w:rPr>
          <w:rFonts w:asciiTheme="majorBidi" w:hAnsiTheme="majorBidi" w:cstheme="majorBidi"/>
          <w:i/>
          <w:color w:val="000000" w:themeColor="text1"/>
          <w:lang w:val="en-US"/>
        </w:rPr>
        <w:t xml:space="preserve">, O. Moreno, A. Peterson, E.S. Rasmussen, C. Robles et M. Stern. 1997. A summary report of the COLIPA international </w:t>
      </w:r>
      <w:proofErr w:type="spellStart"/>
      <w:r w:rsidRPr="007E44E1">
        <w:rPr>
          <w:rFonts w:asciiTheme="majorBidi" w:hAnsiTheme="majorBidi" w:cstheme="majorBidi"/>
          <w:i/>
          <w:color w:val="000000" w:themeColor="text1"/>
          <w:lang w:val="en-US"/>
        </w:rPr>
        <w:t>validation.study</w:t>
      </w:r>
      <w:proofErr w:type="spellEnd"/>
      <w:r w:rsidRPr="007E44E1">
        <w:rPr>
          <w:rFonts w:asciiTheme="majorBidi" w:hAnsiTheme="majorBidi" w:cstheme="majorBidi"/>
          <w:i/>
          <w:color w:val="000000" w:themeColor="text1"/>
          <w:lang w:val="en-US"/>
        </w:rPr>
        <w:t xml:space="preserve"> on alternatives to the </w:t>
      </w:r>
      <w:proofErr w:type="spellStart"/>
      <w:r w:rsidRPr="007E44E1">
        <w:rPr>
          <w:rFonts w:asciiTheme="majorBidi" w:hAnsiTheme="majorBidi" w:cstheme="majorBidi"/>
          <w:i/>
          <w:color w:val="000000" w:themeColor="text1"/>
          <w:lang w:val="en-US"/>
        </w:rPr>
        <w:t>draize</w:t>
      </w:r>
      <w:proofErr w:type="spellEnd"/>
      <w:r w:rsidRPr="007E44E1">
        <w:rPr>
          <w:rFonts w:asciiTheme="majorBidi" w:hAnsiTheme="majorBidi" w:cstheme="majorBidi"/>
          <w:i/>
          <w:color w:val="000000" w:themeColor="text1"/>
          <w:lang w:val="en-US"/>
        </w:rPr>
        <w:t xml:space="preserve"> rabbit eye irritation test.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11: 141-179. </w:t>
      </w:r>
      <w:r w:rsidR="00F929E2" w:rsidRPr="00464F7A">
        <w:rPr>
          <w:rFonts w:asciiTheme="majorBidi" w:hAnsiTheme="majorBidi" w:cstheme="majorBidi"/>
          <w:i/>
          <w:color w:val="000000" w:themeColor="text1"/>
          <w:lang w:val="en-US"/>
        </w:rPr>
        <w:t>Doi</w:t>
      </w:r>
      <w:r w:rsidRPr="00464F7A">
        <w:rPr>
          <w:rFonts w:asciiTheme="majorBidi" w:hAnsiTheme="majorBidi" w:cstheme="majorBidi"/>
          <w:i/>
          <w:color w:val="000000" w:themeColor="text1"/>
          <w:lang w:val="en-US"/>
        </w:rPr>
        <w:t>:10.1016</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S0887-2333(96)00069-0.</w:t>
      </w:r>
    </w:p>
    <w:p w14:paraId="7DF69A76" w14:textId="49F7EDBA"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464F7A">
        <w:rPr>
          <w:rFonts w:asciiTheme="majorBidi" w:hAnsiTheme="majorBidi" w:cstheme="majorBidi"/>
          <w:i/>
          <w:color w:val="000000" w:themeColor="text1"/>
          <w:lang w:val="en-US"/>
        </w:rPr>
        <w:t xml:space="preserve">Burton, A.B., M. York et R.S. Lawrence. </w:t>
      </w:r>
      <w:r w:rsidRPr="007E44E1">
        <w:rPr>
          <w:rFonts w:asciiTheme="majorBidi" w:hAnsiTheme="majorBidi" w:cstheme="majorBidi"/>
          <w:i/>
          <w:color w:val="000000" w:themeColor="text1"/>
          <w:lang w:val="en-US"/>
        </w:rPr>
        <w:t xml:space="preserve">1981. The in vitro assessment of severe eye irritants. </w:t>
      </w:r>
      <w:r w:rsidRPr="00464F7A">
        <w:rPr>
          <w:rFonts w:asciiTheme="majorBidi" w:hAnsiTheme="majorBidi" w:cstheme="majorBidi"/>
          <w:i/>
          <w:color w:val="000000" w:themeColor="text1"/>
          <w:lang w:val="en-US"/>
        </w:rPr>
        <w:t xml:space="preserve">Food </w:t>
      </w:r>
      <w:proofErr w:type="spellStart"/>
      <w:r w:rsidRPr="00464F7A">
        <w:rPr>
          <w:rFonts w:asciiTheme="majorBidi" w:hAnsiTheme="majorBidi" w:cstheme="majorBidi"/>
          <w:i/>
          <w:color w:val="000000" w:themeColor="text1"/>
          <w:lang w:val="en-US"/>
        </w:rPr>
        <w:t>Cosmet</w:t>
      </w:r>
      <w:proofErr w:type="spellEnd"/>
      <w:r w:rsidRPr="00464F7A">
        <w:rPr>
          <w:rFonts w:asciiTheme="majorBidi" w:hAnsiTheme="majorBidi" w:cstheme="majorBidi"/>
          <w:i/>
          <w:color w:val="000000" w:themeColor="text1"/>
          <w:lang w:val="en-US"/>
        </w:rPr>
        <w:t xml:space="preserve">. </w:t>
      </w:r>
      <w:proofErr w:type="spellStart"/>
      <w:r w:rsidRPr="00464F7A">
        <w:rPr>
          <w:rFonts w:asciiTheme="majorBidi" w:hAnsiTheme="majorBidi" w:cstheme="majorBidi"/>
          <w:i/>
          <w:color w:val="000000" w:themeColor="text1"/>
          <w:lang w:val="en-US"/>
        </w:rPr>
        <w:t>Toxicol</w:t>
      </w:r>
      <w:proofErr w:type="spellEnd"/>
      <w:r w:rsidRPr="00464F7A">
        <w:rPr>
          <w:rFonts w:asciiTheme="majorBidi" w:hAnsiTheme="majorBidi" w:cstheme="majorBidi"/>
          <w:i/>
          <w:color w:val="000000" w:themeColor="text1"/>
          <w:lang w:val="en-US"/>
        </w:rPr>
        <w:t xml:space="preserve">., 19(4): 471-480. </w:t>
      </w:r>
      <w:r w:rsidR="00F929E2" w:rsidRPr="00464F7A">
        <w:rPr>
          <w:rFonts w:asciiTheme="majorBidi" w:hAnsiTheme="majorBidi" w:cstheme="majorBidi"/>
          <w:i/>
          <w:color w:val="000000" w:themeColor="text1"/>
          <w:lang w:val="en-US"/>
        </w:rPr>
        <w:t>Doi</w:t>
      </w:r>
      <w:r w:rsidRPr="00464F7A">
        <w:rPr>
          <w:rFonts w:asciiTheme="majorBidi" w:hAnsiTheme="majorBidi" w:cstheme="majorBidi"/>
          <w:i/>
          <w:color w:val="000000" w:themeColor="text1"/>
          <w:lang w:val="en-US"/>
        </w:rPr>
        <w:t>: 10.1016</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0015-6264(81)90452-1.</w:t>
      </w:r>
    </w:p>
    <w:p w14:paraId="7890A27D" w14:textId="4767CD3D" w:rsidR="00C94ECF" w:rsidRPr="00950D73"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rPr>
      </w:pPr>
      <w:r w:rsidRPr="00464F7A">
        <w:rPr>
          <w:rFonts w:asciiTheme="majorBidi" w:hAnsiTheme="majorBidi" w:cstheme="majorBidi"/>
          <w:i/>
          <w:color w:val="000000" w:themeColor="text1"/>
          <w:lang w:val="en-US"/>
        </w:rPr>
        <w:lastRenderedPageBreak/>
        <w:t xml:space="preserve">Choksi, N., S. Lebrun, M. Nguyen, A. Daniel, G. </w:t>
      </w:r>
      <w:proofErr w:type="spellStart"/>
      <w:r w:rsidRPr="00464F7A">
        <w:rPr>
          <w:rFonts w:asciiTheme="majorBidi" w:hAnsiTheme="majorBidi" w:cstheme="majorBidi"/>
          <w:i/>
          <w:color w:val="000000" w:themeColor="text1"/>
          <w:lang w:val="en-US"/>
        </w:rPr>
        <w:t>DeGeorge</w:t>
      </w:r>
      <w:proofErr w:type="spellEnd"/>
      <w:r w:rsidRPr="00464F7A">
        <w:rPr>
          <w:rFonts w:asciiTheme="majorBidi" w:hAnsiTheme="majorBidi" w:cstheme="majorBidi"/>
          <w:i/>
          <w:color w:val="000000" w:themeColor="text1"/>
          <w:lang w:val="en-US"/>
        </w:rPr>
        <w:t>, J. Willoughby, A.</w:t>
      </w:r>
      <w:r w:rsidRPr="00464F7A">
        <w:rPr>
          <w:rFonts w:asciiTheme="majorBidi" w:hAnsiTheme="majorBidi" w:cstheme="majorBidi"/>
          <w:color w:val="000000" w:themeColor="text1"/>
          <w:lang w:val="en-US"/>
        </w:rPr>
        <w:t xml:space="preserve"> </w:t>
      </w:r>
      <w:r w:rsidRPr="00464F7A">
        <w:rPr>
          <w:rFonts w:asciiTheme="majorBidi" w:hAnsiTheme="majorBidi" w:cstheme="majorBidi"/>
          <w:i/>
          <w:color w:val="000000" w:themeColor="text1"/>
          <w:lang w:val="en-US"/>
        </w:rPr>
        <w:t xml:space="preserve">Layton, D. Lowther, J. Merrill, J. Matheson, J. Barroso, K. </w:t>
      </w:r>
      <w:proofErr w:type="spellStart"/>
      <w:r w:rsidRPr="00464F7A">
        <w:rPr>
          <w:rFonts w:asciiTheme="majorBidi" w:hAnsiTheme="majorBidi" w:cstheme="majorBidi"/>
          <w:i/>
          <w:color w:val="000000" w:themeColor="text1"/>
          <w:lang w:val="en-US"/>
        </w:rPr>
        <w:t>Yozzo</w:t>
      </w:r>
      <w:proofErr w:type="spellEnd"/>
      <w:r w:rsidRPr="00464F7A">
        <w:rPr>
          <w:rFonts w:asciiTheme="majorBidi" w:hAnsiTheme="majorBidi" w:cstheme="majorBidi"/>
          <w:i/>
          <w:color w:val="000000" w:themeColor="text1"/>
          <w:lang w:val="en-US"/>
        </w:rPr>
        <w:t xml:space="preserve">, W. Casey et D. Allen. </w:t>
      </w:r>
      <w:r w:rsidRPr="007E44E1">
        <w:rPr>
          <w:rFonts w:asciiTheme="majorBidi" w:hAnsiTheme="majorBidi" w:cstheme="majorBidi"/>
          <w:i/>
          <w:color w:val="000000" w:themeColor="text1"/>
          <w:lang w:val="en-US"/>
        </w:rPr>
        <w:t xml:space="preserve">2020. Validation of the </w:t>
      </w:r>
      <w:proofErr w:type="spellStart"/>
      <w:r w:rsidRPr="007E44E1">
        <w:rPr>
          <w:rFonts w:asciiTheme="majorBidi" w:hAnsiTheme="majorBidi" w:cstheme="majorBidi"/>
          <w:i/>
          <w:color w:val="000000" w:themeColor="text1"/>
          <w:lang w:val="en-US"/>
        </w:rPr>
        <w:t>OptiSafe</w:t>
      </w:r>
      <w:proofErr w:type="spellEnd"/>
      <w:r w:rsidRPr="007E44E1">
        <w:rPr>
          <w:rFonts w:asciiTheme="majorBidi" w:hAnsiTheme="majorBidi" w:cstheme="majorBidi"/>
          <w:i/>
          <w:color w:val="000000" w:themeColor="text1"/>
          <w:lang w:val="en-US"/>
        </w:rPr>
        <w:t xml:space="preserve">™ eye irritation test. </w:t>
      </w:r>
      <w:proofErr w:type="spellStart"/>
      <w:r w:rsidRPr="007E44E1">
        <w:rPr>
          <w:rFonts w:asciiTheme="majorBidi" w:hAnsiTheme="majorBidi" w:cstheme="majorBidi"/>
          <w:i/>
          <w:color w:val="000000" w:themeColor="text1"/>
          <w:lang w:val="en-US"/>
        </w:rPr>
        <w:t>Cutan</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Ocul</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39(3): 180-192. </w:t>
      </w:r>
      <w:proofErr w:type="spellStart"/>
      <w:r w:rsidR="00F929E2" w:rsidRPr="00950D73">
        <w:rPr>
          <w:rFonts w:asciiTheme="majorBidi" w:hAnsiTheme="majorBidi" w:cstheme="majorBidi"/>
          <w:i/>
          <w:color w:val="000000" w:themeColor="text1"/>
        </w:rPr>
        <w:t>Doi</w:t>
      </w:r>
      <w:proofErr w:type="spellEnd"/>
      <w:r w:rsidRPr="00950D73">
        <w:rPr>
          <w:rFonts w:asciiTheme="majorBidi" w:hAnsiTheme="majorBidi" w:cstheme="majorBidi"/>
          <w:i/>
          <w:color w:val="000000" w:themeColor="text1"/>
        </w:rPr>
        <w:t>: 10.1080</w:t>
      </w:r>
      <w:r w:rsidRPr="00950D73">
        <w:rPr>
          <w:rFonts w:asciiTheme="majorBidi" w:hAnsiTheme="majorBidi" w:cstheme="majorBidi"/>
          <w:color w:val="000000" w:themeColor="text1"/>
        </w:rPr>
        <w:t>/</w:t>
      </w:r>
      <w:r w:rsidRPr="00950D73">
        <w:rPr>
          <w:rFonts w:asciiTheme="majorBidi" w:hAnsiTheme="majorBidi" w:cstheme="majorBidi"/>
          <w:i/>
          <w:color w:val="000000" w:themeColor="text1"/>
        </w:rPr>
        <w:t>15569527.2020.1787431.</w:t>
      </w:r>
    </w:p>
    <w:p w14:paraId="5FB69EE7" w14:textId="743980BD"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950D73">
        <w:rPr>
          <w:rFonts w:asciiTheme="majorBidi" w:hAnsiTheme="majorBidi" w:cstheme="majorBidi"/>
          <w:i/>
          <w:color w:val="000000" w:themeColor="text1"/>
        </w:rPr>
        <w:t>Cottrez</w:t>
      </w:r>
      <w:proofErr w:type="spellEnd"/>
      <w:r w:rsidRPr="00950D73">
        <w:rPr>
          <w:rFonts w:asciiTheme="majorBidi" w:hAnsiTheme="majorBidi" w:cstheme="majorBidi"/>
          <w:i/>
          <w:color w:val="000000" w:themeColor="text1"/>
        </w:rPr>
        <w:t xml:space="preserve">, F., V. Leblanc, E. </w:t>
      </w:r>
      <w:proofErr w:type="spellStart"/>
      <w:r w:rsidRPr="00950D73">
        <w:rPr>
          <w:rFonts w:asciiTheme="majorBidi" w:hAnsiTheme="majorBidi" w:cstheme="majorBidi"/>
          <w:i/>
          <w:color w:val="000000" w:themeColor="text1"/>
        </w:rPr>
        <w:t>Boitel</w:t>
      </w:r>
      <w:proofErr w:type="spellEnd"/>
      <w:r w:rsidRPr="00950D73">
        <w:rPr>
          <w:rFonts w:asciiTheme="majorBidi" w:hAnsiTheme="majorBidi" w:cstheme="majorBidi"/>
          <w:i/>
          <w:color w:val="000000" w:themeColor="text1"/>
        </w:rPr>
        <w:t xml:space="preserve">, H. Groux et N. </w:t>
      </w:r>
      <w:proofErr w:type="spellStart"/>
      <w:r w:rsidRPr="00950D73">
        <w:rPr>
          <w:rFonts w:asciiTheme="majorBidi" w:hAnsiTheme="majorBidi" w:cstheme="majorBidi"/>
          <w:i/>
          <w:color w:val="000000" w:themeColor="text1"/>
        </w:rPr>
        <w:t>Alépée</w:t>
      </w:r>
      <w:proofErr w:type="spellEnd"/>
      <w:r w:rsidRPr="00950D73">
        <w:rPr>
          <w:rFonts w:asciiTheme="majorBidi" w:hAnsiTheme="majorBidi" w:cstheme="majorBidi"/>
          <w:i/>
          <w:color w:val="000000" w:themeColor="text1"/>
        </w:rPr>
        <w:t xml:space="preserve">. </w:t>
      </w:r>
      <w:r w:rsidRPr="007E44E1">
        <w:rPr>
          <w:rFonts w:asciiTheme="majorBidi" w:hAnsiTheme="majorBidi" w:cstheme="majorBidi"/>
          <w:i/>
          <w:color w:val="000000" w:themeColor="text1"/>
          <w:lang w:val="en-US"/>
        </w:rPr>
        <w:t xml:space="preserve">2021. The </w:t>
      </w:r>
      <w:proofErr w:type="spellStart"/>
      <w:r w:rsidRPr="007E44E1">
        <w:rPr>
          <w:rFonts w:asciiTheme="majorBidi" w:hAnsiTheme="majorBidi" w:cstheme="majorBidi"/>
          <w:i/>
          <w:color w:val="000000" w:themeColor="text1"/>
          <w:lang w:val="en-US"/>
        </w:rPr>
        <w:t>EyeIRR</w:t>
      </w:r>
      <w:proofErr w:type="spellEnd"/>
      <w:r w:rsidRPr="007E44E1">
        <w:rPr>
          <w:rFonts w:asciiTheme="majorBidi" w:hAnsiTheme="majorBidi" w:cstheme="majorBidi"/>
          <w:i/>
          <w:color w:val="000000" w:themeColor="text1"/>
          <w:lang w:val="en-US"/>
        </w:rPr>
        <w:t xml:space="preserve">-IS assay: Development and evaluation of an in vitro assay to measure the eye irritation sub-categorization of liquid chemicals.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71: 105072.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j.tiv.2020.105072.</w:t>
      </w:r>
    </w:p>
    <w:p w14:paraId="7BFAE9BE" w14:textId="5D0CBBDC"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t xml:space="preserve">Donahue, D.A., L.E. Kaufman, J. Avalos, F.A. </w:t>
      </w:r>
      <w:proofErr w:type="spellStart"/>
      <w:r w:rsidRPr="007E44E1">
        <w:rPr>
          <w:rFonts w:asciiTheme="majorBidi" w:hAnsiTheme="majorBidi" w:cstheme="majorBidi"/>
          <w:i/>
          <w:color w:val="000000" w:themeColor="text1"/>
          <w:lang w:val="en-US"/>
        </w:rPr>
        <w:t>Simion</w:t>
      </w:r>
      <w:proofErr w:type="spellEnd"/>
      <w:r w:rsidRPr="007E44E1">
        <w:rPr>
          <w:rFonts w:asciiTheme="majorBidi" w:hAnsiTheme="majorBidi" w:cstheme="majorBidi"/>
          <w:i/>
          <w:color w:val="000000" w:themeColor="text1"/>
          <w:lang w:val="en-US"/>
        </w:rPr>
        <w:t xml:space="preserve"> et D.R </w:t>
      </w:r>
      <w:proofErr w:type="spellStart"/>
      <w:r w:rsidRPr="007E44E1">
        <w:rPr>
          <w:rFonts w:asciiTheme="majorBidi" w:hAnsiTheme="majorBidi" w:cstheme="majorBidi"/>
          <w:i/>
          <w:color w:val="000000" w:themeColor="text1"/>
          <w:lang w:val="en-US"/>
        </w:rPr>
        <w:t>Cerven</w:t>
      </w:r>
      <w:proofErr w:type="spellEnd"/>
      <w:r w:rsidRPr="007E44E1">
        <w:rPr>
          <w:rFonts w:asciiTheme="majorBidi" w:hAnsiTheme="majorBidi" w:cstheme="majorBidi"/>
          <w:i/>
          <w:color w:val="000000" w:themeColor="text1"/>
          <w:lang w:val="en-US"/>
        </w:rPr>
        <w:t xml:space="preserve">. 2011. Survey of ocular irritation predictive capacity using </w:t>
      </w:r>
      <w:proofErr w:type="spellStart"/>
      <w:r w:rsidRPr="007E44E1">
        <w:rPr>
          <w:rFonts w:asciiTheme="majorBidi" w:hAnsiTheme="majorBidi" w:cstheme="majorBidi"/>
          <w:i/>
          <w:color w:val="000000" w:themeColor="text1"/>
          <w:lang w:val="en-US"/>
        </w:rPr>
        <w:t>Chorioallantoic</w:t>
      </w:r>
      <w:proofErr w:type="spellEnd"/>
      <w:r w:rsidRPr="007E44E1">
        <w:rPr>
          <w:rFonts w:asciiTheme="majorBidi" w:hAnsiTheme="majorBidi" w:cstheme="majorBidi"/>
          <w:i/>
          <w:color w:val="000000" w:themeColor="text1"/>
          <w:lang w:val="en-US"/>
        </w:rPr>
        <w:t xml:space="preserve"> Membrane Vascular Assay (CAMVA) and Bovine Corneal Opacity and Permeability (BCOP) test historical data for 319 personal care products over fourteen years.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25(2): 563-572.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j.tiv.2010.12.003.</w:t>
      </w:r>
    </w:p>
    <w:p w14:paraId="63E61874" w14:textId="4C8FC1A9" w:rsidR="00C94ECF" w:rsidRPr="00950D73"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rPr>
      </w:pPr>
      <w:r w:rsidRPr="007E44E1">
        <w:rPr>
          <w:rFonts w:asciiTheme="majorBidi" w:hAnsiTheme="majorBidi" w:cstheme="majorBidi"/>
          <w:i/>
          <w:color w:val="000000" w:themeColor="text1"/>
          <w:spacing w:val="-2"/>
          <w:lang w:val="en-US"/>
        </w:rPr>
        <w:t xml:space="preserve">ECHA. 2017. Guidance on the Application of the CLP Criteria. </w:t>
      </w:r>
      <w:proofErr w:type="spellStart"/>
      <w:r w:rsidRPr="00464F7A">
        <w:rPr>
          <w:rFonts w:asciiTheme="majorBidi" w:hAnsiTheme="majorBidi" w:cstheme="majorBidi"/>
          <w:i/>
          <w:color w:val="000000" w:themeColor="text1"/>
          <w:spacing w:val="-2"/>
          <w:lang w:val="es-ES_tradnl"/>
        </w:rPr>
        <w:t>Version</w:t>
      </w:r>
      <w:proofErr w:type="spellEnd"/>
      <w:r w:rsidRPr="00464F7A">
        <w:rPr>
          <w:rFonts w:asciiTheme="majorBidi" w:hAnsiTheme="majorBidi" w:cstheme="majorBidi"/>
          <w:i/>
          <w:color w:val="000000" w:themeColor="text1"/>
          <w:spacing w:val="-2"/>
          <w:lang w:val="es-ES_tradnl"/>
        </w:rPr>
        <w:t xml:space="preserve"> 5.0. Reference ECHA-17-G-21-EN. </w:t>
      </w:r>
      <w:proofErr w:type="spellStart"/>
      <w:r w:rsidR="00F929E2" w:rsidRPr="00950D73">
        <w:rPr>
          <w:rFonts w:asciiTheme="majorBidi" w:hAnsiTheme="majorBidi" w:cstheme="majorBidi"/>
          <w:i/>
          <w:color w:val="000000" w:themeColor="text1"/>
          <w:spacing w:val="-2"/>
        </w:rPr>
        <w:t>Doi</w:t>
      </w:r>
      <w:proofErr w:type="spellEnd"/>
      <w:r w:rsidRPr="00950D73">
        <w:rPr>
          <w:rFonts w:asciiTheme="majorBidi" w:hAnsiTheme="majorBidi" w:cstheme="majorBidi"/>
          <w:i/>
          <w:color w:val="000000" w:themeColor="text1"/>
          <w:spacing w:val="-2"/>
        </w:rPr>
        <w:t>: 10.2823</w:t>
      </w:r>
      <w:r w:rsidRPr="00950D73">
        <w:rPr>
          <w:rFonts w:asciiTheme="majorBidi" w:hAnsiTheme="majorBidi" w:cstheme="majorBidi"/>
          <w:color w:val="000000" w:themeColor="text1"/>
          <w:spacing w:val="-2"/>
        </w:rPr>
        <w:t>/</w:t>
      </w:r>
      <w:r w:rsidRPr="00950D73">
        <w:rPr>
          <w:rFonts w:asciiTheme="majorBidi" w:hAnsiTheme="majorBidi" w:cstheme="majorBidi"/>
          <w:i/>
          <w:color w:val="000000" w:themeColor="text1"/>
          <w:spacing w:val="-2"/>
        </w:rPr>
        <w:t xml:space="preserve">124801. Disponible à l’adresse suivante : </w:t>
      </w:r>
      <w:hyperlink r:id="rId37" w:history="1">
        <w:r w:rsidRPr="00950D73">
          <w:rPr>
            <w:rFonts w:asciiTheme="majorBidi" w:hAnsiTheme="majorBidi" w:cstheme="majorBidi"/>
            <w:i/>
            <w:color w:val="000000" w:themeColor="text1"/>
          </w:rPr>
          <w:t>https:</w:t>
        </w:r>
        <w:r w:rsidRPr="00950D73">
          <w:rPr>
            <w:rFonts w:asciiTheme="majorBidi" w:hAnsiTheme="majorBidi" w:cstheme="majorBidi"/>
            <w:color w:val="000000" w:themeColor="text1"/>
          </w:rPr>
          <w:t>//</w:t>
        </w:r>
        <w:r w:rsidRPr="00950D73">
          <w:rPr>
            <w:rFonts w:asciiTheme="majorBidi" w:hAnsiTheme="majorBidi" w:cstheme="majorBidi"/>
            <w:i/>
            <w:color w:val="000000" w:themeColor="text1"/>
          </w:rPr>
          <w:t>echa.europa.eu</w:t>
        </w:r>
        <w:r w:rsidRPr="00950D73">
          <w:rPr>
            <w:rFonts w:asciiTheme="majorBidi" w:hAnsiTheme="majorBidi" w:cstheme="majorBidi"/>
            <w:color w:val="000000" w:themeColor="text1"/>
          </w:rPr>
          <w:t xml:space="preserve">/ </w:t>
        </w:r>
        <w:r w:rsidRPr="00950D73">
          <w:rPr>
            <w:rFonts w:asciiTheme="majorBidi" w:hAnsiTheme="majorBidi" w:cstheme="majorBidi"/>
            <w:i/>
            <w:color w:val="000000" w:themeColor="text1"/>
          </w:rPr>
          <w:t>guidance-documents</w:t>
        </w:r>
        <w:r w:rsidRPr="00950D73">
          <w:rPr>
            <w:rFonts w:asciiTheme="majorBidi" w:hAnsiTheme="majorBidi" w:cstheme="majorBidi"/>
            <w:color w:val="000000" w:themeColor="text1"/>
          </w:rPr>
          <w:t>/</w:t>
        </w:r>
        <w:r w:rsidRPr="00950D73">
          <w:rPr>
            <w:rFonts w:asciiTheme="majorBidi" w:hAnsiTheme="majorBidi" w:cstheme="majorBidi"/>
            <w:i/>
            <w:color w:val="000000" w:themeColor="text1"/>
          </w:rPr>
          <w:t>guidance-on-</w:t>
        </w:r>
        <w:proofErr w:type="spellStart"/>
        <w:r w:rsidRPr="00950D73">
          <w:rPr>
            <w:rFonts w:asciiTheme="majorBidi" w:hAnsiTheme="majorBidi" w:cstheme="majorBidi"/>
            <w:i/>
            <w:color w:val="000000" w:themeColor="text1"/>
          </w:rPr>
          <w:t>clp</w:t>
        </w:r>
        <w:proofErr w:type="spellEnd"/>
      </w:hyperlink>
      <w:r w:rsidRPr="00950D73">
        <w:rPr>
          <w:rFonts w:asciiTheme="majorBidi" w:hAnsiTheme="majorBidi" w:cstheme="majorBidi"/>
          <w:i/>
          <w:color w:val="000000" w:themeColor="text1"/>
        </w:rPr>
        <w:t>.</w:t>
      </w:r>
    </w:p>
    <w:p w14:paraId="0D4512DB" w14:textId="77777777" w:rsidR="00C94ECF" w:rsidRPr="00950D73" w:rsidRDefault="00C94ECF" w:rsidP="004F4758">
      <w:pPr>
        <w:tabs>
          <w:tab w:val="left" w:pos="1560"/>
          <w:tab w:val="left" w:pos="2835"/>
        </w:tabs>
        <w:spacing w:before="80" w:after="80"/>
        <w:ind w:left="2268" w:right="1134"/>
        <w:jc w:val="both"/>
        <w:rPr>
          <w:rFonts w:asciiTheme="majorBidi" w:hAnsiTheme="majorBidi" w:cstheme="majorBidi"/>
          <w:i/>
          <w:iCs/>
          <w:color w:val="000000" w:themeColor="text1"/>
        </w:rPr>
      </w:pPr>
      <w:r w:rsidRPr="007E44E1">
        <w:rPr>
          <w:rFonts w:asciiTheme="majorBidi" w:hAnsiTheme="majorBidi" w:cstheme="majorBidi"/>
          <w:i/>
          <w:iCs/>
          <w:color w:val="000000" w:themeColor="text1"/>
          <w:lang w:val="en-US"/>
        </w:rPr>
        <w:t>ESAC.</w:t>
      </w:r>
      <w:r w:rsidRPr="007E44E1">
        <w:rPr>
          <w:rFonts w:asciiTheme="majorBidi" w:hAnsiTheme="majorBidi" w:cstheme="majorBidi"/>
          <w:i/>
          <w:color w:val="000000" w:themeColor="text1"/>
          <w:lang w:val="en-US"/>
        </w:rPr>
        <w:t xml:space="preserve"> 2019. Statement on </w:t>
      </w:r>
      <w:r w:rsidRPr="007E44E1">
        <w:rPr>
          <w:rFonts w:asciiTheme="majorBidi" w:hAnsiTheme="majorBidi" w:cstheme="majorBidi"/>
          <w:i/>
          <w:iCs/>
          <w:color w:val="000000" w:themeColor="text1"/>
          <w:lang w:val="en-US"/>
        </w:rPr>
        <w:t>the</w:t>
      </w:r>
      <w:r w:rsidRPr="007E44E1">
        <w:rPr>
          <w:rFonts w:asciiTheme="majorBidi" w:hAnsiTheme="majorBidi" w:cstheme="majorBidi"/>
          <w:color w:val="000000" w:themeColor="text1"/>
          <w:lang w:val="en-US"/>
        </w:rPr>
        <w:t xml:space="preserve"> </w:t>
      </w:r>
      <w:r w:rsidRPr="007E44E1">
        <w:rPr>
          <w:rFonts w:asciiTheme="majorBidi" w:hAnsiTheme="majorBidi" w:cstheme="majorBidi"/>
          <w:i/>
          <w:iCs/>
          <w:color w:val="000000" w:themeColor="text1"/>
          <w:lang w:val="en-US"/>
        </w:rPr>
        <w:t xml:space="preserve">use of existing low volume eye test (LVET) data for weight of evidence decisions on classification and labelling of cleaning products and their main ingredients. </w:t>
      </w:r>
      <w:r w:rsidRPr="00950D73">
        <w:rPr>
          <w:rFonts w:asciiTheme="majorBidi" w:hAnsiTheme="majorBidi" w:cstheme="majorBidi"/>
          <w:i/>
          <w:iCs/>
          <w:color w:val="000000" w:themeColor="text1"/>
        </w:rPr>
        <w:t xml:space="preserve">Déclaration du Comité consultatif scientifique de l’ECVAM (ESAC) du 9 juillet 2009. </w:t>
      </w:r>
      <w:r w:rsidRPr="00950D73">
        <w:rPr>
          <w:rFonts w:asciiTheme="majorBidi" w:hAnsiTheme="majorBidi" w:cstheme="majorBidi"/>
          <w:i/>
          <w:color w:val="000000" w:themeColor="text1"/>
        </w:rPr>
        <w:t>Disponible à l’adresse suivante </w:t>
      </w:r>
      <w:r w:rsidRPr="00950D73">
        <w:rPr>
          <w:rFonts w:asciiTheme="majorBidi" w:hAnsiTheme="majorBidi" w:cstheme="majorBidi"/>
          <w:i/>
          <w:iCs/>
          <w:color w:val="000000" w:themeColor="text1"/>
        </w:rPr>
        <w:t>:</w:t>
      </w:r>
      <w:r w:rsidRPr="00950D73">
        <w:rPr>
          <w:rFonts w:asciiTheme="majorBidi" w:hAnsiTheme="majorBidi" w:cstheme="majorBidi"/>
          <w:color w:val="000000" w:themeColor="text1"/>
        </w:rPr>
        <w:t xml:space="preserve"> </w:t>
      </w:r>
      <w:hyperlink r:id="rId38" w:history="1">
        <w:r w:rsidRPr="00950D73">
          <w:rPr>
            <w:rFonts w:asciiTheme="majorBidi" w:hAnsiTheme="majorBidi" w:cstheme="majorBidi"/>
            <w:i/>
            <w:iCs/>
            <w:color w:val="000000" w:themeColor="text1"/>
          </w:rPr>
          <w:t>https:</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ec.europa.eu</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jrc</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sites</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jrcsh</w:t>
        </w:r>
        <w:r w:rsidRPr="00950D73">
          <w:rPr>
            <w:rFonts w:asciiTheme="majorBidi" w:hAnsiTheme="majorBidi" w:cstheme="majorBidi"/>
            <w:iCs/>
            <w:color w:val="000000" w:themeColor="text1"/>
          </w:rPr>
          <w:t>/</w:t>
        </w:r>
        <w:r w:rsidRPr="00950D73">
          <w:rPr>
            <w:rFonts w:asciiTheme="majorBidi" w:hAnsiTheme="majorBidi" w:cstheme="majorBidi"/>
            <w:i/>
            <w:iCs/>
            <w:color w:val="000000" w:themeColor="text1"/>
          </w:rPr>
          <w:t>files</w:t>
        </w:r>
        <w:r w:rsidRPr="00950D73">
          <w:rPr>
            <w:rFonts w:asciiTheme="majorBidi" w:hAnsiTheme="majorBidi" w:cstheme="majorBidi"/>
            <w:iCs/>
            <w:color w:val="000000" w:themeColor="text1"/>
          </w:rPr>
          <w:t xml:space="preserve">/ </w:t>
        </w:r>
        <w:r w:rsidRPr="00950D73">
          <w:rPr>
            <w:rFonts w:asciiTheme="majorBidi" w:hAnsiTheme="majorBidi" w:cstheme="majorBidi"/>
            <w:i/>
            <w:iCs/>
            <w:color w:val="000000" w:themeColor="text1"/>
          </w:rPr>
          <w:t>esac31_lvet_20090922.pdf</w:t>
        </w:r>
      </w:hyperlink>
      <w:r w:rsidRPr="00950D73">
        <w:rPr>
          <w:rFonts w:asciiTheme="majorBidi" w:hAnsiTheme="majorBidi" w:cstheme="majorBidi"/>
          <w:i/>
          <w:iCs/>
          <w:color w:val="000000" w:themeColor="text1"/>
        </w:rPr>
        <w:t>.</w:t>
      </w:r>
    </w:p>
    <w:p w14:paraId="2DF10093" w14:textId="77777777"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t xml:space="preserve">EURL ECAM. 2004a. Tracking System for Alternative Methods Towards Regulatory Acceptance (TSAR). Method TM2004-01. The </w:t>
      </w:r>
      <w:proofErr w:type="spellStart"/>
      <w:r w:rsidRPr="007E44E1">
        <w:rPr>
          <w:rFonts w:asciiTheme="majorBidi" w:hAnsiTheme="majorBidi" w:cstheme="majorBidi"/>
          <w:i/>
          <w:color w:val="000000" w:themeColor="text1"/>
          <w:lang w:val="en-US"/>
        </w:rPr>
        <w:t>cytosensor</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microphysiometer</w:t>
      </w:r>
      <w:proofErr w:type="spellEnd"/>
      <w:r w:rsidRPr="007E44E1">
        <w:rPr>
          <w:rFonts w:asciiTheme="majorBidi" w:hAnsiTheme="majorBidi" w:cstheme="majorBidi"/>
          <w:i/>
          <w:color w:val="000000" w:themeColor="text1"/>
          <w:lang w:val="en-US"/>
        </w:rPr>
        <w:t xml:space="preserve"> toxicity test. Disponible à </w:t>
      </w:r>
      <w:proofErr w:type="spellStart"/>
      <w:r w:rsidRPr="007E44E1">
        <w:rPr>
          <w:rFonts w:asciiTheme="majorBidi" w:hAnsiTheme="majorBidi" w:cstheme="majorBidi"/>
          <w:i/>
          <w:color w:val="000000" w:themeColor="text1"/>
          <w:lang w:val="en-US"/>
        </w:rPr>
        <w:t>l’adresse</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suivante</w:t>
      </w:r>
      <w:proofErr w:type="spellEnd"/>
      <w:r w:rsidRPr="007E44E1">
        <w:rPr>
          <w:rFonts w:asciiTheme="majorBidi" w:hAnsiTheme="majorBidi" w:cstheme="majorBidi"/>
          <w:i/>
          <w:color w:val="000000" w:themeColor="text1"/>
          <w:lang w:val="en-US"/>
        </w:rPr>
        <w:t xml:space="preserve"> : </w:t>
      </w:r>
      <w:hyperlink r:id="rId39" w:history="1">
        <w:r w:rsidRPr="007E44E1">
          <w:rPr>
            <w:rFonts w:asciiTheme="majorBidi" w:hAnsiTheme="majorBidi" w:cstheme="majorBidi"/>
            <w:i/>
            <w:color w:val="000000" w:themeColor="text1"/>
            <w:lang w:val="en-US"/>
          </w:rPr>
          <w:t>https:</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tsar.jrc.ec.europa.eu</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test-method</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tm2004-01</w:t>
        </w:r>
      </w:hyperlink>
      <w:r w:rsidRPr="007E44E1">
        <w:rPr>
          <w:rFonts w:asciiTheme="majorBidi" w:hAnsiTheme="majorBidi" w:cstheme="majorBidi"/>
          <w:i/>
          <w:color w:val="000000" w:themeColor="text1"/>
          <w:lang w:val="en-US"/>
        </w:rPr>
        <w:t>.</w:t>
      </w:r>
    </w:p>
    <w:p w14:paraId="11AFD6E8" w14:textId="77777777"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lastRenderedPageBreak/>
        <w:t xml:space="preserve">EURL ECAM. 2004b. Tracking System for Alternative Methods Towards Regulatory Acceptance (TSAR). Method TM2004-03. Neutral Red Release Assay. Disponible à </w:t>
      </w:r>
      <w:proofErr w:type="spellStart"/>
      <w:r w:rsidRPr="007E44E1">
        <w:rPr>
          <w:rFonts w:asciiTheme="majorBidi" w:hAnsiTheme="majorBidi" w:cstheme="majorBidi"/>
          <w:i/>
          <w:color w:val="000000" w:themeColor="text1"/>
          <w:lang w:val="en-US"/>
        </w:rPr>
        <w:t>l’adresse</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suivante</w:t>
      </w:r>
      <w:proofErr w:type="spellEnd"/>
      <w:r w:rsidRPr="007E44E1">
        <w:rPr>
          <w:rFonts w:asciiTheme="majorBidi" w:hAnsiTheme="majorBidi" w:cstheme="majorBidi"/>
          <w:i/>
          <w:color w:val="000000" w:themeColor="text1"/>
          <w:lang w:val="en-US"/>
        </w:rPr>
        <w:t xml:space="preserve"> : </w:t>
      </w:r>
      <w:hyperlink r:id="rId40" w:history="1">
        <w:r w:rsidRPr="007E44E1">
          <w:rPr>
            <w:rFonts w:asciiTheme="majorBidi" w:hAnsiTheme="majorBidi" w:cstheme="majorBidi"/>
            <w:i/>
            <w:color w:val="000000" w:themeColor="text1"/>
            <w:lang w:val="en-US"/>
          </w:rPr>
          <w:t>https:</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tsar.jrc.ec.europa.eu</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test-method</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tm2004-03</w:t>
        </w:r>
      </w:hyperlink>
      <w:r w:rsidRPr="007E44E1">
        <w:rPr>
          <w:rFonts w:asciiTheme="majorBidi" w:hAnsiTheme="majorBidi" w:cstheme="majorBidi"/>
          <w:i/>
          <w:color w:val="000000" w:themeColor="text1"/>
          <w:lang w:val="en-US"/>
        </w:rPr>
        <w:t>.</w:t>
      </w:r>
    </w:p>
    <w:p w14:paraId="21D42B0B" w14:textId="420548F6"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Frentz</w:t>
      </w:r>
      <w:proofErr w:type="spellEnd"/>
      <w:r w:rsidRPr="007E44E1">
        <w:rPr>
          <w:rFonts w:asciiTheme="majorBidi" w:hAnsiTheme="majorBidi" w:cstheme="majorBidi"/>
          <w:i/>
          <w:color w:val="000000" w:themeColor="text1"/>
          <w:lang w:val="en-US"/>
        </w:rPr>
        <w:t xml:space="preserve">, M., M. Goss, M. </w:t>
      </w:r>
      <w:proofErr w:type="spellStart"/>
      <w:r w:rsidRPr="007E44E1">
        <w:rPr>
          <w:rFonts w:asciiTheme="majorBidi" w:hAnsiTheme="majorBidi" w:cstheme="majorBidi"/>
          <w:i/>
          <w:color w:val="000000" w:themeColor="text1"/>
          <w:lang w:val="en-US"/>
        </w:rPr>
        <w:t>Reim</w:t>
      </w:r>
      <w:proofErr w:type="spellEnd"/>
      <w:r w:rsidRPr="007E44E1">
        <w:rPr>
          <w:rFonts w:asciiTheme="majorBidi" w:hAnsiTheme="majorBidi" w:cstheme="majorBidi"/>
          <w:i/>
          <w:color w:val="000000" w:themeColor="text1"/>
          <w:lang w:val="en-US"/>
        </w:rPr>
        <w:t xml:space="preserve"> et N.F. Schrage. 2008. Repeated exposure to benzalkonium chloride in the Ex vivo Eye Irritation Test (EVEIT): observation of isolated corneal damage and healing. Altern. Lab. Anim., 36(1): 25-32. </w:t>
      </w:r>
      <w:r w:rsidR="009343B4" w:rsidRPr="007E44E1">
        <w:rPr>
          <w:rFonts w:asciiTheme="majorBidi" w:hAnsiTheme="majorBidi" w:cstheme="majorBidi"/>
          <w:i/>
          <w:color w:val="000000" w:themeColor="text1"/>
          <w:lang w:val="en-US"/>
        </w:rPr>
        <w:t>D</w:t>
      </w:r>
      <w:r w:rsidRPr="007E44E1">
        <w:rPr>
          <w:rFonts w:asciiTheme="majorBidi" w:hAnsiTheme="majorBidi" w:cstheme="majorBidi"/>
          <w:i/>
          <w:color w:val="000000" w:themeColor="text1"/>
          <w:lang w:val="en-US"/>
        </w:rPr>
        <w:t>oi: 10.1177</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026119290803600105.</w:t>
      </w:r>
    </w:p>
    <w:p w14:paraId="638417A4" w14:textId="5FCCD3AA"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Harbell</w:t>
      </w:r>
      <w:proofErr w:type="spellEnd"/>
      <w:r w:rsidRPr="007E44E1">
        <w:rPr>
          <w:rFonts w:asciiTheme="majorBidi" w:hAnsiTheme="majorBidi" w:cstheme="majorBidi"/>
          <w:i/>
          <w:color w:val="000000" w:themeColor="text1"/>
          <w:lang w:val="en-US"/>
        </w:rPr>
        <w:t xml:space="preserve">, J.W., R. Osborne, G.J. </w:t>
      </w:r>
      <w:proofErr w:type="spellStart"/>
      <w:r w:rsidRPr="007E44E1">
        <w:rPr>
          <w:rFonts w:asciiTheme="majorBidi" w:hAnsiTheme="majorBidi" w:cstheme="majorBidi"/>
          <w:i/>
          <w:color w:val="000000" w:themeColor="text1"/>
          <w:lang w:val="en-US"/>
        </w:rPr>
        <w:t>Carr</w:t>
      </w:r>
      <w:proofErr w:type="spellEnd"/>
      <w:r w:rsidRPr="007E44E1">
        <w:rPr>
          <w:rFonts w:asciiTheme="majorBidi" w:hAnsiTheme="majorBidi" w:cstheme="majorBidi"/>
          <w:i/>
          <w:color w:val="000000" w:themeColor="text1"/>
          <w:lang w:val="en-US"/>
        </w:rPr>
        <w:t xml:space="preserve"> et A. Peterson. 1999. Assessment of the </w:t>
      </w:r>
      <w:proofErr w:type="spellStart"/>
      <w:r w:rsidRPr="007E44E1">
        <w:rPr>
          <w:rFonts w:asciiTheme="majorBidi" w:hAnsiTheme="majorBidi" w:cstheme="majorBidi"/>
          <w:i/>
          <w:color w:val="000000" w:themeColor="text1"/>
          <w:lang w:val="en-US"/>
        </w:rPr>
        <w:t>Cytosensor</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Microphysiometer</w:t>
      </w:r>
      <w:proofErr w:type="spellEnd"/>
      <w:r w:rsidRPr="007E44E1">
        <w:rPr>
          <w:rFonts w:asciiTheme="majorBidi" w:hAnsiTheme="majorBidi" w:cstheme="majorBidi"/>
          <w:i/>
          <w:color w:val="000000" w:themeColor="text1"/>
          <w:lang w:val="en-US"/>
        </w:rPr>
        <w:t xml:space="preserve"> Assay in the COLIPA In vitro Eye Irritation Validation Study.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13(2): 313-323. </w:t>
      </w:r>
      <w:r w:rsidR="009343B4" w:rsidRPr="00464F7A">
        <w:rPr>
          <w:rFonts w:asciiTheme="majorBidi" w:hAnsiTheme="majorBidi" w:cstheme="majorBidi"/>
          <w:i/>
          <w:color w:val="000000" w:themeColor="text1"/>
          <w:lang w:val="en-US"/>
        </w:rPr>
        <w:t>D</w:t>
      </w:r>
      <w:r w:rsidRPr="00464F7A">
        <w:rPr>
          <w:rFonts w:asciiTheme="majorBidi" w:hAnsiTheme="majorBidi" w:cstheme="majorBidi"/>
          <w:i/>
          <w:color w:val="000000" w:themeColor="text1"/>
          <w:lang w:val="en-US"/>
        </w:rPr>
        <w:t>oi: 10.1016</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s0887-2333(98)00090-3.</w:t>
      </w:r>
    </w:p>
    <w:p w14:paraId="5D8BD5D4" w14:textId="4FE119D7"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464F7A">
        <w:rPr>
          <w:rFonts w:asciiTheme="majorBidi" w:hAnsiTheme="majorBidi" w:cstheme="majorBidi"/>
          <w:i/>
          <w:color w:val="000000" w:themeColor="text1"/>
          <w:lang w:val="en-US"/>
        </w:rPr>
        <w:t xml:space="preserve">Hartung, T., L. Bruner, R. </w:t>
      </w:r>
      <w:proofErr w:type="spellStart"/>
      <w:r w:rsidRPr="00464F7A">
        <w:rPr>
          <w:rFonts w:asciiTheme="majorBidi" w:hAnsiTheme="majorBidi" w:cstheme="majorBidi"/>
          <w:i/>
          <w:color w:val="000000" w:themeColor="text1"/>
          <w:lang w:val="en-US"/>
        </w:rPr>
        <w:t>Curren</w:t>
      </w:r>
      <w:proofErr w:type="spellEnd"/>
      <w:r w:rsidRPr="00464F7A">
        <w:rPr>
          <w:rFonts w:asciiTheme="majorBidi" w:hAnsiTheme="majorBidi" w:cstheme="majorBidi"/>
          <w:i/>
          <w:color w:val="000000" w:themeColor="text1"/>
          <w:lang w:val="en-US"/>
        </w:rPr>
        <w:t xml:space="preserve">, C. </w:t>
      </w:r>
      <w:proofErr w:type="spellStart"/>
      <w:r w:rsidRPr="00464F7A">
        <w:rPr>
          <w:rFonts w:asciiTheme="majorBidi" w:hAnsiTheme="majorBidi" w:cstheme="majorBidi"/>
          <w:i/>
          <w:color w:val="000000" w:themeColor="text1"/>
          <w:lang w:val="en-US"/>
        </w:rPr>
        <w:t>Eskes</w:t>
      </w:r>
      <w:proofErr w:type="spellEnd"/>
      <w:r w:rsidRPr="00464F7A">
        <w:rPr>
          <w:rFonts w:asciiTheme="majorBidi" w:hAnsiTheme="majorBidi" w:cstheme="majorBidi"/>
          <w:i/>
          <w:color w:val="000000" w:themeColor="text1"/>
          <w:lang w:val="en-US"/>
        </w:rPr>
        <w:t xml:space="preserve">, A. Goldberg, P. McNamee, L. Scott et V. </w:t>
      </w:r>
      <w:proofErr w:type="spellStart"/>
      <w:r w:rsidRPr="00464F7A">
        <w:rPr>
          <w:rFonts w:asciiTheme="majorBidi" w:hAnsiTheme="majorBidi" w:cstheme="majorBidi"/>
          <w:i/>
          <w:color w:val="000000" w:themeColor="text1"/>
          <w:lang w:val="en-US"/>
        </w:rPr>
        <w:t>Zuang</w:t>
      </w:r>
      <w:proofErr w:type="spellEnd"/>
      <w:r w:rsidRPr="00464F7A">
        <w:rPr>
          <w:rFonts w:asciiTheme="majorBidi" w:hAnsiTheme="majorBidi" w:cstheme="majorBidi"/>
          <w:i/>
          <w:color w:val="000000" w:themeColor="text1"/>
          <w:lang w:val="en-US"/>
        </w:rPr>
        <w:t xml:space="preserve">. </w:t>
      </w:r>
      <w:r w:rsidRPr="007E44E1">
        <w:rPr>
          <w:rFonts w:asciiTheme="majorBidi" w:hAnsiTheme="majorBidi" w:cstheme="majorBidi"/>
          <w:i/>
          <w:color w:val="000000" w:themeColor="text1"/>
          <w:lang w:val="en-US"/>
        </w:rPr>
        <w:t xml:space="preserve">2010. First alternative method validated by a retrospective weight-of-evidence approach to replace the Draize eye test for the identification of non-irritant substances for a defined applicability domain. ALTEX, 27(1): 43-51.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10.14573</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altex.2010.1.43.</w:t>
      </w:r>
    </w:p>
    <w:p w14:paraId="58970B64" w14:textId="77777777"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t xml:space="preserve">ICCVAM. 2007. ICCVAM test method evaluation report: in vitro ocular toxicity test methods for identifying ocular severe irritants and corrosives. NIH Publication No. 07–4517. National Institute of Environmental Health Sciences, Research Triangle Park, Caroline du Nord, </w:t>
      </w:r>
      <w:proofErr w:type="spellStart"/>
      <w:r w:rsidRPr="007E44E1">
        <w:rPr>
          <w:rFonts w:asciiTheme="majorBidi" w:hAnsiTheme="majorBidi" w:cstheme="majorBidi"/>
          <w:i/>
          <w:color w:val="000000" w:themeColor="text1"/>
          <w:lang w:val="en-US"/>
        </w:rPr>
        <w:t>États</w:t>
      </w:r>
      <w:proofErr w:type="spellEnd"/>
      <w:r w:rsidRPr="007E44E1">
        <w:rPr>
          <w:rFonts w:asciiTheme="majorBidi" w:hAnsiTheme="majorBidi" w:cstheme="majorBidi"/>
          <w:i/>
          <w:color w:val="000000" w:themeColor="text1"/>
          <w:lang w:val="en-US"/>
        </w:rPr>
        <w:t xml:space="preserve">-Unis </w:t>
      </w:r>
      <w:proofErr w:type="spellStart"/>
      <w:r w:rsidRPr="007E44E1">
        <w:rPr>
          <w:rFonts w:asciiTheme="majorBidi" w:hAnsiTheme="majorBidi" w:cstheme="majorBidi"/>
          <w:i/>
          <w:color w:val="000000" w:themeColor="text1"/>
          <w:lang w:val="en-US"/>
        </w:rPr>
        <w:t>d’Amérique</w:t>
      </w:r>
      <w:proofErr w:type="spellEnd"/>
      <w:r w:rsidRPr="007E44E1">
        <w:rPr>
          <w:rFonts w:asciiTheme="majorBidi" w:hAnsiTheme="majorBidi" w:cstheme="majorBidi"/>
          <w:i/>
          <w:color w:val="000000" w:themeColor="text1"/>
          <w:lang w:val="en-US"/>
        </w:rPr>
        <w:t>.</w:t>
      </w:r>
    </w:p>
    <w:p w14:paraId="359CF251" w14:textId="77777777"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t xml:space="preserve">ICCVAM. 2010. ICCVAM test method evaluation report: current validation status of in vitro test methods proposed for identifying eye injury hazard potential of chemicals and products. NIH Publication No. 10-7553. National Institute of Environmental Health Sciences, Research Triangle Park, Caroline du Nord, </w:t>
      </w:r>
      <w:proofErr w:type="spellStart"/>
      <w:r w:rsidRPr="007E44E1">
        <w:rPr>
          <w:rFonts w:asciiTheme="majorBidi" w:hAnsiTheme="majorBidi" w:cstheme="majorBidi"/>
          <w:i/>
          <w:color w:val="000000" w:themeColor="text1"/>
          <w:lang w:val="en-US"/>
        </w:rPr>
        <w:t>États</w:t>
      </w:r>
      <w:proofErr w:type="spellEnd"/>
      <w:r w:rsidRPr="007E44E1">
        <w:rPr>
          <w:rFonts w:asciiTheme="majorBidi" w:hAnsiTheme="majorBidi" w:cstheme="majorBidi"/>
          <w:i/>
          <w:color w:val="000000" w:themeColor="text1"/>
          <w:lang w:val="en-US"/>
        </w:rPr>
        <w:t xml:space="preserve">-Unis </w:t>
      </w:r>
      <w:proofErr w:type="spellStart"/>
      <w:r w:rsidRPr="007E44E1">
        <w:rPr>
          <w:rFonts w:asciiTheme="majorBidi" w:hAnsiTheme="majorBidi" w:cstheme="majorBidi"/>
          <w:i/>
          <w:color w:val="000000" w:themeColor="text1"/>
          <w:lang w:val="en-US"/>
        </w:rPr>
        <w:t>d’Amérique</w:t>
      </w:r>
      <w:proofErr w:type="spellEnd"/>
      <w:r w:rsidRPr="007E44E1">
        <w:rPr>
          <w:rFonts w:asciiTheme="majorBidi" w:hAnsiTheme="majorBidi" w:cstheme="majorBidi"/>
          <w:i/>
          <w:color w:val="000000" w:themeColor="text1"/>
          <w:lang w:val="en-US"/>
        </w:rPr>
        <w:t>.</w:t>
      </w:r>
    </w:p>
    <w:p w14:paraId="6108D1FC" w14:textId="09A93B54"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Kandarova</w:t>
      </w:r>
      <w:proofErr w:type="spellEnd"/>
      <w:r w:rsidRPr="007E44E1">
        <w:rPr>
          <w:rFonts w:asciiTheme="majorBidi" w:hAnsiTheme="majorBidi" w:cstheme="majorBidi"/>
          <w:i/>
          <w:color w:val="000000" w:themeColor="text1"/>
          <w:lang w:val="en-US"/>
        </w:rPr>
        <w:t xml:space="preserve">, H., S. </w:t>
      </w:r>
      <w:proofErr w:type="spellStart"/>
      <w:r w:rsidRPr="007E44E1">
        <w:rPr>
          <w:rFonts w:asciiTheme="majorBidi" w:hAnsiTheme="majorBidi" w:cstheme="majorBidi"/>
          <w:i/>
          <w:color w:val="000000" w:themeColor="text1"/>
          <w:lang w:val="en-US"/>
        </w:rPr>
        <w:t>Letasiova</w:t>
      </w:r>
      <w:proofErr w:type="spellEnd"/>
      <w:r w:rsidRPr="007E44E1">
        <w:rPr>
          <w:rFonts w:asciiTheme="majorBidi" w:hAnsiTheme="majorBidi" w:cstheme="majorBidi"/>
          <w:i/>
          <w:color w:val="000000" w:themeColor="text1"/>
          <w:lang w:val="en-US"/>
        </w:rPr>
        <w:t xml:space="preserve">, E. </w:t>
      </w:r>
      <w:proofErr w:type="spellStart"/>
      <w:r w:rsidRPr="007E44E1">
        <w:rPr>
          <w:rFonts w:asciiTheme="majorBidi" w:hAnsiTheme="majorBidi" w:cstheme="majorBidi"/>
          <w:i/>
          <w:color w:val="000000" w:themeColor="text1"/>
          <w:lang w:val="en-US"/>
        </w:rPr>
        <w:t>Adriaens</w:t>
      </w:r>
      <w:proofErr w:type="spellEnd"/>
      <w:r w:rsidRPr="007E44E1">
        <w:rPr>
          <w:rFonts w:asciiTheme="majorBidi" w:hAnsiTheme="majorBidi" w:cstheme="majorBidi"/>
          <w:i/>
          <w:color w:val="000000" w:themeColor="text1"/>
          <w:lang w:val="en-US"/>
        </w:rPr>
        <w:t xml:space="preserve">, R. Guest, J.A. Willoughby Sr., A. </w:t>
      </w:r>
      <w:proofErr w:type="spellStart"/>
      <w:r w:rsidRPr="007E44E1">
        <w:rPr>
          <w:rFonts w:asciiTheme="majorBidi" w:hAnsiTheme="majorBidi" w:cstheme="majorBidi"/>
          <w:i/>
          <w:color w:val="000000" w:themeColor="text1"/>
          <w:lang w:val="en-US"/>
        </w:rPr>
        <w:t>Drzewiecka</w:t>
      </w:r>
      <w:proofErr w:type="spellEnd"/>
      <w:r w:rsidRPr="007E44E1">
        <w:rPr>
          <w:rFonts w:asciiTheme="majorBidi" w:hAnsiTheme="majorBidi" w:cstheme="majorBidi"/>
          <w:i/>
          <w:color w:val="000000" w:themeColor="text1"/>
          <w:lang w:val="en-US"/>
        </w:rPr>
        <w:t xml:space="preserve">, K. </w:t>
      </w:r>
      <w:proofErr w:type="spellStart"/>
      <w:r w:rsidRPr="007E44E1">
        <w:rPr>
          <w:rFonts w:asciiTheme="majorBidi" w:hAnsiTheme="majorBidi" w:cstheme="majorBidi"/>
          <w:i/>
          <w:color w:val="000000" w:themeColor="text1"/>
          <w:lang w:val="en-US"/>
        </w:rPr>
        <w:lastRenderedPageBreak/>
        <w:t>Gruszka</w:t>
      </w:r>
      <w:proofErr w:type="spellEnd"/>
      <w:r w:rsidRPr="007E44E1">
        <w:rPr>
          <w:rFonts w:asciiTheme="majorBidi" w:hAnsiTheme="majorBidi" w:cstheme="majorBidi"/>
          <w:i/>
          <w:color w:val="000000" w:themeColor="text1"/>
          <w:lang w:val="en-US"/>
        </w:rPr>
        <w:t xml:space="preserve">, N. </w:t>
      </w:r>
      <w:proofErr w:type="spellStart"/>
      <w:r w:rsidRPr="007E44E1">
        <w:rPr>
          <w:rFonts w:asciiTheme="majorBidi" w:hAnsiTheme="majorBidi" w:cstheme="majorBidi"/>
          <w:i/>
          <w:color w:val="000000" w:themeColor="text1"/>
          <w:lang w:val="en-US"/>
        </w:rPr>
        <w:t>Alépée</w:t>
      </w:r>
      <w:proofErr w:type="spellEnd"/>
      <w:r w:rsidRPr="007E44E1">
        <w:rPr>
          <w:rFonts w:asciiTheme="majorBidi" w:hAnsiTheme="majorBidi" w:cstheme="majorBidi"/>
          <w:i/>
          <w:color w:val="000000" w:themeColor="text1"/>
          <w:lang w:val="en-US"/>
        </w:rPr>
        <w:t xml:space="preserve">, S. </w:t>
      </w:r>
      <w:proofErr w:type="spellStart"/>
      <w:r w:rsidRPr="007E44E1">
        <w:rPr>
          <w:rFonts w:asciiTheme="majorBidi" w:hAnsiTheme="majorBidi" w:cstheme="majorBidi"/>
          <w:i/>
          <w:color w:val="000000" w:themeColor="text1"/>
          <w:lang w:val="en-US"/>
        </w:rPr>
        <w:t>Verstraelen</w:t>
      </w:r>
      <w:proofErr w:type="spellEnd"/>
      <w:r w:rsidRPr="007E44E1">
        <w:rPr>
          <w:rFonts w:asciiTheme="majorBidi" w:hAnsiTheme="majorBidi" w:cstheme="majorBidi"/>
          <w:i/>
          <w:color w:val="000000" w:themeColor="text1"/>
          <w:lang w:val="en-US"/>
        </w:rPr>
        <w:t xml:space="preserve"> et A.R. Van </w:t>
      </w:r>
      <w:proofErr w:type="spellStart"/>
      <w:r w:rsidRPr="007E44E1">
        <w:rPr>
          <w:rFonts w:asciiTheme="majorBidi" w:hAnsiTheme="majorBidi" w:cstheme="majorBidi"/>
          <w:i/>
          <w:color w:val="000000" w:themeColor="text1"/>
          <w:lang w:val="en-US"/>
        </w:rPr>
        <w:t>Rompay</w:t>
      </w:r>
      <w:proofErr w:type="spellEnd"/>
      <w:r w:rsidRPr="007E44E1">
        <w:rPr>
          <w:rFonts w:asciiTheme="majorBidi" w:hAnsiTheme="majorBidi" w:cstheme="majorBidi"/>
          <w:i/>
          <w:color w:val="000000" w:themeColor="text1"/>
          <w:lang w:val="en-US"/>
        </w:rPr>
        <w:t xml:space="preserve">. 2018. CON4EI: </w:t>
      </w:r>
      <w:proofErr w:type="spellStart"/>
      <w:r w:rsidRPr="007E44E1">
        <w:rPr>
          <w:rFonts w:asciiTheme="majorBidi" w:hAnsiTheme="majorBidi" w:cstheme="majorBidi"/>
          <w:i/>
          <w:color w:val="000000" w:themeColor="text1"/>
          <w:lang w:val="en-US"/>
        </w:rPr>
        <w:t>CONsortium</w:t>
      </w:r>
      <w:proofErr w:type="spellEnd"/>
      <w:r w:rsidRPr="007E44E1">
        <w:rPr>
          <w:rFonts w:asciiTheme="majorBidi" w:hAnsiTheme="majorBidi" w:cstheme="majorBidi"/>
          <w:i/>
          <w:color w:val="000000" w:themeColor="text1"/>
          <w:lang w:val="en-US"/>
        </w:rPr>
        <w:t xml:space="preserve"> for in vitro Eye Irritation testing strategy − </w:t>
      </w:r>
      <w:proofErr w:type="spellStart"/>
      <w:r w:rsidRPr="007E44E1">
        <w:rPr>
          <w:rFonts w:asciiTheme="majorBidi" w:hAnsiTheme="majorBidi" w:cstheme="majorBidi"/>
          <w:i/>
          <w:color w:val="000000" w:themeColor="text1"/>
          <w:lang w:val="en-US"/>
        </w:rPr>
        <w:t>EpiOcular</w:t>
      </w:r>
      <w:proofErr w:type="spellEnd"/>
      <w:r w:rsidRPr="007E44E1">
        <w:rPr>
          <w:rFonts w:asciiTheme="majorBidi" w:hAnsiTheme="majorBidi" w:cstheme="majorBidi"/>
          <w:i/>
          <w:color w:val="000000" w:themeColor="text1"/>
          <w:lang w:val="en-US"/>
        </w:rPr>
        <w:t>™ time-to-toxicity (</w:t>
      </w:r>
      <w:proofErr w:type="spellStart"/>
      <w:r w:rsidRPr="007E44E1">
        <w:rPr>
          <w:rFonts w:asciiTheme="majorBidi" w:hAnsiTheme="majorBidi" w:cstheme="majorBidi"/>
          <w:i/>
          <w:color w:val="000000" w:themeColor="text1"/>
          <w:lang w:val="en-US"/>
        </w:rPr>
        <w:t>EpiOcular</w:t>
      </w:r>
      <w:proofErr w:type="spellEnd"/>
      <w:r w:rsidRPr="007E44E1">
        <w:rPr>
          <w:rFonts w:asciiTheme="majorBidi" w:hAnsiTheme="majorBidi" w:cstheme="majorBidi"/>
          <w:i/>
          <w:color w:val="000000" w:themeColor="text1"/>
          <w:lang w:val="en-US"/>
        </w:rPr>
        <w:t xml:space="preserve"> ET-50) protocols for hazard identification and labelling of eye irritating chemicals.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49: 34-52.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j.tiv.2017.08.019.</w:t>
      </w:r>
    </w:p>
    <w:p w14:paraId="2A6C921B" w14:textId="3C55C069"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7E44E1">
        <w:rPr>
          <w:rFonts w:asciiTheme="majorBidi" w:hAnsiTheme="majorBidi" w:cstheme="majorBidi"/>
          <w:i/>
          <w:color w:val="000000" w:themeColor="text1"/>
          <w:lang w:val="en-US"/>
        </w:rPr>
        <w:t xml:space="preserve">Nash, J.R., G. Mun, H.A. Raabe et R. </w:t>
      </w:r>
      <w:proofErr w:type="spellStart"/>
      <w:r w:rsidRPr="007E44E1">
        <w:rPr>
          <w:rFonts w:asciiTheme="majorBidi" w:hAnsiTheme="majorBidi" w:cstheme="majorBidi"/>
          <w:i/>
          <w:color w:val="000000" w:themeColor="text1"/>
          <w:lang w:val="en-US"/>
        </w:rPr>
        <w:t>Curren</w:t>
      </w:r>
      <w:proofErr w:type="spellEnd"/>
      <w:r w:rsidRPr="007E44E1">
        <w:rPr>
          <w:rFonts w:asciiTheme="majorBidi" w:hAnsiTheme="majorBidi" w:cstheme="majorBidi"/>
          <w:i/>
          <w:color w:val="000000" w:themeColor="text1"/>
          <w:lang w:val="en-US"/>
        </w:rPr>
        <w:t xml:space="preserve">. 2014. Using the </w:t>
      </w:r>
      <w:proofErr w:type="spellStart"/>
      <w:r w:rsidRPr="007E44E1">
        <w:rPr>
          <w:rFonts w:asciiTheme="majorBidi" w:hAnsiTheme="majorBidi" w:cstheme="majorBidi"/>
          <w:i/>
          <w:color w:val="000000" w:themeColor="text1"/>
          <w:lang w:val="en-US"/>
        </w:rPr>
        <w:t>cytosensor</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microphysiometer</w:t>
      </w:r>
      <w:proofErr w:type="spellEnd"/>
      <w:r w:rsidRPr="007E44E1">
        <w:rPr>
          <w:rFonts w:asciiTheme="majorBidi" w:hAnsiTheme="majorBidi" w:cstheme="majorBidi"/>
          <w:i/>
          <w:color w:val="000000" w:themeColor="text1"/>
          <w:lang w:val="en-US"/>
        </w:rPr>
        <w:t xml:space="preserve"> to assess ocular toxicity. </w:t>
      </w:r>
      <w:proofErr w:type="spellStart"/>
      <w:r w:rsidRPr="007E44E1">
        <w:rPr>
          <w:rFonts w:asciiTheme="majorBidi" w:hAnsiTheme="majorBidi" w:cstheme="majorBidi"/>
          <w:i/>
          <w:color w:val="000000" w:themeColor="text1"/>
          <w:lang w:val="en-US"/>
        </w:rPr>
        <w:t>Curr</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Protoc</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61: 1.13.1-11.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10.1002</w:t>
      </w:r>
      <w:r w:rsidRPr="007E44E1">
        <w:rPr>
          <w:rFonts w:asciiTheme="majorBidi" w:hAnsiTheme="majorBidi" w:cstheme="majorBidi"/>
          <w:color w:val="000000" w:themeColor="text1"/>
          <w:lang w:val="en-US"/>
        </w:rPr>
        <w:t xml:space="preserve">/ </w:t>
      </w:r>
      <w:r w:rsidRPr="007E44E1">
        <w:rPr>
          <w:rFonts w:asciiTheme="majorBidi" w:hAnsiTheme="majorBidi" w:cstheme="majorBidi"/>
          <w:i/>
          <w:color w:val="000000" w:themeColor="text1"/>
          <w:lang w:val="en-US"/>
        </w:rPr>
        <w:t>0471140856.tx0113s61.</w:t>
      </w:r>
    </w:p>
    <w:p w14:paraId="222DDC51" w14:textId="40C34D24"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Piehl</w:t>
      </w:r>
      <w:proofErr w:type="spellEnd"/>
      <w:r w:rsidRPr="007E44E1">
        <w:rPr>
          <w:rFonts w:asciiTheme="majorBidi" w:hAnsiTheme="majorBidi" w:cstheme="majorBidi"/>
          <w:i/>
          <w:color w:val="000000" w:themeColor="text1"/>
          <w:lang w:val="en-US"/>
        </w:rPr>
        <w:t xml:space="preserve">, M., A. </w:t>
      </w:r>
      <w:proofErr w:type="spellStart"/>
      <w:r w:rsidRPr="007E44E1">
        <w:rPr>
          <w:rFonts w:asciiTheme="majorBidi" w:hAnsiTheme="majorBidi" w:cstheme="majorBidi"/>
          <w:i/>
          <w:color w:val="000000" w:themeColor="text1"/>
          <w:lang w:val="en-US"/>
        </w:rPr>
        <w:t>Gilotti</w:t>
      </w:r>
      <w:proofErr w:type="spellEnd"/>
      <w:r w:rsidRPr="007E44E1">
        <w:rPr>
          <w:rFonts w:asciiTheme="majorBidi" w:hAnsiTheme="majorBidi" w:cstheme="majorBidi"/>
          <w:i/>
          <w:color w:val="000000" w:themeColor="text1"/>
          <w:lang w:val="en-US"/>
        </w:rPr>
        <w:t xml:space="preserve">, A. Donovan, G. </w:t>
      </w:r>
      <w:proofErr w:type="spellStart"/>
      <w:r w:rsidRPr="007E44E1">
        <w:rPr>
          <w:rFonts w:asciiTheme="majorBidi" w:hAnsiTheme="majorBidi" w:cstheme="majorBidi"/>
          <w:i/>
          <w:color w:val="000000" w:themeColor="text1"/>
          <w:lang w:val="en-US"/>
        </w:rPr>
        <w:t>DeGeorge</w:t>
      </w:r>
      <w:proofErr w:type="spellEnd"/>
      <w:r w:rsidRPr="007E44E1">
        <w:rPr>
          <w:rFonts w:asciiTheme="majorBidi" w:hAnsiTheme="majorBidi" w:cstheme="majorBidi"/>
          <w:i/>
          <w:color w:val="000000" w:themeColor="text1"/>
          <w:lang w:val="en-US"/>
        </w:rPr>
        <w:t xml:space="preserve"> et D. </w:t>
      </w:r>
      <w:proofErr w:type="spellStart"/>
      <w:r w:rsidRPr="007E44E1">
        <w:rPr>
          <w:rFonts w:asciiTheme="majorBidi" w:hAnsiTheme="majorBidi" w:cstheme="majorBidi"/>
          <w:i/>
          <w:color w:val="000000" w:themeColor="text1"/>
          <w:lang w:val="en-US"/>
        </w:rPr>
        <w:t>Cerven</w:t>
      </w:r>
      <w:proofErr w:type="spellEnd"/>
      <w:r w:rsidRPr="007E44E1">
        <w:rPr>
          <w:rFonts w:asciiTheme="majorBidi" w:hAnsiTheme="majorBidi" w:cstheme="majorBidi"/>
          <w:i/>
          <w:color w:val="000000" w:themeColor="text1"/>
          <w:lang w:val="en-US"/>
        </w:rPr>
        <w:t xml:space="preserve">. 2010. Novel cultured porcine corneal irritancy assay with reversibility endpoint.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24: 231-239.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j.tiv.2009.08.033.</w:t>
      </w:r>
    </w:p>
    <w:p w14:paraId="5469E657" w14:textId="1F73457B"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Piehl</w:t>
      </w:r>
      <w:proofErr w:type="spellEnd"/>
      <w:r w:rsidRPr="007E44E1">
        <w:rPr>
          <w:rFonts w:asciiTheme="majorBidi" w:hAnsiTheme="majorBidi" w:cstheme="majorBidi"/>
          <w:i/>
          <w:color w:val="000000" w:themeColor="text1"/>
          <w:lang w:val="en-US"/>
        </w:rPr>
        <w:t xml:space="preserve">, M., M. </w:t>
      </w:r>
      <w:proofErr w:type="spellStart"/>
      <w:r w:rsidRPr="007E44E1">
        <w:rPr>
          <w:rFonts w:asciiTheme="majorBidi" w:hAnsiTheme="majorBidi" w:cstheme="majorBidi"/>
          <w:i/>
          <w:color w:val="000000" w:themeColor="text1"/>
          <w:lang w:val="en-US"/>
        </w:rPr>
        <w:t>Carathers</w:t>
      </w:r>
      <w:proofErr w:type="spellEnd"/>
      <w:r w:rsidRPr="007E44E1">
        <w:rPr>
          <w:rFonts w:asciiTheme="majorBidi" w:hAnsiTheme="majorBidi" w:cstheme="majorBidi"/>
          <w:i/>
          <w:color w:val="000000" w:themeColor="text1"/>
          <w:lang w:val="en-US"/>
        </w:rPr>
        <w:t xml:space="preserve">, R. Soda, D. </w:t>
      </w:r>
      <w:proofErr w:type="spellStart"/>
      <w:r w:rsidRPr="007E44E1">
        <w:rPr>
          <w:rFonts w:asciiTheme="majorBidi" w:hAnsiTheme="majorBidi" w:cstheme="majorBidi"/>
          <w:i/>
          <w:color w:val="000000" w:themeColor="text1"/>
          <w:lang w:val="en-US"/>
        </w:rPr>
        <w:t>Cerven</w:t>
      </w:r>
      <w:proofErr w:type="spellEnd"/>
      <w:r w:rsidRPr="007E44E1">
        <w:rPr>
          <w:rFonts w:asciiTheme="majorBidi" w:hAnsiTheme="majorBidi" w:cstheme="majorBidi"/>
          <w:i/>
          <w:color w:val="000000" w:themeColor="text1"/>
          <w:lang w:val="en-US"/>
        </w:rPr>
        <w:t xml:space="preserve"> et G. </w:t>
      </w:r>
      <w:proofErr w:type="spellStart"/>
      <w:r w:rsidRPr="007E44E1">
        <w:rPr>
          <w:rFonts w:asciiTheme="majorBidi" w:hAnsiTheme="majorBidi" w:cstheme="majorBidi"/>
          <w:i/>
          <w:color w:val="000000" w:themeColor="text1"/>
          <w:lang w:val="en-US"/>
        </w:rPr>
        <w:t>DeGeorge</w:t>
      </w:r>
      <w:proofErr w:type="spellEnd"/>
      <w:r w:rsidRPr="007E44E1">
        <w:rPr>
          <w:rFonts w:asciiTheme="majorBidi" w:hAnsiTheme="majorBidi" w:cstheme="majorBidi"/>
          <w:i/>
          <w:color w:val="000000" w:themeColor="text1"/>
          <w:lang w:val="en-US"/>
        </w:rPr>
        <w:t>. 2011. Porcine corneal ocular reversibility assay (</w:t>
      </w:r>
      <w:proofErr w:type="spellStart"/>
      <w:r w:rsidRPr="007E44E1">
        <w:rPr>
          <w:rFonts w:asciiTheme="majorBidi" w:hAnsiTheme="majorBidi" w:cstheme="majorBidi"/>
          <w:i/>
          <w:color w:val="000000" w:themeColor="text1"/>
          <w:lang w:val="en-US"/>
        </w:rPr>
        <w:t>PorCORA</w:t>
      </w:r>
      <w:proofErr w:type="spellEnd"/>
      <w:r w:rsidRPr="007E44E1">
        <w:rPr>
          <w:rFonts w:asciiTheme="majorBidi" w:hAnsiTheme="majorBidi" w:cstheme="majorBidi"/>
          <w:i/>
          <w:color w:val="000000" w:themeColor="text1"/>
          <w:lang w:val="en-US"/>
        </w:rPr>
        <w:t xml:space="preserve">) predicts ocular damage and recovery for global regulatory agency hazard categories.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25: 1912-1918. </w:t>
      </w:r>
      <w:r w:rsidR="00F929E2" w:rsidRPr="00464F7A">
        <w:rPr>
          <w:rFonts w:asciiTheme="majorBidi" w:hAnsiTheme="majorBidi" w:cstheme="majorBidi"/>
          <w:i/>
          <w:color w:val="000000" w:themeColor="text1"/>
          <w:lang w:val="en-US"/>
        </w:rPr>
        <w:t>Doi</w:t>
      </w:r>
      <w:r w:rsidRPr="00464F7A">
        <w:rPr>
          <w:rFonts w:asciiTheme="majorBidi" w:hAnsiTheme="majorBidi" w:cstheme="majorBidi"/>
          <w:i/>
          <w:color w:val="000000" w:themeColor="text1"/>
          <w:lang w:val="en-US"/>
        </w:rPr>
        <w:t>:10.1016</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j.tiv.2011.06.008.</w:t>
      </w:r>
    </w:p>
    <w:p w14:paraId="7DB68C6A" w14:textId="243D4CA3"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464F7A">
        <w:rPr>
          <w:rFonts w:asciiTheme="majorBidi" w:hAnsiTheme="majorBidi" w:cstheme="majorBidi"/>
          <w:i/>
          <w:color w:val="000000" w:themeColor="text1"/>
          <w:lang w:val="en-US"/>
        </w:rPr>
        <w:t xml:space="preserve">Reader, S.J., V. Blackwell, R. O’Hara, R.H. Clothier, G. Griffin et M. Balls. </w:t>
      </w:r>
      <w:r w:rsidRPr="007E44E1">
        <w:rPr>
          <w:rFonts w:asciiTheme="majorBidi" w:hAnsiTheme="majorBidi" w:cstheme="majorBidi"/>
          <w:i/>
          <w:color w:val="000000" w:themeColor="text1"/>
          <w:lang w:val="en-US"/>
        </w:rPr>
        <w:t xml:space="preserve">1989. A vital dye release method for assessing the short-term cytotoxic effects of chemicals and formulations. </w:t>
      </w:r>
      <w:r w:rsidRPr="00464F7A">
        <w:rPr>
          <w:rFonts w:asciiTheme="majorBidi" w:hAnsiTheme="majorBidi" w:cstheme="majorBidi"/>
          <w:i/>
          <w:color w:val="000000" w:themeColor="text1"/>
          <w:lang w:val="en-US"/>
        </w:rPr>
        <w:t xml:space="preserve">Altern. Lab. Anim., 17: 28-33. </w:t>
      </w:r>
      <w:r w:rsidR="00F929E2" w:rsidRPr="00464F7A">
        <w:rPr>
          <w:rFonts w:asciiTheme="majorBidi" w:hAnsiTheme="majorBidi" w:cstheme="majorBidi"/>
          <w:i/>
          <w:color w:val="000000" w:themeColor="text1"/>
          <w:lang w:val="en-US"/>
        </w:rPr>
        <w:t>Doi</w:t>
      </w:r>
      <w:r w:rsidRPr="00464F7A">
        <w:rPr>
          <w:rFonts w:asciiTheme="majorBidi" w:hAnsiTheme="majorBidi" w:cstheme="majorBidi"/>
          <w:i/>
          <w:color w:val="000000" w:themeColor="text1"/>
          <w:lang w:val="en-US"/>
        </w:rPr>
        <w:t>: 10.1177</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026119298901700106.</w:t>
      </w:r>
    </w:p>
    <w:p w14:paraId="5F35C587" w14:textId="5EB1D198"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464F7A">
        <w:rPr>
          <w:rFonts w:asciiTheme="majorBidi" w:hAnsiTheme="majorBidi" w:cstheme="majorBidi"/>
          <w:i/>
          <w:color w:val="000000" w:themeColor="text1"/>
          <w:lang w:val="en-US"/>
        </w:rPr>
        <w:t xml:space="preserve">Reader, S.J., V. Blackwell, R. O’Hara, R.H. Clothier, G. Griffin et M. Balls. </w:t>
      </w:r>
      <w:r w:rsidRPr="007E44E1">
        <w:rPr>
          <w:rFonts w:asciiTheme="majorBidi" w:hAnsiTheme="majorBidi" w:cstheme="majorBidi"/>
          <w:i/>
          <w:color w:val="000000" w:themeColor="text1"/>
          <w:lang w:val="en-US"/>
        </w:rPr>
        <w:t xml:space="preserve">1990. Neutral red release from pre-loaded cells as an in vitro approach to testing for eye irritancy potential.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4(4-5): 264-266.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0887-2333(90)90060-7.</w:t>
      </w:r>
    </w:p>
    <w:p w14:paraId="2CE7B22C" w14:textId="66C29FE3"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Settivari</w:t>
      </w:r>
      <w:proofErr w:type="spellEnd"/>
      <w:r w:rsidRPr="007E44E1">
        <w:rPr>
          <w:rFonts w:asciiTheme="majorBidi" w:hAnsiTheme="majorBidi" w:cstheme="majorBidi"/>
          <w:i/>
          <w:color w:val="000000" w:themeColor="text1"/>
          <w:lang w:val="en-US"/>
        </w:rPr>
        <w:t xml:space="preserve">, R.S., R.A. Amado, M. </w:t>
      </w:r>
      <w:proofErr w:type="spellStart"/>
      <w:r w:rsidRPr="007E44E1">
        <w:rPr>
          <w:rFonts w:asciiTheme="majorBidi" w:hAnsiTheme="majorBidi" w:cstheme="majorBidi"/>
          <w:i/>
          <w:color w:val="000000" w:themeColor="text1"/>
          <w:lang w:val="en-US"/>
        </w:rPr>
        <w:t>Corvaro</w:t>
      </w:r>
      <w:proofErr w:type="spellEnd"/>
      <w:r w:rsidRPr="007E44E1">
        <w:rPr>
          <w:rFonts w:asciiTheme="majorBidi" w:hAnsiTheme="majorBidi" w:cstheme="majorBidi"/>
          <w:i/>
          <w:color w:val="000000" w:themeColor="text1"/>
          <w:lang w:val="en-US"/>
        </w:rPr>
        <w:t xml:space="preserve">, N.R. Visconti, L. Kan, E.W. Carney, D.R. </w:t>
      </w:r>
      <w:proofErr w:type="spellStart"/>
      <w:r w:rsidRPr="007E44E1">
        <w:rPr>
          <w:rFonts w:asciiTheme="majorBidi" w:hAnsiTheme="majorBidi" w:cstheme="majorBidi"/>
          <w:i/>
          <w:color w:val="000000" w:themeColor="text1"/>
          <w:lang w:val="en-US"/>
        </w:rPr>
        <w:t>Boverhof</w:t>
      </w:r>
      <w:proofErr w:type="spellEnd"/>
      <w:r w:rsidRPr="007E44E1">
        <w:rPr>
          <w:rFonts w:asciiTheme="majorBidi" w:hAnsiTheme="majorBidi" w:cstheme="majorBidi"/>
          <w:i/>
          <w:color w:val="000000" w:themeColor="text1"/>
          <w:lang w:val="en-US"/>
        </w:rPr>
        <w:t xml:space="preserve"> et S.C. </w:t>
      </w:r>
      <w:proofErr w:type="spellStart"/>
      <w:r w:rsidRPr="007E44E1">
        <w:rPr>
          <w:rFonts w:asciiTheme="majorBidi" w:hAnsiTheme="majorBidi" w:cstheme="majorBidi"/>
          <w:i/>
          <w:color w:val="000000" w:themeColor="text1"/>
          <w:lang w:val="en-US"/>
        </w:rPr>
        <w:t>Gehen</w:t>
      </w:r>
      <w:proofErr w:type="spellEnd"/>
      <w:r w:rsidRPr="007E44E1">
        <w:rPr>
          <w:rFonts w:asciiTheme="majorBidi" w:hAnsiTheme="majorBidi" w:cstheme="majorBidi"/>
          <w:i/>
          <w:color w:val="000000" w:themeColor="text1"/>
          <w:lang w:val="en-US"/>
        </w:rPr>
        <w:t xml:space="preserve">. 2016. Tiered application of the neutral red release and </w:t>
      </w:r>
      <w:proofErr w:type="spellStart"/>
      <w:r w:rsidRPr="007E44E1">
        <w:rPr>
          <w:rFonts w:asciiTheme="majorBidi" w:hAnsiTheme="majorBidi" w:cstheme="majorBidi"/>
          <w:i/>
          <w:color w:val="000000" w:themeColor="text1"/>
          <w:lang w:val="en-US"/>
        </w:rPr>
        <w:t>EpiOcular</w:t>
      </w:r>
      <w:proofErr w:type="spellEnd"/>
      <w:r w:rsidRPr="007E44E1">
        <w:rPr>
          <w:rFonts w:asciiTheme="majorBidi" w:hAnsiTheme="majorBidi" w:cstheme="majorBidi"/>
          <w:i/>
          <w:color w:val="000000" w:themeColor="text1"/>
          <w:lang w:val="en-US"/>
        </w:rPr>
        <w:t xml:space="preserve">™ assays for evaluating the eye irritation potential of agrochemical formulations. </w:t>
      </w:r>
      <w:proofErr w:type="spellStart"/>
      <w:r w:rsidRPr="007E44E1">
        <w:rPr>
          <w:rFonts w:asciiTheme="majorBidi" w:hAnsiTheme="majorBidi" w:cstheme="majorBidi"/>
          <w:i/>
          <w:color w:val="000000" w:themeColor="text1"/>
          <w:lang w:val="en-US"/>
        </w:rPr>
        <w:t>Regul</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w:t>
      </w:r>
      <w:proofErr w:type="spellStart"/>
      <w:r w:rsidRPr="007E44E1">
        <w:rPr>
          <w:rFonts w:asciiTheme="majorBidi" w:hAnsiTheme="majorBidi" w:cstheme="majorBidi"/>
          <w:i/>
          <w:color w:val="000000" w:themeColor="text1"/>
          <w:lang w:val="en-US"/>
        </w:rPr>
        <w:t>Pharmacol</w:t>
      </w:r>
      <w:proofErr w:type="spellEnd"/>
      <w:r w:rsidRPr="007E44E1">
        <w:rPr>
          <w:rFonts w:asciiTheme="majorBidi" w:hAnsiTheme="majorBidi" w:cstheme="majorBidi"/>
          <w:i/>
          <w:color w:val="000000" w:themeColor="text1"/>
          <w:lang w:val="en-US"/>
        </w:rPr>
        <w:t xml:space="preserve">., 81: 407-420.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j.yrtph.2016.09.028.</w:t>
      </w:r>
    </w:p>
    <w:p w14:paraId="4FAB0B90" w14:textId="537CC857"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lastRenderedPageBreak/>
        <w:t>Spielmann</w:t>
      </w:r>
      <w:proofErr w:type="spellEnd"/>
      <w:r w:rsidRPr="007E44E1">
        <w:rPr>
          <w:rFonts w:asciiTheme="majorBidi" w:hAnsiTheme="majorBidi" w:cstheme="majorBidi"/>
          <w:i/>
          <w:color w:val="000000" w:themeColor="text1"/>
          <w:lang w:val="en-US"/>
        </w:rPr>
        <w:t xml:space="preserve">, H., S. </w:t>
      </w:r>
      <w:proofErr w:type="spellStart"/>
      <w:r w:rsidRPr="007E44E1">
        <w:rPr>
          <w:rFonts w:asciiTheme="majorBidi" w:hAnsiTheme="majorBidi" w:cstheme="majorBidi"/>
          <w:i/>
          <w:color w:val="000000" w:themeColor="text1"/>
          <w:lang w:val="en-US"/>
        </w:rPr>
        <w:t>Kalweit</w:t>
      </w:r>
      <w:proofErr w:type="spellEnd"/>
      <w:r w:rsidRPr="007E44E1">
        <w:rPr>
          <w:rFonts w:asciiTheme="majorBidi" w:hAnsiTheme="majorBidi" w:cstheme="majorBidi"/>
          <w:i/>
          <w:color w:val="000000" w:themeColor="text1"/>
          <w:lang w:val="en-US"/>
        </w:rPr>
        <w:t xml:space="preserve">, M. </w:t>
      </w:r>
      <w:proofErr w:type="spellStart"/>
      <w:r w:rsidRPr="007E44E1">
        <w:rPr>
          <w:rFonts w:asciiTheme="majorBidi" w:hAnsiTheme="majorBidi" w:cstheme="majorBidi"/>
          <w:i/>
          <w:color w:val="000000" w:themeColor="text1"/>
          <w:lang w:val="en-US"/>
        </w:rPr>
        <w:t>Liebsch</w:t>
      </w:r>
      <w:proofErr w:type="spellEnd"/>
      <w:r w:rsidRPr="007E44E1">
        <w:rPr>
          <w:rFonts w:asciiTheme="majorBidi" w:hAnsiTheme="majorBidi" w:cstheme="majorBidi"/>
          <w:i/>
          <w:color w:val="000000" w:themeColor="text1"/>
          <w:lang w:val="en-US"/>
        </w:rPr>
        <w:t xml:space="preserve">, T. </w:t>
      </w:r>
      <w:proofErr w:type="spellStart"/>
      <w:r w:rsidRPr="007E44E1">
        <w:rPr>
          <w:rFonts w:asciiTheme="majorBidi" w:hAnsiTheme="majorBidi" w:cstheme="majorBidi"/>
          <w:i/>
          <w:color w:val="000000" w:themeColor="text1"/>
          <w:lang w:val="en-US"/>
        </w:rPr>
        <w:t>Wirnsberger</w:t>
      </w:r>
      <w:proofErr w:type="spellEnd"/>
      <w:r w:rsidRPr="007E44E1">
        <w:rPr>
          <w:rFonts w:asciiTheme="majorBidi" w:hAnsiTheme="majorBidi" w:cstheme="majorBidi"/>
          <w:i/>
          <w:color w:val="000000" w:themeColor="text1"/>
          <w:lang w:val="en-US"/>
        </w:rPr>
        <w:t xml:space="preserve">, I. </w:t>
      </w:r>
      <w:proofErr w:type="spellStart"/>
      <w:r w:rsidRPr="007E44E1">
        <w:rPr>
          <w:rFonts w:asciiTheme="majorBidi" w:hAnsiTheme="majorBidi" w:cstheme="majorBidi"/>
          <w:i/>
          <w:color w:val="000000" w:themeColor="text1"/>
          <w:lang w:val="en-US"/>
        </w:rPr>
        <w:t>Gerner</w:t>
      </w:r>
      <w:proofErr w:type="spellEnd"/>
      <w:r w:rsidRPr="007E44E1">
        <w:rPr>
          <w:rFonts w:asciiTheme="majorBidi" w:hAnsiTheme="majorBidi" w:cstheme="majorBidi"/>
          <w:i/>
          <w:color w:val="000000" w:themeColor="text1"/>
          <w:lang w:val="en-US"/>
        </w:rPr>
        <w:t>, E. Bertram-</w:t>
      </w:r>
      <w:proofErr w:type="spellStart"/>
      <w:r w:rsidRPr="007E44E1">
        <w:rPr>
          <w:rFonts w:asciiTheme="majorBidi" w:hAnsiTheme="majorBidi" w:cstheme="majorBidi"/>
          <w:i/>
          <w:color w:val="000000" w:themeColor="text1"/>
          <w:lang w:val="en-US"/>
        </w:rPr>
        <w:t>Neis</w:t>
      </w:r>
      <w:proofErr w:type="spellEnd"/>
      <w:r w:rsidRPr="007E44E1">
        <w:rPr>
          <w:rFonts w:asciiTheme="majorBidi" w:hAnsiTheme="majorBidi" w:cstheme="majorBidi"/>
          <w:i/>
          <w:color w:val="000000" w:themeColor="text1"/>
          <w:lang w:val="en-US"/>
        </w:rPr>
        <w:t xml:space="preserve">, K. </w:t>
      </w:r>
      <w:proofErr w:type="spellStart"/>
      <w:r w:rsidRPr="007E44E1">
        <w:rPr>
          <w:rFonts w:asciiTheme="majorBidi" w:hAnsiTheme="majorBidi" w:cstheme="majorBidi"/>
          <w:i/>
          <w:color w:val="000000" w:themeColor="text1"/>
          <w:lang w:val="en-US"/>
        </w:rPr>
        <w:t>Krauser</w:t>
      </w:r>
      <w:proofErr w:type="spellEnd"/>
      <w:r w:rsidRPr="007E44E1">
        <w:rPr>
          <w:rFonts w:asciiTheme="majorBidi" w:hAnsiTheme="majorBidi" w:cstheme="majorBidi"/>
          <w:i/>
          <w:color w:val="000000" w:themeColor="text1"/>
          <w:lang w:val="en-US"/>
        </w:rPr>
        <w:t xml:space="preserve">, R. </w:t>
      </w:r>
      <w:proofErr w:type="spellStart"/>
      <w:r w:rsidRPr="007E44E1">
        <w:rPr>
          <w:rFonts w:asciiTheme="majorBidi" w:hAnsiTheme="majorBidi" w:cstheme="majorBidi"/>
          <w:i/>
          <w:color w:val="000000" w:themeColor="text1"/>
          <w:lang w:val="en-US"/>
        </w:rPr>
        <w:t>Kreiling</w:t>
      </w:r>
      <w:proofErr w:type="spellEnd"/>
      <w:r w:rsidRPr="007E44E1">
        <w:rPr>
          <w:rFonts w:asciiTheme="majorBidi" w:hAnsiTheme="majorBidi" w:cstheme="majorBidi"/>
          <w:i/>
          <w:color w:val="000000" w:themeColor="text1"/>
          <w:lang w:val="en-US"/>
        </w:rPr>
        <w:t xml:space="preserve">, H.G. </w:t>
      </w:r>
      <w:proofErr w:type="spellStart"/>
      <w:r w:rsidRPr="007E44E1">
        <w:rPr>
          <w:rFonts w:asciiTheme="majorBidi" w:hAnsiTheme="majorBidi" w:cstheme="majorBidi"/>
          <w:i/>
          <w:color w:val="000000" w:themeColor="text1"/>
          <w:lang w:val="en-US"/>
        </w:rPr>
        <w:t>Miltenburger</w:t>
      </w:r>
      <w:proofErr w:type="spellEnd"/>
      <w:r w:rsidRPr="007E44E1">
        <w:rPr>
          <w:rFonts w:asciiTheme="majorBidi" w:hAnsiTheme="majorBidi" w:cstheme="majorBidi"/>
          <w:i/>
          <w:color w:val="000000" w:themeColor="text1"/>
          <w:lang w:val="en-US"/>
        </w:rPr>
        <w:t xml:space="preserve">, W. Pape et W. </w:t>
      </w:r>
      <w:proofErr w:type="spellStart"/>
      <w:r w:rsidRPr="007E44E1">
        <w:rPr>
          <w:rFonts w:asciiTheme="majorBidi" w:hAnsiTheme="majorBidi" w:cstheme="majorBidi"/>
          <w:i/>
          <w:color w:val="000000" w:themeColor="text1"/>
          <w:lang w:val="en-US"/>
        </w:rPr>
        <w:t>Steiling</w:t>
      </w:r>
      <w:proofErr w:type="spellEnd"/>
      <w:r w:rsidRPr="007E44E1">
        <w:rPr>
          <w:rFonts w:asciiTheme="majorBidi" w:hAnsiTheme="majorBidi" w:cstheme="majorBidi"/>
          <w:i/>
          <w:color w:val="000000" w:themeColor="text1"/>
          <w:lang w:val="en-US"/>
        </w:rPr>
        <w:t xml:space="preserve">. 1993. Validation study of alternatives to the Draize eye irritation test in Germany: Cytotoxicity testing and HET-CAM test with 136 industrial chemicals.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7(4): 505-510. </w:t>
      </w:r>
      <w:r w:rsidR="00F929E2"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 10.1016</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0887-2333(93)90055-a.</w:t>
      </w:r>
    </w:p>
    <w:p w14:paraId="6FE77B63" w14:textId="77777777"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Spielmann</w:t>
      </w:r>
      <w:proofErr w:type="spellEnd"/>
      <w:r w:rsidRPr="007E44E1">
        <w:rPr>
          <w:rFonts w:asciiTheme="majorBidi" w:hAnsiTheme="majorBidi" w:cstheme="majorBidi"/>
          <w:i/>
          <w:color w:val="000000" w:themeColor="text1"/>
          <w:lang w:val="en-US"/>
        </w:rPr>
        <w:t xml:space="preserve">, H., M. </w:t>
      </w:r>
      <w:proofErr w:type="spellStart"/>
      <w:r w:rsidRPr="007E44E1">
        <w:rPr>
          <w:rFonts w:asciiTheme="majorBidi" w:hAnsiTheme="majorBidi" w:cstheme="majorBidi"/>
          <w:i/>
          <w:color w:val="000000" w:themeColor="text1"/>
          <w:lang w:val="en-US"/>
        </w:rPr>
        <w:t>Liebsch</w:t>
      </w:r>
      <w:proofErr w:type="spellEnd"/>
      <w:r w:rsidRPr="007E44E1">
        <w:rPr>
          <w:rFonts w:asciiTheme="majorBidi" w:hAnsiTheme="majorBidi" w:cstheme="majorBidi"/>
          <w:i/>
          <w:color w:val="000000" w:themeColor="text1"/>
          <w:lang w:val="en-US"/>
        </w:rPr>
        <w:t xml:space="preserve">, S. </w:t>
      </w:r>
      <w:proofErr w:type="spellStart"/>
      <w:r w:rsidRPr="007E44E1">
        <w:rPr>
          <w:rFonts w:asciiTheme="majorBidi" w:hAnsiTheme="majorBidi" w:cstheme="majorBidi"/>
          <w:i/>
          <w:color w:val="000000" w:themeColor="text1"/>
          <w:lang w:val="en-US"/>
        </w:rPr>
        <w:t>Kalweit</w:t>
      </w:r>
      <w:proofErr w:type="spellEnd"/>
      <w:r w:rsidRPr="007E44E1">
        <w:rPr>
          <w:rFonts w:asciiTheme="majorBidi" w:hAnsiTheme="majorBidi" w:cstheme="majorBidi"/>
          <w:i/>
          <w:color w:val="000000" w:themeColor="text1"/>
          <w:lang w:val="en-US"/>
        </w:rPr>
        <w:t xml:space="preserve">, F. Moldenhauer, T. </w:t>
      </w:r>
      <w:proofErr w:type="spellStart"/>
      <w:r w:rsidRPr="007E44E1">
        <w:rPr>
          <w:rFonts w:asciiTheme="majorBidi" w:hAnsiTheme="majorBidi" w:cstheme="majorBidi"/>
          <w:i/>
          <w:color w:val="000000" w:themeColor="text1"/>
          <w:lang w:val="en-US"/>
        </w:rPr>
        <w:t>Wirnsberger</w:t>
      </w:r>
      <w:proofErr w:type="spellEnd"/>
      <w:r w:rsidRPr="007E44E1">
        <w:rPr>
          <w:rFonts w:asciiTheme="majorBidi" w:hAnsiTheme="majorBidi" w:cstheme="majorBidi"/>
          <w:i/>
          <w:color w:val="000000" w:themeColor="text1"/>
          <w:lang w:val="en-US"/>
        </w:rPr>
        <w:t xml:space="preserve">, H.-G. </w:t>
      </w:r>
      <w:proofErr w:type="spellStart"/>
      <w:r w:rsidRPr="007E44E1">
        <w:rPr>
          <w:rFonts w:asciiTheme="majorBidi" w:hAnsiTheme="majorBidi" w:cstheme="majorBidi"/>
          <w:i/>
          <w:color w:val="000000" w:themeColor="text1"/>
          <w:lang w:val="en-US"/>
        </w:rPr>
        <w:t>Holzhütter</w:t>
      </w:r>
      <w:proofErr w:type="spellEnd"/>
      <w:r w:rsidRPr="007E44E1">
        <w:rPr>
          <w:rFonts w:asciiTheme="majorBidi" w:hAnsiTheme="majorBidi" w:cstheme="majorBidi"/>
          <w:i/>
          <w:color w:val="000000" w:themeColor="text1"/>
          <w:lang w:val="en-US"/>
        </w:rPr>
        <w:t xml:space="preserve">, B. Schneider, S. Glaser, I. </w:t>
      </w:r>
      <w:proofErr w:type="spellStart"/>
      <w:r w:rsidRPr="007E44E1">
        <w:rPr>
          <w:rFonts w:asciiTheme="majorBidi" w:hAnsiTheme="majorBidi" w:cstheme="majorBidi"/>
          <w:i/>
          <w:color w:val="000000" w:themeColor="text1"/>
          <w:lang w:val="en-US"/>
        </w:rPr>
        <w:t>Gerner</w:t>
      </w:r>
      <w:proofErr w:type="spellEnd"/>
      <w:r w:rsidRPr="007E44E1">
        <w:rPr>
          <w:rFonts w:asciiTheme="majorBidi" w:hAnsiTheme="majorBidi" w:cstheme="majorBidi"/>
          <w:i/>
          <w:color w:val="000000" w:themeColor="text1"/>
          <w:lang w:val="en-US"/>
        </w:rPr>
        <w:t xml:space="preserve">, W.J.W. Pape, R. </w:t>
      </w:r>
      <w:proofErr w:type="spellStart"/>
      <w:r w:rsidRPr="007E44E1">
        <w:rPr>
          <w:rFonts w:asciiTheme="majorBidi" w:hAnsiTheme="majorBidi" w:cstheme="majorBidi"/>
          <w:i/>
          <w:color w:val="000000" w:themeColor="text1"/>
          <w:lang w:val="en-US"/>
        </w:rPr>
        <w:t>Kreiling</w:t>
      </w:r>
      <w:proofErr w:type="spellEnd"/>
      <w:r w:rsidRPr="007E44E1">
        <w:rPr>
          <w:rFonts w:asciiTheme="majorBidi" w:hAnsiTheme="majorBidi" w:cstheme="majorBidi"/>
          <w:i/>
          <w:color w:val="000000" w:themeColor="text1"/>
          <w:lang w:val="en-US"/>
        </w:rPr>
        <w:t xml:space="preserve">, K. </w:t>
      </w:r>
      <w:proofErr w:type="spellStart"/>
      <w:r w:rsidRPr="007E44E1">
        <w:rPr>
          <w:rFonts w:asciiTheme="majorBidi" w:hAnsiTheme="majorBidi" w:cstheme="majorBidi"/>
          <w:i/>
          <w:color w:val="000000" w:themeColor="text1"/>
          <w:lang w:val="en-US"/>
        </w:rPr>
        <w:t>Krauser</w:t>
      </w:r>
      <w:proofErr w:type="spellEnd"/>
      <w:r w:rsidRPr="007E44E1">
        <w:rPr>
          <w:rFonts w:asciiTheme="majorBidi" w:hAnsiTheme="majorBidi" w:cstheme="majorBidi"/>
          <w:i/>
          <w:color w:val="000000" w:themeColor="text1"/>
          <w:lang w:val="en-US"/>
        </w:rPr>
        <w:t xml:space="preserve">, H.G. </w:t>
      </w:r>
      <w:proofErr w:type="spellStart"/>
      <w:r w:rsidRPr="007E44E1">
        <w:rPr>
          <w:rFonts w:asciiTheme="majorBidi" w:hAnsiTheme="majorBidi" w:cstheme="majorBidi"/>
          <w:i/>
          <w:color w:val="000000" w:themeColor="text1"/>
          <w:lang w:val="en-US"/>
        </w:rPr>
        <w:t>Miltenburger</w:t>
      </w:r>
      <w:proofErr w:type="spellEnd"/>
      <w:r w:rsidRPr="007E44E1">
        <w:rPr>
          <w:rFonts w:asciiTheme="majorBidi" w:hAnsiTheme="majorBidi" w:cstheme="majorBidi"/>
          <w:i/>
          <w:color w:val="000000" w:themeColor="text1"/>
          <w:lang w:val="en-US"/>
        </w:rPr>
        <w:t xml:space="preserve">, W. </w:t>
      </w:r>
      <w:proofErr w:type="spellStart"/>
      <w:r w:rsidRPr="007E44E1">
        <w:rPr>
          <w:rFonts w:asciiTheme="majorBidi" w:hAnsiTheme="majorBidi" w:cstheme="majorBidi"/>
          <w:i/>
          <w:color w:val="000000" w:themeColor="text1"/>
          <w:lang w:val="en-US"/>
        </w:rPr>
        <w:t>Steiling</w:t>
      </w:r>
      <w:proofErr w:type="spellEnd"/>
      <w:r w:rsidRPr="007E44E1">
        <w:rPr>
          <w:rFonts w:asciiTheme="majorBidi" w:hAnsiTheme="majorBidi" w:cstheme="majorBidi"/>
          <w:i/>
          <w:color w:val="000000" w:themeColor="text1"/>
          <w:lang w:val="en-US"/>
        </w:rPr>
        <w:t xml:space="preserve">, N.P. Luepke, N. Müller, H. Kreuzer, P. </w:t>
      </w:r>
      <w:proofErr w:type="spellStart"/>
      <w:r w:rsidRPr="007E44E1">
        <w:rPr>
          <w:rFonts w:asciiTheme="majorBidi" w:hAnsiTheme="majorBidi" w:cstheme="majorBidi"/>
          <w:i/>
          <w:color w:val="000000" w:themeColor="text1"/>
          <w:lang w:val="en-US"/>
        </w:rPr>
        <w:t>Mürmann</w:t>
      </w:r>
      <w:proofErr w:type="spellEnd"/>
      <w:r w:rsidRPr="007E44E1">
        <w:rPr>
          <w:rFonts w:asciiTheme="majorBidi" w:hAnsiTheme="majorBidi" w:cstheme="majorBidi"/>
          <w:i/>
          <w:color w:val="000000" w:themeColor="text1"/>
          <w:lang w:val="en-US"/>
        </w:rPr>
        <w:t>, J. Spengler, E. Bertram-</w:t>
      </w:r>
      <w:proofErr w:type="spellStart"/>
      <w:r w:rsidRPr="007E44E1">
        <w:rPr>
          <w:rFonts w:asciiTheme="majorBidi" w:hAnsiTheme="majorBidi" w:cstheme="majorBidi"/>
          <w:i/>
          <w:color w:val="000000" w:themeColor="text1"/>
          <w:lang w:val="en-US"/>
        </w:rPr>
        <w:t>Neis</w:t>
      </w:r>
      <w:proofErr w:type="spellEnd"/>
      <w:r w:rsidRPr="007E44E1">
        <w:rPr>
          <w:rFonts w:asciiTheme="majorBidi" w:hAnsiTheme="majorBidi" w:cstheme="majorBidi"/>
          <w:i/>
          <w:color w:val="000000" w:themeColor="text1"/>
          <w:lang w:val="en-US"/>
        </w:rPr>
        <w:t xml:space="preserve">, B. </w:t>
      </w:r>
      <w:proofErr w:type="spellStart"/>
      <w:r w:rsidRPr="007E44E1">
        <w:rPr>
          <w:rFonts w:asciiTheme="majorBidi" w:hAnsiTheme="majorBidi" w:cstheme="majorBidi"/>
          <w:i/>
          <w:color w:val="000000" w:themeColor="text1"/>
          <w:lang w:val="en-US"/>
        </w:rPr>
        <w:t>Siegemund</w:t>
      </w:r>
      <w:proofErr w:type="spellEnd"/>
      <w:r w:rsidRPr="007E44E1">
        <w:rPr>
          <w:rFonts w:asciiTheme="majorBidi" w:hAnsiTheme="majorBidi" w:cstheme="majorBidi"/>
          <w:i/>
          <w:color w:val="000000" w:themeColor="text1"/>
          <w:lang w:val="en-US"/>
        </w:rPr>
        <w:t xml:space="preserve"> et F.J. </w:t>
      </w:r>
      <w:proofErr w:type="spellStart"/>
      <w:r w:rsidRPr="007E44E1">
        <w:rPr>
          <w:rFonts w:asciiTheme="majorBidi" w:hAnsiTheme="majorBidi" w:cstheme="majorBidi"/>
          <w:i/>
          <w:color w:val="000000" w:themeColor="text1"/>
          <w:lang w:val="en-US"/>
        </w:rPr>
        <w:t>Wiebel</w:t>
      </w:r>
      <w:proofErr w:type="spellEnd"/>
      <w:r w:rsidRPr="007E44E1">
        <w:rPr>
          <w:rFonts w:asciiTheme="majorBidi" w:hAnsiTheme="majorBidi" w:cstheme="majorBidi"/>
          <w:i/>
          <w:color w:val="000000" w:themeColor="text1"/>
          <w:lang w:val="en-US"/>
        </w:rPr>
        <w:t xml:space="preserve">. 1996. Results of a validation study in Germany on two in vitro alternatives to the Draize eye irritation test, HET-CAM test and the 3T3 NRU cytotoxicity test. </w:t>
      </w:r>
      <w:r w:rsidRPr="00464F7A">
        <w:rPr>
          <w:rFonts w:asciiTheme="majorBidi" w:hAnsiTheme="majorBidi" w:cstheme="majorBidi"/>
          <w:i/>
          <w:color w:val="000000" w:themeColor="text1"/>
          <w:lang w:val="en-US"/>
        </w:rPr>
        <w:t>Altern. Lab. Anim., 24: 741-858.</w:t>
      </w:r>
    </w:p>
    <w:p w14:paraId="1E756A45" w14:textId="751E9BA0" w:rsidR="00C94ECF" w:rsidRPr="007E44E1"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464F7A">
        <w:rPr>
          <w:rFonts w:asciiTheme="majorBidi" w:hAnsiTheme="majorBidi" w:cstheme="majorBidi"/>
          <w:i/>
          <w:color w:val="000000" w:themeColor="text1"/>
          <w:lang w:val="en-US"/>
        </w:rPr>
        <w:t>Spöler</w:t>
      </w:r>
      <w:proofErr w:type="spellEnd"/>
      <w:r w:rsidRPr="00464F7A">
        <w:rPr>
          <w:rFonts w:asciiTheme="majorBidi" w:hAnsiTheme="majorBidi" w:cstheme="majorBidi"/>
          <w:i/>
          <w:color w:val="000000" w:themeColor="text1"/>
          <w:lang w:val="en-US"/>
        </w:rPr>
        <w:t xml:space="preserve">, F., M. </w:t>
      </w:r>
      <w:proofErr w:type="spellStart"/>
      <w:r w:rsidRPr="00464F7A">
        <w:rPr>
          <w:rFonts w:asciiTheme="majorBidi" w:hAnsiTheme="majorBidi" w:cstheme="majorBidi"/>
          <w:i/>
          <w:color w:val="000000" w:themeColor="text1"/>
          <w:lang w:val="en-US"/>
        </w:rPr>
        <w:t>Först</w:t>
      </w:r>
      <w:proofErr w:type="spellEnd"/>
      <w:r w:rsidRPr="00464F7A">
        <w:rPr>
          <w:rFonts w:asciiTheme="majorBidi" w:hAnsiTheme="majorBidi" w:cstheme="majorBidi"/>
          <w:i/>
          <w:color w:val="000000" w:themeColor="text1"/>
          <w:lang w:val="en-US"/>
        </w:rPr>
        <w:t xml:space="preserve">, H. Kurz, M. </w:t>
      </w:r>
      <w:proofErr w:type="spellStart"/>
      <w:r w:rsidRPr="00464F7A">
        <w:rPr>
          <w:rFonts w:asciiTheme="majorBidi" w:hAnsiTheme="majorBidi" w:cstheme="majorBidi"/>
          <w:i/>
          <w:color w:val="000000" w:themeColor="text1"/>
          <w:lang w:val="en-US"/>
        </w:rPr>
        <w:t>Frentz</w:t>
      </w:r>
      <w:proofErr w:type="spellEnd"/>
      <w:r w:rsidRPr="00464F7A">
        <w:rPr>
          <w:rFonts w:asciiTheme="majorBidi" w:hAnsiTheme="majorBidi" w:cstheme="majorBidi"/>
          <w:i/>
          <w:color w:val="000000" w:themeColor="text1"/>
          <w:lang w:val="en-US"/>
        </w:rPr>
        <w:t xml:space="preserve"> et N.F. Schrage. </w:t>
      </w:r>
      <w:r w:rsidRPr="007E44E1">
        <w:rPr>
          <w:rFonts w:asciiTheme="majorBidi" w:hAnsiTheme="majorBidi" w:cstheme="majorBidi"/>
          <w:i/>
          <w:color w:val="000000" w:themeColor="text1"/>
          <w:lang w:val="en-US"/>
        </w:rPr>
        <w:t xml:space="preserve">2007. Dynamic analysis of chemical eye burns using high-resolution optical coherence tomography. J. Biomed. Opt., 12: 041203. </w:t>
      </w:r>
      <w:r w:rsidR="0003401F" w:rsidRPr="007E44E1">
        <w:rPr>
          <w:rFonts w:asciiTheme="majorBidi" w:hAnsiTheme="majorBidi" w:cstheme="majorBidi"/>
          <w:i/>
          <w:color w:val="000000" w:themeColor="text1"/>
          <w:lang w:val="en-US"/>
        </w:rPr>
        <w:t>Doi</w:t>
      </w:r>
      <w:r w:rsidRPr="007E44E1">
        <w:rPr>
          <w:rFonts w:asciiTheme="majorBidi" w:hAnsiTheme="majorBidi" w:cstheme="majorBidi"/>
          <w:i/>
          <w:color w:val="000000" w:themeColor="text1"/>
          <w:lang w:val="en-US"/>
        </w:rPr>
        <w:t>:10.1117</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1.2768018.</w:t>
      </w:r>
    </w:p>
    <w:p w14:paraId="197AA2B9" w14:textId="32454A27"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proofErr w:type="spellStart"/>
      <w:r w:rsidRPr="007E44E1">
        <w:rPr>
          <w:rFonts w:asciiTheme="majorBidi" w:hAnsiTheme="majorBidi" w:cstheme="majorBidi"/>
          <w:i/>
          <w:color w:val="000000" w:themeColor="text1"/>
          <w:lang w:val="en-US"/>
        </w:rPr>
        <w:t>Spöler</w:t>
      </w:r>
      <w:proofErr w:type="spellEnd"/>
      <w:r w:rsidRPr="007E44E1">
        <w:rPr>
          <w:rFonts w:asciiTheme="majorBidi" w:hAnsiTheme="majorBidi" w:cstheme="majorBidi"/>
          <w:i/>
          <w:color w:val="000000" w:themeColor="text1"/>
          <w:lang w:val="en-US"/>
        </w:rPr>
        <w:t>, F., O. Kray, S. Kray, C. Panfil et N.F. Schrage. 2015. The Ex vivo Eye Irritation Test as an alternative test method for serious eye damage</w:t>
      </w:r>
      <w:r w:rsidRPr="007E44E1">
        <w:rPr>
          <w:rFonts w:asciiTheme="majorBidi" w:hAnsiTheme="majorBidi" w:cstheme="majorBidi"/>
          <w:color w:val="000000" w:themeColor="text1"/>
          <w:lang w:val="en-US"/>
        </w:rPr>
        <w:t>/</w:t>
      </w:r>
      <w:r w:rsidRPr="007E44E1">
        <w:rPr>
          <w:rFonts w:asciiTheme="majorBidi" w:hAnsiTheme="majorBidi" w:cstheme="majorBidi"/>
          <w:i/>
          <w:color w:val="000000" w:themeColor="text1"/>
          <w:lang w:val="en-US"/>
        </w:rPr>
        <w:t xml:space="preserve">eye irritation. </w:t>
      </w:r>
      <w:r w:rsidRPr="00464F7A">
        <w:rPr>
          <w:rFonts w:asciiTheme="majorBidi" w:hAnsiTheme="majorBidi" w:cstheme="majorBidi"/>
          <w:i/>
          <w:color w:val="000000" w:themeColor="text1"/>
          <w:lang w:val="en-US"/>
        </w:rPr>
        <w:t xml:space="preserve">Altern. Lab. Anim., 43(3): 163-179. </w:t>
      </w:r>
      <w:r w:rsidR="0003401F" w:rsidRPr="00464F7A">
        <w:rPr>
          <w:rFonts w:asciiTheme="majorBidi" w:hAnsiTheme="majorBidi" w:cstheme="majorBidi"/>
          <w:i/>
          <w:color w:val="000000" w:themeColor="text1"/>
          <w:lang w:val="en-US"/>
        </w:rPr>
        <w:t>Doi</w:t>
      </w:r>
      <w:r w:rsidRPr="00464F7A">
        <w:rPr>
          <w:rFonts w:asciiTheme="majorBidi" w:hAnsiTheme="majorBidi" w:cstheme="majorBidi"/>
          <w:i/>
          <w:color w:val="000000" w:themeColor="text1"/>
          <w:lang w:val="en-US"/>
        </w:rPr>
        <w:t>: 10.1177</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026119291504300306.</w:t>
      </w:r>
    </w:p>
    <w:p w14:paraId="10C15BE4" w14:textId="77777777"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464F7A">
        <w:rPr>
          <w:rFonts w:asciiTheme="majorBidi" w:hAnsiTheme="majorBidi" w:cstheme="majorBidi"/>
          <w:i/>
          <w:color w:val="000000" w:themeColor="text1"/>
          <w:lang w:val="en-US"/>
        </w:rPr>
        <w:t xml:space="preserve">Whittle, E., D. </w:t>
      </w:r>
      <w:proofErr w:type="spellStart"/>
      <w:r w:rsidRPr="00464F7A">
        <w:rPr>
          <w:rFonts w:asciiTheme="majorBidi" w:hAnsiTheme="majorBidi" w:cstheme="majorBidi"/>
          <w:i/>
          <w:color w:val="000000" w:themeColor="text1"/>
          <w:lang w:val="en-US"/>
        </w:rPr>
        <w:t>Basketter</w:t>
      </w:r>
      <w:proofErr w:type="spellEnd"/>
      <w:r w:rsidRPr="00464F7A">
        <w:rPr>
          <w:rFonts w:asciiTheme="majorBidi" w:hAnsiTheme="majorBidi" w:cstheme="majorBidi"/>
          <w:i/>
          <w:color w:val="000000" w:themeColor="text1"/>
          <w:lang w:val="en-US"/>
        </w:rPr>
        <w:t xml:space="preserve">, M. York, L. Kelly, T. Hall, J. McCall, P. Botham, D. Esdaile et J. Gardner. </w:t>
      </w:r>
      <w:r w:rsidRPr="007E44E1">
        <w:rPr>
          <w:rFonts w:asciiTheme="majorBidi" w:hAnsiTheme="majorBidi" w:cstheme="majorBidi"/>
          <w:i/>
          <w:color w:val="000000" w:themeColor="text1"/>
          <w:lang w:val="en-US"/>
        </w:rPr>
        <w:t xml:space="preserve">1992. Findings of an interlaboratory trial of the enucleated eye method as an alternative eye irritation test.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Mech. </w:t>
      </w:r>
      <w:r w:rsidRPr="00464F7A">
        <w:rPr>
          <w:rFonts w:asciiTheme="majorBidi" w:hAnsiTheme="majorBidi" w:cstheme="majorBidi"/>
          <w:i/>
          <w:color w:val="000000" w:themeColor="text1"/>
          <w:lang w:val="en-US"/>
        </w:rPr>
        <w:t>Methods., 2: 30-41.</w:t>
      </w:r>
    </w:p>
    <w:p w14:paraId="64EEF4A5" w14:textId="273A8BEB" w:rsidR="00C94ECF" w:rsidRPr="00464F7A" w:rsidRDefault="00C94ECF" w:rsidP="004F4758">
      <w:pPr>
        <w:tabs>
          <w:tab w:val="left" w:pos="1560"/>
          <w:tab w:val="left" w:pos="2835"/>
        </w:tabs>
        <w:spacing w:before="80" w:after="80"/>
        <w:ind w:left="2268" w:right="1134"/>
        <w:jc w:val="both"/>
        <w:rPr>
          <w:rFonts w:asciiTheme="majorBidi" w:hAnsiTheme="majorBidi" w:cstheme="majorBidi"/>
          <w:i/>
          <w:color w:val="000000" w:themeColor="text1"/>
          <w:lang w:val="en-US"/>
        </w:rPr>
      </w:pPr>
      <w:r w:rsidRPr="00464F7A">
        <w:rPr>
          <w:rFonts w:asciiTheme="majorBidi" w:hAnsiTheme="majorBidi" w:cstheme="majorBidi"/>
          <w:i/>
          <w:color w:val="000000" w:themeColor="text1"/>
          <w:lang w:val="en-US"/>
        </w:rPr>
        <w:t xml:space="preserve">Young, J.R., M.J. How, A.P. Walker et W.M. Worth. </w:t>
      </w:r>
      <w:r w:rsidRPr="007E44E1">
        <w:rPr>
          <w:rFonts w:asciiTheme="majorBidi" w:hAnsiTheme="majorBidi" w:cstheme="majorBidi"/>
          <w:i/>
          <w:color w:val="000000" w:themeColor="text1"/>
          <w:lang w:val="en-US"/>
        </w:rPr>
        <w:t xml:space="preserve">1988. Classification as corrosive or irritant to skin of preparations containing acidic or alkaline substances, without testing on animals. </w:t>
      </w:r>
      <w:proofErr w:type="spellStart"/>
      <w:r w:rsidRPr="007E44E1">
        <w:rPr>
          <w:rFonts w:asciiTheme="majorBidi" w:hAnsiTheme="majorBidi" w:cstheme="majorBidi"/>
          <w:i/>
          <w:color w:val="000000" w:themeColor="text1"/>
          <w:lang w:val="en-US"/>
        </w:rPr>
        <w:t>Toxicol</w:t>
      </w:r>
      <w:proofErr w:type="spellEnd"/>
      <w:r w:rsidRPr="007E44E1">
        <w:rPr>
          <w:rFonts w:asciiTheme="majorBidi" w:hAnsiTheme="majorBidi" w:cstheme="majorBidi"/>
          <w:i/>
          <w:color w:val="000000" w:themeColor="text1"/>
          <w:lang w:val="en-US"/>
        </w:rPr>
        <w:t xml:space="preserve">. In vitro, 2(1): 19-26. </w:t>
      </w:r>
      <w:r w:rsidR="0003401F" w:rsidRPr="00464F7A">
        <w:rPr>
          <w:rFonts w:asciiTheme="majorBidi" w:hAnsiTheme="majorBidi" w:cstheme="majorBidi"/>
          <w:i/>
          <w:color w:val="000000" w:themeColor="text1"/>
          <w:lang w:val="en-US"/>
        </w:rPr>
        <w:t>Doi</w:t>
      </w:r>
      <w:r w:rsidRPr="00464F7A">
        <w:rPr>
          <w:rFonts w:asciiTheme="majorBidi" w:hAnsiTheme="majorBidi" w:cstheme="majorBidi"/>
          <w:i/>
          <w:color w:val="000000" w:themeColor="text1"/>
          <w:lang w:val="en-US"/>
        </w:rPr>
        <w:t>: 10.1016</w:t>
      </w:r>
      <w:r w:rsidRPr="00464F7A">
        <w:rPr>
          <w:rFonts w:asciiTheme="majorBidi" w:hAnsiTheme="majorBidi" w:cstheme="majorBidi"/>
          <w:color w:val="000000" w:themeColor="text1"/>
          <w:lang w:val="en-US"/>
        </w:rPr>
        <w:t>/</w:t>
      </w:r>
      <w:r w:rsidRPr="00464F7A">
        <w:rPr>
          <w:rFonts w:asciiTheme="majorBidi" w:hAnsiTheme="majorBidi" w:cstheme="majorBidi"/>
          <w:i/>
          <w:color w:val="000000" w:themeColor="text1"/>
          <w:lang w:val="en-US"/>
        </w:rPr>
        <w:t>0887-2333(88)90032-x.</w:t>
      </w:r>
    </w:p>
    <w:p w14:paraId="3E2C4E56" w14:textId="0C16705E" w:rsidR="00C94ECF" w:rsidRPr="00950D73" w:rsidRDefault="00C94ECF" w:rsidP="004F4758">
      <w:pPr>
        <w:tabs>
          <w:tab w:val="left" w:pos="1560"/>
          <w:tab w:val="left" w:pos="2835"/>
        </w:tabs>
        <w:spacing w:before="80" w:after="80"/>
        <w:ind w:left="2268" w:right="1134"/>
        <w:jc w:val="both"/>
        <w:rPr>
          <w:rFonts w:asciiTheme="majorBidi" w:hAnsiTheme="majorBidi" w:cstheme="majorBidi"/>
          <w:iCs/>
          <w:color w:val="000000" w:themeColor="text1"/>
        </w:rPr>
      </w:pPr>
      <w:proofErr w:type="spellStart"/>
      <w:r w:rsidRPr="00464F7A">
        <w:rPr>
          <w:rFonts w:asciiTheme="majorBidi" w:hAnsiTheme="majorBidi" w:cstheme="majorBidi"/>
          <w:i/>
          <w:color w:val="000000" w:themeColor="text1"/>
          <w:lang w:val="en-US"/>
        </w:rPr>
        <w:lastRenderedPageBreak/>
        <w:t>Zuang</w:t>
      </w:r>
      <w:proofErr w:type="spellEnd"/>
      <w:r w:rsidRPr="00464F7A">
        <w:rPr>
          <w:rFonts w:asciiTheme="majorBidi" w:hAnsiTheme="majorBidi" w:cstheme="majorBidi"/>
          <w:i/>
          <w:color w:val="000000" w:themeColor="text1"/>
          <w:lang w:val="en-US"/>
        </w:rPr>
        <w:t xml:space="preserve">, V. 2001. The neutral red release assay: a review. </w:t>
      </w:r>
      <w:proofErr w:type="spellStart"/>
      <w:r w:rsidRPr="00950D73">
        <w:rPr>
          <w:rFonts w:asciiTheme="majorBidi" w:hAnsiTheme="majorBidi" w:cstheme="majorBidi"/>
          <w:i/>
          <w:color w:val="000000" w:themeColor="text1"/>
        </w:rPr>
        <w:t>Altern</w:t>
      </w:r>
      <w:proofErr w:type="spellEnd"/>
      <w:r w:rsidRPr="00950D73">
        <w:rPr>
          <w:rFonts w:asciiTheme="majorBidi" w:hAnsiTheme="majorBidi" w:cstheme="majorBidi"/>
          <w:i/>
          <w:color w:val="000000" w:themeColor="text1"/>
        </w:rPr>
        <w:t xml:space="preserve">. Lab. Anim., 29(5): 575-599. </w:t>
      </w:r>
      <w:proofErr w:type="spellStart"/>
      <w:r w:rsidR="0003401F" w:rsidRPr="00950D73">
        <w:rPr>
          <w:rFonts w:asciiTheme="majorBidi" w:hAnsiTheme="majorBidi" w:cstheme="majorBidi"/>
          <w:i/>
          <w:color w:val="000000" w:themeColor="text1"/>
        </w:rPr>
        <w:t>Doi</w:t>
      </w:r>
      <w:proofErr w:type="spellEnd"/>
      <w:r w:rsidRPr="00950D73">
        <w:rPr>
          <w:rFonts w:asciiTheme="majorBidi" w:hAnsiTheme="majorBidi" w:cstheme="majorBidi"/>
          <w:i/>
          <w:color w:val="000000" w:themeColor="text1"/>
        </w:rPr>
        <w:t>: 10.1177</w:t>
      </w:r>
      <w:r w:rsidRPr="00950D73">
        <w:rPr>
          <w:rFonts w:asciiTheme="majorBidi" w:hAnsiTheme="majorBidi" w:cstheme="majorBidi"/>
          <w:color w:val="000000" w:themeColor="text1"/>
        </w:rPr>
        <w:t>/</w:t>
      </w:r>
      <w:r w:rsidRPr="00950D73">
        <w:rPr>
          <w:rFonts w:asciiTheme="majorBidi" w:hAnsiTheme="majorBidi" w:cstheme="majorBidi"/>
          <w:i/>
          <w:color w:val="000000" w:themeColor="text1"/>
        </w:rPr>
        <w:t>026119290102900513. </w:t>
      </w:r>
      <w:r w:rsidRPr="00950D73">
        <w:rPr>
          <w:rFonts w:asciiTheme="majorBidi" w:hAnsiTheme="majorBidi" w:cstheme="majorBidi"/>
          <w:iCs/>
          <w:color w:val="000000" w:themeColor="text1"/>
        </w:rPr>
        <w:t>».</w:t>
      </w:r>
    </w:p>
    <w:p w14:paraId="24A91967" w14:textId="174F429A" w:rsidR="00861447" w:rsidRPr="00950D73" w:rsidRDefault="00C61A65" w:rsidP="00C61A65">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3.4</w:t>
      </w:r>
    </w:p>
    <w:p w14:paraId="728B73F4" w14:textId="0F67D9BE" w:rsidR="001C0903" w:rsidRPr="00950D73" w:rsidRDefault="00C61A65" w:rsidP="00C61A65">
      <w:pPr>
        <w:pStyle w:val="SingleTxtG"/>
        <w:ind w:left="2268" w:hanging="1134"/>
        <w:rPr>
          <w:rFonts w:asciiTheme="majorBidi" w:hAnsiTheme="majorBidi" w:cstheme="majorBidi"/>
        </w:rPr>
      </w:pPr>
      <w:r w:rsidRPr="00950D73">
        <w:rPr>
          <w:rFonts w:asciiTheme="majorBidi" w:hAnsiTheme="majorBidi" w:cstheme="majorBidi"/>
        </w:rPr>
        <w:t>3.4.2.1.1.3</w:t>
      </w:r>
      <w:r w:rsidRPr="00950D73">
        <w:rPr>
          <w:rFonts w:asciiTheme="majorBidi" w:hAnsiTheme="majorBidi" w:cstheme="majorBidi"/>
        </w:rPr>
        <w:tab/>
      </w:r>
      <w:r w:rsidR="001C0903" w:rsidRPr="00950D73">
        <w:rPr>
          <w:rFonts w:asciiTheme="majorBidi" w:hAnsiTheme="majorBidi" w:cstheme="majorBidi"/>
        </w:rPr>
        <w:t>Dans la première phrase, r</w:t>
      </w:r>
      <w:r w:rsidRPr="00950D73">
        <w:rPr>
          <w:rFonts w:asciiTheme="majorBidi" w:hAnsiTheme="majorBidi" w:cstheme="majorBidi"/>
        </w:rPr>
        <w:t>emplacer « fondé sur la force probante » par « fondé sur une évaluation de la force probante »</w:t>
      </w:r>
    </w:p>
    <w:p w14:paraId="2DA3DB04" w14:textId="1E19167B" w:rsidR="00C61A65" w:rsidRPr="00950D73" w:rsidRDefault="001C0903" w:rsidP="00C61A65">
      <w:pPr>
        <w:pStyle w:val="SingleTxtG"/>
        <w:ind w:left="2268" w:hanging="1134"/>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Dans la dernière phrase,</w:t>
      </w:r>
      <w:r w:rsidR="00C61A65" w:rsidRPr="00950D73">
        <w:rPr>
          <w:rFonts w:asciiTheme="majorBidi" w:hAnsiTheme="majorBidi" w:cstheme="majorBidi"/>
        </w:rPr>
        <w:t xml:space="preserve"> remplacer « à l’aide d’une méthode d’évaluation » par « à l’aide d’une évaluation ».</w:t>
      </w:r>
    </w:p>
    <w:p w14:paraId="7BAC1CD7" w14:textId="4DCDFBE0" w:rsidR="0084064C" w:rsidRPr="00950D73" w:rsidRDefault="0084064C" w:rsidP="0084064C">
      <w:pPr>
        <w:pStyle w:val="SingleTxtG"/>
        <w:rPr>
          <w:rFonts w:asciiTheme="majorBidi" w:hAnsiTheme="majorBidi" w:cstheme="majorBidi"/>
          <w:lang w:val="fr-FR"/>
        </w:rPr>
      </w:pPr>
      <w:r w:rsidRPr="00950D73">
        <w:rPr>
          <w:rFonts w:asciiTheme="majorBidi" w:hAnsiTheme="majorBidi" w:cstheme="majorBidi"/>
          <w:lang w:val="fr-FR"/>
        </w:rPr>
        <w:t>3.4.2.2.1.2</w:t>
      </w:r>
      <w:r w:rsidR="00742944" w:rsidRPr="00950D73">
        <w:rPr>
          <w:rFonts w:asciiTheme="majorBidi" w:hAnsiTheme="majorBidi" w:cstheme="majorBidi"/>
          <w:lang w:val="fr-FR"/>
        </w:rPr>
        <w:tab/>
        <w:t>R</w:t>
      </w:r>
      <w:r w:rsidRPr="00950D73">
        <w:rPr>
          <w:rFonts w:asciiTheme="majorBidi" w:hAnsiTheme="majorBidi" w:cstheme="majorBidi"/>
          <w:lang w:val="fr-FR"/>
        </w:rPr>
        <w:t>emplacer « au 3.4.2.2.1.3 » par « aux 3.4.2.2.2 à 3.4.2.2.6 ».</w:t>
      </w:r>
    </w:p>
    <w:p w14:paraId="14DB6403" w14:textId="72449784" w:rsidR="0084064C" w:rsidRPr="00950D73" w:rsidRDefault="0084064C" w:rsidP="003229BF">
      <w:pPr>
        <w:pStyle w:val="SingleTxtG"/>
        <w:rPr>
          <w:rFonts w:asciiTheme="majorBidi" w:hAnsiTheme="majorBidi" w:cstheme="majorBidi"/>
          <w:lang w:val="fr-FR"/>
        </w:rPr>
      </w:pPr>
      <w:r w:rsidRPr="00950D73">
        <w:rPr>
          <w:rFonts w:asciiTheme="majorBidi" w:hAnsiTheme="majorBidi" w:cstheme="majorBidi"/>
          <w:lang w:val="fr-FR"/>
        </w:rPr>
        <w:t>3.4.2.2.1.3</w:t>
      </w:r>
      <w:r w:rsidR="00742944" w:rsidRPr="00950D73">
        <w:rPr>
          <w:rFonts w:asciiTheme="majorBidi" w:hAnsiTheme="majorBidi" w:cstheme="majorBidi"/>
          <w:lang w:val="fr-FR"/>
        </w:rPr>
        <w:tab/>
        <w:t>Modifier pour</w:t>
      </w:r>
      <w:r w:rsidRPr="00950D73">
        <w:rPr>
          <w:rFonts w:asciiTheme="majorBidi" w:hAnsiTheme="majorBidi" w:cstheme="majorBidi"/>
          <w:lang w:val="fr-FR"/>
        </w:rPr>
        <w:t xml:space="preserve"> lire</w:t>
      </w:r>
      <w:r w:rsidR="00742944" w:rsidRPr="00950D73">
        <w:rPr>
          <w:rFonts w:asciiTheme="majorBidi" w:hAnsiTheme="majorBidi" w:cstheme="majorBidi"/>
          <w:lang w:val="fr-FR"/>
        </w:rPr>
        <w:t xml:space="preserve"> comme suit</w:t>
      </w:r>
      <w:r w:rsidRPr="00950D73">
        <w:rPr>
          <w:rFonts w:asciiTheme="majorBidi" w:hAnsiTheme="majorBidi" w:cstheme="majorBidi"/>
          <w:lang w:val="fr-FR"/>
        </w:rPr>
        <w:t> :</w:t>
      </w:r>
    </w:p>
    <w:p w14:paraId="3F987CF7" w14:textId="6D60A567" w:rsidR="0084064C" w:rsidRPr="00950D73" w:rsidRDefault="00867C06" w:rsidP="0084064C">
      <w:pPr>
        <w:pStyle w:val="SingleTxtG"/>
        <w:ind w:left="2268" w:hanging="1134"/>
        <w:rPr>
          <w:rFonts w:asciiTheme="majorBidi" w:hAnsiTheme="majorBidi" w:cstheme="majorBidi"/>
          <w:i/>
          <w:lang w:val="fr-FR"/>
        </w:rPr>
      </w:pPr>
      <w:r w:rsidRPr="00950D73">
        <w:rPr>
          <w:rFonts w:asciiTheme="majorBidi" w:hAnsiTheme="majorBidi" w:cstheme="majorBidi"/>
          <w:lang w:val="fr-FR"/>
        </w:rPr>
        <w:tab/>
      </w:r>
      <w:r w:rsidRPr="00950D73">
        <w:rPr>
          <w:rFonts w:asciiTheme="majorBidi" w:hAnsiTheme="majorBidi" w:cstheme="majorBidi"/>
          <w:lang w:val="fr-FR"/>
        </w:rPr>
        <w:tab/>
      </w:r>
      <w:r w:rsidR="0084064C" w:rsidRPr="00950D73">
        <w:rPr>
          <w:rFonts w:asciiTheme="majorBidi" w:hAnsiTheme="majorBidi" w:cstheme="majorBidi"/>
          <w:lang w:val="fr-FR"/>
        </w:rPr>
        <w:t>« 3.4.2.2.1.3</w:t>
      </w:r>
      <w:r w:rsidR="0084064C" w:rsidRPr="00950D73">
        <w:rPr>
          <w:rFonts w:asciiTheme="majorBidi" w:hAnsiTheme="majorBidi" w:cstheme="majorBidi"/>
          <w:lang w:val="fr-FR"/>
        </w:rPr>
        <w:tab/>
        <w:t>Aux fins du classement des sensibilisants cutanés, toutes les informations disponibles et utiles sur les sensibilisants cutanés sont collectées, et leur qualité est évaluée en fonction de leur pertinence et de leur fiabilité. Le classement doit être fondé sur des données et des résultats acceptables pour toutes les parties, obtenus au moyen de méthodes ou de méthodes définies validées selon des procédures internationales. Il s’agit notamment des lignes directrices de l’OCDE et des méthodes ou méthodes définies équivalentes (voir</w:t>
      </w:r>
      <w:r w:rsidR="00182C41">
        <w:rPr>
          <w:rFonts w:asciiTheme="majorBidi" w:hAnsiTheme="majorBidi" w:cstheme="majorBidi"/>
          <w:lang w:val="fr-FR"/>
        </w:rPr>
        <w:t> </w:t>
      </w:r>
      <w:r w:rsidR="0084064C" w:rsidRPr="00950D73">
        <w:rPr>
          <w:rFonts w:asciiTheme="majorBidi" w:hAnsiTheme="majorBidi" w:cstheme="majorBidi"/>
          <w:lang w:val="fr-FR"/>
        </w:rPr>
        <w:t>1.3.2.4.3). On trouvera dans les sections 3.4.2.2.2 à 3.4.2.2.6 des critères de classement pour les différents types d’informations susceptibles d’être disponibles. ».</w:t>
      </w:r>
    </w:p>
    <w:p w14:paraId="57FEDA35" w14:textId="629EAF1D" w:rsidR="0084064C" w:rsidRPr="00950D73" w:rsidRDefault="00717055" w:rsidP="0084064C">
      <w:pPr>
        <w:pStyle w:val="SingleTxtG"/>
        <w:spacing w:line="240" w:lineRule="auto"/>
        <w:rPr>
          <w:rFonts w:asciiTheme="majorBidi" w:hAnsiTheme="majorBidi" w:cstheme="majorBidi"/>
          <w:lang w:val="fr-FR"/>
        </w:rPr>
      </w:pPr>
      <w:r w:rsidRPr="00950D73">
        <w:rPr>
          <w:rFonts w:asciiTheme="majorBidi" w:hAnsiTheme="majorBidi" w:cstheme="majorBidi"/>
          <w:lang w:val="fr-FR"/>
        </w:rPr>
        <w:t>Tableau 3.4.2</w:t>
      </w:r>
      <w:r w:rsidRPr="00950D73">
        <w:rPr>
          <w:rFonts w:asciiTheme="majorBidi" w:hAnsiTheme="majorBidi" w:cstheme="majorBidi"/>
          <w:lang w:val="fr-FR"/>
        </w:rPr>
        <w:tab/>
      </w:r>
      <w:r w:rsidRPr="00950D73">
        <w:rPr>
          <w:rFonts w:asciiTheme="majorBidi" w:hAnsiTheme="majorBidi" w:cstheme="majorBidi"/>
          <w:lang w:val="fr-FR"/>
        </w:rPr>
        <w:tab/>
        <w:t>S</w:t>
      </w:r>
      <w:r w:rsidR="0084064C" w:rsidRPr="00950D73">
        <w:rPr>
          <w:rFonts w:asciiTheme="majorBidi" w:hAnsiTheme="majorBidi" w:cstheme="majorBidi"/>
          <w:lang w:val="fr-FR"/>
        </w:rPr>
        <w:t>upprimer</w:t>
      </w:r>
      <w:r w:rsidRPr="00950D73">
        <w:rPr>
          <w:rFonts w:asciiTheme="majorBidi" w:hAnsiTheme="majorBidi" w:cstheme="majorBidi"/>
          <w:lang w:val="fr-FR"/>
        </w:rPr>
        <w:t>.</w:t>
      </w:r>
      <w:r w:rsidRPr="00950D73" w:rsidDel="00717055">
        <w:rPr>
          <w:rFonts w:asciiTheme="majorBidi" w:hAnsiTheme="majorBidi" w:cstheme="majorBidi"/>
          <w:lang w:val="fr-FR"/>
        </w:rPr>
        <w:t xml:space="preserve"> </w:t>
      </w:r>
    </w:p>
    <w:p w14:paraId="67061238" w14:textId="42BC70CB" w:rsidR="0084064C" w:rsidRPr="00950D73" w:rsidRDefault="004569EE" w:rsidP="0084064C">
      <w:pPr>
        <w:pStyle w:val="SingleTxtG"/>
        <w:keepNext/>
        <w:spacing w:line="240" w:lineRule="auto"/>
        <w:rPr>
          <w:rFonts w:asciiTheme="majorBidi" w:hAnsiTheme="majorBidi" w:cstheme="majorBidi"/>
          <w:lang w:val="fr-FR"/>
        </w:rPr>
      </w:pPr>
      <w:r w:rsidRPr="00950D73">
        <w:rPr>
          <w:rFonts w:asciiTheme="majorBidi" w:hAnsiTheme="majorBidi" w:cstheme="majorBidi"/>
          <w:iCs/>
          <w:lang w:val="fr-FR"/>
        </w:rPr>
        <w:t>3.4.2.2.1.4 et 3.4.2.2.15</w:t>
      </w:r>
      <w:r w:rsidR="00F702BF" w:rsidRPr="00950D73">
        <w:rPr>
          <w:rFonts w:asciiTheme="majorBidi" w:hAnsiTheme="majorBidi" w:cstheme="majorBidi"/>
          <w:iCs/>
          <w:lang w:val="fr-FR"/>
        </w:rPr>
        <w:t xml:space="preserve"> (nouveaux)</w:t>
      </w:r>
      <w:r w:rsidRPr="00950D73">
        <w:rPr>
          <w:rFonts w:asciiTheme="majorBidi" w:hAnsiTheme="majorBidi" w:cstheme="majorBidi"/>
          <w:iCs/>
          <w:lang w:val="fr-FR"/>
        </w:rPr>
        <w:tab/>
      </w:r>
      <w:r w:rsidR="0084064C" w:rsidRPr="00950D73">
        <w:rPr>
          <w:rFonts w:asciiTheme="majorBidi" w:hAnsiTheme="majorBidi" w:cstheme="majorBidi"/>
          <w:iCs/>
          <w:lang w:val="fr-FR"/>
        </w:rPr>
        <w:t xml:space="preserve">Ajouter les deux nouveaux paragraphes </w:t>
      </w:r>
      <w:r w:rsidRPr="00950D73">
        <w:rPr>
          <w:rFonts w:asciiTheme="majorBidi" w:hAnsiTheme="majorBidi" w:cstheme="majorBidi"/>
          <w:iCs/>
          <w:lang w:val="fr-FR"/>
        </w:rPr>
        <w:t>suivants</w:t>
      </w:r>
      <w:r w:rsidR="0084064C" w:rsidRPr="00950D73">
        <w:rPr>
          <w:rFonts w:asciiTheme="majorBidi" w:hAnsiTheme="majorBidi" w:cstheme="majorBidi"/>
          <w:lang w:val="fr-FR"/>
        </w:rPr>
        <w:t> :</w:t>
      </w:r>
    </w:p>
    <w:p w14:paraId="6EF5EEEB" w14:textId="2DAB07FE" w:rsidR="0084064C" w:rsidRPr="00950D73" w:rsidRDefault="00A961A2" w:rsidP="0084064C">
      <w:pPr>
        <w:pStyle w:val="SingleTxtG"/>
        <w:ind w:left="2268" w:hanging="1134"/>
        <w:rPr>
          <w:rFonts w:asciiTheme="majorBidi" w:hAnsiTheme="majorBidi" w:cstheme="majorBidi"/>
          <w:lang w:val="fr-FR"/>
        </w:rPr>
      </w:pPr>
      <w:r w:rsidRPr="00950D73">
        <w:rPr>
          <w:rFonts w:asciiTheme="majorBidi" w:hAnsiTheme="majorBidi" w:cstheme="majorBidi"/>
          <w:lang w:val="fr-FR"/>
        </w:rPr>
        <w:tab/>
      </w:r>
      <w:r w:rsidRPr="00950D73">
        <w:rPr>
          <w:rFonts w:asciiTheme="majorBidi" w:hAnsiTheme="majorBidi" w:cstheme="majorBidi"/>
          <w:lang w:val="fr-FR"/>
        </w:rPr>
        <w:tab/>
      </w:r>
      <w:r w:rsidR="0084064C" w:rsidRPr="00950D73">
        <w:rPr>
          <w:rFonts w:asciiTheme="majorBidi" w:hAnsiTheme="majorBidi" w:cstheme="majorBidi"/>
          <w:lang w:val="fr-FR"/>
        </w:rPr>
        <w:t>« 3.4.2.2.1.4</w:t>
      </w:r>
      <w:r w:rsidR="0084064C" w:rsidRPr="00950D73">
        <w:rPr>
          <w:rFonts w:asciiTheme="majorBidi" w:hAnsiTheme="majorBidi" w:cstheme="majorBidi"/>
          <w:lang w:val="fr-FR"/>
        </w:rPr>
        <w:tab/>
      </w:r>
      <w:r w:rsidR="00415568" w:rsidRPr="00950D73">
        <w:rPr>
          <w:rFonts w:asciiTheme="majorBidi" w:hAnsiTheme="majorBidi" w:cstheme="majorBidi"/>
          <w:lang w:val="fr-FR"/>
        </w:rPr>
        <w:tab/>
      </w:r>
      <w:r w:rsidR="0084064C" w:rsidRPr="00950D73">
        <w:rPr>
          <w:rFonts w:asciiTheme="majorBidi" w:hAnsiTheme="majorBidi" w:cstheme="majorBidi"/>
          <w:lang w:val="fr-FR"/>
        </w:rPr>
        <w:t xml:space="preserve">Une méthode par étapes (voir 3.4.2.2.7) organise les informations disponibles sur la sensibilisation cutanée par niveaux ou étapes permettant de prendre </w:t>
      </w:r>
      <w:r w:rsidR="0084064C" w:rsidRPr="00950D73">
        <w:rPr>
          <w:rFonts w:asciiTheme="majorBidi" w:hAnsiTheme="majorBidi" w:cstheme="majorBidi"/>
          <w:lang w:val="fr-FR"/>
        </w:rPr>
        <w:lastRenderedPageBreak/>
        <w:t>des décisions d’une manière structurée et progressive. Le classement s’effectue automatiquement quand les informations satisfont systématiquement aux critères. Cependant, lorsque les informations disponibles donnent des résultats incohérents ou contradictoires à une même étape, le classement d’une substance ou d’un mélange s’effectue sur la base de la force probante des données à cette étape. Dans certains cas, lorsque les informations provenant de différentes étapes donnent des résultats incohérents ou contradictoires (voir 3.4.2.2.7.7), ou lorsque, prises séparément, les données ne sont pas suffisantes pour déterminer le classement, on a recours à une évaluation globale de la force probante des données (voir 1.3.2.4.9</w:t>
      </w:r>
      <w:r w:rsidR="004A4D39" w:rsidRPr="00950D73">
        <w:rPr>
          <w:rFonts w:asciiTheme="majorBidi" w:hAnsiTheme="majorBidi" w:cstheme="majorBidi"/>
          <w:lang w:val="fr-FR"/>
        </w:rPr>
        <w:t xml:space="preserve"> </w:t>
      </w:r>
      <w:r w:rsidR="00D41BA8" w:rsidRPr="00950D73">
        <w:rPr>
          <w:rFonts w:asciiTheme="majorBidi" w:hAnsiTheme="majorBidi" w:cstheme="majorBidi"/>
          <w:lang w:val="fr-FR"/>
        </w:rPr>
        <w:t>et</w:t>
      </w:r>
      <w:r w:rsidR="004A4D39" w:rsidRPr="00950D73">
        <w:rPr>
          <w:rFonts w:asciiTheme="majorBidi" w:hAnsiTheme="majorBidi" w:cstheme="majorBidi"/>
          <w:lang w:val="fr-FR"/>
        </w:rPr>
        <w:t xml:space="preserve"> 3.4.2.2.7.6 </w:t>
      </w:r>
      <w:r w:rsidR="0084064C" w:rsidRPr="00950D73">
        <w:rPr>
          <w:rFonts w:asciiTheme="majorBidi" w:hAnsiTheme="majorBidi" w:cstheme="majorBidi"/>
          <w:lang w:val="fr-FR"/>
        </w:rPr>
        <w:t>).</w:t>
      </w:r>
    </w:p>
    <w:p w14:paraId="6BDBA1E2" w14:textId="77777777" w:rsidR="0084064C" w:rsidRPr="00950D73" w:rsidRDefault="0084064C" w:rsidP="005C5A45">
      <w:pPr>
        <w:pStyle w:val="SingleTxtG"/>
        <w:ind w:left="2268"/>
        <w:rPr>
          <w:rFonts w:asciiTheme="majorBidi" w:hAnsiTheme="majorBidi" w:cstheme="majorBidi"/>
          <w:lang w:val="fr-FR"/>
        </w:rPr>
      </w:pPr>
      <w:r w:rsidRPr="00950D73">
        <w:rPr>
          <w:rFonts w:asciiTheme="majorBidi" w:hAnsiTheme="majorBidi" w:cstheme="majorBidi"/>
          <w:lang w:val="fr-FR"/>
        </w:rPr>
        <w:t>3.4.2.2.1.5</w:t>
      </w:r>
      <w:r w:rsidRPr="00950D73">
        <w:rPr>
          <w:rFonts w:asciiTheme="majorBidi" w:hAnsiTheme="majorBidi" w:cstheme="majorBidi"/>
          <w:lang w:val="fr-FR"/>
        </w:rPr>
        <w:tab/>
        <w:t>On trouve au 3.4.5.3 des indications relatives à l’interprétation des critères ainsi que des renvois aux documents d’orientation pertinents. ».</w:t>
      </w:r>
    </w:p>
    <w:p w14:paraId="613CB54B" w14:textId="4C53819D" w:rsidR="0084064C" w:rsidRPr="00950D73" w:rsidRDefault="0084064C" w:rsidP="004F4758">
      <w:pPr>
        <w:pStyle w:val="SingleTxtG"/>
        <w:ind w:left="2268" w:hanging="1134"/>
        <w:rPr>
          <w:rFonts w:asciiTheme="majorBidi" w:hAnsiTheme="majorBidi" w:cstheme="majorBidi"/>
          <w:i/>
          <w:lang w:val="fr-FR"/>
        </w:rPr>
      </w:pPr>
      <w:r w:rsidRPr="00950D73">
        <w:rPr>
          <w:rFonts w:asciiTheme="majorBidi" w:hAnsiTheme="majorBidi" w:cstheme="majorBidi"/>
          <w:iCs/>
          <w:lang w:val="fr-FR"/>
        </w:rPr>
        <w:t>3.4.2.2.2</w:t>
      </w:r>
      <w:r w:rsidR="00A961A2" w:rsidRPr="00950D73">
        <w:rPr>
          <w:rFonts w:asciiTheme="majorBidi" w:hAnsiTheme="majorBidi" w:cstheme="majorBidi"/>
          <w:i/>
          <w:lang w:val="fr-FR"/>
        </w:rPr>
        <w:tab/>
      </w:r>
      <w:r w:rsidR="00A961A2" w:rsidRPr="00950D73">
        <w:rPr>
          <w:rFonts w:asciiTheme="majorBidi" w:hAnsiTheme="majorBidi" w:cstheme="majorBidi"/>
          <w:lang w:val="fr-FR"/>
        </w:rPr>
        <w:t>Modifier le</w:t>
      </w:r>
      <w:r w:rsidRPr="00950D73">
        <w:rPr>
          <w:rFonts w:asciiTheme="majorBidi" w:hAnsiTheme="majorBidi" w:cstheme="majorBidi"/>
          <w:lang w:val="fr-FR"/>
        </w:rPr>
        <w:t xml:space="preserve"> titre</w:t>
      </w:r>
      <w:r w:rsidR="0086678B" w:rsidRPr="00950D73">
        <w:rPr>
          <w:rFonts w:asciiTheme="majorBidi" w:hAnsiTheme="majorBidi" w:cstheme="majorBidi"/>
          <w:lang w:val="fr-FR"/>
        </w:rPr>
        <w:t xml:space="preserve"> pour lire comme suit : « « </w:t>
      </w:r>
      <w:r w:rsidRPr="00950D73">
        <w:rPr>
          <w:rFonts w:asciiTheme="majorBidi" w:hAnsiTheme="majorBidi" w:cstheme="majorBidi"/>
          <w:i/>
          <w:iCs/>
          <w:lang w:val="fr-FR"/>
        </w:rPr>
        <w:t xml:space="preserve">Classification fondée sur des données obtenues sur l’homme </w:t>
      </w:r>
      <w:r w:rsidRPr="00950D73">
        <w:rPr>
          <w:rFonts w:asciiTheme="majorBidi" w:hAnsiTheme="majorBidi" w:cstheme="majorBidi"/>
          <w:i/>
          <w:lang w:val="fr-FR"/>
        </w:rPr>
        <w:t>(étape 1 de la figure 3.4.1) ».</w:t>
      </w:r>
    </w:p>
    <w:p w14:paraId="7103E199" w14:textId="5683557A" w:rsidR="0084064C" w:rsidRPr="00950D73" w:rsidRDefault="00F702BF" w:rsidP="004F4758">
      <w:pPr>
        <w:keepNext/>
        <w:keepLines/>
        <w:spacing w:before="240" w:after="200"/>
        <w:ind w:left="2268" w:right="1134" w:hanging="1134"/>
        <w:jc w:val="both"/>
        <w:rPr>
          <w:rFonts w:asciiTheme="majorBidi" w:hAnsiTheme="majorBidi" w:cstheme="majorBidi"/>
          <w:iCs/>
          <w:lang w:val="fr-FR"/>
        </w:rPr>
      </w:pPr>
      <w:r w:rsidRPr="00950D73">
        <w:rPr>
          <w:rFonts w:asciiTheme="majorBidi" w:hAnsiTheme="majorBidi" w:cstheme="majorBidi"/>
          <w:iCs/>
          <w:lang w:val="fr-FR"/>
        </w:rPr>
        <w:t xml:space="preserve">3.4.2.2.2.1 (nouveau) </w:t>
      </w:r>
      <w:r w:rsidRPr="00950D73">
        <w:rPr>
          <w:rFonts w:asciiTheme="majorBidi" w:hAnsiTheme="majorBidi" w:cstheme="majorBidi"/>
          <w:iCs/>
          <w:lang w:val="fr-FR"/>
        </w:rPr>
        <w:tab/>
      </w:r>
      <w:r w:rsidR="0084064C" w:rsidRPr="00950D73">
        <w:rPr>
          <w:rFonts w:asciiTheme="majorBidi" w:hAnsiTheme="majorBidi" w:cstheme="majorBidi"/>
          <w:iCs/>
          <w:lang w:val="fr-FR"/>
        </w:rPr>
        <w:t xml:space="preserve">Ajouter le nouveau paragraphe </w:t>
      </w:r>
      <w:r w:rsidRPr="00950D73">
        <w:rPr>
          <w:rFonts w:asciiTheme="majorBidi" w:hAnsiTheme="majorBidi" w:cstheme="majorBidi"/>
          <w:iCs/>
          <w:lang w:val="fr-FR"/>
        </w:rPr>
        <w:t>suivant</w:t>
      </w:r>
      <w:r w:rsidR="007C28AC" w:rsidRPr="00950D73">
        <w:rPr>
          <w:rFonts w:asciiTheme="majorBidi" w:hAnsiTheme="majorBidi" w:cstheme="majorBidi"/>
          <w:iCs/>
          <w:lang w:val="fr-FR"/>
        </w:rPr>
        <w:t xml:space="preserve"> et </w:t>
      </w:r>
      <w:r w:rsidR="00A44687" w:rsidRPr="00950D73">
        <w:rPr>
          <w:rFonts w:asciiTheme="majorBidi" w:hAnsiTheme="majorBidi" w:cstheme="majorBidi"/>
          <w:iCs/>
          <w:lang w:val="fr-FR"/>
        </w:rPr>
        <w:t>renuméroter</w:t>
      </w:r>
      <w:r w:rsidR="007C28AC" w:rsidRPr="00950D73">
        <w:rPr>
          <w:rFonts w:asciiTheme="majorBidi" w:hAnsiTheme="majorBidi" w:cstheme="majorBidi"/>
          <w:iCs/>
          <w:lang w:val="fr-FR"/>
        </w:rPr>
        <w:t xml:space="preserve"> les paragraph</w:t>
      </w:r>
      <w:r w:rsidR="0012015F" w:rsidRPr="00950D73">
        <w:rPr>
          <w:rFonts w:asciiTheme="majorBidi" w:hAnsiTheme="majorBidi" w:cstheme="majorBidi"/>
          <w:iCs/>
          <w:lang w:val="fr-FR"/>
        </w:rPr>
        <w:t>e</w:t>
      </w:r>
      <w:r w:rsidR="007C28AC" w:rsidRPr="00950D73">
        <w:rPr>
          <w:rFonts w:asciiTheme="majorBidi" w:hAnsiTheme="majorBidi" w:cstheme="majorBidi"/>
          <w:iCs/>
          <w:lang w:val="fr-FR"/>
        </w:rPr>
        <w:t>s suivants en conséquence</w:t>
      </w:r>
      <w:r w:rsidR="0084064C" w:rsidRPr="00950D73">
        <w:rPr>
          <w:rFonts w:asciiTheme="majorBidi" w:hAnsiTheme="majorBidi" w:cstheme="majorBidi"/>
          <w:iCs/>
          <w:lang w:val="fr-FR"/>
        </w:rPr>
        <w:t> :</w:t>
      </w:r>
    </w:p>
    <w:p w14:paraId="3CF2A53D" w14:textId="4CAD1AB1" w:rsidR="0084064C" w:rsidRPr="00950D73" w:rsidRDefault="0012015F" w:rsidP="0084064C">
      <w:pPr>
        <w:pStyle w:val="SingleTxtG"/>
        <w:ind w:left="2268" w:hanging="1134"/>
        <w:rPr>
          <w:rFonts w:asciiTheme="majorBidi" w:hAnsiTheme="majorBidi" w:cstheme="majorBidi"/>
          <w:i/>
          <w:lang w:val="fr-FR"/>
        </w:rPr>
      </w:pPr>
      <w:r w:rsidRPr="00950D73">
        <w:rPr>
          <w:rFonts w:asciiTheme="majorBidi" w:hAnsiTheme="majorBidi" w:cstheme="majorBidi"/>
          <w:lang w:val="fr-FR"/>
        </w:rPr>
        <w:tab/>
      </w:r>
      <w:r w:rsidR="00A57153" w:rsidRPr="00950D73">
        <w:rPr>
          <w:rFonts w:asciiTheme="majorBidi" w:hAnsiTheme="majorBidi" w:cstheme="majorBidi"/>
          <w:lang w:val="fr-FR"/>
        </w:rPr>
        <w:tab/>
      </w:r>
      <w:r w:rsidR="0084064C" w:rsidRPr="00950D73">
        <w:rPr>
          <w:rFonts w:asciiTheme="majorBidi" w:hAnsiTheme="majorBidi" w:cstheme="majorBidi"/>
          <w:lang w:val="fr-FR"/>
        </w:rPr>
        <w:t>« 3.4.2.2.2.1</w:t>
      </w:r>
      <w:r w:rsidR="0084064C" w:rsidRPr="00950D73">
        <w:rPr>
          <w:rFonts w:asciiTheme="majorBidi" w:hAnsiTheme="majorBidi" w:cstheme="majorBidi"/>
          <w:lang w:val="fr-FR"/>
        </w:rPr>
        <w:tab/>
        <w:t>Une substance est considérée comme sensibilisant cutané de catégorie 1 s’il existe des données relevées chez l’homme montrant qu’elle peut entraîner une sensibilisation par contact cutané chez un nombre significatif de personnes. ».</w:t>
      </w:r>
    </w:p>
    <w:p w14:paraId="43B9FC56" w14:textId="346373EF" w:rsidR="0084064C" w:rsidRPr="00950D73" w:rsidRDefault="0084064C" w:rsidP="004F4758">
      <w:pPr>
        <w:pStyle w:val="SingleTxtG"/>
        <w:keepNext/>
        <w:ind w:left="2268" w:hanging="1134"/>
        <w:rPr>
          <w:rFonts w:asciiTheme="majorBidi" w:hAnsiTheme="majorBidi" w:cstheme="majorBidi"/>
          <w:lang w:val="fr-FR"/>
        </w:rPr>
      </w:pPr>
      <w:bookmarkStart w:id="17" w:name="_Hlk116593414"/>
      <w:r w:rsidRPr="00950D73">
        <w:rPr>
          <w:rFonts w:asciiTheme="majorBidi" w:hAnsiTheme="majorBidi" w:cstheme="majorBidi"/>
          <w:iCs/>
          <w:lang w:val="fr-FR"/>
        </w:rPr>
        <w:t>3.4.2.2.2.2</w:t>
      </w:r>
      <w:bookmarkEnd w:id="17"/>
      <w:r w:rsidRPr="00950D73">
        <w:rPr>
          <w:rFonts w:asciiTheme="majorBidi" w:hAnsiTheme="majorBidi" w:cstheme="majorBidi"/>
          <w:iCs/>
          <w:lang w:val="fr-FR"/>
        </w:rPr>
        <w:t xml:space="preserve"> </w:t>
      </w:r>
      <w:r w:rsidR="00A57153" w:rsidRPr="00950D73">
        <w:rPr>
          <w:rFonts w:asciiTheme="majorBidi" w:hAnsiTheme="majorBidi" w:cstheme="majorBidi"/>
          <w:iCs/>
          <w:lang w:val="fr-FR"/>
        </w:rPr>
        <w:t>(nouveau, ancien 3.4.2.2.2.1)</w:t>
      </w:r>
      <w:r w:rsidR="00A57153" w:rsidRPr="00950D73">
        <w:rPr>
          <w:rFonts w:asciiTheme="majorBidi" w:hAnsiTheme="majorBidi" w:cstheme="majorBidi"/>
          <w:iCs/>
          <w:lang w:val="fr-FR"/>
        </w:rPr>
        <w:tab/>
      </w:r>
      <w:r w:rsidR="00FB3D66" w:rsidRPr="00950D73">
        <w:rPr>
          <w:rFonts w:asciiTheme="majorBidi" w:hAnsiTheme="majorBidi" w:cstheme="majorBidi"/>
          <w:iCs/>
          <w:lang w:val="fr-FR"/>
        </w:rPr>
        <w:t xml:space="preserve">Modifier le </w:t>
      </w:r>
      <w:r w:rsidR="00BE477E" w:rsidRPr="00950D73">
        <w:rPr>
          <w:rFonts w:asciiTheme="majorBidi" w:hAnsiTheme="majorBidi" w:cstheme="majorBidi"/>
          <w:iCs/>
          <w:lang w:val="fr-FR"/>
        </w:rPr>
        <w:t>début du paragraphe pour lire comme suit :</w:t>
      </w:r>
      <w:r w:rsidR="00FB3D66" w:rsidRPr="00950D73">
        <w:rPr>
          <w:rFonts w:asciiTheme="majorBidi" w:hAnsiTheme="majorBidi" w:cstheme="majorBidi"/>
          <w:iCs/>
          <w:lang w:val="fr-FR"/>
        </w:rPr>
        <w:t xml:space="preserve"> </w:t>
      </w:r>
    </w:p>
    <w:p w14:paraId="51124DA7" w14:textId="4AB87BE4" w:rsidR="0084064C" w:rsidRPr="00950D73" w:rsidRDefault="00D37D4E" w:rsidP="0084064C">
      <w:pPr>
        <w:pStyle w:val="SingleTxtG"/>
        <w:ind w:left="2268" w:hanging="1134"/>
        <w:rPr>
          <w:rFonts w:asciiTheme="majorBidi" w:hAnsiTheme="majorBidi" w:cstheme="majorBidi"/>
          <w:i/>
          <w:lang w:val="fr-FR"/>
        </w:rPr>
      </w:pPr>
      <w:r w:rsidRPr="00950D73">
        <w:rPr>
          <w:rFonts w:asciiTheme="majorBidi" w:hAnsiTheme="majorBidi" w:cstheme="majorBidi"/>
          <w:lang w:val="fr-FR"/>
        </w:rPr>
        <w:tab/>
      </w:r>
      <w:r w:rsidRPr="00950D73">
        <w:rPr>
          <w:rFonts w:asciiTheme="majorBidi" w:hAnsiTheme="majorBidi" w:cstheme="majorBidi"/>
          <w:lang w:val="fr-FR"/>
        </w:rPr>
        <w:tab/>
      </w:r>
      <w:r w:rsidR="0084064C" w:rsidRPr="00950D73">
        <w:rPr>
          <w:rFonts w:asciiTheme="majorBidi" w:hAnsiTheme="majorBidi" w:cstheme="majorBidi"/>
          <w:lang w:val="fr-FR"/>
        </w:rPr>
        <w:t>« 3.4.2.2.2.2</w:t>
      </w:r>
      <w:r w:rsidR="0084064C" w:rsidRPr="00950D73">
        <w:rPr>
          <w:rFonts w:asciiTheme="majorBidi" w:hAnsiTheme="majorBidi" w:cstheme="majorBidi"/>
          <w:lang w:val="fr-FR"/>
        </w:rPr>
        <w:tab/>
        <w:t xml:space="preserve">Les substances présentant une fréquence d’occurrence élevée chez l’homme peuvent être présumées capables de provoquer une sensibilisation significative et sont classées dans la </w:t>
      </w:r>
      <w:r w:rsidR="007A427A" w:rsidRPr="00950D73">
        <w:rPr>
          <w:rFonts w:asciiTheme="majorBidi" w:hAnsiTheme="majorBidi" w:cstheme="majorBidi"/>
          <w:lang w:val="fr-FR"/>
        </w:rPr>
        <w:t>sous-</w:t>
      </w:r>
      <w:r w:rsidR="0084064C" w:rsidRPr="00950D73">
        <w:rPr>
          <w:rFonts w:asciiTheme="majorBidi" w:hAnsiTheme="majorBidi" w:cstheme="majorBidi"/>
          <w:lang w:val="fr-FR"/>
        </w:rPr>
        <w:t xml:space="preserve">catégorie 1A. La gravité de la réaction peut également </w:t>
      </w:r>
      <w:r w:rsidR="0084064C" w:rsidRPr="00950D73">
        <w:rPr>
          <w:rFonts w:asciiTheme="majorBidi" w:hAnsiTheme="majorBidi" w:cstheme="majorBidi"/>
          <w:lang w:val="fr-FR"/>
        </w:rPr>
        <w:lastRenderedPageBreak/>
        <w:t xml:space="preserve">être prise en considération. </w:t>
      </w:r>
      <w:bookmarkStart w:id="18" w:name="_Hlk116591334"/>
      <w:r w:rsidR="003608EC" w:rsidRPr="00950D73">
        <w:rPr>
          <w:rFonts w:asciiTheme="majorBidi" w:hAnsiTheme="majorBidi" w:cstheme="majorBidi"/>
          <w:lang w:val="fr-FR"/>
        </w:rPr>
        <w:t>Les données humaines pour la sous-catégorie 1A peuvent inclure : »</w:t>
      </w:r>
      <w:bookmarkEnd w:id="18"/>
      <w:r w:rsidR="0084064C" w:rsidRPr="00950D73">
        <w:rPr>
          <w:rFonts w:asciiTheme="majorBidi" w:hAnsiTheme="majorBidi" w:cstheme="majorBidi"/>
          <w:lang w:val="fr-FR"/>
        </w:rPr>
        <w:t>.</w:t>
      </w:r>
    </w:p>
    <w:p w14:paraId="4639D469" w14:textId="31A5FC33" w:rsidR="0084064C" w:rsidRPr="00950D73" w:rsidRDefault="0084064C" w:rsidP="0084064C">
      <w:pPr>
        <w:pStyle w:val="SingleTxtG"/>
        <w:keepNext/>
        <w:rPr>
          <w:rFonts w:asciiTheme="majorBidi" w:hAnsiTheme="majorBidi" w:cstheme="majorBidi"/>
          <w:lang w:val="fr-FR"/>
        </w:rPr>
      </w:pPr>
      <w:bookmarkStart w:id="19" w:name="_Hlk116593513"/>
      <w:r w:rsidRPr="00950D73">
        <w:rPr>
          <w:rFonts w:asciiTheme="majorBidi" w:hAnsiTheme="majorBidi" w:cstheme="majorBidi"/>
          <w:lang w:val="fr-FR"/>
        </w:rPr>
        <w:t>3.4.2.2.2.3</w:t>
      </w:r>
      <w:bookmarkStart w:id="20" w:name="_Hlk116548552"/>
      <w:bookmarkEnd w:id="19"/>
      <w:r w:rsidRPr="00950D73">
        <w:rPr>
          <w:rFonts w:asciiTheme="majorBidi" w:hAnsiTheme="majorBidi" w:cstheme="majorBidi"/>
          <w:lang w:val="fr-FR"/>
        </w:rPr>
        <w:t xml:space="preserve"> </w:t>
      </w:r>
      <w:r w:rsidR="003C5B47" w:rsidRPr="00950D73">
        <w:rPr>
          <w:rFonts w:asciiTheme="majorBidi" w:hAnsiTheme="majorBidi" w:cstheme="majorBidi"/>
          <w:lang w:val="fr-FR"/>
        </w:rPr>
        <w:t>(ancien 3.4.2.2.2)</w:t>
      </w:r>
      <w:bookmarkEnd w:id="20"/>
      <w:r w:rsidR="003C5B47" w:rsidRPr="00950D73">
        <w:rPr>
          <w:rFonts w:asciiTheme="majorBidi" w:hAnsiTheme="majorBidi" w:cstheme="majorBidi"/>
          <w:lang w:val="fr-FR"/>
        </w:rPr>
        <w:t>Modifier le début du paragraphe pour lire comme suit :</w:t>
      </w:r>
    </w:p>
    <w:p w14:paraId="3396AAB2" w14:textId="47C8F097" w:rsidR="0084064C" w:rsidRPr="00950D73" w:rsidRDefault="005A4ABC" w:rsidP="0084064C">
      <w:pPr>
        <w:pStyle w:val="SingleTxtG"/>
        <w:keepLines/>
        <w:ind w:left="2268" w:hanging="1134"/>
        <w:rPr>
          <w:rFonts w:asciiTheme="majorBidi" w:hAnsiTheme="majorBidi" w:cstheme="majorBidi"/>
          <w:lang w:val="fr-FR"/>
        </w:rPr>
      </w:pPr>
      <w:r w:rsidRPr="00950D73">
        <w:rPr>
          <w:rFonts w:asciiTheme="majorBidi" w:hAnsiTheme="majorBidi" w:cstheme="majorBidi"/>
          <w:lang w:val="fr-FR"/>
        </w:rPr>
        <w:tab/>
      </w:r>
      <w:r w:rsidRPr="00950D73">
        <w:rPr>
          <w:rFonts w:asciiTheme="majorBidi" w:hAnsiTheme="majorBidi" w:cstheme="majorBidi"/>
          <w:lang w:val="fr-FR"/>
        </w:rPr>
        <w:tab/>
      </w:r>
      <w:r w:rsidR="0084064C" w:rsidRPr="00950D73">
        <w:rPr>
          <w:rFonts w:asciiTheme="majorBidi" w:hAnsiTheme="majorBidi" w:cstheme="majorBidi"/>
          <w:lang w:val="fr-FR"/>
        </w:rPr>
        <w:t>« 3.4.2.2.2.3</w:t>
      </w:r>
      <w:r w:rsidR="0084064C" w:rsidRPr="00950D73">
        <w:rPr>
          <w:rFonts w:asciiTheme="majorBidi" w:hAnsiTheme="majorBidi" w:cstheme="majorBidi"/>
          <w:lang w:val="fr-FR"/>
        </w:rPr>
        <w:tab/>
        <w:t xml:space="preserve">Les substances présentant une fréquence d’occurrence faible à modérée chez l’homme peuvent être présumées capables de produire une sensibilisation et sont classées dans la </w:t>
      </w:r>
      <w:r w:rsidRPr="00950D73">
        <w:rPr>
          <w:rFonts w:asciiTheme="majorBidi" w:hAnsiTheme="majorBidi" w:cstheme="majorBidi"/>
          <w:lang w:val="fr-FR"/>
        </w:rPr>
        <w:t>sous-</w:t>
      </w:r>
      <w:r w:rsidR="0084064C" w:rsidRPr="00950D73">
        <w:rPr>
          <w:rFonts w:asciiTheme="majorBidi" w:hAnsiTheme="majorBidi" w:cstheme="majorBidi"/>
          <w:lang w:val="fr-FR"/>
        </w:rPr>
        <w:t xml:space="preserve">catégorie 1B. La gravité de la réaction peut également être prise en considération. </w:t>
      </w:r>
      <w:r w:rsidR="00363665" w:rsidRPr="00950D73">
        <w:rPr>
          <w:rFonts w:asciiTheme="majorBidi" w:hAnsiTheme="majorBidi" w:cstheme="majorBidi"/>
        </w:rPr>
        <w:t>Les données humaines pour la sous</w:t>
      </w:r>
      <w:r w:rsidR="00363665" w:rsidRPr="00950D73">
        <w:rPr>
          <w:rFonts w:asciiTheme="majorBidi" w:hAnsiTheme="majorBidi" w:cstheme="majorBidi"/>
        </w:rPr>
        <w:noBreakHyphen/>
        <w:t>catégorie 1B peuvent inclure :</w:t>
      </w:r>
      <w:r w:rsidR="0084064C" w:rsidRPr="00950D73">
        <w:rPr>
          <w:rFonts w:asciiTheme="majorBidi" w:hAnsiTheme="majorBidi" w:cstheme="majorBidi"/>
          <w:lang w:val="fr-FR"/>
        </w:rPr>
        <w:t>».</w:t>
      </w:r>
    </w:p>
    <w:p w14:paraId="651CBD59" w14:textId="7EA03960" w:rsidR="0084064C" w:rsidRPr="00950D73" w:rsidRDefault="0084064C" w:rsidP="001A1EC4">
      <w:pPr>
        <w:pStyle w:val="SingleTxtG"/>
        <w:spacing w:line="240" w:lineRule="auto"/>
        <w:ind w:left="2268" w:hanging="1134"/>
        <w:rPr>
          <w:rFonts w:asciiTheme="majorBidi" w:hAnsiTheme="majorBidi" w:cstheme="majorBidi"/>
          <w:lang w:val="fr-FR"/>
        </w:rPr>
      </w:pPr>
      <w:r w:rsidRPr="00950D73">
        <w:rPr>
          <w:rFonts w:asciiTheme="majorBidi" w:hAnsiTheme="majorBidi" w:cstheme="majorBidi"/>
          <w:iCs/>
          <w:lang w:val="fr-FR"/>
        </w:rPr>
        <w:t>3.4.2.2.3</w:t>
      </w:r>
      <w:r w:rsidR="002B13D0" w:rsidRPr="00950D73">
        <w:rPr>
          <w:rFonts w:asciiTheme="majorBidi" w:hAnsiTheme="majorBidi" w:cstheme="majorBidi"/>
          <w:iCs/>
          <w:lang w:val="fr-FR"/>
        </w:rPr>
        <w:tab/>
        <w:t>Modifier le titre pour lire comme suit : « </w:t>
      </w:r>
      <w:r w:rsidRPr="00950D73">
        <w:rPr>
          <w:rFonts w:asciiTheme="majorBidi" w:hAnsiTheme="majorBidi" w:cstheme="majorBidi"/>
          <w:lang w:val="fr-FR"/>
        </w:rPr>
        <w:t>Classification fondée sur les résultats d’essais normalisés sur les animaux (étape 1 de la figure 3.4.1) ».</w:t>
      </w:r>
    </w:p>
    <w:p w14:paraId="1A98FABE" w14:textId="53ACD20C" w:rsidR="0084064C" w:rsidRPr="00950D73" w:rsidRDefault="0084064C" w:rsidP="0084064C">
      <w:pPr>
        <w:pStyle w:val="SingleTxtG"/>
        <w:ind w:left="2268" w:hanging="1134"/>
        <w:rPr>
          <w:rFonts w:asciiTheme="majorBidi" w:hAnsiTheme="majorBidi" w:cstheme="majorBidi"/>
          <w:lang w:val="fr-FR"/>
        </w:rPr>
      </w:pPr>
      <w:bookmarkStart w:id="21" w:name="_Hlk116593495"/>
      <w:r w:rsidRPr="00950D73">
        <w:rPr>
          <w:rFonts w:asciiTheme="majorBidi" w:hAnsiTheme="majorBidi" w:cstheme="majorBidi"/>
          <w:lang w:val="fr-FR"/>
        </w:rPr>
        <w:t>3.4.2.2.3.1</w:t>
      </w:r>
      <w:bookmarkEnd w:id="21"/>
      <w:r w:rsidR="002B13D0" w:rsidRPr="00950D73">
        <w:rPr>
          <w:rFonts w:asciiTheme="majorBidi" w:hAnsiTheme="majorBidi" w:cstheme="majorBidi"/>
          <w:lang w:val="fr-FR"/>
        </w:rPr>
        <w:tab/>
      </w:r>
      <w:r w:rsidR="00C03BB8" w:rsidRPr="00950D73">
        <w:rPr>
          <w:rFonts w:asciiTheme="majorBidi" w:hAnsiTheme="majorBidi" w:cstheme="majorBidi"/>
          <w:lang w:val="fr-FR"/>
        </w:rPr>
        <w:t xml:space="preserve">Modifier </w:t>
      </w:r>
      <w:r w:rsidR="003D0CD3" w:rsidRPr="00950D73">
        <w:rPr>
          <w:rFonts w:asciiTheme="majorBidi" w:hAnsiTheme="majorBidi" w:cstheme="majorBidi"/>
          <w:lang w:val="fr-FR"/>
        </w:rPr>
        <w:t xml:space="preserve">le paragraphe et insérer un nouveau tableau </w:t>
      </w:r>
      <w:r w:rsidR="007330DA" w:rsidRPr="00950D73">
        <w:rPr>
          <w:rFonts w:asciiTheme="majorBidi" w:hAnsiTheme="majorBidi" w:cstheme="majorBidi"/>
          <w:lang w:val="fr-FR"/>
        </w:rPr>
        <w:t xml:space="preserve">3.4.2 </w:t>
      </w:r>
      <w:r w:rsidR="00C03BB8" w:rsidRPr="00950D73">
        <w:rPr>
          <w:rFonts w:asciiTheme="majorBidi" w:hAnsiTheme="majorBidi" w:cstheme="majorBidi"/>
          <w:lang w:val="fr-FR"/>
        </w:rPr>
        <w:t xml:space="preserve">pour lire </w:t>
      </w:r>
      <w:r w:rsidRPr="00950D73">
        <w:rPr>
          <w:rFonts w:asciiTheme="majorBidi" w:hAnsiTheme="majorBidi" w:cstheme="majorBidi"/>
          <w:lang w:val="fr-FR"/>
        </w:rPr>
        <w:t xml:space="preserve">comme suit : </w:t>
      </w:r>
    </w:p>
    <w:p w14:paraId="532B0305" w14:textId="36F1E79D" w:rsidR="0085786A" w:rsidRPr="00950D73" w:rsidRDefault="0085786A" w:rsidP="003229BF">
      <w:pPr>
        <w:pStyle w:val="SingleTxtG"/>
        <w:keepLines/>
        <w:ind w:left="2268" w:hanging="1134"/>
        <w:rPr>
          <w:rFonts w:asciiTheme="majorBidi" w:hAnsiTheme="majorBidi" w:cstheme="majorBidi"/>
          <w:lang w:val="fr-FR"/>
        </w:rPr>
      </w:pPr>
      <w:r w:rsidRPr="00950D73">
        <w:rPr>
          <w:rFonts w:asciiTheme="majorBidi" w:hAnsiTheme="majorBidi" w:cstheme="majorBidi"/>
          <w:lang w:val="fr-FR"/>
        </w:rPr>
        <w:lastRenderedPageBreak/>
        <w:tab/>
      </w:r>
      <w:r w:rsidRPr="00950D73">
        <w:rPr>
          <w:rFonts w:asciiTheme="majorBidi" w:hAnsiTheme="majorBidi" w:cstheme="majorBidi"/>
          <w:lang w:val="fr-FR"/>
        </w:rPr>
        <w:tab/>
      </w:r>
      <w:r w:rsidR="0084064C" w:rsidRPr="00950D73">
        <w:rPr>
          <w:rFonts w:asciiTheme="majorBidi" w:hAnsiTheme="majorBidi" w:cstheme="majorBidi"/>
          <w:lang w:val="fr-FR"/>
        </w:rPr>
        <w:t>«</w:t>
      </w:r>
      <w:r w:rsidR="003D0CD3" w:rsidRPr="00950D73">
        <w:rPr>
          <w:rFonts w:asciiTheme="majorBidi" w:hAnsiTheme="majorBidi" w:cstheme="majorBidi"/>
          <w:lang w:val="fr-FR"/>
        </w:rPr>
        <w:t>3.4.2.2.3.1</w:t>
      </w:r>
      <w:r w:rsidR="003D0CD3" w:rsidRPr="00950D73">
        <w:rPr>
          <w:rFonts w:asciiTheme="majorBidi" w:hAnsiTheme="majorBidi" w:cstheme="majorBidi"/>
          <w:lang w:val="fr-FR"/>
        </w:rPr>
        <w:tab/>
      </w:r>
      <w:r w:rsidR="0084064C" w:rsidRPr="00950D73">
        <w:rPr>
          <w:rFonts w:asciiTheme="majorBidi" w:hAnsiTheme="majorBidi" w:cstheme="majorBidi"/>
          <w:lang w:val="fr-FR"/>
        </w:rPr>
        <w:t xml:space="preserve">Une substance est classée comme sensibilisant cutané si les résultats d’un essai approprié sur les animaux sont positifs. </w:t>
      </w:r>
      <w:r w:rsidRPr="00950D73">
        <w:rPr>
          <w:rFonts w:asciiTheme="majorBidi" w:hAnsiTheme="majorBidi" w:cstheme="majorBidi"/>
          <w:lang w:val="fr-FR"/>
        </w:rPr>
        <w:t xml:space="preserve">Pour la catégorie 1, lorsqu’on utilise une méthode d’essai avec adjuvant pour la sensibilisation cutanée, le test est considéré comme positif si au moins 30 pour cent des animaux réagissent. Avec une méthode d’essai sur le cobaye sans adjuvant, le test est considéré comme positif si au moins 15 pour cent des animaux réagissent. Pour la catégorie 1, un indice de stimulation de trois ou plus est considéré comme une réaction positive à l’essai </w:t>
      </w:r>
      <w:proofErr w:type="spellStart"/>
      <w:r w:rsidRPr="00950D73">
        <w:rPr>
          <w:rFonts w:asciiTheme="majorBidi" w:hAnsiTheme="majorBidi" w:cstheme="majorBidi"/>
          <w:lang w:val="fr-FR"/>
        </w:rPr>
        <w:t>radioisotopique</w:t>
      </w:r>
      <w:proofErr w:type="spellEnd"/>
      <w:r w:rsidRPr="00950D73">
        <w:rPr>
          <w:rFonts w:asciiTheme="majorBidi" w:hAnsiTheme="majorBidi" w:cstheme="majorBidi"/>
          <w:lang w:val="fr-FR"/>
        </w:rPr>
        <w:t xml:space="preserve"> de stimulation locale des ganglions lymphatiques (ELGL). Pour les variantes non radioactives de l’ELGL, un indice de stimulation supérieur ou égal à 1,8 pour la méthode DA, à 1,6 pour la méthode BrdU-ELISA, et à 2,7 ou plus pour la méthode BrdU-FCM est considéré comme positif. Les méthodes d’essai de la sensibilisation cutanée sont décrites dans les lignes directrices 406 (essai de maximisation sur le cobaye et essai de </w:t>
      </w:r>
      <w:proofErr w:type="spellStart"/>
      <w:r w:rsidRPr="00950D73">
        <w:rPr>
          <w:rFonts w:asciiTheme="majorBidi" w:hAnsiTheme="majorBidi" w:cstheme="majorBidi"/>
          <w:lang w:val="fr-FR"/>
        </w:rPr>
        <w:t>Buehler</w:t>
      </w:r>
      <w:proofErr w:type="spellEnd"/>
      <w:r w:rsidRPr="00950D73">
        <w:rPr>
          <w:rFonts w:asciiTheme="majorBidi" w:hAnsiTheme="majorBidi" w:cstheme="majorBidi"/>
          <w:lang w:val="fr-FR"/>
        </w:rPr>
        <w:t xml:space="preserve"> sur le cobaye) et 429/442A/442B (essai de stimulation locale des ganglions lymphatiques) de l’OCDE. D’autres méthodes peuvent être utilisées, à condition qu’elles soient correctement validées et justifiées du point de vue scientifique. Le test de tuméfaction de l’oreille de la souris (MEST) est un test de dépistage fiable pour détecter les sensibilisants modérés à forts et peut constituer la première étape de l’évaluation du pouvoir sensibilisant sur la peau. </w:t>
      </w:r>
    </w:p>
    <w:p w14:paraId="18D7875D" w14:textId="7166AA52" w:rsidR="00FF3740" w:rsidRPr="00950D73" w:rsidRDefault="00FF3740" w:rsidP="00FF3740">
      <w:pPr>
        <w:spacing w:before="216" w:after="120" w:line="240" w:lineRule="exact"/>
        <w:jc w:val="center"/>
        <w:rPr>
          <w:rFonts w:asciiTheme="majorBidi" w:hAnsiTheme="majorBidi" w:cstheme="majorBidi"/>
          <w:b/>
          <w:bCs/>
          <w:color w:val="000000" w:themeColor="text1"/>
          <w:sz w:val="19"/>
          <w:lang w:val="fr-FR"/>
        </w:rPr>
      </w:pPr>
      <w:r w:rsidRPr="00950D73">
        <w:rPr>
          <w:rFonts w:asciiTheme="majorBidi" w:hAnsiTheme="majorBidi" w:cstheme="majorBidi"/>
          <w:b/>
          <w:bCs/>
          <w:lang w:val="fr-FR"/>
        </w:rPr>
        <w:t>Tableau 3.4.</w:t>
      </w:r>
      <w:r w:rsidR="001F0D5D" w:rsidRPr="00950D73">
        <w:rPr>
          <w:rFonts w:asciiTheme="majorBidi" w:hAnsiTheme="majorBidi" w:cstheme="majorBidi"/>
          <w:b/>
          <w:bCs/>
          <w:lang w:val="fr-FR"/>
        </w:rPr>
        <w:t xml:space="preserve">2 </w:t>
      </w:r>
      <w:r w:rsidRPr="00950D73">
        <w:rPr>
          <w:rFonts w:asciiTheme="majorBidi" w:hAnsiTheme="majorBidi" w:cstheme="majorBidi"/>
          <w:b/>
          <w:bCs/>
          <w:lang w:val="fr-FR"/>
        </w:rPr>
        <w:t>Résultats des essais sur l’animal pour la catégorie 1</w:t>
      </w:r>
    </w:p>
    <w:tbl>
      <w:tblPr>
        <w:tblW w:w="8504" w:type="dxa"/>
        <w:tblInd w:w="1134" w:type="dxa"/>
        <w:tblLayout w:type="fixed"/>
        <w:tblCellMar>
          <w:left w:w="0" w:type="dxa"/>
          <w:right w:w="0" w:type="dxa"/>
        </w:tblCellMar>
        <w:tblLook w:val="0000" w:firstRow="0" w:lastRow="0" w:firstColumn="0" w:lastColumn="0" w:noHBand="0" w:noVBand="0"/>
      </w:tblPr>
      <w:tblGrid>
        <w:gridCol w:w="4018"/>
        <w:gridCol w:w="4486"/>
      </w:tblGrid>
      <w:tr w:rsidR="00FF3740" w:rsidRPr="00950D73" w14:paraId="7290AC7E" w14:textId="77777777" w:rsidTr="00A13197">
        <w:tc>
          <w:tcPr>
            <w:tcW w:w="3482" w:type="dxa"/>
            <w:tcBorders>
              <w:top w:val="single" w:sz="4" w:space="0" w:color="000000"/>
              <w:left w:val="single" w:sz="4" w:space="0" w:color="000000"/>
              <w:bottom w:val="single" w:sz="4" w:space="0" w:color="000000"/>
              <w:right w:val="single" w:sz="4" w:space="0" w:color="000000"/>
            </w:tcBorders>
            <w:vAlign w:val="center"/>
          </w:tcPr>
          <w:p w14:paraId="1F70CB09" w14:textId="77777777" w:rsidR="00FF3740" w:rsidRPr="00950D73" w:rsidRDefault="00FF3740" w:rsidP="003229BF">
            <w:pPr>
              <w:spacing w:before="20" w:after="20" w:line="240" w:lineRule="auto"/>
              <w:ind w:left="57" w:right="57"/>
              <w:jc w:val="center"/>
              <w:rPr>
                <w:rFonts w:asciiTheme="majorBidi" w:eastAsia="MS PMincho" w:hAnsiTheme="majorBidi" w:cstheme="majorBidi"/>
                <w:b/>
                <w:bCs/>
                <w:color w:val="000000" w:themeColor="text1"/>
                <w:sz w:val="19"/>
                <w:lang w:val="fr-FR"/>
              </w:rPr>
            </w:pPr>
            <w:r w:rsidRPr="00950D73">
              <w:rPr>
                <w:rFonts w:asciiTheme="majorBidi" w:hAnsiTheme="majorBidi" w:cstheme="majorBidi"/>
                <w:b/>
                <w:bCs/>
                <w:lang w:val="fr-FR"/>
              </w:rPr>
              <w:t>Essai</w:t>
            </w:r>
          </w:p>
        </w:tc>
        <w:tc>
          <w:tcPr>
            <w:tcW w:w="3888" w:type="dxa"/>
            <w:tcBorders>
              <w:top w:val="single" w:sz="4" w:space="0" w:color="000000"/>
              <w:left w:val="single" w:sz="4" w:space="0" w:color="000000"/>
              <w:bottom w:val="single" w:sz="4" w:space="0" w:color="000000"/>
              <w:right w:val="single" w:sz="4" w:space="0" w:color="000000"/>
            </w:tcBorders>
            <w:vAlign w:val="center"/>
          </w:tcPr>
          <w:p w14:paraId="4529E05A" w14:textId="77777777" w:rsidR="00FF3740" w:rsidRPr="00950D73" w:rsidRDefault="00FF3740" w:rsidP="003229BF">
            <w:pPr>
              <w:spacing w:before="20" w:after="20" w:line="240" w:lineRule="auto"/>
              <w:ind w:left="57" w:right="57"/>
              <w:jc w:val="center"/>
              <w:rPr>
                <w:rFonts w:asciiTheme="majorBidi" w:eastAsia="MS PMincho" w:hAnsiTheme="majorBidi" w:cstheme="majorBidi"/>
                <w:b/>
                <w:bCs/>
                <w:color w:val="000000" w:themeColor="text1"/>
                <w:sz w:val="19"/>
                <w:lang w:val="fr-FR"/>
              </w:rPr>
            </w:pPr>
            <w:r w:rsidRPr="00950D73">
              <w:rPr>
                <w:rFonts w:asciiTheme="majorBidi" w:hAnsiTheme="majorBidi" w:cstheme="majorBidi"/>
                <w:b/>
                <w:bCs/>
                <w:lang w:val="fr-FR"/>
              </w:rPr>
              <w:t>Critères</w:t>
            </w:r>
          </w:p>
        </w:tc>
      </w:tr>
      <w:tr w:rsidR="00FF3740" w:rsidRPr="00950D73" w14:paraId="4694D91B" w14:textId="77777777" w:rsidTr="00A13197">
        <w:tc>
          <w:tcPr>
            <w:tcW w:w="3482" w:type="dxa"/>
            <w:tcBorders>
              <w:top w:val="single" w:sz="4" w:space="0" w:color="000000"/>
              <w:left w:val="single" w:sz="4" w:space="0" w:color="000000"/>
              <w:bottom w:val="single" w:sz="4" w:space="0" w:color="000000"/>
              <w:right w:val="single" w:sz="4" w:space="0" w:color="000000"/>
            </w:tcBorders>
          </w:tcPr>
          <w:p w14:paraId="333648C6"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Essai de stimulation locale des ganglions lymphatiques</w:t>
            </w:r>
          </w:p>
        </w:tc>
        <w:tc>
          <w:tcPr>
            <w:tcW w:w="3888" w:type="dxa"/>
            <w:tcBorders>
              <w:top w:val="single" w:sz="4" w:space="0" w:color="000000"/>
              <w:left w:val="single" w:sz="4" w:space="0" w:color="000000"/>
              <w:bottom w:val="single" w:sz="4" w:space="0" w:color="000000"/>
              <w:right w:val="single" w:sz="4" w:space="0" w:color="000000"/>
            </w:tcBorders>
          </w:tcPr>
          <w:p w14:paraId="44929617" w14:textId="67EFBF1A"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 xml:space="preserve">Indice de stimulation </w:t>
            </w:r>
            <w:r w:rsidR="00E736C7" w:rsidRPr="00950D73">
              <w:rPr>
                <w:rFonts w:asciiTheme="majorBidi" w:hAnsiTheme="majorBidi" w:cstheme="majorBidi"/>
                <w:lang w:val="fr-FR"/>
              </w:rPr>
              <w:t xml:space="preserve">(IS) </w:t>
            </w:r>
            <w:r w:rsidRPr="00950D73">
              <w:rPr>
                <w:rFonts w:asciiTheme="majorBidi" w:hAnsiTheme="majorBidi" w:cstheme="majorBidi"/>
                <w:lang w:val="fr-FR"/>
              </w:rPr>
              <w:t>≥ 3</w:t>
            </w:r>
          </w:p>
        </w:tc>
      </w:tr>
      <w:tr w:rsidR="00FF3740" w:rsidRPr="00950D73" w14:paraId="049496EE" w14:textId="77777777" w:rsidTr="00A13197">
        <w:tc>
          <w:tcPr>
            <w:tcW w:w="3482" w:type="dxa"/>
            <w:tcBorders>
              <w:top w:val="single" w:sz="4" w:space="0" w:color="000000"/>
              <w:left w:val="single" w:sz="4" w:space="0" w:color="000000"/>
              <w:bottom w:val="single" w:sz="4" w:space="0" w:color="000000"/>
              <w:right w:val="single" w:sz="4" w:space="0" w:color="000000"/>
            </w:tcBorders>
          </w:tcPr>
          <w:p w14:paraId="5759B819"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Essai de stimulation locale des ganglions lymphatiques, méthode DA</w:t>
            </w:r>
          </w:p>
        </w:tc>
        <w:tc>
          <w:tcPr>
            <w:tcW w:w="3888" w:type="dxa"/>
            <w:tcBorders>
              <w:top w:val="single" w:sz="4" w:space="0" w:color="000000"/>
              <w:left w:val="single" w:sz="4" w:space="0" w:color="000000"/>
              <w:bottom w:val="single" w:sz="4" w:space="0" w:color="000000"/>
              <w:right w:val="single" w:sz="4" w:space="0" w:color="000000"/>
            </w:tcBorders>
          </w:tcPr>
          <w:p w14:paraId="27F88860" w14:textId="2CF8E032" w:rsidR="00FF3740" w:rsidRPr="00950D73" w:rsidRDefault="00FF3740" w:rsidP="003229BF">
            <w:pPr>
              <w:spacing w:before="20" w:after="20" w:line="240" w:lineRule="auto"/>
              <w:ind w:left="57" w:right="57"/>
              <w:rPr>
                <w:rFonts w:asciiTheme="majorBidi" w:eastAsia="MS PMincho" w:hAnsiTheme="majorBidi" w:cstheme="majorBidi"/>
                <w:color w:val="000000" w:themeColor="text1"/>
                <w:spacing w:val="-8"/>
                <w:sz w:val="19"/>
                <w:lang w:val="fr-FR"/>
              </w:rPr>
            </w:pPr>
            <w:r w:rsidRPr="00950D73">
              <w:rPr>
                <w:rFonts w:asciiTheme="majorBidi" w:hAnsiTheme="majorBidi" w:cstheme="majorBidi"/>
                <w:lang w:val="fr-FR"/>
              </w:rPr>
              <w:t xml:space="preserve">Indice de stimulation </w:t>
            </w:r>
            <w:r w:rsidR="00E736C7" w:rsidRPr="00950D73">
              <w:rPr>
                <w:rFonts w:asciiTheme="majorBidi" w:hAnsiTheme="majorBidi" w:cstheme="majorBidi"/>
                <w:lang w:val="fr-FR"/>
              </w:rPr>
              <w:t xml:space="preserve">(IS) </w:t>
            </w:r>
            <w:r w:rsidRPr="00950D73">
              <w:rPr>
                <w:rFonts w:asciiTheme="majorBidi" w:hAnsiTheme="majorBidi" w:cstheme="majorBidi"/>
                <w:lang w:val="fr-FR"/>
              </w:rPr>
              <w:t>≥ 1,8</w:t>
            </w:r>
          </w:p>
        </w:tc>
      </w:tr>
      <w:tr w:rsidR="00FF3740" w:rsidRPr="00950D73" w14:paraId="05BEC5DF" w14:textId="77777777" w:rsidTr="00A13197">
        <w:tc>
          <w:tcPr>
            <w:tcW w:w="3482" w:type="dxa"/>
            <w:tcBorders>
              <w:top w:val="single" w:sz="4" w:space="0" w:color="000000"/>
              <w:left w:val="single" w:sz="4" w:space="0" w:color="000000"/>
              <w:bottom w:val="single" w:sz="4" w:space="0" w:color="000000"/>
              <w:right w:val="single" w:sz="4" w:space="0" w:color="000000"/>
            </w:tcBorders>
          </w:tcPr>
          <w:p w14:paraId="536EE9F3"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Essai de stimulation locale des ganglions lymphatiques, méthode BrdU-ELISA</w:t>
            </w:r>
          </w:p>
        </w:tc>
        <w:tc>
          <w:tcPr>
            <w:tcW w:w="3888" w:type="dxa"/>
            <w:tcBorders>
              <w:top w:val="single" w:sz="4" w:space="0" w:color="000000"/>
              <w:left w:val="single" w:sz="4" w:space="0" w:color="000000"/>
              <w:bottom w:val="single" w:sz="4" w:space="0" w:color="000000"/>
              <w:right w:val="single" w:sz="4" w:space="0" w:color="000000"/>
            </w:tcBorders>
          </w:tcPr>
          <w:p w14:paraId="6111DFAC" w14:textId="7821E727" w:rsidR="00FF3740" w:rsidRPr="00950D73" w:rsidRDefault="00E736C7" w:rsidP="003229BF">
            <w:pPr>
              <w:spacing w:before="20" w:after="20" w:line="240" w:lineRule="auto"/>
              <w:ind w:left="57" w:right="57"/>
              <w:rPr>
                <w:rFonts w:asciiTheme="majorBidi" w:eastAsia="MS PMincho" w:hAnsiTheme="majorBidi" w:cstheme="majorBidi"/>
                <w:color w:val="000000" w:themeColor="text1"/>
                <w:spacing w:val="-8"/>
                <w:sz w:val="19"/>
                <w:lang w:val="fr-FR"/>
              </w:rPr>
            </w:pPr>
            <w:r w:rsidRPr="00950D73">
              <w:rPr>
                <w:rFonts w:asciiTheme="majorBidi" w:hAnsiTheme="majorBidi" w:cstheme="majorBidi"/>
                <w:lang w:val="fr-FR"/>
              </w:rPr>
              <w:t>Indice de stimulation</w:t>
            </w:r>
            <w:r w:rsidR="00FF3740" w:rsidRPr="00950D73">
              <w:rPr>
                <w:rFonts w:asciiTheme="majorBidi" w:hAnsiTheme="majorBidi" w:cstheme="majorBidi"/>
                <w:lang w:val="fr-FR"/>
              </w:rPr>
              <w:t xml:space="preserve"> </w:t>
            </w:r>
            <w:r w:rsidRPr="00950D73">
              <w:rPr>
                <w:rFonts w:asciiTheme="majorBidi" w:hAnsiTheme="majorBidi" w:cstheme="majorBidi"/>
                <w:lang w:val="fr-FR"/>
              </w:rPr>
              <w:t>(IS</w:t>
            </w:r>
            <w:r w:rsidR="00510F29" w:rsidRPr="00950D73">
              <w:rPr>
                <w:rFonts w:asciiTheme="majorBidi" w:hAnsiTheme="majorBidi" w:cstheme="majorBidi"/>
                <w:lang w:val="fr-FR"/>
              </w:rPr>
              <w:t xml:space="preserve">) </w:t>
            </w:r>
            <w:r w:rsidR="00FF3740" w:rsidRPr="00950D73">
              <w:rPr>
                <w:rFonts w:asciiTheme="majorBidi" w:hAnsiTheme="majorBidi" w:cstheme="majorBidi"/>
                <w:lang w:val="fr-FR"/>
              </w:rPr>
              <w:t>≥ 1,6</w:t>
            </w:r>
          </w:p>
        </w:tc>
      </w:tr>
      <w:tr w:rsidR="00FF3740" w:rsidRPr="00950D73" w14:paraId="5454B1B3" w14:textId="77777777" w:rsidTr="00A13197">
        <w:tc>
          <w:tcPr>
            <w:tcW w:w="3482" w:type="dxa"/>
            <w:tcBorders>
              <w:top w:val="single" w:sz="4" w:space="0" w:color="000000"/>
              <w:left w:val="single" w:sz="4" w:space="0" w:color="000000"/>
              <w:bottom w:val="single" w:sz="4" w:space="0" w:color="000000"/>
              <w:right w:val="single" w:sz="4" w:space="0" w:color="000000"/>
            </w:tcBorders>
          </w:tcPr>
          <w:p w14:paraId="02B99D36"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Essai de stimulation locale des ganglions lymphatiques, méthode BrdU-FCM</w:t>
            </w:r>
          </w:p>
        </w:tc>
        <w:tc>
          <w:tcPr>
            <w:tcW w:w="3888" w:type="dxa"/>
            <w:tcBorders>
              <w:top w:val="single" w:sz="4" w:space="0" w:color="000000"/>
              <w:left w:val="single" w:sz="4" w:space="0" w:color="000000"/>
              <w:bottom w:val="single" w:sz="4" w:space="0" w:color="000000"/>
              <w:right w:val="single" w:sz="4" w:space="0" w:color="000000"/>
            </w:tcBorders>
          </w:tcPr>
          <w:p w14:paraId="25D0BFA4" w14:textId="41D0C51E"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 xml:space="preserve">Indice de stimulation </w:t>
            </w:r>
            <w:r w:rsidR="00510F29" w:rsidRPr="00950D73">
              <w:rPr>
                <w:rFonts w:asciiTheme="majorBidi" w:hAnsiTheme="majorBidi" w:cstheme="majorBidi"/>
                <w:lang w:val="fr-FR"/>
              </w:rPr>
              <w:t xml:space="preserve">(IS) </w:t>
            </w:r>
            <w:r w:rsidRPr="00950D73">
              <w:rPr>
                <w:rFonts w:asciiTheme="majorBidi" w:hAnsiTheme="majorBidi" w:cstheme="majorBidi"/>
                <w:lang w:val="fr-FR"/>
              </w:rPr>
              <w:t>≥ 2,7</w:t>
            </w:r>
          </w:p>
        </w:tc>
      </w:tr>
      <w:tr w:rsidR="00FF3740" w:rsidRPr="00950D73" w14:paraId="01126EFE" w14:textId="77777777" w:rsidTr="00A13197">
        <w:tc>
          <w:tcPr>
            <w:tcW w:w="3482" w:type="dxa"/>
            <w:tcBorders>
              <w:top w:val="single" w:sz="4" w:space="0" w:color="000000"/>
              <w:left w:val="single" w:sz="4" w:space="0" w:color="000000"/>
              <w:bottom w:val="single" w:sz="4" w:space="0" w:color="000000"/>
              <w:right w:val="single" w:sz="4" w:space="0" w:color="000000"/>
            </w:tcBorders>
          </w:tcPr>
          <w:p w14:paraId="5031F692"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 xml:space="preserve">Méthode d’essai sur cobaye avec adjuvant </w:t>
            </w:r>
          </w:p>
        </w:tc>
        <w:tc>
          <w:tcPr>
            <w:tcW w:w="3888" w:type="dxa"/>
            <w:tcBorders>
              <w:top w:val="single" w:sz="4" w:space="0" w:color="000000"/>
              <w:left w:val="single" w:sz="4" w:space="0" w:color="000000"/>
              <w:bottom w:val="single" w:sz="4" w:space="0" w:color="000000"/>
              <w:right w:val="single" w:sz="4" w:space="0" w:color="000000"/>
            </w:tcBorders>
          </w:tcPr>
          <w:p w14:paraId="27CD1103"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pacing w:val="-5"/>
                <w:sz w:val="19"/>
                <w:lang w:val="fr-FR"/>
              </w:rPr>
            </w:pPr>
            <w:r w:rsidRPr="00950D73">
              <w:rPr>
                <w:rFonts w:asciiTheme="majorBidi" w:hAnsiTheme="majorBidi" w:cstheme="majorBidi"/>
                <w:lang w:val="fr-FR"/>
              </w:rPr>
              <w:t>≥30 % réagissent à toute dose d’induction intradermique</w:t>
            </w:r>
          </w:p>
        </w:tc>
      </w:tr>
      <w:tr w:rsidR="00FF3740" w:rsidRPr="00950D73" w14:paraId="106FDB1D" w14:textId="77777777" w:rsidTr="00BB2AAC">
        <w:trPr>
          <w:trHeight w:val="398"/>
        </w:trPr>
        <w:tc>
          <w:tcPr>
            <w:tcW w:w="3482" w:type="dxa"/>
            <w:tcBorders>
              <w:top w:val="single" w:sz="4" w:space="0" w:color="000000"/>
              <w:left w:val="single" w:sz="4" w:space="0" w:color="000000"/>
              <w:bottom w:val="single" w:sz="4" w:space="0" w:color="000000"/>
              <w:right w:val="single" w:sz="4" w:space="0" w:color="000000"/>
            </w:tcBorders>
          </w:tcPr>
          <w:p w14:paraId="3B38C404"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z w:val="19"/>
                <w:lang w:val="fr-FR"/>
              </w:rPr>
            </w:pPr>
            <w:r w:rsidRPr="00950D73">
              <w:rPr>
                <w:rFonts w:asciiTheme="majorBidi" w:hAnsiTheme="majorBidi" w:cstheme="majorBidi"/>
                <w:lang w:val="fr-FR"/>
              </w:rPr>
              <w:t xml:space="preserve">Méthode d’essai sur cobaye sans adjuvant </w:t>
            </w:r>
          </w:p>
        </w:tc>
        <w:tc>
          <w:tcPr>
            <w:tcW w:w="3888" w:type="dxa"/>
            <w:tcBorders>
              <w:top w:val="single" w:sz="4" w:space="0" w:color="000000"/>
              <w:left w:val="single" w:sz="4" w:space="0" w:color="000000"/>
              <w:bottom w:val="single" w:sz="4" w:space="0" w:color="000000"/>
              <w:right w:val="single" w:sz="4" w:space="0" w:color="000000"/>
            </w:tcBorders>
          </w:tcPr>
          <w:p w14:paraId="0BC49AB5" w14:textId="77777777" w:rsidR="00FF3740" w:rsidRPr="00950D73" w:rsidRDefault="00FF3740" w:rsidP="003229BF">
            <w:pPr>
              <w:spacing w:before="20" w:after="20" w:line="240" w:lineRule="auto"/>
              <w:ind w:left="57" w:right="57"/>
              <w:rPr>
                <w:rFonts w:asciiTheme="majorBidi" w:eastAsia="MS PMincho" w:hAnsiTheme="majorBidi" w:cstheme="majorBidi"/>
                <w:color w:val="000000" w:themeColor="text1"/>
                <w:spacing w:val="-4"/>
                <w:sz w:val="19"/>
                <w:lang w:val="fr-FR"/>
              </w:rPr>
            </w:pPr>
            <w:r w:rsidRPr="00950D73">
              <w:rPr>
                <w:rFonts w:asciiTheme="majorBidi" w:hAnsiTheme="majorBidi" w:cstheme="majorBidi"/>
                <w:lang w:val="fr-FR"/>
              </w:rPr>
              <w:t>≥15 % réagissent à toute dose d’induction locale</w:t>
            </w:r>
          </w:p>
        </w:tc>
      </w:tr>
    </w:tbl>
    <w:p w14:paraId="6F39DB6F" w14:textId="0CDE65B3" w:rsidR="0084064C" w:rsidRPr="00950D73" w:rsidRDefault="0084064C" w:rsidP="004F4758">
      <w:pPr>
        <w:pStyle w:val="SingleTxtG"/>
        <w:spacing w:before="240"/>
        <w:rPr>
          <w:rFonts w:asciiTheme="majorBidi" w:hAnsiTheme="majorBidi" w:cstheme="majorBidi"/>
          <w:lang w:val="fr-FR"/>
        </w:rPr>
      </w:pPr>
      <w:bookmarkStart w:id="22" w:name="_Hlk116593481"/>
      <w:r w:rsidRPr="00950D73">
        <w:rPr>
          <w:rFonts w:asciiTheme="majorBidi" w:hAnsiTheme="majorBidi" w:cstheme="majorBidi"/>
          <w:lang w:val="fr-FR"/>
        </w:rPr>
        <w:lastRenderedPageBreak/>
        <w:t>3.4.2.2.3.</w:t>
      </w:r>
      <w:bookmarkEnd w:id="22"/>
      <w:r w:rsidRPr="00950D73">
        <w:rPr>
          <w:rFonts w:asciiTheme="majorBidi" w:hAnsiTheme="majorBidi" w:cstheme="majorBidi"/>
          <w:lang w:val="fr-FR"/>
        </w:rPr>
        <w:t>2</w:t>
      </w:r>
      <w:r w:rsidR="0036378B" w:rsidRPr="00950D73">
        <w:rPr>
          <w:rFonts w:asciiTheme="majorBidi" w:hAnsiTheme="majorBidi" w:cstheme="majorBidi"/>
          <w:lang w:val="fr-FR"/>
        </w:rPr>
        <w:tab/>
      </w:r>
      <w:r w:rsidR="00920176" w:rsidRPr="00950D73">
        <w:rPr>
          <w:rFonts w:asciiTheme="majorBidi" w:hAnsiTheme="majorBidi" w:cstheme="majorBidi"/>
          <w:lang w:val="fr-FR"/>
        </w:rPr>
        <w:t>Modifier pour lire comme suit </w:t>
      </w:r>
      <w:r w:rsidR="00036E03" w:rsidRPr="00950D73">
        <w:rPr>
          <w:rFonts w:asciiTheme="majorBidi" w:hAnsiTheme="majorBidi" w:cstheme="majorBidi"/>
          <w:lang w:val="fr-FR"/>
        </w:rPr>
        <w:t>(le tableau 3.4.3 actuel demeure inchangé)</w:t>
      </w:r>
      <w:r w:rsidR="00920176" w:rsidRPr="00950D73">
        <w:rPr>
          <w:rFonts w:asciiTheme="majorBidi" w:hAnsiTheme="majorBidi" w:cstheme="majorBidi"/>
          <w:lang w:val="fr-FR"/>
        </w:rPr>
        <w:t xml:space="preserve">: </w:t>
      </w:r>
    </w:p>
    <w:p w14:paraId="19A43460" w14:textId="5FB6D1C0" w:rsidR="0084064C" w:rsidRPr="00950D73" w:rsidRDefault="001B7DE2" w:rsidP="0084064C">
      <w:pPr>
        <w:pStyle w:val="SingleTxtG"/>
        <w:keepLines/>
        <w:ind w:left="2268" w:hanging="1134"/>
        <w:rPr>
          <w:rFonts w:asciiTheme="majorBidi" w:hAnsiTheme="majorBidi" w:cstheme="majorBidi"/>
        </w:rPr>
      </w:pPr>
      <w:r w:rsidRPr="00950D73">
        <w:rPr>
          <w:rFonts w:asciiTheme="majorBidi" w:hAnsiTheme="majorBidi" w:cstheme="majorBidi"/>
          <w:lang w:val="fr-FR"/>
        </w:rPr>
        <w:tab/>
      </w:r>
      <w:r w:rsidRPr="00950D73">
        <w:rPr>
          <w:rFonts w:asciiTheme="majorBidi" w:hAnsiTheme="majorBidi" w:cstheme="majorBidi"/>
          <w:lang w:val="fr-FR"/>
        </w:rPr>
        <w:tab/>
      </w:r>
      <w:r w:rsidR="0084064C" w:rsidRPr="00950D73">
        <w:rPr>
          <w:rFonts w:asciiTheme="majorBidi" w:hAnsiTheme="majorBidi" w:cstheme="majorBidi"/>
          <w:lang w:val="fr-FR"/>
        </w:rPr>
        <w:t>« 3.4.2.2.3.2</w:t>
      </w:r>
      <w:r w:rsidR="0084064C" w:rsidRPr="00950D73">
        <w:rPr>
          <w:rFonts w:asciiTheme="majorBidi" w:hAnsiTheme="majorBidi" w:cstheme="majorBidi"/>
          <w:lang w:val="fr-FR"/>
        </w:rPr>
        <w:tab/>
        <w:t xml:space="preserve">Les substances </w:t>
      </w:r>
      <w:bookmarkStart w:id="23" w:name="_Hlk116632763"/>
      <w:r w:rsidR="0084064C" w:rsidRPr="00950D73">
        <w:rPr>
          <w:rFonts w:asciiTheme="majorBidi" w:hAnsiTheme="majorBidi" w:cstheme="majorBidi"/>
          <w:lang w:val="fr-FR"/>
        </w:rPr>
        <w:t xml:space="preserve">caractérisées par un pouvoir sensibilisant </w:t>
      </w:r>
      <w:bookmarkEnd w:id="23"/>
      <w:r w:rsidR="0084064C" w:rsidRPr="00950D73">
        <w:rPr>
          <w:rFonts w:asciiTheme="majorBidi" w:hAnsiTheme="majorBidi" w:cstheme="majorBidi"/>
          <w:lang w:val="fr-FR"/>
        </w:rPr>
        <w:t xml:space="preserve">fort </w:t>
      </w:r>
      <w:bookmarkStart w:id="24" w:name="_Hlk116632790"/>
      <w:r w:rsidR="0084064C" w:rsidRPr="00950D73">
        <w:rPr>
          <w:rFonts w:asciiTheme="majorBidi" w:hAnsiTheme="majorBidi" w:cstheme="majorBidi"/>
          <w:lang w:val="fr-FR"/>
        </w:rPr>
        <w:t xml:space="preserve">chez l’animal peuvent être présumées capables de provoquer une sensibilisation </w:t>
      </w:r>
      <w:bookmarkEnd w:id="24"/>
      <w:r w:rsidR="0084064C" w:rsidRPr="00950D73">
        <w:rPr>
          <w:rFonts w:asciiTheme="majorBidi" w:hAnsiTheme="majorBidi" w:cstheme="majorBidi"/>
          <w:lang w:val="fr-FR"/>
        </w:rPr>
        <w:t xml:space="preserve">significative chez l’homme et sont classées dans la </w:t>
      </w:r>
      <w:r w:rsidR="00EE5889" w:rsidRPr="00950D73">
        <w:rPr>
          <w:rFonts w:asciiTheme="majorBidi" w:hAnsiTheme="majorBidi" w:cstheme="majorBidi"/>
          <w:lang w:val="fr-FR"/>
        </w:rPr>
        <w:t>sous-</w:t>
      </w:r>
      <w:r w:rsidR="0084064C" w:rsidRPr="00950D73">
        <w:rPr>
          <w:rFonts w:asciiTheme="majorBidi" w:hAnsiTheme="majorBidi" w:cstheme="majorBidi"/>
          <w:lang w:val="fr-FR"/>
        </w:rPr>
        <w:t xml:space="preserve">catégorie 1A. La gravité des réactions peut également être prise en considération. </w:t>
      </w:r>
      <w:r w:rsidR="00EE5889" w:rsidRPr="00950D73">
        <w:rPr>
          <w:rFonts w:asciiTheme="majorBidi" w:hAnsiTheme="majorBidi" w:cstheme="majorBidi"/>
        </w:rPr>
        <w:t>Les résultats d’essais sur l’animal pour la sous</w:t>
      </w:r>
      <w:r w:rsidR="00EE5889" w:rsidRPr="00950D73">
        <w:rPr>
          <w:rFonts w:asciiTheme="majorBidi" w:hAnsiTheme="majorBidi" w:cstheme="majorBidi"/>
        </w:rPr>
        <w:noBreakHyphen/>
        <w:t>catégorie 1A peuvent inclure des données  présentant les valeurs indiquées au tableau 3.4.3 ci</w:t>
      </w:r>
      <w:r w:rsidR="00EE5889" w:rsidRPr="00950D73">
        <w:rPr>
          <w:rFonts w:asciiTheme="majorBidi" w:hAnsiTheme="majorBidi" w:cstheme="majorBidi"/>
        </w:rPr>
        <w:noBreakHyphen/>
        <w:t>dessous</w:t>
      </w:r>
      <w:r w:rsidR="00D76D15" w:rsidRPr="00950D73">
        <w:rPr>
          <w:rFonts w:asciiTheme="majorBidi" w:hAnsiTheme="majorBidi" w:cstheme="majorBidi"/>
        </w:rPr>
        <w:t> :</w:t>
      </w:r>
      <w:r w:rsidR="001F712E" w:rsidRPr="00950D73">
        <w:rPr>
          <w:rFonts w:asciiTheme="majorBidi" w:hAnsiTheme="majorBidi" w:cstheme="majorBidi"/>
        </w:rPr>
        <w:t> »</w:t>
      </w:r>
    </w:p>
    <w:p w14:paraId="3F9177ED" w14:textId="31F23C9C" w:rsidR="008515D6" w:rsidRPr="00950D73" w:rsidRDefault="008515D6" w:rsidP="008515D6">
      <w:pPr>
        <w:pStyle w:val="GHSbodytext"/>
        <w:spacing w:after="120"/>
        <w:jc w:val="center"/>
        <w:rPr>
          <w:rFonts w:asciiTheme="majorBidi" w:hAnsiTheme="majorBidi" w:cstheme="majorBidi"/>
          <w:b/>
        </w:rPr>
      </w:pPr>
    </w:p>
    <w:p w14:paraId="19473F6F" w14:textId="6F09A14B" w:rsidR="0072263B" w:rsidRPr="00950D73" w:rsidRDefault="00AC1A53" w:rsidP="0036713C">
      <w:pPr>
        <w:pStyle w:val="SingleTxtG"/>
        <w:tabs>
          <w:tab w:val="clear" w:pos="1701"/>
        </w:tabs>
        <w:spacing w:before="120"/>
        <w:rPr>
          <w:rFonts w:asciiTheme="majorBidi" w:hAnsiTheme="majorBidi" w:cstheme="majorBidi"/>
          <w:b/>
          <w:bCs/>
          <w:i/>
          <w:iCs/>
          <w:lang w:val="fr-FR"/>
        </w:rPr>
      </w:pPr>
      <w:bookmarkStart w:id="25" w:name="_Hlk116632721"/>
      <w:r w:rsidRPr="00950D73">
        <w:rPr>
          <w:rFonts w:asciiTheme="majorBidi" w:hAnsiTheme="majorBidi" w:cstheme="majorBidi"/>
          <w:lang w:val="fr-FR"/>
        </w:rPr>
        <w:t>Nota au t</w:t>
      </w:r>
      <w:r w:rsidR="0072263B" w:rsidRPr="00950D73">
        <w:rPr>
          <w:rFonts w:asciiTheme="majorBidi" w:hAnsiTheme="majorBidi" w:cstheme="majorBidi"/>
          <w:lang w:val="fr-FR"/>
        </w:rPr>
        <w:t>ableau 3.4.3</w:t>
      </w:r>
      <w:r w:rsidR="0072263B" w:rsidRPr="00950D73">
        <w:rPr>
          <w:rFonts w:asciiTheme="majorBidi" w:hAnsiTheme="majorBidi" w:cstheme="majorBidi"/>
          <w:b/>
          <w:bCs/>
          <w:lang w:val="fr-FR"/>
        </w:rPr>
        <w:tab/>
      </w:r>
      <w:r w:rsidR="0072263B" w:rsidRPr="00950D73">
        <w:rPr>
          <w:rFonts w:asciiTheme="majorBidi" w:hAnsiTheme="majorBidi" w:cstheme="majorBidi"/>
          <w:lang w:val="fr-FR"/>
        </w:rPr>
        <w:t xml:space="preserve">Ajouter le </w:t>
      </w:r>
      <w:r w:rsidRPr="00950D73">
        <w:rPr>
          <w:rFonts w:asciiTheme="majorBidi" w:hAnsiTheme="majorBidi" w:cstheme="majorBidi"/>
          <w:lang w:val="fr-FR"/>
        </w:rPr>
        <w:t xml:space="preserve">nouveau </w:t>
      </w:r>
      <w:r w:rsidR="0072263B" w:rsidRPr="00950D73">
        <w:rPr>
          <w:rFonts w:asciiTheme="majorBidi" w:hAnsiTheme="majorBidi" w:cstheme="majorBidi"/>
          <w:lang w:val="fr-FR"/>
        </w:rPr>
        <w:t>nota suivant </w:t>
      </w:r>
      <w:r w:rsidR="001F712E" w:rsidRPr="00950D73">
        <w:rPr>
          <w:rFonts w:asciiTheme="majorBidi" w:hAnsiTheme="majorBidi" w:cstheme="majorBidi"/>
          <w:lang w:val="fr-FR"/>
        </w:rPr>
        <w:t>sous le tableau 3.4.3 actuel</w:t>
      </w:r>
      <w:r w:rsidR="0072263B" w:rsidRPr="00950D73">
        <w:rPr>
          <w:rFonts w:asciiTheme="majorBidi" w:hAnsiTheme="majorBidi" w:cstheme="majorBidi"/>
          <w:lang w:val="fr-FR"/>
        </w:rPr>
        <w:t xml:space="preserve">: </w:t>
      </w:r>
    </w:p>
    <w:p w14:paraId="190ECE6C" w14:textId="28824630" w:rsidR="000915FB" w:rsidRPr="00950D73" w:rsidRDefault="007114E2" w:rsidP="00034CC1">
      <w:pPr>
        <w:pStyle w:val="SingleTxtG"/>
        <w:tabs>
          <w:tab w:val="clear" w:pos="1701"/>
          <w:tab w:val="clear" w:pos="2268"/>
        </w:tabs>
        <w:spacing w:before="120"/>
        <w:ind w:left="1701"/>
        <w:rPr>
          <w:rFonts w:asciiTheme="majorBidi" w:hAnsiTheme="majorBidi" w:cstheme="majorBidi"/>
          <w:i/>
          <w:iCs/>
          <w:color w:val="000000" w:themeColor="text1"/>
          <w:spacing w:val="-6"/>
        </w:rPr>
      </w:pPr>
      <w:r w:rsidRPr="00950D73">
        <w:rPr>
          <w:rFonts w:asciiTheme="majorBidi" w:hAnsiTheme="majorBidi" w:cstheme="majorBidi"/>
          <w:b/>
          <w:bCs/>
          <w:i/>
          <w:iCs/>
          <w:lang w:val="fr-FR"/>
        </w:rPr>
        <w:t>« </w:t>
      </w:r>
      <w:r w:rsidR="000915FB" w:rsidRPr="00950D73">
        <w:rPr>
          <w:rFonts w:asciiTheme="majorBidi" w:hAnsiTheme="majorBidi" w:cstheme="majorBidi"/>
          <w:b/>
          <w:bCs/>
          <w:i/>
          <w:iCs/>
          <w:lang w:val="fr-FR"/>
        </w:rPr>
        <w:t>Nota</w:t>
      </w:r>
      <w:r w:rsidR="000915FB" w:rsidRPr="00950D73">
        <w:rPr>
          <w:rFonts w:asciiTheme="majorBidi" w:hAnsiTheme="majorBidi" w:cstheme="majorBidi"/>
          <w:i/>
          <w:iCs/>
          <w:lang w:val="fr-FR"/>
        </w:rPr>
        <w:t xml:space="preserve"> : </w:t>
      </w:r>
      <w:r w:rsidR="000915FB" w:rsidRPr="00950D73">
        <w:rPr>
          <w:rFonts w:asciiTheme="majorBidi" w:hAnsiTheme="majorBidi" w:cstheme="majorBidi"/>
          <w:i/>
          <w:iCs/>
          <w:lang w:val="fr-FR"/>
        </w:rPr>
        <w:tab/>
        <w:t>Pour l’essai de stimulation locale des ganglions lymphatiques, méthode BrdU</w:t>
      </w:r>
      <w:r w:rsidR="000915FB" w:rsidRPr="00950D73">
        <w:rPr>
          <w:rFonts w:asciiTheme="majorBidi" w:hAnsiTheme="majorBidi" w:cstheme="majorBidi"/>
          <w:i/>
          <w:iCs/>
          <w:lang w:val="fr-FR"/>
        </w:rPr>
        <w:noBreakHyphen/>
        <w:t>ELISA, les critères de sous-catégorisation (1A : valeur CE1.6 ≤ 6 %, 1B : valeur CE1.6 &gt; 6 %, Maeda et Takeyoshi, 2019,</w:t>
      </w:r>
      <w:r w:rsidR="000915FB" w:rsidRPr="00950D73">
        <w:rPr>
          <w:rFonts w:asciiTheme="majorBidi" w:hAnsiTheme="majorBidi" w:cstheme="majorBidi"/>
          <w:lang w:val="fr-FR"/>
        </w:rPr>
        <w:t xml:space="preserve"> </w:t>
      </w:r>
      <w:r w:rsidR="000915FB" w:rsidRPr="00950D73">
        <w:rPr>
          <w:rFonts w:asciiTheme="majorBidi" w:hAnsiTheme="majorBidi" w:cstheme="majorBidi"/>
          <w:i/>
          <w:iCs/>
          <w:lang w:val="fr-FR"/>
        </w:rPr>
        <w:t>Kobayashi et al., 2020) ont été proposés et validés par l’OCDE, mais aucun critère de sous-catégorisation n’a encore été adopté à l’échelle internationale.</w:t>
      </w:r>
      <w:r w:rsidR="000915FB" w:rsidRPr="00950D73">
        <w:rPr>
          <w:rFonts w:asciiTheme="majorBidi" w:hAnsiTheme="majorBidi" w:cstheme="majorBidi"/>
          <w:lang w:val="fr-FR"/>
        </w:rPr>
        <w:t xml:space="preserve"> </w:t>
      </w:r>
      <w:r w:rsidR="000915FB" w:rsidRPr="00950D73">
        <w:rPr>
          <w:rFonts w:asciiTheme="majorBidi" w:hAnsiTheme="majorBidi" w:cstheme="majorBidi"/>
          <w:i/>
          <w:iCs/>
          <w:lang w:val="fr-FR"/>
        </w:rPr>
        <w:t>Des critères de sous-catégorisation validés peuvent cependant être adoptés par certaines autorités compétentes.</w:t>
      </w:r>
      <w:r w:rsidR="000915FB" w:rsidRPr="00950D73">
        <w:rPr>
          <w:rFonts w:asciiTheme="majorBidi" w:hAnsiTheme="majorBidi" w:cstheme="majorBidi"/>
          <w:lang w:val="fr-FR"/>
        </w:rPr>
        <w:t xml:space="preserve"> </w:t>
      </w:r>
      <w:r w:rsidR="000915FB" w:rsidRPr="00950D73">
        <w:rPr>
          <w:rFonts w:asciiTheme="majorBidi" w:hAnsiTheme="majorBidi" w:cstheme="majorBidi"/>
          <w:i/>
          <w:iCs/>
          <w:lang w:val="fr-FR"/>
        </w:rPr>
        <w:t>Une autorité compétente peut décider des éventuels critères de classement à appliquer à cette méthode d’essai.</w:t>
      </w:r>
      <w:r w:rsidR="000915FB" w:rsidRPr="00950D73">
        <w:rPr>
          <w:rFonts w:asciiTheme="majorBidi" w:hAnsiTheme="majorBidi" w:cstheme="majorBidi"/>
          <w:lang w:val="fr-FR"/>
        </w:rPr>
        <w:t xml:space="preserve"> </w:t>
      </w:r>
      <w:bookmarkStart w:id="26" w:name="_Hlk119053222"/>
      <w:bookmarkEnd w:id="26"/>
    </w:p>
    <w:p w14:paraId="6811CF43" w14:textId="2103E9F3" w:rsidR="000915FB" w:rsidRPr="00950D73" w:rsidRDefault="000915FB" w:rsidP="00034CC1">
      <w:pPr>
        <w:pStyle w:val="SingleTxtG"/>
        <w:tabs>
          <w:tab w:val="clear" w:pos="1701"/>
          <w:tab w:val="clear" w:pos="2268"/>
        </w:tabs>
        <w:spacing w:before="120"/>
        <w:ind w:left="1701"/>
        <w:rPr>
          <w:rFonts w:asciiTheme="majorBidi" w:hAnsiTheme="majorBidi" w:cstheme="majorBidi"/>
          <w:i/>
          <w:iCs/>
          <w:color w:val="000000" w:themeColor="text1"/>
        </w:rPr>
      </w:pPr>
      <w:r w:rsidRPr="00950D73">
        <w:rPr>
          <w:rFonts w:asciiTheme="majorBidi" w:hAnsiTheme="majorBidi" w:cstheme="majorBidi"/>
          <w:i/>
          <w:iCs/>
          <w:lang w:val="fr-FR"/>
        </w:rPr>
        <w:tab/>
        <w:t>Pour la méthode DA et la méthode BrdU-FCM, il n’existe actuellement aucun critère validé et accepté à l’échelle internationale permettant de classer des sensibilisants cutanés dans une sous-catégorie.</w:t>
      </w:r>
      <w:r w:rsidRPr="00950D73">
        <w:rPr>
          <w:rFonts w:asciiTheme="majorBidi" w:hAnsiTheme="majorBidi" w:cstheme="majorBidi"/>
          <w:lang w:val="fr-FR"/>
        </w:rPr>
        <w:t xml:space="preserve"> </w:t>
      </w:r>
      <w:r w:rsidRPr="00950D73">
        <w:rPr>
          <w:rFonts w:asciiTheme="majorBidi" w:hAnsiTheme="majorBidi" w:cstheme="majorBidi"/>
          <w:i/>
          <w:iCs/>
          <w:lang w:val="fr-FR"/>
        </w:rPr>
        <w:t>Par conséquent, ces méthodes d’essai ne peuvent être utilisées que pour conclure qu’il convient de classer la substance concernée dans la catégorie 1 ou de ne la classer dans aucune catégorie.</w:t>
      </w:r>
      <w:r w:rsidRPr="00950D73">
        <w:rPr>
          <w:rFonts w:asciiTheme="majorBidi" w:hAnsiTheme="majorBidi" w:cstheme="majorBidi"/>
          <w:lang w:val="fr-FR"/>
        </w:rPr>
        <w:t> ».</w:t>
      </w:r>
    </w:p>
    <w:bookmarkEnd w:id="25"/>
    <w:p w14:paraId="257FB296" w14:textId="577E311E" w:rsidR="0084064C" w:rsidRPr="00950D73" w:rsidRDefault="0084064C" w:rsidP="007C69EF">
      <w:pPr>
        <w:pStyle w:val="SingleTxtG"/>
        <w:rPr>
          <w:rFonts w:asciiTheme="majorBidi" w:hAnsiTheme="majorBidi" w:cstheme="majorBidi"/>
          <w:lang w:val="fr-FR"/>
        </w:rPr>
      </w:pPr>
      <w:r w:rsidRPr="00950D73">
        <w:rPr>
          <w:rFonts w:asciiTheme="majorBidi" w:hAnsiTheme="majorBidi" w:cstheme="majorBidi"/>
          <w:lang w:val="fr-FR"/>
        </w:rPr>
        <w:t>3.4.2.2.3.3</w:t>
      </w:r>
      <w:r w:rsidR="007C69EF" w:rsidRPr="00950D73">
        <w:rPr>
          <w:rFonts w:asciiTheme="majorBidi" w:hAnsiTheme="majorBidi" w:cstheme="majorBidi"/>
          <w:lang w:val="fr-FR"/>
        </w:rPr>
        <w:tab/>
        <w:t>Modifier pour lire comme suit </w:t>
      </w:r>
      <w:r w:rsidR="00352236" w:rsidRPr="00950D73">
        <w:rPr>
          <w:rFonts w:asciiTheme="majorBidi" w:hAnsiTheme="majorBidi" w:cstheme="majorBidi"/>
          <w:lang w:val="fr-FR"/>
        </w:rPr>
        <w:t xml:space="preserve">(le tableau 3.4.4 actuel </w:t>
      </w:r>
      <w:r w:rsidR="001E4ED9" w:rsidRPr="00950D73">
        <w:rPr>
          <w:rFonts w:asciiTheme="majorBidi" w:hAnsiTheme="majorBidi" w:cstheme="majorBidi"/>
          <w:lang w:val="fr-FR"/>
        </w:rPr>
        <w:t>demeure inchangé)</w:t>
      </w:r>
      <w:r w:rsidR="007C69EF" w:rsidRPr="00950D73">
        <w:rPr>
          <w:rFonts w:asciiTheme="majorBidi" w:hAnsiTheme="majorBidi" w:cstheme="majorBidi"/>
          <w:lang w:val="fr-FR"/>
        </w:rPr>
        <w:t xml:space="preserve">: </w:t>
      </w:r>
    </w:p>
    <w:p w14:paraId="2EF2FCD6" w14:textId="71655732" w:rsidR="0084064C" w:rsidRPr="00950D73" w:rsidRDefault="00143555" w:rsidP="0084064C">
      <w:pPr>
        <w:pStyle w:val="SingleTxtG"/>
        <w:keepLines/>
        <w:ind w:left="2268" w:hanging="1134"/>
        <w:rPr>
          <w:rFonts w:asciiTheme="majorBidi" w:hAnsiTheme="majorBidi" w:cstheme="majorBidi"/>
          <w:lang w:val="fr-FR"/>
        </w:rPr>
      </w:pPr>
      <w:r w:rsidRPr="00950D73">
        <w:rPr>
          <w:rFonts w:asciiTheme="majorBidi" w:hAnsiTheme="majorBidi" w:cstheme="majorBidi"/>
          <w:lang w:val="fr-FR"/>
        </w:rPr>
        <w:lastRenderedPageBreak/>
        <w:tab/>
      </w:r>
      <w:r w:rsidRPr="00950D73">
        <w:rPr>
          <w:rFonts w:asciiTheme="majorBidi" w:hAnsiTheme="majorBidi" w:cstheme="majorBidi"/>
          <w:lang w:val="fr-FR"/>
        </w:rPr>
        <w:tab/>
      </w:r>
      <w:r w:rsidR="0084064C" w:rsidRPr="00950D73">
        <w:rPr>
          <w:rFonts w:asciiTheme="majorBidi" w:hAnsiTheme="majorBidi" w:cstheme="majorBidi"/>
          <w:lang w:val="fr-FR"/>
        </w:rPr>
        <w:t>«</w:t>
      </w:r>
      <w:r w:rsidR="00773E7F" w:rsidRPr="00950D73">
        <w:rPr>
          <w:rFonts w:asciiTheme="majorBidi" w:hAnsiTheme="majorBidi" w:cstheme="majorBidi"/>
          <w:lang w:val="fr-FR"/>
        </w:rPr>
        <w:t> </w:t>
      </w:r>
      <w:bookmarkStart w:id="27" w:name="_Hlk127783530"/>
      <w:r w:rsidR="00773E7F" w:rsidRPr="00950D73">
        <w:rPr>
          <w:rFonts w:asciiTheme="majorBidi" w:hAnsiTheme="majorBidi" w:cstheme="majorBidi"/>
          <w:lang w:val="fr-FR"/>
        </w:rPr>
        <w:t>3.4.2.2.3.3</w:t>
      </w:r>
      <w:r w:rsidRPr="00950D73">
        <w:rPr>
          <w:rFonts w:asciiTheme="majorBidi" w:hAnsiTheme="majorBidi" w:cstheme="majorBidi"/>
          <w:lang w:val="fr-FR"/>
        </w:rPr>
        <w:t xml:space="preserve"> </w:t>
      </w:r>
      <w:bookmarkEnd w:id="27"/>
      <w:r w:rsidR="001E4ED9" w:rsidRPr="00950D73">
        <w:rPr>
          <w:rFonts w:asciiTheme="majorBidi" w:hAnsiTheme="majorBidi" w:cstheme="majorBidi"/>
          <w:lang w:val="fr-FR"/>
        </w:rPr>
        <w:tab/>
      </w:r>
      <w:r w:rsidR="0084064C" w:rsidRPr="00950D73">
        <w:rPr>
          <w:rFonts w:asciiTheme="majorBidi" w:hAnsiTheme="majorBidi" w:cstheme="majorBidi"/>
          <w:lang w:val="fr-FR"/>
        </w:rPr>
        <w:t xml:space="preserve">Les substances caractérisées par un pouvoir sensibilisant faible à modéré chez l’animal peuvent être présumées capables de provoquer une sensibilisation chez l’homme et sont classées dans la </w:t>
      </w:r>
      <w:r w:rsidR="00773E7F" w:rsidRPr="00950D73">
        <w:rPr>
          <w:rFonts w:asciiTheme="majorBidi" w:hAnsiTheme="majorBidi" w:cstheme="majorBidi"/>
          <w:lang w:val="fr-FR"/>
        </w:rPr>
        <w:t>sous-</w:t>
      </w:r>
      <w:r w:rsidR="0084064C" w:rsidRPr="00950D73">
        <w:rPr>
          <w:rFonts w:asciiTheme="majorBidi" w:hAnsiTheme="majorBidi" w:cstheme="majorBidi"/>
          <w:lang w:val="fr-FR"/>
        </w:rPr>
        <w:t xml:space="preserve">catégorie 1B. La gravité de la réaction peut également être prise en considération. </w:t>
      </w:r>
      <w:r w:rsidR="00773E7F" w:rsidRPr="00950D73">
        <w:rPr>
          <w:rFonts w:asciiTheme="majorBidi" w:hAnsiTheme="majorBidi" w:cstheme="majorBidi"/>
        </w:rPr>
        <w:t>Les résultats des essais sur l’animal pour la sous</w:t>
      </w:r>
      <w:r w:rsidR="00773E7F" w:rsidRPr="00950D73">
        <w:rPr>
          <w:rFonts w:asciiTheme="majorBidi" w:hAnsiTheme="majorBidi" w:cstheme="majorBidi"/>
        </w:rPr>
        <w:noBreakHyphen/>
        <w:t>catégorie 1B peuvent inclure des données présentant les valeurs indiquées au tableau 3.4.4 ci</w:t>
      </w:r>
      <w:r w:rsidR="00773E7F" w:rsidRPr="00950D73">
        <w:rPr>
          <w:rFonts w:asciiTheme="majorBidi" w:hAnsiTheme="majorBidi" w:cstheme="majorBidi"/>
        </w:rPr>
        <w:noBreakHyphen/>
        <w:t>dessous :</w:t>
      </w:r>
      <w:r w:rsidR="0084064C" w:rsidRPr="00950D73">
        <w:rPr>
          <w:rFonts w:asciiTheme="majorBidi" w:hAnsiTheme="majorBidi" w:cstheme="majorBidi"/>
          <w:lang w:val="fr-FR"/>
        </w:rPr>
        <w:t>».</w:t>
      </w:r>
    </w:p>
    <w:p w14:paraId="3CC20EAA" w14:textId="5CF31286" w:rsidR="00230AB9" w:rsidRPr="00950D73" w:rsidRDefault="00317061" w:rsidP="0036713C">
      <w:pPr>
        <w:pStyle w:val="SingleTxtG"/>
        <w:tabs>
          <w:tab w:val="clear" w:pos="1701"/>
        </w:tabs>
        <w:spacing w:before="120"/>
        <w:ind w:left="2268" w:hanging="1134"/>
        <w:rPr>
          <w:rFonts w:asciiTheme="majorBidi" w:hAnsiTheme="majorBidi" w:cstheme="majorBidi"/>
          <w:color w:val="000000" w:themeColor="text1"/>
          <w:lang w:val="fr-FR"/>
        </w:rPr>
      </w:pPr>
      <w:r w:rsidRPr="00950D73">
        <w:rPr>
          <w:rFonts w:asciiTheme="majorBidi" w:hAnsiTheme="majorBidi" w:cstheme="majorBidi"/>
          <w:lang w:val="fr-FR"/>
        </w:rPr>
        <w:t>Nota au t</w:t>
      </w:r>
      <w:r w:rsidR="001F712E" w:rsidRPr="00950D73">
        <w:rPr>
          <w:rFonts w:asciiTheme="majorBidi" w:hAnsiTheme="majorBidi" w:cstheme="majorBidi"/>
          <w:lang w:val="fr-FR"/>
        </w:rPr>
        <w:t>ableau</w:t>
      </w:r>
      <w:r w:rsidR="00AA1C21" w:rsidRPr="00950D73">
        <w:rPr>
          <w:rFonts w:asciiTheme="majorBidi" w:hAnsiTheme="majorBidi" w:cstheme="majorBidi"/>
          <w:lang w:val="fr-FR"/>
        </w:rPr>
        <w:t xml:space="preserve"> 3.4.4</w:t>
      </w:r>
      <w:r w:rsidR="00AA1C21" w:rsidRPr="00950D73">
        <w:rPr>
          <w:rFonts w:asciiTheme="majorBidi" w:hAnsiTheme="majorBidi" w:cstheme="majorBidi"/>
          <w:lang w:val="fr-FR"/>
        </w:rPr>
        <w:tab/>
        <w:t xml:space="preserve">Ajouter </w:t>
      </w:r>
      <w:r w:rsidR="00230AB9" w:rsidRPr="00950D73">
        <w:rPr>
          <w:rFonts w:asciiTheme="majorBidi" w:hAnsiTheme="majorBidi" w:cstheme="majorBidi"/>
          <w:lang w:val="fr-FR"/>
        </w:rPr>
        <w:t xml:space="preserve">le </w:t>
      </w:r>
      <w:r w:rsidRPr="00950D73">
        <w:rPr>
          <w:rFonts w:asciiTheme="majorBidi" w:hAnsiTheme="majorBidi" w:cstheme="majorBidi"/>
          <w:lang w:val="fr-FR"/>
        </w:rPr>
        <w:t xml:space="preserve">nouveau </w:t>
      </w:r>
      <w:r w:rsidR="00230AB9" w:rsidRPr="00950D73">
        <w:rPr>
          <w:rFonts w:asciiTheme="majorBidi" w:hAnsiTheme="majorBidi" w:cstheme="majorBidi"/>
          <w:lang w:val="fr-FR"/>
        </w:rPr>
        <w:t xml:space="preserve">nota suivant </w:t>
      </w:r>
      <w:r w:rsidR="00AA1C21" w:rsidRPr="00950D73">
        <w:rPr>
          <w:rFonts w:asciiTheme="majorBidi" w:hAnsiTheme="majorBidi" w:cstheme="majorBidi"/>
          <w:lang w:val="fr-FR"/>
        </w:rPr>
        <w:t>sous le tableau 3.4.4 actuel</w:t>
      </w:r>
      <w:r w:rsidR="00230AB9" w:rsidRPr="00950D73">
        <w:rPr>
          <w:rFonts w:asciiTheme="majorBidi" w:hAnsiTheme="majorBidi" w:cstheme="majorBidi"/>
          <w:lang w:val="fr-FR"/>
        </w:rPr>
        <w:t>:</w:t>
      </w:r>
    </w:p>
    <w:p w14:paraId="6897894C" w14:textId="43F705EE" w:rsidR="00E71F66" w:rsidRPr="00950D73" w:rsidRDefault="00317061" w:rsidP="00034CC1">
      <w:pPr>
        <w:pStyle w:val="SingleTxtG"/>
        <w:tabs>
          <w:tab w:val="clear" w:pos="1701"/>
          <w:tab w:val="clear" w:pos="2835"/>
          <w:tab w:val="left" w:pos="3119"/>
        </w:tabs>
        <w:spacing w:before="120"/>
        <w:ind w:left="2268"/>
        <w:rPr>
          <w:rFonts w:asciiTheme="majorBidi" w:hAnsiTheme="majorBidi" w:cstheme="majorBidi"/>
          <w:i/>
          <w:iCs/>
          <w:color w:val="000000" w:themeColor="text1"/>
          <w:spacing w:val="-6"/>
        </w:rPr>
      </w:pPr>
      <w:bookmarkStart w:id="28" w:name="_Hlk112226090"/>
      <w:r w:rsidRPr="00950D73">
        <w:rPr>
          <w:rFonts w:asciiTheme="majorBidi" w:hAnsiTheme="majorBidi" w:cstheme="majorBidi"/>
          <w:b/>
          <w:bCs/>
          <w:i/>
          <w:iCs/>
          <w:lang w:val="fr-FR"/>
        </w:rPr>
        <w:t>« </w:t>
      </w:r>
      <w:r w:rsidR="00E71F66" w:rsidRPr="00950D73">
        <w:rPr>
          <w:rFonts w:asciiTheme="majorBidi" w:hAnsiTheme="majorBidi" w:cstheme="majorBidi"/>
          <w:b/>
          <w:bCs/>
          <w:i/>
          <w:iCs/>
          <w:lang w:val="fr-FR"/>
        </w:rPr>
        <w:t>Nota</w:t>
      </w:r>
      <w:r w:rsidR="00E71F66" w:rsidRPr="00950D73">
        <w:rPr>
          <w:rFonts w:asciiTheme="majorBidi" w:hAnsiTheme="majorBidi" w:cstheme="majorBidi"/>
          <w:i/>
          <w:iCs/>
          <w:lang w:val="fr-FR"/>
        </w:rPr>
        <w:t xml:space="preserve"> : </w:t>
      </w:r>
      <w:r w:rsidR="00E71F66" w:rsidRPr="00950D73">
        <w:rPr>
          <w:rFonts w:asciiTheme="majorBidi" w:hAnsiTheme="majorBidi" w:cstheme="majorBidi"/>
          <w:i/>
          <w:iCs/>
          <w:lang w:val="fr-FR"/>
        </w:rPr>
        <w:tab/>
        <w:t>Pour l’essai de stimulation locale des ganglions lymphatiques, méthode BrdU</w:t>
      </w:r>
      <w:r w:rsidR="00E71F66" w:rsidRPr="00950D73">
        <w:rPr>
          <w:rFonts w:asciiTheme="majorBidi" w:hAnsiTheme="majorBidi" w:cstheme="majorBidi"/>
          <w:i/>
          <w:iCs/>
          <w:lang w:val="fr-FR"/>
        </w:rPr>
        <w:noBreakHyphen/>
        <w:t>ELISA, les critères de sous-catégorisation (1A : valeur CE1.6 ≤ 6 %, 1B : valeur CE1.6 &gt; 6 %, Maeda et Takeyoshi, 2019,</w:t>
      </w:r>
      <w:r w:rsidR="00E71F66" w:rsidRPr="00950D73">
        <w:rPr>
          <w:rFonts w:asciiTheme="majorBidi" w:hAnsiTheme="majorBidi" w:cstheme="majorBidi"/>
          <w:lang w:val="fr-FR"/>
        </w:rPr>
        <w:t xml:space="preserve"> </w:t>
      </w:r>
      <w:r w:rsidR="00E71F66" w:rsidRPr="00950D73">
        <w:rPr>
          <w:rFonts w:asciiTheme="majorBidi" w:hAnsiTheme="majorBidi" w:cstheme="majorBidi"/>
          <w:i/>
          <w:iCs/>
          <w:lang w:val="fr-FR"/>
        </w:rPr>
        <w:t>Kobayashi et al., 2020) ont été proposés et validés par l’OCDE, mais aucun critère de sous-catégorisation n’a encore été adopté à l’échelle internationale.</w:t>
      </w:r>
      <w:r w:rsidR="00E71F66" w:rsidRPr="00950D73">
        <w:rPr>
          <w:rFonts w:asciiTheme="majorBidi" w:hAnsiTheme="majorBidi" w:cstheme="majorBidi"/>
          <w:lang w:val="fr-FR"/>
        </w:rPr>
        <w:t xml:space="preserve"> </w:t>
      </w:r>
      <w:r w:rsidR="00E71F66" w:rsidRPr="00950D73">
        <w:rPr>
          <w:rFonts w:asciiTheme="majorBidi" w:hAnsiTheme="majorBidi" w:cstheme="majorBidi"/>
          <w:i/>
          <w:iCs/>
          <w:lang w:val="fr-FR"/>
        </w:rPr>
        <w:t>Des critères de sous-catégorisation validés peuvent cependant être adoptés par certaines autorités compétentes.</w:t>
      </w:r>
      <w:r w:rsidR="00E71F66" w:rsidRPr="00950D73">
        <w:rPr>
          <w:rFonts w:asciiTheme="majorBidi" w:hAnsiTheme="majorBidi" w:cstheme="majorBidi"/>
          <w:lang w:val="fr-FR"/>
        </w:rPr>
        <w:t xml:space="preserve"> </w:t>
      </w:r>
      <w:r w:rsidR="00E71F66" w:rsidRPr="00950D73">
        <w:rPr>
          <w:rFonts w:asciiTheme="majorBidi" w:hAnsiTheme="majorBidi" w:cstheme="majorBidi"/>
          <w:i/>
          <w:iCs/>
          <w:lang w:val="fr-FR"/>
        </w:rPr>
        <w:t>Une autorité compétente peut décider des éventuels critères de classement à appliquer à cette méthode d’essai.</w:t>
      </w:r>
      <w:r w:rsidR="00E71F66" w:rsidRPr="00950D73">
        <w:rPr>
          <w:rFonts w:asciiTheme="majorBidi" w:hAnsiTheme="majorBidi" w:cstheme="majorBidi"/>
          <w:lang w:val="fr-FR"/>
        </w:rPr>
        <w:t xml:space="preserve"> </w:t>
      </w:r>
    </w:p>
    <w:p w14:paraId="10232B1F" w14:textId="0E591D1C" w:rsidR="00230AB9" w:rsidRPr="00950D73" w:rsidRDefault="00E71F66" w:rsidP="004F4758">
      <w:pPr>
        <w:pStyle w:val="SingleTxtG"/>
        <w:tabs>
          <w:tab w:val="clear" w:pos="2268"/>
          <w:tab w:val="clear" w:pos="2835"/>
          <w:tab w:val="left" w:pos="3119"/>
        </w:tabs>
        <w:spacing w:before="120"/>
        <w:ind w:left="2268"/>
        <w:rPr>
          <w:rFonts w:asciiTheme="majorBidi" w:hAnsiTheme="majorBidi" w:cstheme="majorBidi"/>
          <w:b/>
          <w:bCs/>
          <w:i/>
          <w:iCs/>
          <w:color w:val="000000" w:themeColor="text1"/>
          <w:spacing w:val="-6"/>
          <w:sz w:val="19"/>
          <w:szCs w:val="19"/>
          <w:u w:val="single"/>
          <w:lang w:val="fr-FR"/>
        </w:rPr>
      </w:pPr>
      <w:r w:rsidRPr="00950D73">
        <w:rPr>
          <w:rFonts w:asciiTheme="majorBidi" w:hAnsiTheme="majorBidi" w:cstheme="majorBidi"/>
          <w:i/>
          <w:iCs/>
          <w:lang w:val="fr-FR"/>
        </w:rPr>
        <w:tab/>
        <w:t>Pour la méthode DA et la méthode BrdU-FCM, il n’existe actuellement aucun critère validé et accepté à l’échelle internationale permettant de classer des sensibilisants cutanés dans une sous-catégorie.</w:t>
      </w:r>
      <w:r w:rsidRPr="00950D73">
        <w:rPr>
          <w:rFonts w:asciiTheme="majorBidi" w:hAnsiTheme="majorBidi" w:cstheme="majorBidi"/>
          <w:lang w:val="fr-FR"/>
        </w:rPr>
        <w:t xml:space="preserve"> </w:t>
      </w:r>
      <w:r w:rsidRPr="00950D73">
        <w:rPr>
          <w:rFonts w:asciiTheme="majorBidi" w:hAnsiTheme="majorBidi" w:cstheme="majorBidi"/>
          <w:i/>
          <w:iCs/>
          <w:lang w:val="fr-FR"/>
        </w:rPr>
        <w:t>Par conséquent, ces méthodes d’essai ne peuvent être utilisées que pour conclure qu’il convient de classer la substance concernée dans la catégorie 1 ou de ne la classer dans aucune catégorie.</w:t>
      </w:r>
      <w:r w:rsidRPr="00950D73">
        <w:rPr>
          <w:rFonts w:asciiTheme="majorBidi" w:hAnsiTheme="majorBidi" w:cstheme="majorBidi"/>
        </w:rPr>
        <w:t>”</w:t>
      </w:r>
      <w:r w:rsidR="00317061" w:rsidRPr="00950D73">
        <w:rPr>
          <w:rFonts w:asciiTheme="majorBidi" w:hAnsiTheme="majorBidi" w:cstheme="majorBidi"/>
        </w:rPr>
        <w:t>.</w:t>
      </w:r>
    </w:p>
    <w:bookmarkEnd w:id="28"/>
    <w:p w14:paraId="654DB8CC" w14:textId="741A98F6" w:rsidR="0084064C" w:rsidRPr="00950D73" w:rsidRDefault="0084064C" w:rsidP="004F4758">
      <w:pPr>
        <w:pStyle w:val="SingleTxtG"/>
        <w:tabs>
          <w:tab w:val="left" w:pos="3119"/>
        </w:tabs>
        <w:ind w:left="2268" w:hanging="1134"/>
        <w:rPr>
          <w:rFonts w:asciiTheme="majorBidi" w:hAnsiTheme="majorBidi" w:cstheme="majorBidi"/>
          <w:lang w:val="fr-FR"/>
        </w:rPr>
      </w:pPr>
      <w:r w:rsidRPr="00950D73">
        <w:rPr>
          <w:rFonts w:asciiTheme="majorBidi" w:hAnsiTheme="majorBidi" w:cstheme="majorBidi"/>
          <w:lang w:val="fr-FR"/>
        </w:rPr>
        <w:t xml:space="preserve">3.4.2.2.4 </w:t>
      </w:r>
      <w:r w:rsidR="008C3966" w:rsidRPr="00950D73">
        <w:rPr>
          <w:rFonts w:asciiTheme="majorBidi" w:hAnsiTheme="majorBidi" w:cstheme="majorBidi"/>
          <w:lang w:val="fr-FR"/>
        </w:rPr>
        <w:tab/>
        <w:t xml:space="preserve">Remplacer le titre du </w:t>
      </w:r>
      <w:r w:rsidRPr="00950D73">
        <w:rPr>
          <w:rFonts w:asciiTheme="majorBidi" w:hAnsiTheme="majorBidi" w:cstheme="majorBidi"/>
          <w:lang w:val="fr-FR"/>
        </w:rPr>
        <w:t>3.4.2.2.4</w:t>
      </w:r>
      <w:r w:rsidR="00DC2EC6" w:rsidRPr="00950D73">
        <w:rPr>
          <w:rFonts w:asciiTheme="majorBidi" w:hAnsiTheme="majorBidi" w:cstheme="majorBidi"/>
          <w:lang w:val="fr-FR"/>
        </w:rPr>
        <w:t xml:space="preserve"> et les paragraphes 3.4.2.2.4.1 à 3.4.2.2.4.3</w:t>
      </w:r>
      <w:r w:rsidR="00555AE8" w:rsidRPr="00950D73">
        <w:rPr>
          <w:rFonts w:asciiTheme="majorBidi" w:hAnsiTheme="majorBidi" w:cstheme="majorBidi"/>
          <w:lang w:val="fr-FR"/>
        </w:rPr>
        <w:t xml:space="preserve"> actuels</w:t>
      </w:r>
      <w:r w:rsidRPr="00950D73">
        <w:rPr>
          <w:rFonts w:asciiTheme="majorBidi" w:hAnsiTheme="majorBidi" w:cstheme="majorBidi"/>
          <w:lang w:val="fr-FR"/>
        </w:rPr>
        <w:t xml:space="preserve"> (y compris les appels de note de bas de page 3 et 4) </w:t>
      </w:r>
      <w:r w:rsidR="00555AE8" w:rsidRPr="00950D73">
        <w:rPr>
          <w:rFonts w:asciiTheme="majorBidi" w:hAnsiTheme="majorBidi" w:cstheme="majorBidi"/>
          <w:lang w:val="fr-FR"/>
        </w:rPr>
        <w:t>par ce qui suit </w:t>
      </w:r>
      <w:r w:rsidRPr="00950D73">
        <w:rPr>
          <w:rFonts w:asciiTheme="majorBidi" w:hAnsiTheme="majorBidi" w:cstheme="majorBidi"/>
          <w:lang w:val="fr-FR"/>
        </w:rPr>
        <w:t>:</w:t>
      </w:r>
    </w:p>
    <w:p w14:paraId="71B75734" w14:textId="2A7CB036" w:rsidR="0084064C" w:rsidRPr="00950D73" w:rsidRDefault="0084064C" w:rsidP="00721CBC">
      <w:pPr>
        <w:pStyle w:val="SingleTxtG"/>
        <w:keepLines/>
        <w:ind w:left="2268"/>
        <w:rPr>
          <w:rFonts w:asciiTheme="majorBidi" w:hAnsiTheme="majorBidi" w:cstheme="majorBidi"/>
          <w:lang w:val="fr-FR"/>
        </w:rPr>
      </w:pPr>
      <w:r w:rsidRPr="00950D73">
        <w:rPr>
          <w:rFonts w:asciiTheme="majorBidi" w:hAnsiTheme="majorBidi" w:cstheme="majorBidi"/>
          <w:lang w:val="fr-FR"/>
        </w:rPr>
        <w:lastRenderedPageBreak/>
        <w:t>« 3.4.2.2.4</w:t>
      </w:r>
      <w:r w:rsidRPr="00950D73">
        <w:rPr>
          <w:rFonts w:asciiTheme="majorBidi" w:hAnsiTheme="majorBidi" w:cstheme="majorBidi"/>
          <w:lang w:val="fr-FR"/>
        </w:rPr>
        <w:tab/>
      </w:r>
      <w:r w:rsidRPr="00950D73">
        <w:rPr>
          <w:rFonts w:asciiTheme="majorBidi" w:hAnsiTheme="majorBidi" w:cstheme="majorBidi"/>
          <w:i/>
          <w:iCs/>
          <w:lang w:val="fr-FR"/>
        </w:rPr>
        <w:t>Classification fondée sur des méthodes définies (étape 1 ou étape 2 dans la figure 3.4.1)</w:t>
      </w:r>
    </w:p>
    <w:p w14:paraId="219951B7" w14:textId="065ED012" w:rsidR="0084064C" w:rsidRPr="00950D73" w:rsidRDefault="00A708BB" w:rsidP="00BB2AAC">
      <w:pPr>
        <w:pStyle w:val="SingleTxtG"/>
        <w:ind w:left="2268" w:hanging="1134"/>
        <w:rPr>
          <w:rFonts w:asciiTheme="majorBidi" w:hAnsiTheme="majorBidi" w:cstheme="majorBidi"/>
          <w:lang w:val="fr-FR"/>
        </w:rPr>
      </w:pPr>
      <w:r w:rsidRPr="00950D73">
        <w:rPr>
          <w:rFonts w:asciiTheme="majorBidi" w:hAnsiTheme="majorBidi" w:cstheme="majorBidi"/>
          <w:lang w:val="fr-FR"/>
        </w:rPr>
        <w:tab/>
      </w:r>
      <w:r w:rsidRPr="00950D73">
        <w:rPr>
          <w:rFonts w:asciiTheme="majorBidi" w:hAnsiTheme="majorBidi" w:cstheme="majorBidi"/>
          <w:lang w:val="fr-FR"/>
        </w:rPr>
        <w:tab/>
      </w:r>
      <w:r w:rsidR="0084064C" w:rsidRPr="00950D73">
        <w:rPr>
          <w:rFonts w:asciiTheme="majorBidi" w:hAnsiTheme="majorBidi" w:cstheme="majorBidi"/>
          <w:lang w:val="fr-FR"/>
        </w:rPr>
        <w:t>3.4.2.2.4.1</w:t>
      </w:r>
      <w:r w:rsidR="0084064C" w:rsidRPr="00950D73">
        <w:rPr>
          <w:rFonts w:asciiTheme="majorBidi" w:hAnsiTheme="majorBidi" w:cstheme="majorBidi"/>
          <w:lang w:val="fr-FR"/>
        </w:rPr>
        <w:tab/>
        <w:t xml:space="preserve">Les méthodes définies consistent en des combinaisons, fondées sur des règles, de données obtenues à partir d’un ensemble prédéfini de sources d’information différentes (par exemple méthodes </w:t>
      </w:r>
      <w:r w:rsidR="0084064C" w:rsidRPr="00950D73">
        <w:rPr>
          <w:rFonts w:asciiTheme="majorBidi" w:hAnsiTheme="majorBidi" w:cstheme="majorBidi"/>
          <w:i/>
          <w:lang w:val="fr-FR"/>
        </w:rPr>
        <w:t xml:space="preserve">in </w:t>
      </w:r>
      <w:proofErr w:type="spellStart"/>
      <w:r w:rsidR="0084064C" w:rsidRPr="00950D73">
        <w:rPr>
          <w:rFonts w:asciiTheme="majorBidi" w:hAnsiTheme="majorBidi" w:cstheme="majorBidi"/>
          <w:i/>
          <w:lang w:val="fr-FR"/>
        </w:rPr>
        <w:t>chemico</w:t>
      </w:r>
      <w:proofErr w:type="spellEnd"/>
      <w:r w:rsidR="0084064C" w:rsidRPr="00950D73">
        <w:rPr>
          <w:rFonts w:asciiTheme="majorBidi" w:hAnsiTheme="majorBidi" w:cstheme="majorBidi"/>
          <w:i/>
          <w:iCs/>
          <w:lang w:val="fr-FR"/>
        </w:rPr>
        <w:t xml:space="preserve">, </w:t>
      </w:r>
      <w:r w:rsidR="0084064C" w:rsidRPr="00950D73">
        <w:rPr>
          <w:rFonts w:asciiTheme="majorBidi" w:hAnsiTheme="majorBidi" w:cstheme="majorBidi"/>
          <w:lang w:val="fr-FR"/>
        </w:rPr>
        <w:t>méthodes in vitro, propriétés physico-chimiques ou méthodes non fondées sur des essais). Il est reconnu que la plupart des méthodes d’expérimentation non animales ne sont pas en mesure de remplacer entièrement les méthodes in vivo</w:t>
      </w:r>
      <w:r w:rsidR="0084064C" w:rsidRPr="00950D73">
        <w:rPr>
          <w:rFonts w:asciiTheme="majorBidi" w:hAnsiTheme="majorBidi" w:cstheme="majorBidi"/>
          <w:i/>
          <w:lang w:val="fr-FR"/>
        </w:rPr>
        <w:t xml:space="preserve"> </w:t>
      </w:r>
      <w:r w:rsidR="0084064C" w:rsidRPr="00950D73">
        <w:rPr>
          <w:rFonts w:asciiTheme="majorBidi" w:hAnsiTheme="majorBidi" w:cstheme="majorBidi"/>
          <w:lang w:val="fr-FR"/>
        </w:rPr>
        <w:t xml:space="preserve">pour la plupart des effets visés par la réglementation. Dans ce contexte, les méthodes définies peuvent avantageusement servir à combiner des données afin de classer les substances et les mélanges. Les résultats obtenus avec une méthode définie validée selon des procédures internationales, telles que la Ligne directrice 497 de l’OCDE ou une méthode équivalente, sont concluants pour le classement en ce qui concerne la sensibilisation cutanée s’il est satisfait aux critères de la méthode définie concernée </w:t>
      </w:r>
      <w:bookmarkStart w:id="29" w:name="_Hlk117005958"/>
      <w:r w:rsidR="0084064C" w:rsidRPr="00950D73">
        <w:rPr>
          <w:rFonts w:asciiTheme="majorBidi" w:hAnsiTheme="majorBidi" w:cstheme="majorBidi"/>
          <w:lang w:val="fr-FR"/>
        </w:rPr>
        <w:t>(voir tableau 3.4.</w:t>
      </w:r>
      <w:r w:rsidRPr="00950D73">
        <w:rPr>
          <w:rFonts w:asciiTheme="majorBidi" w:hAnsiTheme="majorBidi" w:cstheme="majorBidi"/>
          <w:lang w:val="fr-FR"/>
        </w:rPr>
        <w:t>7</w:t>
      </w:r>
      <w:r w:rsidR="0084064C" w:rsidRPr="00950D73">
        <w:rPr>
          <w:rFonts w:asciiTheme="majorBidi" w:hAnsiTheme="majorBidi" w:cstheme="majorBidi"/>
          <w:lang w:val="fr-FR"/>
        </w:rPr>
        <w:t>)</w:t>
      </w:r>
      <w:r w:rsidR="0084064C" w:rsidRPr="00950D73">
        <w:rPr>
          <w:rFonts w:asciiTheme="majorBidi" w:hAnsiTheme="majorBidi" w:cstheme="majorBidi"/>
          <w:sz w:val="18"/>
          <w:szCs w:val="18"/>
          <w:vertAlign w:val="superscript"/>
          <w:lang w:val="fr-FR"/>
        </w:rPr>
        <w:t>3</w:t>
      </w:r>
      <w:bookmarkEnd w:id="29"/>
      <w:r w:rsidR="0084064C" w:rsidRPr="00950D73">
        <w:rPr>
          <w:rFonts w:asciiTheme="majorBidi" w:hAnsiTheme="majorBidi" w:cstheme="majorBidi"/>
          <w:lang w:val="fr-FR"/>
        </w:rPr>
        <w:t>. Les données obtenues au moyen d’une méthode définie ne peuvent être utilisées à des fins de classement que lorsque la substance soumise à l’essai relève du domaine d’application de ladite méthode définie. Les limites supplémentaires décrites dans des publications doivent également être prises en compte.</w:t>
      </w:r>
    </w:p>
    <w:p w14:paraId="11E09BA5" w14:textId="6C06BD2F" w:rsidR="0084064C" w:rsidRPr="00950D73" w:rsidRDefault="0084064C" w:rsidP="004F4758">
      <w:pPr>
        <w:pStyle w:val="SingleTxtG"/>
        <w:keepLines/>
        <w:ind w:left="2268"/>
        <w:rPr>
          <w:rFonts w:asciiTheme="majorBidi" w:hAnsiTheme="majorBidi" w:cstheme="majorBidi"/>
          <w:lang w:val="fr-FR"/>
        </w:rPr>
      </w:pPr>
      <w:r w:rsidRPr="00950D73">
        <w:rPr>
          <w:rFonts w:asciiTheme="majorBidi" w:hAnsiTheme="majorBidi" w:cstheme="majorBidi"/>
          <w:lang w:val="fr-FR"/>
        </w:rPr>
        <w:t>3.4.2.2.4.2</w:t>
      </w:r>
      <w:r w:rsidRPr="00950D73">
        <w:rPr>
          <w:rFonts w:asciiTheme="majorBidi" w:hAnsiTheme="majorBidi" w:cstheme="majorBidi"/>
          <w:lang w:val="fr-FR"/>
        </w:rPr>
        <w:tab/>
        <w:t xml:space="preserve">Lorsque les résultats des méthodes définies se voient attribuer un degré de confiance, par exemple dans la Ligne directrice 497 de l’OCDE, un résultat peu fiable d’une méthode définie </w:t>
      </w:r>
      <w:r w:rsidR="006B2E19" w:rsidRPr="00950D73">
        <w:rPr>
          <w:rFonts w:asciiTheme="majorBidi" w:hAnsiTheme="majorBidi" w:cstheme="majorBidi"/>
          <w:lang w:val="fr-FR"/>
        </w:rPr>
        <w:t xml:space="preserve">à l’étape 1 n’est pas concluant et par conséquent  </w:t>
      </w:r>
      <w:r w:rsidRPr="00950D73">
        <w:rPr>
          <w:rFonts w:asciiTheme="majorBidi" w:hAnsiTheme="majorBidi" w:cstheme="majorBidi"/>
          <w:lang w:val="fr-FR"/>
        </w:rPr>
        <w:t>ne peut pas être utilisé seul à des fins de classement, mais peut être pris en compte en combinaison avec d’autres données de l’étape 2.</w:t>
      </w:r>
    </w:p>
    <w:p w14:paraId="70BFCB53" w14:textId="34A4A9DB" w:rsidR="0084064C" w:rsidRPr="00950D73" w:rsidRDefault="0084064C" w:rsidP="004F4758">
      <w:pPr>
        <w:pStyle w:val="SingleTxtG"/>
        <w:keepLines/>
        <w:ind w:left="2268"/>
        <w:rPr>
          <w:rFonts w:asciiTheme="majorBidi" w:hAnsiTheme="majorBidi" w:cstheme="majorBidi"/>
          <w:lang w:val="fr-FR"/>
        </w:rPr>
      </w:pPr>
      <w:r w:rsidRPr="00950D73">
        <w:rPr>
          <w:rFonts w:asciiTheme="majorBidi" w:hAnsiTheme="majorBidi" w:cstheme="majorBidi"/>
          <w:lang w:val="fr-FR"/>
        </w:rPr>
        <w:lastRenderedPageBreak/>
        <w:t>3.4.2.2.4.3</w:t>
      </w:r>
      <w:r w:rsidRPr="00950D73">
        <w:rPr>
          <w:rFonts w:asciiTheme="majorBidi" w:hAnsiTheme="majorBidi" w:cstheme="majorBidi"/>
          <w:lang w:val="fr-FR"/>
        </w:rPr>
        <w:tab/>
        <w:t xml:space="preserve">Un élément de preuve </w:t>
      </w:r>
      <w:r w:rsidR="00FE211F" w:rsidRPr="00950D73">
        <w:rPr>
          <w:rFonts w:asciiTheme="majorBidi" w:hAnsiTheme="majorBidi" w:cstheme="majorBidi"/>
          <w:lang w:val="fr-FR"/>
        </w:rPr>
        <w:t xml:space="preserve">donné </w:t>
      </w:r>
      <w:r w:rsidRPr="00950D73">
        <w:rPr>
          <w:rFonts w:asciiTheme="majorBidi" w:hAnsiTheme="majorBidi" w:cstheme="majorBidi"/>
          <w:lang w:val="fr-FR"/>
        </w:rPr>
        <w:t xml:space="preserve">utilisé dans le cadre d’une méthode définie ne </w:t>
      </w:r>
      <w:r w:rsidR="00FE211F" w:rsidRPr="00950D73">
        <w:rPr>
          <w:rFonts w:asciiTheme="majorBidi" w:hAnsiTheme="majorBidi" w:cstheme="majorBidi"/>
          <w:lang w:val="fr-FR"/>
        </w:rPr>
        <w:t xml:space="preserve">devrait </w:t>
      </w:r>
      <w:r w:rsidRPr="00950D73">
        <w:rPr>
          <w:rFonts w:asciiTheme="majorBidi" w:hAnsiTheme="majorBidi" w:cstheme="majorBidi"/>
          <w:lang w:val="fr-FR"/>
        </w:rPr>
        <w:t xml:space="preserve">pas être également utilisé dans </w:t>
      </w:r>
      <w:r w:rsidR="00FE211F" w:rsidRPr="00950D73">
        <w:rPr>
          <w:rFonts w:asciiTheme="majorBidi" w:hAnsiTheme="majorBidi" w:cstheme="majorBidi"/>
          <w:lang w:val="fr-FR"/>
        </w:rPr>
        <w:t xml:space="preserve">un autre </w:t>
      </w:r>
      <w:r w:rsidRPr="00950D73">
        <w:rPr>
          <w:rFonts w:asciiTheme="majorBidi" w:hAnsiTheme="majorBidi" w:cstheme="majorBidi"/>
          <w:lang w:val="fr-FR"/>
        </w:rPr>
        <w:t>cadre.</w:t>
      </w:r>
    </w:p>
    <w:p w14:paraId="08E82CD0" w14:textId="21C10E50" w:rsidR="0084064C" w:rsidRPr="00950D73" w:rsidRDefault="0084064C" w:rsidP="00A4166F">
      <w:pPr>
        <w:pStyle w:val="SingleTxtG"/>
        <w:keepLines/>
        <w:ind w:left="2268"/>
        <w:rPr>
          <w:rFonts w:asciiTheme="majorBidi" w:hAnsiTheme="majorBidi" w:cstheme="majorBidi"/>
          <w:lang w:val="fr-FR"/>
        </w:rPr>
      </w:pPr>
      <w:r w:rsidRPr="00950D73">
        <w:rPr>
          <w:rFonts w:asciiTheme="majorBidi" w:hAnsiTheme="majorBidi" w:cstheme="majorBidi"/>
          <w:lang w:val="fr-FR"/>
        </w:rPr>
        <w:t>3.4.2.2.5</w:t>
      </w:r>
      <w:r w:rsidRPr="00950D73">
        <w:rPr>
          <w:rFonts w:asciiTheme="majorBidi" w:hAnsiTheme="majorBidi" w:cstheme="majorBidi"/>
          <w:lang w:val="fr-FR"/>
        </w:rPr>
        <w:tab/>
      </w:r>
      <w:r w:rsidRPr="00950D73">
        <w:rPr>
          <w:rFonts w:asciiTheme="majorBidi" w:hAnsiTheme="majorBidi" w:cstheme="majorBidi"/>
          <w:i/>
          <w:iCs/>
          <w:lang w:val="fr-FR"/>
        </w:rPr>
        <w:t xml:space="preserve">Classification fondée sur des données 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/in vitro (étape</w:t>
      </w:r>
      <w:r w:rsidR="00A4166F" w:rsidRPr="00950D73">
        <w:rPr>
          <w:rFonts w:asciiTheme="majorBidi" w:hAnsiTheme="majorBidi" w:cstheme="majorBidi"/>
          <w:i/>
          <w:iCs/>
          <w:lang w:val="fr-FR"/>
        </w:rPr>
        <w:t> </w:t>
      </w:r>
      <w:r w:rsidRPr="00950D73">
        <w:rPr>
          <w:rFonts w:asciiTheme="majorBidi" w:hAnsiTheme="majorBidi" w:cstheme="majorBidi"/>
          <w:i/>
          <w:iCs/>
          <w:lang w:val="fr-FR"/>
        </w:rPr>
        <w:t>1 ou étape 2 dans la figure 3.4.1)</w:t>
      </w:r>
    </w:p>
    <w:p w14:paraId="4E0BCC34" w14:textId="1FEF315F" w:rsidR="0084064C" w:rsidRPr="00950D73" w:rsidRDefault="0084064C" w:rsidP="004F4758">
      <w:pPr>
        <w:pStyle w:val="SingleTxtG"/>
        <w:keepLines/>
        <w:ind w:left="2268"/>
        <w:rPr>
          <w:rFonts w:asciiTheme="majorBidi" w:hAnsiTheme="majorBidi" w:cstheme="majorBidi"/>
          <w:lang w:val="fr-FR"/>
        </w:rPr>
      </w:pPr>
      <w:r w:rsidRPr="00950D73">
        <w:rPr>
          <w:rFonts w:asciiTheme="majorBidi" w:hAnsiTheme="majorBidi" w:cstheme="majorBidi"/>
          <w:lang w:val="fr-FR"/>
        </w:rPr>
        <w:t>3.4.2.2.5.1</w:t>
      </w:r>
      <w:r w:rsidRPr="00950D73">
        <w:rPr>
          <w:rFonts w:asciiTheme="majorBidi" w:hAnsiTheme="majorBidi" w:cstheme="majorBidi"/>
          <w:lang w:val="fr-FR"/>
        </w:rPr>
        <w:tab/>
        <w:t xml:space="preserve">Les méthodes </w:t>
      </w:r>
      <w:r w:rsidRPr="00950D73">
        <w:rPr>
          <w:rFonts w:asciiTheme="majorBidi" w:hAnsiTheme="majorBidi" w:cstheme="majorBidi"/>
          <w:i/>
          <w:iCs/>
          <w:lang w:val="fr-FR"/>
        </w:rPr>
        <w:t xml:space="preserve">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w:t>
      </w:r>
      <w:r w:rsidRPr="00950D73">
        <w:rPr>
          <w:rFonts w:asciiTheme="majorBidi" w:hAnsiTheme="majorBidi" w:cstheme="majorBidi"/>
          <w:lang w:val="fr-FR"/>
        </w:rPr>
        <w:t>in vitro</w:t>
      </w:r>
      <w:r w:rsidRPr="00950D73">
        <w:rPr>
          <w:rFonts w:asciiTheme="majorBidi" w:hAnsiTheme="majorBidi" w:cstheme="majorBidi"/>
          <w:i/>
          <w:iCs/>
          <w:lang w:val="fr-FR"/>
        </w:rPr>
        <w:t xml:space="preserve"> </w:t>
      </w:r>
      <w:r w:rsidRPr="00950D73">
        <w:rPr>
          <w:rFonts w:asciiTheme="majorBidi" w:hAnsiTheme="majorBidi" w:cstheme="majorBidi"/>
          <w:lang w:val="fr-FR"/>
        </w:rPr>
        <w:t xml:space="preserve">actuellement disponibles portent sur des mécanismes biologiques déterminés conduisant à l’acquisition d’une sensibilisation cutanée, comme décrit, par exemple, dans la publication intitulée « Adverse </w:t>
      </w:r>
      <w:proofErr w:type="spellStart"/>
      <w:r w:rsidRPr="00950D73">
        <w:rPr>
          <w:rFonts w:asciiTheme="majorBidi" w:hAnsiTheme="majorBidi" w:cstheme="majorBidi"/>
          <w:lang w:val="fr-FR"/>
        </w:rPr>
        <w:t>Outcome</w:t>
      </w:r>
      <w:proofErr w:type="spellEnd"/>
      <w:r w:rsidRPr="00950D73">
        <w:rPr>
          <w:rFonts w:asciiTheme="majorBidi" w:hAnsiTheme="majorBidi" w:cstheme="majorBidi"/>
          <w:lang w:val="fr-FR"/>
        </w:rPr>
        <w:t xml:space="preserve"> </w:t>
      </w:r>
      <w:proofErr w:type="spellStart"/>
      <w:r w:rsidRPr="00950D73">
        <w:rPr>
          <w:rFonts w:asciiTheme="majorBidi" w:hAnsiTheme="majorBidi" w:cstheme="majorBidi"/>
          <w:lang w:val="fr-FR"/>
        </w:rPr>
        <w:t>Pathway</w:t>
      </w:r>
      <w:proofErr w:type="spellEnd"/>
      <w:r w:rsidRPr="00950D73">
        <w:rPr>
          <w:rFonts w:asciiTheme="majorBidi" w:hAnsiTheme="majorBidi" w:cstheme="majorBidi"/>
          <w:lang w:val="fr-FR"/>
        </w:rPr>
        <w:t xml:space="preserve"> for Skin </w:t>
      </w:r>
      <w:proofErr w:type="spellStart"/>
      <w:r w:rsidRPr="00950D73">
        <w:rPr>
          <w:rFonts w:asciiTheme="majorBidi" w:hAnsiTheme="majorBidi" w:cstheme="majorBidi"/>
          <w:lang w:val="fr-FR"/>
        </w:rPr>
        <w:t>Sensitisation</w:t>
      </w:r>
      <w:proofErr w:type="spellEnd"/>
      <w:r w:rsidRPr="00950D73">
        <w:rPr>
          <w:rFonts w:asciiTheme="majorBidi" w:hAnsiTheme="majorBidi" w:cstheme="majorBidi"/>
          <w:lang w:val="fr-FR"/>
        </w:rPr>
        <w:t xml:space="preserve"> » (voir OCDE, </w:t>
      </w:r>
      <w:r w:rsidR="009C0690" w:rsidRPr="00950D73">
        <w:rPr>
          <w:rFonts w:asciiTheme="majorBidi" w:hAnsiTheme="majorBidi" w:cstheme="majorBidi"/>
          <w:lang w:val="fr-FR"/>
        </w:rPr>
        <w:t>(</w:t>
      </w:r>
      <w:r w:rsidRPr="00950D73">
        <w:rPr>
          <w:rFonts w:asciiTheme="majorBidi" w:hAnsiTheme="majorBidi" w:cstheme="majorBidi"/>
          <w:lang w:val="fr-FR"/>
        </w:rPr>
        <w:t>2014</w:t>
      </w:r>
      <w:r w:rsidR="009C0690" w:rsidRPr="00950D73">
        <w:rPr>
          <w:rFonts w:asciiTheme="majorBidi" w:hAnsiTheme="majorBidi" w:cstheme="majorBidi"/>
          <w:lang w:val="fr-FR"/>
        </w:rPr>
        <w:t>)</w:t>
      </w:r>
      <w:r w:rsidRPr="00950D73">
        <w:rPr>
          <w:rFonts w:asciiTheme="majorBidi" w:hAnsiTheme="majorBidi" w:cstheme="majorBidi"/>
          <w:lang w:val="fr-FR"/>
        </w:rPr>
        <w:t xml:space="preserve">). Les méthodes d’essai validées selon des procédures internationales et acceptées en tant que méthodes autonomes peuvent être utilisées pour aboutir à un classement à l’étape 1. Une autorité compétente peut décider d’utiliser la méthode décrite à l’annexe III de la Ligne directrice 442C de l’OCDE en tant que méthode autonome pour établir une distinction entre les substances de </w:t>
      </w:r>
      <w:r w:rsidR="00A708BB" w:rsidRPr="00950D73">
        <w:rPr>
          <w:rFonts w:asciiTheme="majorBidi" w:hAnsiTheme="majorBidi" w:cstheme="majorBidi"/>
          <w:lang w:val="fr-FR"/>
        </w:rPr>
        <w:t>sous-</w:t>
      </w:r>
      <w:r w:rsidRPr="00950D73">
        <w:rPr>
          <w:rFonts w:asciiTheme="majorBidi" w:hAnsiTheme="majorBidi" w:cstheme="majorBidi"/>
          <w:lang w:val="fr-FR"/>
        </w:rPr>
        <w:t xml:space="preserve">catégorie 1A et celles qui ne sont pas classées dans cette </w:t>
      </w:r>
      <w:r w:rsidR="006145DF" w:rsidRPr="00950D73">
        <w:rPr>
          <w:rFonts w:asciiTheme="majorBidi" w:hAnsiTheme="majorBidi" w:cstheme="majorBidi"/>
          <w:lang w:val="fr-FR"/>
        </w:rPr>
        <w:t>sous-</w:t>
      </w:r>
      <w:r w:rsidRPr="00950D73">
        <w:rPr>
          <w:rFonts w:asciiTheme="majorBidi" w:hAnsiTheme="majorBidi" w:cstheme="majorBidi"/>
          <w:lang w:val="fr-FR"/>
        </w:rPr>
        <w:t xml:space="preserve">catégorie (voir 3.4.5.3.5). </w:t>
      </w:r>
    </w:p>
    <w:p w14:paraId="35A5B9EA" w14:textId="5E5675BA" w:rsidR="0084064C" w:rsidRPr="00950D73" w:rsidRDefault="0084064C" w:rsidP="004F4758">
      <w:pPr>
        <w:pStyle w:val="SingleTxtG"/>
        <w:keepLines/>
        <w:ind w:left="2268"/>
        <w:rPr>
          <w:rFonts w:asciiTheme="majorBidi" w:hAnsiTheme="majorBidi" w:cstheme="majorBidi"/>
          <w:lang w:val="fr-FR"/>
        </w:rPr>
      </w:pPr>
      <w:r w:rsidRPr="00950D73">
        <w:rPr>
          <w:rFonts w:asciiTheme="majorBidi" w:hAnsiTheme="majorBidi" w:cstheme="majorBidi"/>
          <w:lang w:val="fr-FR"/>
        </w:rPr>
        <w:t>3.4.2.2.5.2</w:t>
      </w:r>
      <w:r w:rsidRPr="00950D73">
        <w:rPr>
          <w:rFonts w:asciiTheme="majorBidi" w:hAnsiTheme="majorBidi" w:cstheme="majorBidi"/>
          <w:lang w:val="fr-FR"/>
        </w:rPr>
        <w:tab/>
        <w:t xml:space="preserve">Les résultats d’autres méthodes </w:t>
      </w:r>
      <w:r w:rsidRPr="00950D73">
        <w:rPr>
          <w:rFonts w:asciiTheme="majorBidi" w:hAnsiTheme="majorBidi" w:cstheme="majorBidi"/>
          <w:i/>
          <w:lang w:val="fr-FR"/>
        </w:rPr>
        <w:t xml:space="preserve">in </w:t>
      </w:r>
      <w:proofErr w:type="spellStart"/>
      <w:r w:rsidRPr="00950D73">
        <w:rPr>
          <w:rFonts w:asciiTheme="majorBidi" w:hAnsiTheme="majorBidi" w:cstheme="majorBidi"/>
          <w:i/>
          <w:lang w:val="fr-FR"/>
        </w:rPr>
        <w:t>chemico</w:t>
      </w:r>
      <w:proofErr w:type="spellEnd"/>
      <w:r w:rsidRPr="00950D73">
        <w:rPr>
          <w:rFonts w:asciiTheme="majorBidi" w:hAnsiTheme="majorBidi" w:cstheme="majorBidi"/>
          <w:iCs/>
          <w:lang w:val="fr-FR"/>
        </w:rPr>
        <w:t>/in vitro</w:t>
      </w:r>
      <w:r w:rsidRPr="00950D73">
        <w:rPr>
          <w:rFonts w:asciiTheme="majorBidi" w:hAnsiTheme="majorBidi" w:cstheme="majorBidi"/>
          <w:i/>
          <w:iCs/>
          <w:lang w:val="fr-FR"/>
        </w:rPr>
        <w:t xml:space="preserve"> </w:t>
      </w:r>
      <w:r w:rsidRPr="00950D73">
        <w:rPr>
          <w:rFonts w:asciiTheme="majorBidi" w:hAnsiTheme="majorBidi" w:cstheme="majorBidi"/>
          <w:lang w:val="fr-FR"/>
        </w:rPr>
        <w:t xml:space="preserve">non autonomes, validées selon des procédures internationales telles que les Lignes directrices 442C (annexes I et II), 442D et 442E de l’OCDE, sont acceptés comme éléments de preuve supplémentaires et ne doivent être utilisés </w:t>
      </w:r>
      <w:bookmarkStart w:id="30" w:name="_Hlk116474324"/>
      <w:r w:rsidRPr="00950D73">
        <w:rPr>
          <w:rFonts w:asciiTheme="majorBidi" w:hAnsiTheme="majorBidi" w:cstheme="majorBidi"/>
          <w:lang w:val="fr-FR"/>
        </w:rPr>
        <w:t xml:space="preserve">à l’étape </w:t>
      </w:r>
      <w:bookmarkEnd w:id="30"/>
      <w:r w:rsidRPr="00950D73">
        <w:rPr>
          <w:rFonts w:asciiTheme="majorBidi" w:hAnsiTheme="majorBidi" w:cstheme="majorBidi"/>
          <w:lang w:val="fr-FR"/>
        </w:rPr>
        <w:t>1 qu’en combinaison avec d’autres types de données obtenues au moyen de méthodes définies. L’utilisation de ces méthodes à l’étape 2 est décrite au 3.4.2.2.7.5.</w:t>
      </w:r>
    </w:p>
    <w:p w14:paraId="31DA0360" w14:textId="442C69AD" w:rsidR="0084064C" w:rsidRPr="00950D73" w:rsidRDefault="0084064C" w:rsidP="004F4758">
      <w:pPr>
        <w:pStyle w:val="SingleTxtG"/>
        <w:keepLines/>
        <w:ind w:left="2268"/>
        <w:rPr>
          <w:rFonts w:asciiTheme="majorBidi" w:hAnsiTheme="majorBidi" w:cstheme="majorBidi"/>
          <w:lang w:val="fr-FR"/>
        </w:rPr>
      </w:pPr>
      <w:r w:rsidRPr="00950D73">
        <w:rPr>
          <w:rFonts w:asciiTheme="majorBidi" w:hAnsiTheme="majorBidi" w:cstheme="majorBidi"/>
          <w:lang w:val="fr-FR"/>
        </w:rPr>
        <w:t>3.4.2.2.5.3</w:t>
      </w:r>
      <w:r w:rsidRPr="00950D73">
        <w:rPr>
          <w:rFonts w:asciiTheme="majorBidi" w:hAnsiTheme="majorBidi" w:cstheme="majorBidi"/>
          <w:lang w:val="fr-FR"/>
        </w:rPr>
        <w:tab/>
        <w:t xml:space="preserve">D’autres méthodes d’essai </w:t>
      </w:r>
      <w:r w:rsidRPr="00950D73">
        <w:rPr>
          <w:rFonts w:asciiTheme="majorBidi" w:hAnsiTheme="majorBidi" w:cstheme="majorBidi"/>
          <w:i/>
          <w:iCs/>
          <w:lang w:val="fr-FR"/>
        </w:rPr>
        <w:t xml:space="preserve">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w:t>
      </w:r>
      <w:r w:rsidRPr="00950D73">
        <w:rPr>
          <w:rFonts w:asciiTheme="majorBidi" w:hAnsiTheme="majorBidi" w:cstheme="majorBidi"/>
          <w:lang w:val="fr-FR"/>
        </w:rPr>
        <w:t>in vitro</w:t>
      </w:r>
      <w:r w:rsidRPr="00950D73">
        <w:rPr>
          <w:rFonts w:asciiTheme="majorBidi" w:hAnsiTheme="majorBidi" w:cstheme="majorBidi"/>
          <w:i/>
          <w:iCs/>
          <w:lang w:val="fr-FR"/>
        </w:rPr>
        <w:t xml:space="preserve"> </w:t>
      </w:r>
      <w:r w:rsidRPr="00950D73">
        <w:rPr>
          <w:rFonts w:asciiTheme="majorBidi" w:hAnsiTheme="majorBidi" w:cstheme="majorBidi"/>
          <w:lang w:val="fr-FR"/>
        </w:rPr>
        <w:t>validées et acceptées par certaines autorités compétentes sont décrites au point 3.4.5.3.6.</w:t>
      </w:r>
      <w:r w:rsidR="006145DF" w:rsidRPr="00950D73">
        <w:rPr>
          <w:rFonts w:asciiTheme="majorBidi" w:hAnsiTheme="majorBidi" w:cstheme="majorBidi"/>
          <w:lang w:val="fr-FR"/>
        </w:rPr>
        <w:t>2</w:t>
      </w:r>
      <w:r w:rsidR="006145DF" w:rsidRPr="00950D73">
        <w:rPr>
          <w:rFonts w:asciiTheme="majorBidi" w:hAnsiTheme="majorBidi" w:cstheme="majorBidi"/>
          <w:sz w:val="18"/>
          <w:szCs w:val="18"/>
          <w:vertAlign w:val="superscript"/>
          <w:lang w:val="fr-FR"/>
        </w:rPr>
        <w:t>4</w:t>
      </w:r>
      <w:r w:rsidRPr="00950D73">
        <w:rPr>
          <w:rFonts w:asciiTheme="majorBidi" w:hAnsiTheme="majorBidi" w:cstheme="majorBidi"/>
          <w:lang w:val="fr-FR"/>
        </w:rPr>
        <w:t xml:space="preserve">. Une autorité compétente peut décider quels critères de classement, le cas échéant, doivent être appliqués à ces méthodes d’essai pour conclure au classement. </w:t>
      </w:r>
    </w:p>
    <w:p w14:paraId="13C04AA7" w14:textId="618A3A8E" w:rsidR="0084064C" w:rsidRPr="00950D73" w:rsidRDefault="0084064C" w:rsidP="004F4758">
      <w:pPr>
        <w:pStyle w:val="SingleTxtG"/>
        <w:keepLines/>
        <w:ind w:left="2268"/>
        <w:rPr>
          <w:rFonts w:asciiTheme="majorBidi" w:hAnsiTheme="majorBidi" w:cstheme="majorBidi"/>
          <w:lang w:val="fr-FR"/>
        </w:rPr>
      </w:pPr>
      <w:r w:rsidRPr="00950D73">
        <w:rPr>
          <w:rFonts w:asciiTheme="majorBidi" w:hAnsiTheme="majorBidi" w:cstheme="majorBidi"/>
          <w:lang w:val="fr-FR"/>
        </w:rPr>
        <w:lastRenderedPageBreak/>
        <w:t>3.4.2.2.5.4</w:t>
      </w:r>
      <w:r w:rsidRPr="00950D73">
        <w:rPr>
          <w:rFonts w:asciiTheme="majorBidi" w:hAnsiTheme="majorBidi" w:cstheme="majorBidi"/>
          <w:lang w:val="fr-FR"/>
        </w:rPr>
        <w:tab/>
        <w:t xml:space="preserve">Les données </w:t>
      </w:r>
      <w:r w:rsidRPr="00950D73">
        <w:rPr>
          <w:rFonts w:asciiTheme="majorBidi" w:hAnsiTheme="majorBidi" w:cstheme="majorBidi"/>
          <w:i/>
          <w:iCs/>
          <w:lang w:val="fr-FR"/>
        </w:rPr>
        <w:t xml:space="preserve">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w:t>
      </w:r>
      <w:r w:rsidRPr="00950D73">
        <w:rPr>
          <w:rFonts w:asciiTheme="majorBidi" w:hAnsiTheme="majorBidi" w:cstheme="majorBidi"/>
          <w:lang w:val="fr-FR"/>
        </w:rPr>
        <w:t>in vitro</w:t>
      </w:r>
      <w:r w:rsidRPr="00950D73">
        <w:rPr>
          <w:rFonts w:asciiTheme="majorBidi" w:hAnsiTheme="majorBidi" w:cstheme="majorBidi"/>
          <w:i/>
          <w:iCs/>
          <w:lang w:val="fr-FR"/>
        </w:rPr>
        <w:t xml:space="preserve"> </w:t>
      </w:r>
      <w:r w:rsidRPr="00950D73">
        <w:rPr>
          <w:rFonts w:asciiTheme="majorBidi" w:hAnsiTheme="majorBidi" w:cstheme="majorBidi"/>
          <w:lang w:val="fr-FR"/>
        </w:rPr>
        <w:t>ne peuvent être utilisées à des fins de classement que lorsque la substance soumise à l’essai se situe dans le domaine d’applicabilité de la ou des méthodes d’essai utilisées. Les limites supplémentaires décrites dans des publications doivent également être prises en compte.</w:t>
      </w:r>
    </w:p>
    <w:p w14:paraId="52FC94CD" w14:textId="74F87242" w:rsidR="0084064C" w:rsidRPr="00950D73" w:rsidRDefault="0084064C" w:rsidP="004F4758">
      <w:pPr>
        <w:pStyle w:val="SingleTxtG"/>
        <w:keepLines/>
        <w:ind w:left="2268"/>
        <w:jc w:val="left"/>
        <w:rPr>
          <w:rFonts w:asciiTheme="majorBidi" w:hAnsiTheme="majorBidi" w:cstheme="majorBidi"/>
          <w:lang w:val="fr-FR"/>
        </w:rPr>
      </w:pPr>
      <w:r w:rsidRPr="00950D73">
        <w:rPr>
          <w:rFonts w:asciiTheme="majorBidi" w:hAnsiTheme="majorBidi" w:cstheme="majorBidi"/>
          <w:lang w:val="fr-FR"/>
        </w:rPr>
        <w:t>3.4.2.2.6</w:t>
      </w:r>
      <w:r w:rsidRPr="00950D73">
        <w:rPr>
          <w:rFonts w:asciiTheme="majorBidi" w:hAnsiTheme="majorBidi" w:cstheme="majorBidi"/>
          <w:lang w:val="fr-FR"/>
        </w:rPr>
        <w:tab/>
      </w:r>
      <w:r w:rsidRPr="00950D73">
        <w:rPr>
          <w:rFonts w:asciiTheme="majorBidi" w:hAnsiTheme="majorBidi" w:cstheme="majorBidi"/>
          <w:i/>
          <w:iCs/>
          <w:lang w:val="fr-FR"/>
        </w:rPr>
        <w:t>Classification fondée sur des méthodes non fondées sur des essais (étape 2 de la figure 3.4.1)</w:t>
      </w:r>
    </w:p>
    <w:p w14:paraId="3EE555CA" w14:textId="2A4CC2E4" w:rsidR="0084064C" w:rsidRPr="00950D73" w:rsidRDefault="0084064C" w:rsidP="004F4758">
      <w:pPr>
        <w:pStyle w:val="SingleTxtG"/>
        <w:ind w:left="2268"/>
        <w:rPr>
          <w:rFonts w:asciiTheme="majorBidi" w:hAnsiTheme="majorBidi" w:cstheme="majorBidi"/>
          <w:lang w:val="fr-FR"/>
        </w:rPr>
      </w:pPr>
      <w:r w:rsidRPr="00950D73">
        <w:rPr>
          <w:rFonts w:asciiTheme="majorBidi" w:hAnsiTheme="majorBidi" w:cstheme="majorBidi"/>
          <w:lang w:val="fr-FR"/>
        </w:rPr>
        <w:t>3.4.2.2.6.1</w:t>
      </w:r>
      <w:r w:rsidRPr="00950D73">
        <w:rPr>
          <w:rFonts w:asciiTheme="majorBidi" w:hAnsiTheme="majorBidi" w:cstheme="majorBidi"/>
          <w:lang w:val="fr-FR"/>
        </w:rPr>
        <w:tab/>
        <w:t xml:space="preserve">Le classement, y compris la conclusion de non-classement, peut reposer sur des méthodes non fondées sur des essais appliquées au cas par cas, compte dûment tenu de la fiabilité et de l’applicabilité. Les méthodes non fondées sur des essais comprennent les modèles informatiques prédisant les relations qualitatives structure-activité (alertes structurelles, SAR) ou les relations quantitatives structure-activité (QSAR), les systèmes experts informatiques et la lecture croisée par analogie ou par catégorie. </w:t>
      </w:r>
    </w:p>
    <w:p w14:paraId="7F18EDA3" w14:textId="45FEC9E0" w:rsidR="0084064C" w:rsidRPr="00950D73" w:rsidRDefault="0084064C" w:rsidP="004F4758">
      <w:pPr>
        <w:pStyle w:val="SingleTxtG"/>
        <w:keepLines/>
        <w:ind w:left="2268"/>
        <w:rPr>
          <w:rFonts w:asciiTheme="majorBidi" w:hAnsiTheme="majorBidi" w:cstheme="majorBidi"/>
          <w:lang w:val="fr-FR"/>
        </w:rPr>
      </w:pPr>
      <w:r w:rsidRPr="00950D73">
        <w:rPr>
          <w:rFonts w:asciiTheme="majorBidi" w:hAnsiTheme="majorBidi" w:cstheme="majorBidi"/>
          <w:lang w:val="fr-FR"/>
        </w:rPr>
        <w:t>3.4.2.2.6.2</w:t>
      </w:r>
      <w:r w:rsidRPr="00950D73">
        <w:rPr>
          <w:rFonts w:asciiTheme="majorBidi" w:hAnsiTheme="majorBidi" w:cstheme="majorBidi"/>
          <w:lang w:val="fr-FR"/>
        </w:rPr>
        <w:tab/>
        <w:t xml:space="preserve">La méthode de lecture croisée par analogie ou catégorie doit pouvoir reposer sur des données d’essai suffisamment fiables pour une ou des substances similaires et justifier de la similarité des substances testées et de la substance à classer. Lorsqu’une justification valable de la méthode de lecture croisée est fournie, elle a souvent plus de poids que les méthodes (Q)SAR. </w:t>
      </w:r>
    </w:p>
    <w:p w14:paraId="7A617C73" w14:textId="5A93699E" w:rsidR="0084064C" w:rsidRPr="00950D73" w:rsidRDefault="0084064C" w:rsidP="004F4758">
      <w:pPr>
        <w:pStyle w:val="SingleTxtG"/>
        <w:ind w:left="2268"/>
        <w:rPr>
          <w:rFonts w:asciiTheme="majorBidi" w:hAnsiTheme="majorBidi" w:cstheme="majorBidi"/>
          <w:lang w:val="fr-FR"/>
        </w:rPr>
      </w:pPr>
      <w:r w:rsidRPr="00950D73">
        <w:rPr>
          <w:rFonts w:asciiTheme="majorBidi" w:hAnsiTheme="majorBidi" w:cstheme="majorBidi"/>
          <w:lang w:val="fr-FR"/>
        </w:rPr>
        <w:t>3.4.2.2.6.3</w:t>
      </w:r>
      <w:r w:rsidRPr="00950D73">
        <w:rPr>
          <w:rFonts w:asciiTheme="majorBidi" w:hAnsiTheme="majorBidi" w:cstheme="majorBidi"/>
          <w:lang w:val="fr-FR"/>
        </w:rPr>
        <w:tab/>
        <w:t>Le classement fondé sur les méthodes (Q)SAR requiert des données suffisantes et la validation du modèle. La validité des modèles informatiques et des prévisions doit être évaluée sur la base de principes de validation des (Q)SAR internationalement reconnus. S’agissant de la fiabilité, l’absence d’alertes dans un modèle SAR ou dans un système expert ne suffit pas à justifier l’absence de classement.</w:t>
      </w:r>
    </w:p>
    <w:p w14:paraId="08F039E6" w14:textId="3144DCAE" w:rsidR="0084064C" w:rsidRPr="00950D73" w:rsidRDefault="0084064C" w:rsidP="004F4758">
      <w:pPr>
        <w:pStyle w:val="SingleTxtG"/>
        <w:ind w:left="2268"/>
        <w:rPr>
          <w:rFonts w:asciiTheme="majorBidi" w:hAnsiTheme="majorBidi" w:cstheme="majorBidi"/>
          <w:lang w:val="fr-FR"/>
        </w:rPr>
      </w:pPr>
      <w:r w:rsidRPr="00950D73">
        <w:rPr>
          <w:rFonts w:asciiTheme="majorBidi" w:hAnsiTheme="majorBidi" w:cstheme="majorBidi"/>
          <w:lang w:val="fr-FR"/>
        </w:rPr>
        <w:lastRenderedPageBreak/>
        <w:t>3.4.2.2.6.4</w:t>
      </w:r>
      <w:r w:rsidRPr="00950D73">
        <w:rPr>
          <w:rFonts w:asciiTheme="majorBidi" w:hAnsiTheme="majorBidi" w:cstheme="majorBidi"/>
          <w:lang w:val="fr-FR"/>
        </w:rPr>
        <w:tab/>
        <w:t>Pour les conclusions de non-classement reposant sur les méthodes de lecture croisée ou (Q)SAR, l’adéquation et la fiabilité du raisonnement scientifique et des éléments de preuve doivent être bien étayées, ce qui nécessite habituellement l’existence de plusieurs substances négatives présentant une bonne similarité structurelle et physique (en termes de toxicocinétique) avec la substance à classer, ainsi qu’une absence manifeste de substances positives présentant une bonne similarité structurelle et physique avec ladite substance à classer.</w:t>
      </w:r>
    </w:p>
    <w:p w14:paraId="02E9D23F" w14:textId="3B6AFFFE" w:rsidR="0084064C" w:rsidRPr="00950D73" w:rsidRDefault="0084064C" w:rsidP="004F4758">
      <w:pPr>
        <w:pStyle w:val="SingleTxtG"/>
        <w:keepLines/>
        <w:ind w:left="2268"/>
        <w:jc w:val="left"/>
        <w:rPr>
          <w:rFonts w:asciiTheme="majorBidi" w:hAnsiTheme="majorBidi" w:cstheme="majorBidi"/>
          <w:strike/>
          <w:lang w:val="fr-FR"/>
        </w:rPr>
      </w:pPr>
      <w:r w:rsidRPr="00950D73">
        <w:rPr>
          <w:rFonts w:asciiTheme="majorBidi" w:hAnsiTheme="majorBidi" w:cstheme="majorBidi"/>
          <w:lang w:val="fr-FR"/>
        </w:rPr>
        <w:t>3.4.2.2.7</w:t>
      </w:r>
      <w:r w:rsidRPr="00950D73">
        <w:rPr>
          <w:rFonts w:asciiTheme="majorBidi" w:hAnsiTheme="majorBidi" w:cstheme="majorBidi"/>
          <w:lang w:val="fr-FR"/>
        </w:rPr>
        <w:tab/>
      </w:r>
      <w:r w:rsidRPr="00950D73">
        <w:rPr>
          <w:rFonts w:asciiTheme="majorBidi" w:hAnsiTheme="majorBidi" w:cstheme="majorBidi"/>
          <w:i/>
          <w:iCs/>
          <w:lang w:val="fr-FR"/>
        </w:rPr>
        <w:t>Classification selon une méthode par étapes (fig</w:t>
      </w:r>
      <w:r w:rsidR="006622E6" w:rsidRPr="00950D73">
        <w:rPr>
          <w:rFonts w:asciiTheme="majorBidi" w:hAnsiTheme="majorBidi" w:cstheme="majorBidi"/>
          <w:i/>
          <w:iCs/>
          <w:lang w:val="fr-FR"/>
        </w:rPr>
        <w:t>ure</w:t>
      </w:r>
      <w:r w:rsidRPr="00950D73">
        <w:rPr>
          <w:rFonts w:asciiTheme="majorBidi" w:hAnsiTheme="majorBidi" w:cstheme="majorBidi"/>
          <w:i/>
          <w:iCs/>
          <w:lang w:val="fr-FR"/>
        </w:rPr>
        <w:t> 3.4.1)</w:t>
      </w:r>
    </w:p>
    <w:p w14:paraId="5F337C5F" w14:textId="20D6A007" w:rsidR="0084064C" w:rsidRPr="00950D73" w:rsidRDefault="0084064C" w:rsidP="004F4758">
      <w:pPr>
        <w:pStyle w:val="SingleTxtG"/>
        <w:ind w:left="2268"/>
        <w:rPr>
          <w:rFonts w:asciiTheme="majorBidi" w:hAnsiTheme="majorBidi" w:cstheme="majorBidi"/>
          <w:lang w:val="fr-FR"/>
        </w:rPr>
      </w:pPr>
      <w:r w:rsidRPr="00950D73">
        <w:rPr>
          <w:rFonts w:asciiTheme="majorBidi" w:hAnsiTheme="majorBidi" w:cstheme="majorBidi"/>
          <w:lang w:val="fr-FR"/>
        </w:rPr>
        <w:t>3.4.2.2.7.1</w:t>
      </w:r>
      <w:r w:rsidRPr="00950D73">
        <w:rPr>
          <w:rFonts w:asciiTheme="majorBidi" w:hAnsiTheme="majorBidi" w:cstheme="majorBidi"/>
          <w:lang w:val="fr-FR"/>
        </w:rPr>
        <w:tab/>
        <w:t>Le cas échéant, une méthode d’évaluation des informations par étapes doit être envisagée (fig</w:t>
      </w:r>
      <w:r w:rsidR="00E572AD" w:rsidRPr="00950D73">
        <w:rPr>
          <w:rFonts w:asciiTheme="majorBidi" w:hAnsiTheme="majorBidi" w:cstheme="majorBidi"/>
          <w:lang w:val="fr-FR"/>
        </w:rPr>
        <w:t>ure</w:t>
      </w:r>
      <w:r w:rsidRPr="00950D73">
        <w:rPr>
          <w:rFonts w:asciiTheme="majorBidi" w:hAnsiTheme="majorBidi" w:cstheme="majorBidi"/>
          <w:lang w:val="fr-FR"/>
        </w:rPr>
        <w:t> 3.4.1), sachant que toutes les étapes ainsi que toutes les informations à une même étape peuvent ne pas être pertinentes. Cependant, afin de garantir la cohérence du classement, il est nécessaire d’examiner toutes les informations disponibles et pertinentes de qualité suffisante.</w:t>
      </w:r>
    </w:p>
    <w:p w14:paraId="55373F46" w14:textId="17A2C0CF" w:rsidR="0084064C" w:rsidRPr="00950D73" w:rsidRDefault="0084064C" w:rsidP="00541706">
      <w:pPr>
        <w:pStyle w:val="SingleTxtG"/>
        <w:keepNext/>
        <w:ind w:left="2268"/>
        <w:rPr>
          <w:rFonts w:asciiTheme="majorBidi" w:hAnsiTheme="majorBidi" w:cstheme="majorBidi"/>
          <w:lang w:val="fr-FR"/>
        </w:rPr>
      </w:pPr>
      <w:r w:rsidRPr="00950D73">
        <w:rPr>
          <w:rFonts w:asciiTheme="majorBidi" w:hAnsiTheme="majorBidi" w:cstheme="majorBidi"/>
          <w:lang w:val="fr-FR"/>
        </w:rPr>
        <w:t>3.4.2.2.7.2</w:t>
      </w:r>
      <w:r w:rsidRPr="00950D73">
        <w:rPr>
          <w:rFonts w:asciiTheme="majorBidi" w:hAnsiTheme="majorBidi" w:cstheme="majorBidi"/>
          <w:lang w:val="fr-FR"/>
        </w:rPr>
        <w:tab/>
        <w:t xml:space="preserve">Étape 1 − Classification fondée sur des données humaines, des données animales normalisées, des méthodes définies ou des méthodes </w:t>
      </w:r>
      <w:r w:rsidRPr="00950D73">
        <w:rPr>
          <w:rFonts w:asciiTheme="majorBidi" w:hAnsiTheme="majorBidi" w:cstheme="majorBidi"/>
          <w:i/>
          <w:iCs/>
          <w:lang w:val="fr-FR"/>
        </w:rPr>
        <w:t xml:space="preserve">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lang w:val="fr-FR"/>
        </w:rPr>
        <w:t>/in vitro</w:t>
      </w:r>
      <w:r w:rsidRPr="00950D73">
        <w:rPr>
          <w:rFonts w:asciiTheme="majorBidi" w:hAnsiTheme="majorBidi" w:cstheme="majorBidi"/>
          <w:i/>
          <w:iCs/>
          <w:lang w:val="fr-FR"/>
        </w:rPr>
        <w:t xml:space="preserve"> </w:t>
      </w:r>
      <w:r w:rsidRPr="00950D73">
        <w:rPr>
          <w:rFonts w:asciiTheme="majorBidi" w:hAnsiTheme="majorBidi" w:cstheme="majorBidi"/>
          <w:lang w:val="fr-FR"/>
        </w:rPr>
        <w:t>autonomes</w:t>
      </w:r>
    </w:p>
    <w:p w14:paraId="43834D73" w14:textId="759B0D59" w:rsidR="0084064C" w:rsidRPr="00950D73" w:rsidRDefault="00ED1673" w:rsidP="00ED1673">
      <w:pPr>
        <w:pStyle w:val="SingleTxtG"/>
        <w:keepNext/>
        <w:tabs>
          <w:tab w:val="clear" w:pos="2268"/>
          <w:tab w:val="clear" w:pos="2835"/>
          <w:tab w:val="left" w:pos="3402"/>
        </w:tabs>
        <w:ind w:left="2268"/>
        <w:rPr>
          <w:rFonts w:asciiTheme="majorBidi" w:hAnsiTheme="majorBidi" w:cstheme="majorBidi"/>
          <w:lang w:val="fr-FR"/>
        </w:rPr>
      </w:pPr>
      <w:r>
        <w:rPr>
          <w:rFonts w:asciiTheme="majorBidi" w:hAnsiTheme="majorBidi" w:cstheme="majorBidi"/>
          <w:lang w:val="fr-FR"/>
        </w:rPr>
        <w:tab/>
      </w:r>
      <w:r w:rsidR="0084064C" w:rsidRPr="00950D73">
        <w:rPr>
          <w:rFonts w:asciiTheme="majorBidi" w:hAnsiTheme="majorBidi" w:cstheme="majorBidi"/>
          <w:lang w:val="fr-FR"/>
        </w:rPr>
        <w:t xml:space="preserve">Pour le classement d’une substance, les éléments de preuve de l’étape 1 peuvent comprendre des données provenant de l’une ou de toutes les sources de preuves suivantes. </w:t>
      </w:r>
      <w:r w:rsidR="0084064C" w:rsidRPr="00950D73">
        <w:rPr>
          <w:rFonts w:asciiTheme="majorBidi" w:hAnsiTheme="majorBidi" w:cstheme="majorBidi"/>
          <w:bCs/>
          <w:lang w:val="fr-FR"/>
        </w:rPr>
        <w:t xml:space="preserve">Lorsque les données de l’étape 1 sont incohérentes ou contradictoires, la conclusion est déterminée </w:t>
      </w:r>
      <w:r w:rsidR="0084064C" w:rsidRPr="00950D73">
        <w:rPr>
          <w:rFonts w:asciiTheme="majorBidi" w:hAnsiTheme="majorBidi" w:cstheme="majorBidi"/>
          <w:lang w:val="fr-FR"/>
        </w:rPr>
        <w:t xml:space="preserve">par une évaluation de la force probante des données : </w:t>
      </w:r>
    </w:p>
    <w:p w14:paraId="1F3F19A2" w14:textId="6CF5A8E2" w:rsidR="0084064C" w:rsidRPr="00950D73" w:rsidRDefault="0084064C" w:rsidP="0084064C">
      <w:pPr>
        <w:pStyle w:val="SingleTxtG"/>
        <w:ind w:left="2835" w:hanging="567"/>
        <w:rPr>
          <w:rFonts w:asciiTheme="majorBidi" w:hAnsiTheme="majorBidi" w:cstheme="majorBidi"/>
          <w:snapToGrid w:val="0"/>
          <w:lang w:val="fr-FR"/>
        </w:rPr>
      </w:pPr>
      <w:r w:rsidRPr="00950D73">
        <w:rPr>
          <w:rFonts w:asciiTheme="majorBidi" w:hAnsiTheme="majorBidi" w:cstheme="majorBidi"/>
          <w:snapToGrid w:val="0"/>
          <w:lang w:val="fr-FR"/>
        </w:rPr>
        <w:t>a)</w:t>
      </w:r>
      <w:r w:rsidRPr="00950D73">
        <w:rPr>
          <w:rFonts w:asciiTheme="majorBidi" w:hAnsiTheme="majorBidi" w:cstheme="majorBidi"/>
          <w:snapToGrid w:val="0"/>
          <w:lang w:val="fr-FR"/>
        </w:rPr>
        <w:tab/>
        <w:t xml:space="preserve">Études expérimentales chez l’homme (par exemple, test épicutané prédictif, </w:t>
      </w:r>
      <w:r w:rsidRPr="00950D73">
        <w:rPr>
          <w:rFonts w:asciiTheme="majorBidi" w:hAnsiTheme="majorBidi" w:cstheme="majorBidi"/>
          <w:lang w:val="fr-FR"/>
        </w:rPr>
        <w:t>test épicutané chez l’homme par applications répétées (</w:t>
      </w:r>
      <w:r w:rsidRPr="00950D73">
        <w:rPr>
          <w:rFonts w:asciiTheme="majorBidi" w:hAnsiTheme="majorBidi" w:cstheme="majorBidi"/>
          <w:snapToGrid w:val="0"/>
          <w:lang w:val="fr-FR"/>
        </w:rPr>
        <w:t xml:space="preserve">HRIPT), </w:t>
      </w:r>
      <w:r w:rsidRPr="00950D73">
        <w:rPr>
          <w:rFonts w:asciiTheme="majorBidi" w:hAnsiTheme="majorBidi" w:cstheme="majorBidi"/>
          <w:lang w:val="fr-FR"/>
        </w:rPr>
        <w:t>test de maximalisation chez l’homme (</w:t>
      </w:r>
      <w:r w:rsidRPr="00950D73">
        <w:rPr>
          <w:rFonts w:asciiTheme="majorBidi" w:hAnsiTheme="majorBidi" w:cstheme="majorBidi"/>
          <w:snapToGrid w:val="0"/>
          <w:lang w:val="fr-FR"/>
        </w:rPr>
        <w:t xml:space="preserve">HMT) (voir 1.3.2.4.7, les </w:t>
      </w:r>
      <w:r w:rsidRPr="00950D73">
        <w:rPr>
          <w:rFonts w:asciiTheme="majorBidi" w:hAnsiTheme="majorBidi" w:cstheme="majorBidi"/>
          <w:snapToGrid w:val="0"/>
          <w:lang w:val="fr-FR"/>
        </w:rPr>
        <w:lastRenderedPageBreak/>
        <w:t>critères aux 3.4.2.2.2.2 a) et 3.4.2.2.2.3 a) et les orientations au 3.4.5.3.2) ;</w:t>
      </w:r>
    </w:p>
    <w:p w14:paraId="52C7220F" w14:textId="275CE063" w:rsidR="0084064C" w:rsidRPr="00950D73" w:rsidRDefault="0084064C" w:rsidP="0084064C">
      <w:pPr>
        <w:pStyle w:val="SingleTxtG"/>
        <w:ind w:left="2835" w:hanging="567"/>
        <w:rPr>
          <w:rFonts w:asciiTheme="majorBidi" w:hAnsiTheme="majorBidi" w:cstheme="majorBidi"/>
          <w:snapToGrid w:val="0"/>
          <w:lang w:val="fr-FR"/>
        </w:rPr>
      </w:pPr>
      <w:r w:rsidRPr="00950D73">
        <w:rPr>
          <w:rFonts w:asciiTheme="majorBidi" w:hAnsiTheme="majorBidi" w:cstheme="majorBidi"/>
          <w:snapToGrid w:val="0"/>
          <w:lang w:val="fr-FR"/>
        </w:rPr>
        <w:t>b)</w:t>
      </w:r>
      <w:r w:rsidRPr="00950D73">
        <w:rPr>
          <w:rFonts w:asciiTheme="majorBidi" w:hAnsiTheme="majorBidi" w:cstheme="majorBidi"/>
          <w:snapToGrid w:val="0"/>
          <w:lang w:val="fr-FR"/>
        </w:rPr>
        <w:tab/>
        <w:t>Études épidémiologiques (par exemple, études de cas-témoins, études prospectives) évaluant la dermatite allergique de contact (voir 1.3.2.4.7, les critères au 3.4.2.2.2.2 b) et c) et 3.4.2.2.2.3 b) et c) et les orientations au 3.4.5.3.2) ;</w:t>
      </w:r>
    </w:p>
    <w:p w14:paraId="3C727ADB" w14:textId="77777777" w:rsidR="0084064C" w:rsidRPr="00950D73" w:rsidRDefault="0084064C" w:rsidP="0084064C">
      <w:pPr>
        <w:pStyle w:val="SingleTxtG"/>
        <w:ind w:left="2835" w:hanging="567"/>
        <w:rPr>
          <w:rFonts w:asciiTheme="majorBidi" w:hAnsiTheme="majorBidi" w:cstheme="majorBidi"/>
          <w:snapToGrid w:val="0"/>
          <w:lang w:val="fr-FR"/>
        </w:rPr>
      </w:pPr>
      <w:r w:rsidRPr="00950D73">
        <w:rPr>
          <w:rFonts w:asciiTheme="majorBidi" w:hAnsiTheme="majorBidi" w:cstheme="majorBidi"/>
          <w:snapToGrid w:val="0"/>
          <w:lang w:val="fr-FR"/>
        </w:rPr>
        <w:t>c)</w:t>
      </w:r>
      <w:r w:rsidRPr="00950D73">
        <w:rPr>
          <w:rFonts w:asciiTheme="majorBidi" w:hAnsiTheme="majorBidi" w:cstheme="majorBidi"/>
          <w:snapToGrid w:val="0"/>
          <w:lang w:val="fr-FR"/>
        </w:rPr>
        <w:tab/>
        <w:t>Cas bien documentés de dermatite allergique de contact (voir les critères aux 3.4.2.2.2.2 b) et 3.4.2.2.2.3 b) et les orientations au 3.4.5.3.2) ;</w:t>
      </w:r>
    </w:p>
    <w:p w14:paraId="0EE0027F" w14:textId="77777777" w:rsidR="0084064C" w:rsidRPr="00950D73" w:rsidRDefault="0084064C" w:rsidP="0084064C">
      <w:pPr>
        <w:pStyle w:val="SingleTxtG"/>
        <w:ind w:left="2835" w:hanging="567"/>
        <w:rPr>
          <w:rFonts w:asciiTheme="majorBidi" w:hAnsiTheme="majorBidi" w:cstheme="majorBidi"/>
          <w:snapToGrid w:val="0"/>
          <w:lang w:val="fr-FR"/>
        </w:rPr>
      </w:pPr>
      <w:r w:rsidRPr="00950D73">
        <w:rPr>
          <w:rFonts w:asciiTheme="majorBidi" w:hAnsiTheme="majorBidi" w:cstheme="majorBidi"/>
          <w:snapToGrid w:val="0"/>
          <w:lang w:val="fr-FR"/>
        </w:rPr>
        <w:t>d)</w:t>
      </w:r>
      <w:r w:rsidRPr="00950D73">
        <w:rPr>
          <w:rFonts w:asciiTheme="majorBidi" w:hAnsiTheme="majorBidi" w:cstheme="majorBidi"/>
          <w:snapToGrid w:val="0"/>
          <w:lang w:val="fr-FR"/>
        </w:rPr>
        <w:tab/>
        <w:t>Études animales appropriées (voir les critères au 3.4.2.2.3 et les orientations au 3.4.5.3.3) ;</w:t>
      </w:r>
    </w:p>
    <w:p w14:paraId="42CC7AEF" w14:textId="5F3447DC" w:rsidR="0084064C" w:rsidRPr="00950D73" w:rsidRDefault="0084064C" w:rsidP="0084064C">
      <w:pPr>
        <w:pStyle w:val="SingleTxtG"/>
        <w:ind w:left="2835" w:hanging="567"/>
        <w:rPr>
          <w:rFonts w:asciiTheme="majorBidi" w:hAnsiTheme="majorBidi" w:cstheme="majorBidi"/>
          <w:snapToGrid w:val="0"/>
          <w:lang w:val="fr-FR"/>
        </w:rPr>
      </w:pPr>
      <w:r w:rsidRPr="00950D73">
        <w:rPr>
          <w:rFonts w:asciiTheme="majorBidi" w:hAnsiTheme="majorBidi" w:cstheme="majorBidi"/>
          <w:snapToGrid w:val="0"/>
          <w:lang w:val="fr-FR"/>
        </w:rPr>
        <w:t>e)</w:t>
      </w:r>
      <w:r w:rsidRPr="00950D73">
        <w:rPr>
          <w:rFonts w:asciiTheme="majorBidi" w:hAnsiTheme="majorBidi" w:cstheme="majorBidi"/>
          <w:snapToGrid w:val="0"/>
          <w:lang w:val="fr-FR"/>
        </w:rPr>
        <w:tab/>
        <w:t>Méthodes définies validées selon les procédures internationales (voir</w:t>
      </w:r>
      <w:r w:rsidR="00ED1673">
        <w:rPr>
          <w:rFonts w:asciiTheme="majorBidi" w:hAnsiTheme="majorBidi" w:cstheme="majorBidi"/>
          <w:snapToGrid w:val="0"/>
          <w:lang w:val="fr-FR"/>
        </w:rPr>
        <w:t> </w:t>
      </w:r>
      <w:r w:rsidRPr="00950D73">
        <w:rPr>
          <w:rFonts w:asciiTheme="majorBidi" w:hAnsiTheme="majorBidi" w:cstheme="majorBidi"/>
          <w:snapToGrid w:val="0"/>
          <w:lang w:val="fr-FR"/>
        </w:rPr>
        <w:t>3.4.2.2.4, les orientations au 3.4.5.3.4 et le tableau 3.4.</w:t>
      </w:r>
      <w:r w:rsidR="00D57C7D" w:rsidRPr="00950D73">
        <w:rPr>
          <w:rFonts w:asciiTheme="majorBidi" w:hAnsiTheme="majorBidi" w:cstheme="majorBidi"/>
          <w:snapToGrid w:val="0"/>
          <w:lang w:val="fr-FR"/>
        </w:rPr>
        <w:t>7</w:t>
      </w:r>
      <w:r w:rsidRPr="00950D73">
        <w:rPr>
          <w:rFonts w:asciiTheme="majorBidi" w:hAnsiTheme="majorBidi" w:cstheme="majorBidi"/>
          <w:snapToGrid w:val="0"/>
          <w:lang w:val="fr-FR"/>
        </w:rPr>
        <w:t>) ;</w:t>
      </w:r>
    </w:p>
    <w:p w14:paraId="3994F087" w14:textId="1B094278" w:rsidR="0084064C" w:rsidRPr="00950D73" w:rsidRDefault="0084064C" w:rsidP="0084064C">
      <w:pPr>
        <w:pStyle w:val="SingleTxtG"/>
        <w:ind w:left="2835" w:hanging="567"/>
        <w:rPr>
          <w:rFonts w:asciiTheme="majorBidi" w:hAnsiTheme="majorBidi" w:cstheme="majorBidi"/>
          <w:snapToGrid w:val="0"/>
          <w:lang w:val="fr-FR"/>
        </w:rPr>
      </w:pPr>
      <w:r w:rsidRPr="00950D73">
        <w:rPr>
          <w:rFonts w:asciiTheme="majorBidi" w:hAnsiTheme="majorBidi" w:cstheme="majorBidi"/>
          <w:snapToGrid w:val="0"/>
          <w:lang w:val="fr-FR"/>
        </w:rPr>
        <w:t>f)</w:t>
      </w:r>
      <w:r w:rsidRPr="00950D73">
        <w:rPr>
          <w:rFonts w:asciiTheme="majorBidi" w:hAnsiTheme="majorBidi" w:cstheme="majorBidi"/>
          <w:snapToGrid w:val="0"/>
          <w:lang w:val="fr-FR"/>
        </w:rPr>
        <w:tab/>
        <w:t xml:space="preserve">Méthodes autonomes </w:t>
      </w:r>
      <w:r w:rsidRPr="00950D73">
        <w:rPr>
          <w:rFonts w:asciiTheme="majorBidi" w:hAnsiTheme="majorBidi" w:cstheme="majorBidi"/>
          <w:i/>
          <w:snapToGrid w:val="0"/>
          <w:lang w:val="fr-FR"/>
        </w:rPr>
        <w:t xml:space="preserve">in </w:t>
      </w:r>
      <w:proofErr w:type="spellStart"/>
      <w:r w:rsidRPr="00950D73">
        <w:rPr>
          <w:rFonts w:asciiTheme="majorBidi" w:hAnsiTheme="majorBidi" w:cstheme="majorBidi"/>
          <w:i/>
          <w:snapToGrid w:val="0"/>
          <w:lang w:val="fr-FR"/>
        </w:rPr>
        <w:t>chemico</w:t>
      </w:r>
      <w:proofErr w:type="spellEnd"/>
      <w:r w:rsidRPr="00950D73">
        <w:rPr>
          <w:rFonts w:asciiTheme="majorBidi" w:hAnsiTheme="majorBidi" w:cstheme="majorBidi"/>
          <w:i/>
          <w:snapToGrid w:val="0"/>
          <w:lang w:val="fr-FR"/>
        </w:rPr>
        <w:t>/</w:t>
      </w:r>
      <w:r w:rsidRPr="00950D73">
        <w:rPr>
          <w:rFonts w:asciiTheme="majorBidi" w:hAnsiTheme="majorBidi" w:cstheme="majorBidi"/>
          <w:iCs/>
          <w:snapToGrid w:val="0"/>
          <w:lang w:val="fr-FR"/>
        </w:rPr>
        <w:t>in vitro</w:t>
      </w:r>
      <w:r w:rsidRPr="00950D73">
        <w:rPr>
          <w:rFonts w:asciiTheme="majorBidi" w:hAnsiTheme="majorBidi" w:cstheme="majorBidi"/>
          <w:i/>
          <w:snapToGrid w:val="0"/>
          <w:lang w:val="fr-FR"/>
        </w:rPr>
        <w:t xml:space="preserve"> </w:t>
      </w:r>
      <w:r w:rsidRPr="00950D73">
        <w:rPr>
          <w:rFonts w:asciiTheme="majorBidi" w:hAnsiTheme="majorBidi" w:cstheme="majorBidi"/>
          <w:snapToGrid w:val="0"/>
          <w:lang w:val="fr-FR"/>
        </w:rPr>
        <w:t>validées selon les procédures internationales (voir 3.4.2.2.5, les orientations au 3.4.5.3.5 et le tableau</w:t>
      </w:r>
      <w:r w:rsidR="00ED1673">
        <w:rPr>
          <w:rFonts w:asciiTheme="majorBidi" w:hAnsiTheme="majorBidi" w:cstheme="majorBidi"/>
          <w:snapToGrid w:val="0"/>
          <w:lang w:val="fr-FR"/>
        </w:rPr>
        <w:t> </w:t>
      </w:r>
      <w:r w:rsidRPr="00950D73">
        <w:rPr>
          <w:rFonts w:asciiTheme="majorBidi" w:hAnsiTheme="majorBidi" w:cstheme="majorBidi"/>
          <w:snapToGrid w:val="0"/>
          <w:lang w:val="fr-FR"/>
        </w:rPr>
        <w:t>3.4.</w:t>
      </w:r>
      <w:r w:rsidR="00D57C7D" w:rsidRPr="00950D73">
        <w:rPr>
          <w:rFonts w:asciiTheme="majorBidi" w:hAnsiTheme="majorBidi" w:cstheme="majorBidi"/>
          <w:snapToGrid w:val="0"/>
          <w:lang w:val="fr-FR"/>
        </w:rPr>
        <w:t>8</w:t>
      </w:r>
      <w:r w:rsidRPr="00950D73">
        <w:rPr>
          <w:rFonts w:asciiTheme="majorBidi" w:hAnsiTheme="majorBidi" w:cstheme="majorBidi"/>
          <w:snapToGrid w:val="0"/>
          <w:lang w:val="fr-FR"/>
        </w:rPr>
        <w:t>).</w:t>
      </w:r>
    </w:p>
    <w:p w14:paraId="21DC2C62" w14:textId="0F40766A" w:rsidR="0084064C" w:rsidRPr="00950D73" w:rsidRDefault="0084064C" w:rsidP="00B26F6E">
      <w:pPr>
        <w:pStyle w:val="SingleTxtG"/>
        <w:keepNext/>
        <w:ind w:left="2268"/>
        <w:rPr>
          <w:rFonts w:asciiTheme="majorBidi" w:hAnsiTheme="majorBidi" w:cstheme="majorBidi"/>
          <w:lang w:val="fr-FR"/>
        </w:rPr>
      </w:pPr>
      <w:r w:rsidRPr="00950D73">
        <w:rPr>
          <w:rFonts w:asciiTheme="majorBidi" w:hAnsiTheme="majorBidi" w:cstheme="majorBidi"/>
          <w:lang w:val="fr-FR"/>
        </w:rPr>
        <w:t>3.4.2.2.7.3</w:t>
      </w:r>
      <w:r w:rsidRPr="00950D73">
        <w:rPr>
          <w:rFonts w:asciiTheme="majorBidi" w:hAnsiTheme="majorBidi" w:cstheme="majorBidi"/>
          <w:lang w:val="fr-FR"/>
        </w:rPr>
        <w:tab/>
        <w:t xml:space="preserve">Étape 2 − </w:t>
      </w:r>
      <w:r w:rsidRPr="00950D73">
        <w:rPr>
          <w:rFonts w:asciiTheme="majorBidi" w:hAnsiTheme="majorBidi" w:cstheme="majorBidi"/>
          <w:bCs/>
          <w:lang w:val="fr-FR"/>
        </w:rPr>
        <w:t xml:space="preserve">Classification fondée sur des données non concluantes de l’étape 1, des méthodes </w:t>
      </w:r>
      <w:r w:rsidRPr="00950D73">
        <w:rPr>
          <w:rFonts w:asciiTheme="majorBidi" w:hAnsiTheme="majorBidi" w:cstheme="majorBidi"/>
          <w:bCs/>
          <w:i/>
          <w:iCs/>
          <w:lang w:val="fr-FR"/>
        </w:rPr>
        <w:t xml:space="preserve">in </w:t>
      </w:r>
      <w:proofErr w:type="spellStart"/>
      <w:r w:rsidRPr="00950D73">
        <w:rPr>
          <w:rFonts w:asciiTheme="majorBidi" w:hAnsiTheme="majorBidi" w:cstheme="majorBidi"/>
          <w:bCs/>
          <w:i/>
          <w:iCs/>
          <w:lang w:val="fr-FR"/>
        </w:rPr>
        <w:t>chemico</w:t>
      </w:r>
      <w:proofErr w:type="spellEnd"/>
      <w:r w:rsidRPr="00950D73">
        <w:rPr>
          <w:rFonts w:asciiTheme="majorBidi" w:hAnsiTheme="majorBidi" w:cstheme="majorBidi"/>
          <w:bCs/>
          <w:i/>
          <w:iCs/>
          <w:lang w:val="fr-FR"/>
        </w:rPr>
        <w:t>/</w:t>
      </w:r>
      <w:r w:rsidRPr="00950D73">
        <w:rPr>
          <w:rFonts w:asciiTheme="majorBidi" w:hAnsiTheme="majorBidi" w:cstheme="majorBidi"/>
          <w:bCs/>
          <w:lang w:val="fr-FR"/>
        </w:rPr>
        <w:t>in vitro</w:t>
      </w:r>
      <w:r w:rsidRPr="00950D73">
        <w:rPr>
          <w:rFonts w:asciiTheme="majorBidi" w:hAnsiTheme="majorBidi" w:cstheme="majorBidi"/>
          <w:bCs/>
          <w:i/>
          <w:iCs/>
          <w:lang w:val="fr-FR"/>
        </w:rPr>
        <w:t xml:space="preserve"> </w:t>
      </w:r>
      <w:r w:rsidRPr="00950D73">
        <w:rPr>
          <w:rFonts w:asciiTheme="majorBidi" w:hAnsiTheme="majorBidi" w:cstheme="majorBidi"/>
          <w:bCs/>
          <w:lang w:val="fr-FR"/>
        </w:rPr>
        <w:t>non autonomes</w:t>
      </w:r>
      <w:r w:rsidR="00B23308" w:rsidRPr="00950D73">
        <w:rPr>
          <w:rFonts w:asciiTheme="majorBidi" w:hAnsiTheme="majorBidi" w:cstheme="majorBidi"/>
          <w:bCs/>
          <w:lang w:val="fr-FR"/>
        </w:rPr>
        <w:t xml:space="preserve"> ou</w:t>
      </w:r>
      <w:r w:rsidRPr="00950D73">
        <w:rPr>
          <w:rFonts w:asciiTheme="majorBidi" w:hAnsiTheme="majorBidi" w:cstheme="majorBidi"/>
          <w:bCs/>
          <w:lang w:val="fr-FR"/>
        </w:rPr>
        <w:t xml:space="preserve"> des méthodes non fondées sur des essais </w:t>
      </w:r>
    </w:p>
    <w:p w14:paraId="169F6E11" w14:textId="231F0AD7" w:rsidR="0084064C" w:rsidRPr="00950D73" w:rsidRDefault="00B26F6E" w:rsidP="00B26F6E">
      <w:pPr>
        <w:pStyle w:val="SingleTxtG"/>
        <w:tabs>
          <w:tab w:val="clear" w:pos="2835"/>
          <w:tab w:val="left" w:pos="3402"/>
        </w:tabs>
        <w:ind w:left="2268"/>
        <w:rPr>
          <w:rFonts w:asciiTheme="majorBidi" w:hAnsiTheme="majorBidi" w:cstheme="majorBidi"/>
          <w:lang w:val="fr-FR"/>
        </w:rPr>
      </w:pPr>
      <w:r w:rsidRPr="00950D73">
        <w:rPr>
          <w:rFonts w:asciiTheme="majorBidi" w:hAnsiTheme="majorBidi" w:cstheme="majorBidi"/>
          <w:lang w:val="fr-FR"/>
        </w:rPr>
        <w:tab/>
      </w:r>
      <w:r w:rsidR="0084064C" w:rsidRPr="00950D73">
        <w:rPr>
          <w:rFonts w:asciiTheme="majorBidi" w:hAnsiTheme="majorBidi" w:cstheme="majorBidi"/>
          <w:lang w:val="fr-FR"/>
        </w:rPr>
        <w:t xml:space="preserve">Dans le cas où une conclusion définitive concernant le classement, y compris la sous-catégorisation lorsqu’elle est exigée par une autorité compétente, ne peut être tirée </w:t>
      </w:r>
      <w:r w:rsidR="0084064C" w:rsidRPr="00950D73">
        <w:rPr>
          <w:rFonts w:asciiTheme="majorBidi" w:hAnsiTheme="majorBidi" w:cstheme="majorBidi"/>
          <w:bCs/>
          <w:lang w:val="fr-FR"/>
        </w:rPr>
        <w:t>de l’étape </w:t>
      </w:r>
      <w:r w:rsidR="0084064C" w:rsidRPr="00950D73">
        <w:rPr>
          <w:rFonts w:asciiTheme="majorBidi" w:hAnsiTheme="majorBidi" w:cstheme="majorBidi"/>
          <w:lang w:val="fr-FR"/>
        </w:rPr>
        <w:t xml:space="preserve">1, des éléments de preuve supplémentaires doivent être pris en compte dans l’évaluation de la force probante des données </w:t>
      </w:r>
      <w:r w:rsidR="0084064C" w:rsidRPr="00950D73">
        <w:rPr>
          <w:rFonts w:asciiTheme="majorBidi" w:hAnsiTheme="majorBidi" w:cstheme="majorBidi"/>
          <w:bCs/>
          <w:lang w:val="fr-FR"/>
        </w:rPr>
        <w:t>de l’étape </w:t>
      </w:r>
      <w:r w:rsidR="0084064C" w:rsidRPr="00950D73">
        <w:rPr>
          <w:rFonts w:asciiTheme="majorBidi" w:hAnsiTheme="majorBidi" w:cstheme="majorBidi"/>
          <w:lang w:val="fr-FR"/>
        </w:rPr>
        <w:t>2. Ces éléments peuvent comprendre :</w:t>
      </w:r>
    </w:p>
    <w:p w14:paraId="7D4E3A12" w14:textId="77777777" w:rsidR="0084064C" w:rsidRPr="00950D73" w:rsidRDefault="0084064C" w:rsidP="0084064C">
      <w:pPr>
        <w:pStyle w:val="SingleTxtG"/>
        <w:ind w:left="2835" w:hanging="567"/>
        <w:rPr>
          <w:rFonts w:asciiTheme="majorBidi" w:hAnsiTheme="majorBidi" w:cstheme="majorBidi"/>
          <w:bCs/>
          <w:lang w:val="fr-FR"/>
        </w:rPr>
      </w:pPr>
      <w:r w:rsidRPr="00950D73">
        <w:rPr>
          <w:rFonts w:asciiTheme="majorBidi" w:hAnsiTheme="majorBidi" w:cstheme="majorBidi"/>
          <w:bCs/>
          <w:lang w:val="fr-FR"/>
        </w:rPr>
        <w:t>a)</w:t>
      </w:r>
      <w:r w:rsidRPr="00950D73">
        <w:rPr>
          <w:rFonts w:asciiTheme="majorBidi" w:hAnsiTheme="majorBidi" w:cstheme="majorBidi"/>
          <w:bCs/>
          <w:lang w:val="fr-FR"/>
        </w:rPr>
        <w:tab/>
        <w:t xml:space="preserve">Des données obtenues au moyen de méthodes </w:t>
      </w:r>
      <w:r w:rsidRPr="00950D73">
        <w:rPr>
          <w:rFonts w:asciiTheme="majorBidi" w:hAnsiTheme="majorBidi" w:cstheme="majorBidi"/>
          <w:bCs/>
          <w:i/>
          <w:lang w:val="fr-FR"/>
        </w:rPr>
        <w:t xml:space="preserve">in </w:t>
      </w:r>
      <w:proofErr w:type="spellStart"/>
      <w:r w:rsidRPr="00950D73">
        <w:rPr>
          <w:rFonts w:asciiTheme="majorBidi" w:hAnsiTheme="majorBidi" w:cstheme="majorBidi"/>
          <w:bCs/>
          <w:i/>
          <w:lang w:val="fr-FR"/>
        </w:rPr>
        <w:t>chemico</w:t>
      </w:r>
      <w:proofErr w:type="spellEnd"/>
      <w:r w:rsidRPr="00950D73">
        <w:rPr>
          <w:rFonts w:asciiTheme="majorBidi" w:hAnsiTheme="majorBidi" w:cstheme="majorBidi"/>
          <w:bCs/>
          <w:i/>
          <w:lang w:val="fr-FR"/>
        </w:rPr>
        <w:t>/</w:t>
      </w:r>
      <w:r w:rsidRPr="00950D73">
        <w:rPr>
          <w:rFonts w:asciiTheme="majorBidi" w:hAnsiTheme="majorBidi" w:cstheme="majorBidi"/>
          <w:bCs/>
          <w:iCs/>
          <w:lang w:val="fr-FR"/>
        </w:rPr>
        <w:t>in vitro</w:t>
      </w:r>
      <w:r w:rsidRPr="00950D73">
        <w:rPr>
          <w:rFonts w:asciiTheme="majorBidi" w:hAnsiTheme="majorBidi" w:cstheme="majorBidi"/>
          <w:bCs/>
          <w:i/>
          <w:iCs/>
          <w:lang w:val="fr-FR"/>
        </w:rPr>
        <w:t xml:space="preserve"> </w:t>
      </w:r>
      <w:r w:rsidRPr="00950D73">
        <w:rPr>
          <w:rFonts w:asciiTheme="majorBidi" w:hAnsiTheme="majorBidi" w:cstheme="majorBidi"/>
          <w:bCs/>
          <w:lang w:val="fr-FR"/>
        </w:rPr>
        <w:t>non normalisées (voir 3.4.2.2.5 et 3.4.5.3.5) ;</w:t>
      </w:r>
    </w:p>
    <w:p w14:paraId="3D16B1B6" w14:textId="12EB7909" w:rsidR="0084064C" w:rsidRPr="00950D73" w:rsidRDefault="0084064C" w:rsidP="0084064C">
      <w:pPr>
        <w:pStyle w:val="SingleTxtG"/>
        <w:ind w:left="2835" w:hanging="567"/>
        <w:rPr>
          <w:rFonts w:asciiTheme="majorBidi" w:hAnsiTheme="majorBidi" w:cstheme="majorBidi"/>
          <w:bCs/>
          <w:lang w:val="fr-FR"/>
        </w:rPr>
      </w:pPr>
      <w:r w:rsidRPr="00950D73">
        <w:rPr>
          <w:rFonts w:asciiTheme="majorBidi" w:hAnsiTheme="majorBidi" w:cstheme="majorBidi"/>
          <w:bCs/>
          <w:lang w:val="fr-FR"/>
        </w:rPr>
        <w:lastRenderedPageBreak/>
        <w:t>b)</w:t>
      </w:r>
      <w:r w:rsidRPr="00950D73">
        <w:rPr>
          <w:rFonts w:asciiTheme="majorBidi" w:hAnsiTheme="majorBidi" w:cstheme="majorBidi"/>
          <w:bCs/>
          <w:lang w:val="fr-FR"/>
        </w:rPr>
        <w:tab/>
        <w:t>Des données obtenues au moyen de méthodes non fondées sur des essais (voir 3.</w:t>
      </w:r>
      <w:r w:rsidR="00037F0C" w:rsidRPr="00950D73">
        <w:rPr>
          <w:rFonts w:asciiTheme="majorBidi" w:hAnsiTheme="majorBidi" w:cstheme="majorBidi"/>
          <w:bCs/>
          <w:lang w:val="fr-FR"/>
        </w:rPr>
        <w:t>4</w:t>
      </w:r>
      <w:r w:rsidRPr="00950D73">
        <w:rPr>
          <w:rFonts w:asciiTheme="majorBidi" w:hAnsiTheme="majorBidi" w:cstheme="majorBidi"/>
          <w:bCs/>
          <w:lang w:val="fr-FR"/>
        </w:rPr>
        <w:t>.2.2.6) ;</w:t>
      </w:r>
    </w:p>
    <w:p w14:paraId="31DD1BB2" w14:textId="52FE48FA" w:rsidR="0084064C" w:rsidRPr="00950D73" w:rsidRDefault="0084064C" w:rsidP="004F4758">
      <w:pPr>
        <w:pStyle w:val="SingleTxtG"/>
        <w:ind w:left="2268"/>
        <w:rPr>
          <w:rFonts w:asciiTheme="majorBidi" w:hAnsiTheme="majorBidi" w:cstheme="majorBidi"/>
          <w:lang w:val="fr-FR"/>
        </w:rPr>
      </w:pPr>
      <w:r w:rsidRPr="00950D73">
        <w:rPr>
          <w:rFonts w:asciiTheme="majorBidi" w:hAnsiTheme="majorBidi" w:cstheme="majorBidi"/>
          <w:lang w:val="fr-FR"/>
        </w:rPr>
        <w:t>3.4.2.2.7.4</w:t>
      </w:r>
      <w:r w:rsidRPr="00950D73">
        <w:rPr>
          <w:rFonts w:asciiTheme="majorBidi" w:hAnsiTheme="majorBidi" w:cstheme="majorBidi"/>
          <w:lang w:val="fr-FR"/>
        </w:rPr>
        <w:tab/>
        <w:t xml:space="preserve">Les éléments de preuve </w:t>
      </w:r>
      <w:r w:rsidRPr="00950D73">
        <w:rPr>
          <w:rFonts w:asciiTheme="majorBidi" w:hAnsiTheme="majorBidi" w:cstheme="majorBidi"/>
          <w:bCs/>
          <w:lang w:val="fr-FR"/>
        </w:rPr>
        <w:t xml:space="preserve">obtenus au moyen de </w:t>
      </w:r>
      <w:r w:rsidRPr="00950D73">
        <w:rPr>
          <w:rFonts w:asciiTheme="majorBidi" w:hAnsiTheme="majorBidi" w:cstheme="majorBidi"/>
          <w:lang w:val="fr-FR"/>
        </w:rPr>
        <w:t xml:space="preserve">méthodes </w:t>
      </w:r>
      <w:r w:rsidRPr="00950D73">
        <w:rPr>
          <w:rFonts w:asciiTheme="majorBidi" w:hAnsiTheme="majorBidi" w:cstheme="majorBidi"/>
          <w:i/>
          <w:iCs/>
          <w:lang w:val="fr-FR"/>
        </w:rPr>
        <w:t xml:space="preserve">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w:t>
      </w:r>
      <w:r w:rsidRPr="00950D73">
        <w:rPr>
          <w:rFonts w:asciiTheme="majorBidi" w:hAnsiTheme="majorBidi" w:cstheme="majorBidi"/>
          <w:lang w:val="fr-FR"/>
        </w:rPr>
        <w:t>in vitro</w:t>
      </w:r>
      <w:r w:rsidRPr="00950D73">
        <w:rPr>
          <w:rFonts w:asciiTheme="majorBidi" w:hAnsiTheme="majorBidi" w:cstheme="majorBidi"/>
          <w:i/>
          <w:iCs/>
          <w:lang w:val="fr-FR"/>
        </w:rPr>
        <w:t xml:space="preserve"> </w:t>
      </w:r>
      <w:r w:rsidRPr="00950D73">
        <w:rPr>
          <w:rFonts w:asciiTheme="majorBidi" w:hAnsiTheme="majorBidi" w:cstheme="majorBidi"/>
          <w:lang w:val="fr-FR"/>
        </w:rPr>
        <w:t xml:space="preserve">non autonomes et de méthodes non fondées sur des essais ne doivent pas être pris en compte à ce stade si ces données sont déjà utilisées dans une méthode définie au titre du 3.4.2.2.7.2. </w:t>
      </w:r>
    </w:p>
    <w:p w14:paraId="0A7C59B4" w14:textId="0F8F25EB" w:rsidR="0084064C" w:rsidRPr="00950D73" w:rsidRDefault="0084064C" w:rsidP="004F4758">
      <w:pPr>
        <w:pStyle w:val="SingleTxtG"/>
        <w:ind w:left="2268"/>
        <w:rPr>
          <w:rFonts w:asciiTheme="majorBidi" w:hAnsiTheme="majorBidi" w:cstheme="majorBidi"/>
          <w:iCs/>
          <w:lang w:val="fr-FR"/>
        </w:rPr>
      </w:pPr>
      <w:r w:rsidRPr="00950D73">
        <w:rPr>
          <w:rFonts w:asciiTheme="majorBidi" w:hAnsiTheme="majorBidi" w:cstheme="majorBidi"/>
          <w:iCs/>
          <w:lang w:val="fr-FR"/>
        </w:rPr>
        <w:t>3.4.2.2.7.5</w:t>
      </w:r>
      <w:r w:rsidRPr="00950D73">
        <w:rPr>
          <w:rFonts w:asciiTheme="majorBidi" w:hAnsiTheme="majorBidi" w:cstheme="majorBidi"/>
          <w:iCs/>
          <w:lang w:val="fr-FR"/>
        </w:rPr>
        <w:tab/>
        <w:t xml:space="preserve">Les méthodes </w:t>
      </w:r>
      <w:r w:rsidRPr="00950D73">
        <w:rPr>
          <w:rFonts w:asciiTheme="majorBidi" w:hAnsiTheme="majorBidi" w:cstheme="majorBidi"/>
          <w:i/>
          <w:iCs/>
          <w:lang w:val="fr-FR"/>
        </w:rPr>
        <w:t xml:space="preserve">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w:t>
      </w:r>
      <w:r w:rsidRPr="00950D73">
        <w:rPr>
          <w:rFonts w:asciiTheme="majorBidi" w:hAnsiTheme="majorBidi" w:cstheme="majorBidi"/>
          <w:lang w:val="fr-FR"/>
        </w:rPr>
        <w:t xml:space="preserve">in vitro non normalisées </w:t>
      </w:r>
      <w:r w:rsidRPr="00950D73">
        <w:rPr>
          <w:rFonts w:asciiTheme="majorBidi" w:hAnsiTheme="majorBidi" w:cstheme="majorBidi"/>
          <w:iCs/>
          <w:lang w:val="fr-FR"/>
        </w:rPr>
        <w:t>validées selon des procédures internationales</w:t>
      </w:r>
      <w:r w:rsidR="00EC3FCF" w:rsidRPr="00950D73">
        <w:rPr>
          <w:rFonts w:asciiTheme="majorBidi" w:hAnsiTheme="majorBidi" w:cstheme="majorBidi"/>
          <w:iCs/>
          <w:lang w:val="fr-FR"/>
        </w:rPr>
        <w:t xml:space="preserve"> et</w:t>
      </w:r>
      <w:r w:rsidRPr="00950D73">
        <w:rPr>
          <w:rFonts w:asciiTheme="majorBidi" w:hAnsiTheme="majorBidi" w:cstheme="majorBidi"/>
          <w:iCs/>
          <w:lang w:val="fr-FR"/>
        </w:rPr>
        <w:t xml:space="preserve"> les méthodes non fondées sur des essais (y compris les méthodes de lecture croisée) peuvent être utilisées avec les données non concluantes </w:t>
      </w:r>
      <w:r w:rsidRPr="00950D73">
        <w:rPr>
          <w:rFonts w:asciiTheme="majorBidi" w:hAnsiTheme="majorBidi" w:cstheme="majorBidi"/>
          <w:bCs/>
          <w:lang w:val="fr-FR"/>
        </w:rPr>
        <w:t>de l’étape </w:t>
      </w:r>
      <w:r w:rsidRPr="00950D73">
        <w:rPr>
          <w:rFonts w:asciiTheme="majorBidi" w:hAnsiTheme="majorBidi" w:cstheme="majorBidi"/>
          <w:iCs/>
          <w:lang w:val="fr-FR"/>
        </w:rPr>
        <w:t>1 lors d’une évaluation de</w:t>
      </w:r>
      <w:r w:rsidRPr="00950D73">
        <w:rPr>
          <w:rFonts w:asciiTheme="majorBidi" w:hAnsiTheme="majorBidi" w:cstheme="majorBidi"/>
          <w:bCs/>
          <w:lang w:val="fr-FR"/>
        </w:rPr>
        <w:t xml:space="preserve"> la force probante des données</w:t>
      </w:r>
      <w:r w:rsidRPr="00950D73">
        <w:rPr>
          <w:rFonts w:asciiTheme="majorBidi" w:hAnsiTheme="majorBidi" w:cstheme="majorBidi"/>
          <w:iCs/>
          <w:lang w:val="fr-FR"/>
        </w:rPr>
        <w:t xml:space="preserve"> et doivent être utilisées dans cette deuxième étape car elles ne peuvent généralement pas être utilisées seules (à l’exception des méthodes de lecture croisée de bonne qualité). Toutefois, une autorité compétente peut décider qu’un résultat positif obtenu </w:t>
      </w:r>
      <w:r w:rsidRPr="00950D73">
        <w:rPr>
          <w:rFonts w:asciiTheme="majorBidi" w:hAnsiTheme="majorBidi" w:cstheme="majorBidi"/>
          <w:bCs/>
          <w:lang w:val="fr-FR"/>
        </w:rPr>
        <w:t xml:space="preserve">au moyen de </w:t>
      </w:r>
      <w:r w:rsidRPr="00950D73">
        <w:rPr>
          <w:rFonts w:asciiTheme="majorBidi" w:hAnsiTheme="majorBidi" w:cstheme="majorBidi"/>
          <w:iCs/>
          <w:lang w:val="fr-FR"/>
        </w:rPr>
        <w:t xml:space="preserve">l’une de ces méthodes </w:t>
      </w:r>
      <w:r w:rsidRPr="00950D73">
        <w:rPr>
          <w:rFonts w:asciiTheme="majorBidi" w:hAnsiTheme="majorBidi" w:cstheme="majorBidi"/>
          <w:i/>
          <w:lang w:val="fr-FR"/>
        </w:rPr>
        <w:t xml:space="preserve">in </w:t>
      </w:r>
      <w:proofErr w:type="spellStart"/>
      <w:r w:rsidRPr="00950D73">
        <w:rPr>
          <w:rFonts w:asciiTheme="majorBidi" w:hAnsiTheme="majorBidi" w:cstheme="majorBidi"/>
          <w:i/>
          <w:lang w:val="fr-FR"/>
        </w:rPr>
        <w:t>chemico</w:t>
      </w:r>
      <w:proofErr w:type="spellEnd"/>
      <w:r w:rsidRPr="00950D73">
        <w:rPr>
          <w:rFonts w:asciiTheme="majorBidi" w:hAnsiTheme="majorBidi" w:cstheme="majorBidi"/>
          <w:iCs/>
          <w:lang w:val="fr-FR"/>
        </w:rPr>
        <w:t>/in vitro</w:t>
      </w:r>
      <w:r w:rsidRPr="00950D73">
        <w:rPr>
          <w:rFonts w:asciiTheme="majorBidi" w:hAnsiTheme="majorBidi" w:cstheme="majorBidi"/>
          <w:i/>
          <w:lang w:val="fr-FR"/>
        </w:rPr>
        <w:t xml:space="preserve"> </w:t>
      </w:r>
      <w:r w:rsidRPr="00950D73">
        <w:rPr>
          <w:rFonts w:asciiTheme="majorBidi" w:hAnsiTheme="majorBidi" w:cstheme="majorBidi"/>
          <w:iCs/>
          <w:lang w:val="fr-FR"/>
        </w:rPr>
        <w:t>non autonomes peut être utilisé seul pour classer la substance dans la catégorie 1 (voir tableau 3.4.</w:t>
      </w:r>
      <w:r w:rsidR="0049669C" w:rsidRPr="00950D73">
        <w:rPr>
          <w:rFonts w:asciiTheme="majorBidi" w:hAnsiTheme="majorBidi" w:cstheme="majorBidi"/>
          <w:iCs/>
          <w:lang w:val="fr-FR"/>
        </w:rPr>
        <w:t>8</w:t>
      </w:r>
      <w:r w:rsidRPr="00950D73">
        <w:rPr>
          <w:rFonts w:asciiTheme="majorBidi" w:hAnsiTheme="majorBidi" w:cstheme="majorBidi"/>
          <w:iCs/>
          <w:lang w:val="fr-FR"/>
        </w:rPr>
        <w:t>).</w:t>
      </w:r>
    </w:p>
    <w:p w14:paraId="5F8A004B" w14:textId="5FAE6F54" w:rsidR="0084064C" w:rsidRPr="00950D73" w:rsidRDefault="0084064C" w:rsidP="004F4758">
      <w:pPr>
        <w:pStyle w:val="SingleTxtG"/>
        <w:keepNext/>
        <w:ind w:left="2268"/>
        <w:jc w:val="left"/>
        <w:rPr>
          <w:rFonts w:asciiTheme="majorBidi" w:hAnsiTheme="majorBidi" w:cstheme="majorBidi"/>
          <w:lang w:val="fr-FR"/>
        </w:rPr>
      </w:pPr>
      <w:r w:rsidRPr="00950D73">
        <w:rPr>
          <w:rFonts w:asciiTheme="majorBidi" w:hAnsiTheme="majorBidi" w:cstheme="majorBidi"/>
          <w:lang w:val="fr-FR"/>
        </w:rPr>
        <w:t>3.4.2.2.7.6</w:t>
      </w:r>
      <w:r w:rsidRPr="00950D73">
        <w:rPr>
          <w:rFonts w:asciiTheme="majorBidi" w:hAnsiTheme="majorBidi" w:cstheme="majorBidi"/>
          <w:lang w:val="fr-FR"/>
        </w:rPr>
        <w:tab/>
        <w:t xml:space="preserve">Étape 3 − </w:t>
      </w:r>
      <w:r w:rsidRPr="00950D73">
        <w:rPr>
          <w:rFonts w:asciiTheme="majorBidi" w:hAnsiTheme="majorBidi" w:cstheme="majorBidi"/>
          <w:bCs/>
          <w:lang w:val="fr-FR"/>
        </w:rPr>
        <w:t xml:space="preserve">Classification fondée sur la force probante globale des données, y compris les indicateurs supplémentaires </w:t>
      </w:r>
    </w:p>
    <w:p w14:paraId="4C3A1609" w14:textId="77777777" w:rsidR="0084064C" w:rsidRPr="00950D73" w:rsidRDefault="0084064C" w:rsidP="0084064C">
      <w:pPr>
        <w:pStyle w:val="SingleTxtG"/>
        <w:ind w:left="2268"/>
        <w:rPr>
          <w:rFonts w:asciiTheme="majorBidi" w:hAnsiTheme="majorBidi" w:cstheme="majorBidi"/>
          <w:strike/>
          <w:lang w:val="fr-FR"/>
        </w:rPr>
      </w:pPr>
      <w:r w:rsidRPr="00950D73">
        <w:rPr>
          <w:rFonts w:asciiTheme="majorBidi" w:hAnsiTheme="majorBidi" w:cstheme="majorBidi"/>
          <w:lang w:val="fr-FR"/>
        </w:rPr>
        <w:t>Si les étapes précédentes ne permettent pas de tirer une conclusion définitive en ce qui concerne le classement, y compris la sous-catégorisation lorsque l’autorité compétente l’exige, il convient de procéder à une évaluation globale de</w:t>
      </w:r>
      <w:r w:rsidRPr="00950D73">
        <w:rPr>
          <w:rFonts w:asciiTheme="majorBidi" w:hAnsiTheme="majorBidi" w:cstheme="majorBidi"/>
          <w:bCs/>
          <w:lang w:val="fr-FR"/>
        </w:rPr>
        <w:t xml:space="preserve"> la force probante des données</w:t>
      </w:r>
      <w:r w:rsidRPr="00950D73">
        <w:rPr>
          <w:rFonts w:asciiTheme="majorBidi" w:hAnsiTheme="majorBidi" w:cstheme="majorBidi"/>
          <w:lang w:val="fr-FR"/>
        </w:rPr>
        <w:t xml:space="preserve"> en faisant appel à l’avis d’experts, qui peut porter sur une combinaison de deux ou plusieurs indicateurs de sensibilisation cutanée, comme indiqué ci-après : </w:t>
      </w:r>
    </w:p>
    <w:p w14:paraId="6B6C3A79" w14:textId="77777777" w:rsidR="0084064C" w:rsidRPr="00950D73" w:rsidRDefault="0084064C" w:rsidP="0084064C">
      <w:pPr>
        <w:pStyle w:val="SingleTxtG"/>
        <w:ind w:left="2835" w:hanging="567"/>
        <w:rPr>
          <w:rFonts w:asciiTheme="majorBidi" w:hAnsiTheme="majorBidi" w:cstheme="majorBidi"/>
          <w:lang w:val="fr-FR"/>
        </w:rPr>
      </w:pPr>
      <w:r w:rsidRPr="00950D73">
        <w:rPr>
          <w:rFonts w:asciiTheme="majorBidi" w:hAnsiTheme="majorBidi" w:cstheme="majorBidi"/>
          <w:lang w:val="fr-FR"/>
        </w:rPr>
        <w:t>a)</w:t>
      </w:r>
      <w:r w:rsidRPr="00950D73">
        <w:rPr>
          <w:rFonts w:asciiTheme="majorBidi" w:hAnsiTheme="majorBidi" w:cstheme="majorBidi"/>
          <w:lang w:val="fr-FR"/>
        </w:rPr>
        <w:tab/>
        <w:t>Épisodes isolés de dermatite allergique de contact ;</w:t>
      </w:r>
    </w:p>
    <w:p w14:paraId="320C20AE" w14:textId="77777777" w:rsidR="0084064C" w:rsidRPr="00950D73" w:rsidRDefault="0084064C" w:rsidP="0084064C">
      <w:pPr>
        <w:pStyle w:val="SingleTxtG"/>
        <w:ind w:left="2835" w:hanging="567"/>
        <w:rPr>
          <w:rFonts w:asciiTheme="majorBidi" w:hAnsiTheme="majorBidi" w:cstheme="majorBidi"/>
          <w:lang w:val="fr-FR"/>
        </w:rPr>
      </w:pPr>
      <w:r w:rsidRPr="00950D73">
        <w:rPr>
          <w:rFonts w:asciiTheme="majorBidi" w:hAnsiTheme="majorBidi" w:cstheme="majorBidi"/>
          <w:lang w:val="fr-FR"/>
        </w:rPr>
        <w:lastRenderedPageBreak/>
        <w:t>b)</w:t>
      </w:r>
      <w:r w:rsidRPr="00950D73">
        <w:rPr>
          <w:rFonts w:asciiTheme="majorBidi" w:hAnsiTheme="majorBidi" w:cstheme="majorBidi"/>
          <w:lang w:val="fr-FR"/>
        </w:rPr>
        <w:tab/>
        <w:t>Études épidémiologiques insuffisamment fiables, par exemple lorsque le hasard, les distorsions ou des facteurs de confusion n’ont pas été écartés avec un degré de confiance raisonnable ;</w:t>
      </w:r>
    </w:p>
    <w:p w14:paraId="164E7C45" w14:textId="185B31EF" w:rsidR="0084064C" w:rsidRPr="00950D73" w:rsidRDefault="0084064C" w:rsidP="0084064C">
      <w:pPr>
        <w:pStyle w:val="SingleTxtG"/>
        <w:ind w:left="2835" w:hanging="567"/>
        <w:rPr>
          <w:rFonts w:asciiTheme="majorBidi" w:hAnsiTheme="majorBidi" w:cstheme="majorBidi"/>
          <w:lang w:val="fr-FR"/>
        </w:rPr>
      </w:pPr>
      <w:r w:rsidRPr="00950D73">
        <w:rPr>
          <w:rFonts w:asciiTheme="majorBidi" w:hAnsiTheme="majorBidi" w:cstheme="majorBidi"/>
          <w:lang w:val="fr-FR"/>
        </w:rPr>
        <w:t>c)</w:t>
      </w:r>
      <w:r w:rsidRPr="00950D73">
        <w:rPr>
          <w:rFonts w:asciiTheme="majorBidi" w:hAnsiTheme="majorBidi" w:cstheme="majorBidi"/>
          <w:lang w:val="fr-FR"/>
        </w:rPr>
        <w:tab/>
        <w:t>Données provenant d’essais sur animaux réalisés conformément aux lignes directrices existantes, qui ne satisfont pas aux critères décrits au 3.4.2.2.3 établissant un résultat positif mais qui sont suffisamment proches de la limite pour être considérées comme significatives ;</w:t>
      </w:r>
    </w:p>
    <w:p w14:paraId="5C021A5D" w14:textId="77777777" w:rsidR="0084064C" w:rsidRPr="00950D73" w:rsidRDefault="0084064C" w:rsidP="0084064C">
      <w:pPr>
        <w:pStyle w:val="SingleTxtG"/>
        <w:ind w:left="2835" w:hanging="567"/>
        <w:rPr>
          <w:rFonts w:asciiTheme="majorBidi" w:hAnsiTheme="majorBidi" w:cstheme="majorBidi"/>
          <w:lang w:val="fr-FR"/>
        </w:rPr>
      </w:pPr>
      <w:r w:rsidRPr="00950D73">
        <w:rPr>
          <w:rFonts w:asciiTheme="majorBidi" w:hAnsiTheme="majorBidi" w:cstheme="majorBidi"/>
          <w:lang w:val="fr-FR"/>
        </w:rPr>
        <w:t>d)</w:t>
      </w:r>
      <w:r w:rsidRPr="00950D73">
        <w:rPr>
          <w:rFonts w:asciiTheme="majorBidi" w:hAnsiTheme="majorBidi" w:cstheme="majorBidi"/>
          <w:lang w:val="fr-FR"/>
        </w:rPr>
        <w:tab/>
        <w:t>Données obtenues par des méthodes non normalisées.</w:t>
      </w:r>
    </w:p>
    <w:p w14:paraId="57BA3D92" w14:textId="737BC939" w:rsidR="0084064C" w:rsidRPr="00950D73" w:rsidRDefault="0084064C" w:rsidP="004F4758">
      <w:pPr>
        <w:pStyle w:val="SingleTxtG"/>
        <w:ind w:left="2268"/>
        <w:rPr>
          <w:rFonts w:asciiTheme="majorBidi" w:hAnsiTheme="majorBidi" w:cstheme="majorBidi"/>
          <w:b/>
          <w:bCs/>
          <w:lang w:val="fr-FR"/>
        </w:rPr>
      </w:pPr>
      <w:r w:rsidRPr="00950D73">
        <w:rPr>
          <w:rFonts w:asciiTheme="majorBidi" w:hAnsiTheme="majorBidi" w:cstheme="majorBidi"/>
          <w:lang w:val="fr-FR"/>
        </w:rPr>
        <w:t>3.4.2.2.7.7</w:t>
      </w:r>
      <w:r w:rsidRPr="00950D73">
        <w:rPr>
          <w:rFonts w:asciiTheme="majorBidi" w:hAnsiTheme="majorBidi" w:cstheme="majorBidi"/>
          <w:lang w:val="fr-FR"/>
        </w:rPr>
        <w:tab/>
        <w:t>Lorsque les informations provenant de plusieurs étapes sont incohérentes ou contradictoires au regard du classement établi, les informations de qualité suffisante provenant d’une étape supérieure ont généralement un poids supérieur par rapport aux informations provenant d’une étape inférieure. Cependant, lorsque les informations d’une étape inférieure aboutiraient à un classement plus strict que les informations d’une étape supérieure et qu’il y a un risque d’erreur de classement, le classement est alors déterminé par une évaluation globale fondée sur</w:t>
      </w:r>
      <w:r w:rsidRPr="00950D73">
        <w:rPr>
          <w:rFonts w:asciiTheme="majorBidi" w:hAnsiTheme="majorBidi" w:cstheme="majorBidi"/>
          <w:bCs/>
          <w:lang w:val="fr-FR"/>
        </w:rPr>
        <w:t xml:space="preserve"> la force probante des données</w:t>
      </w:r>
      <w:r w:rsidRPr="00950D73">
        <w:rPr>
          <w:rFonts w:asciiTheme="majorBidi" w:hAnsiTheme="majorBidi" w:cstheme="majorBidi"/>
          <w:lang w:val="fr-FR"/>
        </w:rPr>
        <w:t xml:space="preserve"> (c’est-à-dire à l’étape 3). Par exemple, après avoir consulté les orientations énoncées au 3.4.5.3 comme il convient, les </w:t>
      </w:r>
      <w:r w:rsidRPr="00950D73">
        <w:rPr>
          <w:rFonts w:asciiTheme="majorBidi" w:eastAsiaTheme="minorEastAsia" w:hAnsiTheme="majorBidi" w:cstheme="majorBidi"/>
          <w:lang w:val="fr-FR"/>
        </w:rPr>
        <w:t xml:space="preserve">responsables du classement, préoccupés par le résultat négatif obtenu pour la sensibilisation cutanée dans une étude de </w:t>
      </w:r>
      <w:proofErr w:type="spellStart"/>
      <w:r w:rsidRPr="00950D73">
        <w:rPr>
          <w:rFonts w:asciiTheme="majorBidi" w:eastAsiaTheme="minorEastAsia" w:hAnsiTheme="majorBidi" w:cstheme="majorBidi"/>
          <w:lang w:val="fr-FR"/>
        </w:rPr>
        <w:t>Buehler</w:t>
      </w:r>
      <w:proofErr w:type="spellEnd"/>
      <w:r w:rsidRPr="00950D73">
        <w:rPr>
          <w:rFonts w:asciiTheme="majorBidi" w:eastAsiaTheme="minorEastAsia" w:hAnsiTheme="majorBidi" w:cstheme="majorBidi"/>
          <w:lang w:val="fr-FR"/>
        </w:rPr>
        <w:t xml:space="preserve"> alors qu’il existe un résultat positif clair chez l’homme pour des substances très similaires (par lecture croisée), utiliseront une évaluation globale fondée sur </w:t>
      </w:r>
      <w:r w:rsidRPr="00950D73">
        <w:rPr>
          <w:rFonts w:asciiTheme="majorBidi" w:hAnsiTheme="majorBidi" w:cstheme="majorBidi"/>
          <w:bCs/>
          <w:lang w:val="fr-FR"/>
        </w:rPr>
        <w:t>la force probante des données</w:t>
      </w:r>
      <w:r w:rsidRPr="00950D73">
        <w:rPr>
          <w:rFonts w:asciiTheme="majorBidi" w:eastAsiaTheme="minorEastAsia" w:hAnsiTheme="majorBidi" w:cstheme="majorBidi"/>
          <w:lang w:val="fr-FR"/>
        </w:rPr>
        <w:t>. ».</w:t>
      </w:r>
    </w:p>
    <w:p w14:paraId="1ED8F770" w14:textId="16C6DC62" w:rsidR="0084064C" w:rsidRPr="00950D73" w:rsidRDefault="0084064C" w:rsidP="0036713C">
      <w:pPr>
        <w:pStyle w:val="SingleTxtG"/>
        <w:ind w:left="2268" w:hanging="1134"/>
        <w:rPr>
          <w:rFonts w:asciiTheme="majorBidi" w:hAnsiTheme="majorBidi" w:cstheme="majorBidi"/>
          <w:lang w:val="fr-FR"/>
        </w:rPr>
      </w:pPr>
      <w:r w:rsidRPr="00950D73">
        <w:rPr>
          <w:rFonts w:asciiTheme="majorBidi" w:hAnsiTheme="majorBidi" w:cstheme="majorBidi"/>
          <w:lang w:val="fr-FR"/>
        </w:rPr>
        <w:t>3.4.2.2.4.4</w:t>
      </w:r>
      <w:r w:rsidR="004B4230" w:rsidRPr="00950D73">
        <w:rPr>
          <w:rFonts w:asciiTheme="majorBidi" w:hAnsiTheme="majorBidi" w:cstheme="majorBidi"/>
          <w:i/>
          <w:iCs/>
          <w:lang w:val="fr-FR"/>
        </w:rPr>
        <w:tab/>
      </w:r>
      <w:r w:rsidR="004B4230" w:rsidRPr="00950D73">
        <w:rPr>
          <w:rFonts w:asciiTheme="majorBidi" w:hAnsiTheme="majorBidi" w:cstheme="majorBidi"/>
          <w:lang w:val="fr-FR"/>
        </w:rPr>
        <w:t xml:space="preserve">La paragraphe 3.4.2.2.4.4 actuel </w:t>
      </w:r>
      <w:r w:rsidRPr="00950D73">
        <w:rPr>
          <w:rFonts w:asciiTheme="majorBidi" w:hAnsiTheme="majorBidi" w:cstheme="majorBidi"/>
          <w:i/>
          <w:iCs/>
          <w:lang w:val="fr-FR"/>
        </w:rPr>
        <w:t>« Urticaire immunologique de contact »</w:t>
      </w:r>
      <w:r w:rsidRPr="00950D73">
        <w:rPr>
          <w:rFonts w:asciiTheme="majorBidi" w:hAnsiTheme="majorBidi" w:cstheme="majorBidi"/>
          <w:lang w:val="fr-FR"/>
        </w:rPr>
        <w:t xml:space="preserve">, </w:t>
      </w:r>
      <w:r w:rsidR="006E0E37" w:rsidRPr="00950D73">
        <w:rPr>
          <w:rFonts w:asciiTheme="majorBidi" w:hAnsiTheme="majorBidi" w:cstheme="majorBidi"/>
          <w:lang w:val="fr-FR"/>
        </w:rPr>
        <w:t xml:space="preserve">devient la nouvelle section </w:t>
      </w:r>
      <w:r w:rsidRPr="00950D73">
        <w:rPr>
          <w:rFonts w:asciiTheme="majorBidi" w:hAnsiTheme="majorBidi" w:cstheme="majorBidi"/>
          <w:lang w:val="fr-FR"/>
        </w:rPr>
        <w:t>3.4.2.2.8</w:t>
      </w:r>
      <w:r w:rsidR="00D31BCE" w:rsidRPr="00950D73">
        <w:rPr>
          <w:rFonts w:asciiTheme="majorBidi" w:hAnsiTheme="majorBidi" w:cstheme="majorBidi"/>
          <w:lang w:val="fr-FR"/>
        </w:rPr>
        <w:t>. Re</w:t>
      </w:r>
      <w:r w:rsidRPr="00950D73">
        <w:rPr>
          <w:rFonts w:asciiTheme="majorBidi" w:hAnsiTheme="majorBidi" w:cstheme="majorBidi"/>
          <w:lang w:val="fr-FR"/>
        </w:rPr>
        <w:t>numéroter les deux alinéas</w:t>
      </w:r>
      <w:r w:rsidR="00D31BCE" w:rsidRPr="00950D73">
        <w:rPr>
          <w:rFonts w:asciiTheme="majorBidi" w:hAnsiTheme="majorBidi" w:cstheme="majorBidi"/>
          <w:lang w:val="fr-FR"/>
        </w:rPr>
        <w:t xml:space="preserve"> sous ce titre</w:t>
      </w:r>
      <w:r w:rsidRPr="00950D73">
        <w:rPr>
          <w:rFonts w:asciiTheme="majorBidi" w:hAnsiTheme="majorBidi" w:cstheme="majorBidi"/>
          <w:lang w:val="fr-FR"/>
        </w:rPr>
        <w:t>, comme suit :</w:t>
      </w:r>
    </w:p>
    <w:p w14:paraId="04993EA9" w14:textId="6E8F05DD" w:rsidR="0084064C" w:rsidRPr="00950D73" w:rsidRDefault="0084064C" w:rsidP="003229BF">
      <w:pPr>
        <w:pStyle w:val="SingleTxtG"/>
        <w:ind w:left="2268"/>
        <w:rPr>
          <w:rFonts w:asciiTheme="majorBidi" w:hAnsiTheme="majorBidi" w:cstheme="majorBidi"/>
          <w:lang w:val="fr-FR"/>
        </w:rPr>
      </w:pPr>
      <w:r w:rsidRPr="00950D73">
        <w:rPr>
          <w:rFonts w:asciiTheme="majorBidi" w:hAnsiTheme="majorBidi" w:cstheme="majorBidi"/>
          <w:lang w:val="fr-FR"/>
        </w:rPr>
        <w:lastRenderedPageBreak/>
        <w:t>« 3.4.2.2.8.1</w:t>
      </w:r>
      <w:r w:rsidRPr="00950D73">
        <w:rPr>
          <w:rFonts w:asciiTheme="majorBidi" w:hAnsiTheme="majorBidi" w:cstheme="majorBidi"/>
          <w:lang w:val="fr-FR"/>
        </w:rPr>
        <w:tab/>
      </w:r>
      <w:r w:rsidR="00786EA6" w:rsidRPr="00950D73">
        <w:rPr>
          <w:rFonts w:asciiTheme="majorBidi" w:hAnsiTheme="majorBidi" w:cstheme="majorBidi"/>
          <w:lang w:val="fr-FR"/>
        </w:rPr>
        <w:t>Les s</w:t>
      </w:r>
      <w:r w:rsidRPr="00950D73">
        <w:rPr>
          <w:rFonts w:asciiTheme="majorBidi" w:hAnsiTheme="majorBidi" w:cstheme="majorBidi"/>
          <w:lang w:val="fr-FR"/>
        </w:rPr>
        <w:t>ubstances répondant aux critères de... »</w:t>
      </w:r>
    </w:p>
    <w:p w14:paraId="06058B00" w14:textId="77777777" w:rsidR="0084064C" w:rsidRPr="00950D73" w:rsidRDefault="0084064C" w:rsidP="003229BF">
      <w:pPr>
        <w:pStyle w:val="SingleTxtG"/>
        <w:ind w:left="2268"/>
        <w:rPr>
          <w:rFonts w:asciiTheme="majorBidi" w:hAnsiTheme="majorBidi" w:cstheme="majorBidi"/>
          <w:lang w:val="fr-FR"/>
        </w:rPr>
      </w:pPr>
      <w:r w:rsidRPr="00950D73">
        <w:rPr>
          <w:rFonts w:asciiTheme="majorBidi" w:hAnsiTheme="majorBidi" w:cstheme="majorBidi"/>
          <w:lang w:val="fr-FR"/>
        </w:rPr>
        <w:t>« 3.4.2.2.8.2</w:t>
      </w:r>
      <w:r w:rsidRPr="00950D73">
        <w:rPr>
          <w:rFonts w:asciiTheme="majorBidi" w:hAnsiTheme="majorBidi" w:cstheme="majorBidi"/>
          <w:lang w:val="fr-FR"/>
        </w:rPr>
        <w:tab/>
        <w:t>Il n’existe pas de modèle animal reconnu... »</w:t>
      </w:r>
    </w:p>
    <w:p w14:paraId="1DB23BEB" w14:textId="522A976D" w:rsidR="0084064C" w:rsidRPr="00950D73" w:rsidRDefault="00AB2D25" w:rsidP="00FC04D8">
      <w:pPr>
        <w:pStyle w:val="SingleTxtG"/>
        <w:ind w:left="2268" w:hanging="1134"/>
        <w:rPr>
          <w:rFonts w:asciiTheme="majorBidi" w:hAnsiTheme="majorBidi" w:cstheme="majorBidi"/>
          <w:lang w:val="fr-FR"/>
        </w:rPr>
      </w:pPr>
      <w:bookmarkStart w:id="31" w:name="_Hlk116549276"/>
      <w:r w:rsidRPr="00950D73">
        <w:rPr>
          <w:rFonts w:asciiTheme="majorBidi" w:hAnsiTheme="majorBidi" w:cstheme="majorBidi"/>
          <w:lang w:val="fr-FR"/>
        </w:rPr>
        <w:t xml:space="preserve">Notes en bas de page </w:t>
      </w:r>
      <w:r w:rsidR="00915368" w:rsidRPr="00950D73">
        <w:rPr>
          <w:rFonts w:asciiTheme="majorBidi" w:hAnsiTheme="majorBidi" w:cstheme="majorBidi"/>
          <w:lang w:val="fr-FR"/>
        </w:rPr>
        <w:t>3 et 4</w:t>
      </w:r>
      <w:r w:rsidRPr="00950D73">
        <w:rPr>
          <w:rFonts w:asciiTheme="majorBidi" w:hAnsiTheme="majorBidi" w:cstheme="majorBidi"/>
          <w:lang w:val="fr-FR"/>
        </w:rPr>
        <w:tab/>
      </w:r>
      <w:r w:rsidR="00260E77" w:rsidRPr="00950D73">
        <w:rPr>
          <w:rFonts w:asciiTheme="majorBidi" w:hAnsiTheme="majorBidi" w:cstheme="majorBidi"/>
          <w:lang w:val="fr-FR"/>
        </w:rPr>
        <w:tab/>
      </w:r>
      <w:r w:rsidR="0084064C" w:rsidRPr="00950D73">
        <w:rPr>
          <w:rFonts w:asciiTheme="majorBidi" w:hAnsiTheme="majorBidi" w:cstheme="majorBidi"/>
          <w:lang w:val="fr-FR"/>
        </w:rPr>
        <w:t>Ajouter les nouvelles notes de bas de page 3 et 4</w:t>
      </w:r>
      <w:r w:rsidR="00635ED2" w:rsidRPr="00950D73">
        <w:rPr>
          <w:rFonts w:asciiTheme="majorBidi" w:hAnsiTheme="majorBidi" w:cstheme="majorBidi"/>
          <w:lang w:val="fr-FR"/>
        </w:rPr>
        <w:t xml:space="preserve"> suivantes</w:t>
      </w:r>
      <w:r w:rsidR="0084064C" w:rsidRPr="00950D73">
        <w:rPr>
          <w:rFonts w:asciiTheme="majorBidi" w:hAnsiTheme="majorBidi" w:cstheme="majorBidi"/>
          <w:lang w:val="fr-FR"/>
        </w:rPr>
        <w:t xml:space="preserve"> en lien avec les paragraphes 3.4.2.2.4.1</w:t>
      </w:r>
      <w:r w:rsidR="00260E77" w:rsidRPr="00950D73">
        <w:rPr>
          <w:rFonts w:asciiTheme="majorBidi" w:hAnsiTheme="majorBidi" w:cstheme="majorBidi"/>
          <w:lang w:val="fr-FR"/>
        </w:rPr>
        <w:t xml:space="preserve"> </w:t>
      </w:r>
      <w:r w:rsidRPr="00950D73">
        <w:rPr>
          <w:rFonts w:asciiTheme="majorBidi" w:hAnsiTheme="majorBidi" w:cstheme="majorBidi"/>
          <w:lang w:val="fr-FR"/>
        </w:rPr>
        <w:t>(note de bas de page 3)</w:t>
      </w:r>
      <w:r w:rsidR="0084064C" w:rsidRPr="00950D73">
        <w:rPr>
          <w:rFonts w:asciiTheme="majorBidi" w:hAnsiTheme="majorBidi" w:cstheme="majorBidi"/>
          <w:lang w:val="fr-FR"/>
        </w:rPr>
        <w:t xml:space="preserve"> et 3.4.2.2.5.3</w:t>
      </w:r>
      <w:r w:rsidRPr="00950D73">
        <w:rPr>
          <w:rFonts w:asciiTheme="majorBidi" w:hAnsiTheme="majorBidi" w:cstheme="majorBidi"/>
          <w:lang w:val="fr-FR"/>
        </w:rPr>
        <w:t xml:space="preserve"> (note de bas de page 4)</w:t>
      </w:r>
      <w:r w:rsidR="00635ED2" w:rsidRPr="00950D73">
        <w:rPr>
          <w:rFonts w:asciiTheme="majorBidi" w:hAnsiTheme="majorBidi" w:cstheme="majorBidi"/>
          <w:lang w:val="fr-FR"/>
        </w:rPr>
        <w:t> :</w:t>
      </w:r>
    </w:p>
    <w:bookmarkEnd w:id="31"/>
    <w:p w14:paraId="59B173B2" w14:textId="713E6B94" w:rsidR="0084064C" w:rsidRPr="00950D73" w:rsidRDefault="0084064C" w:rsidP="00FC04D8">
      <w:pPr>
        <w:pStyle w:val="SingleTxtG"/>
        <w:spacing w:line="220" w:lineRule="atLeast"/>
        <w:ind w:left="2268"/>
        <w:rPr>
          <w:rFonts w:asciiTheme="majorBidi" w:hAnsiTheme="majorBidi" w:cstheme="majorBidi"/>
          <w:lang w:val="fr-FR"/>
        </w:rPr>
      </w:pPr>
      <w:r w:rsidRPr="00950D73">
        <w:rPr>
          <w:rFonts w:asciiTheme="majorBidi" w:hAnsiTheme="majorBidi" w:cstheme="majorBidi"/>
          <w:lang w:val="fr-FR"/>
        </w:rPr>
        <w:t>« </w:t>
      </w:r>
      <w:r w:rsidRPr="00950D73">
        <w:rPr>
          <w:rFonts w:asciiTheme="majorBidi" w:hAnsiTheme="majorBidi" w:cstheme="majorBidi"/>
          <w:vertAlign w:val="superscript"/>
          <w:lang w:val="fr-FR"/>
        </w:rPr>
        <w:t>3</w:t>
      </w:r>
      <w:r w:rsidRPr="00950D73">
        <w:rPr>
          <w:rFonts w:asciiTheme="majorBidi" w:hAnsiTheme="majorBidi" w:cstheme="majorBidi"/>
          <w:i/>
          <w:iCs/>
          <w:lang w:val="fr-FR"/>
        </w:rPr>
        <w:tab/>
        <w:t xml:space="preserve">Des méthodes définies supplémentaires ont été proposées pour la sensibilisation de la peau (OCDE </w:t>
      </w:r>
      <w:r w:rsidR="00343B5F" w:rsidRPr="00950D73">
        <w:rPr>
          <w:rFonts w:asciiTheme="majorBidi" w:hAnsiTheme="majorBidi" w:cstheme="majorBidi"/>
          <w:i/>
          <w:iCs/>
          <w:lang w:val="fr-FR"/>
        </w:rPr>
        <w:t>2017</w:t>
      </w:r>
      <w:r w:rsidRPr="00950D73">
        <w:rPr>
          <w:rFonts w:asciiTheme="majorBidi" w:hAnsiTheme="majorBidi" w:cstheme="majorBidi"/>
          <w:i/>
          <w:iCs/>
          <w:lang w:val="fr-FR"/>
        </w:rPr>
        <w:t>), mais aucun critère de classification n’a encore été convenu au niveau international.</w:t>
      </w:r>
      <w:r w:rsidRPr="00950D73">
        <w:rPr>
          <w:rFonts w:asciiTheme="majorBidi" w:hAnsiTheme="majorBidi" w:cstheme="majorBidi"/>
          <w:lang w:val="fr-FR"/>
        </w:rPr>
        <w:t> ».</w:t>
      </w:r>
    </w:p>
    <w:p w14:paraId="07B05EE4" w14:textId="02B21331" w:rsidR="0084064C" w:rsidRPr="00950D73" w:rsidRDefault="0084064C" w:rsidP="00FC04D8">
      <w:pPr>
        <w:pStyle w:val="SingleTxtG"/>
        <w:spacing w:line="220" w:lineRule="atLeast"/>
        <w:ind w:left="2268"/>
        <w:rPr>
          <w:rFonts w:asciiTheme="majorBidi" w:hAnsiTheme="majorBidi" w:cstheme="majorBidi"/>
          <w:lang w:val="fr-FR"/>
        </w:rPr>
      </w:pPr>
      <w:r w:rsidRPr="00950D73">
        <w:rPr>
          <w:rFonts w:asciiTheme="majorBidi" w:hAnsiTheme="majorBidi" w:cstheme="majorBidi"/>
          <w:lang w:val="fr-FR"/>
        </w:rPr>
        <w:t>« </w:t>
      </w:r>
      <w:r w:rsidRPr="00950D73">
        <w:rPr>
          <w:rFonts w:asciiTheme="majorBidi" w:hAnsiTheme="majorBidi" w:cstheme="majorBidi"/>
          <w:vertAlign w:val="superscript"/>
          <w:lang w:val="fr-FR"/>
        </w:rPr>
        <w:t>4</w:t>
      </w:r>
      <w:r w:rsidRPr="00950D73">
        <w:rPr>
          <w:rFonts w:asciiTheme="majorBidi" w:hAnsiTheme="majorBidi" w:cstheme="majorBidi"/>
          <w:i/>
          <w:iCs/>
          <w:lang w:val="fr-FR"/>
        </w:rPr>
        <w:tab/>
        <w:t xml:space="preserve">D’autres méthodes 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/in vitro ont été proposées pour la sensibilisation de la peau (voir 3.4.5.3.6.</w:t>
      </w:r>
      <w:r w:rsidR="001C2444" w:rsidRPr="00950D73">
        <w:rPr>
          <w:rFonts w:asciiTheme="majorBidi" w:hAnsiTheme="majorBidi" w:cstheme="majorBidi"/>
          <w:i/>
          <w:iCs/>
          <w:lang w:val="fr-FR"/>
        </w:rPr>
        <w:t>2</w:t>
      </w:r>
      <w:r w:rsidRPr="00950D73">
        <w:rPr>
          <w:rFonts w:asciiTheme="majorBidi" w:hAnsiTheme="majorBidi" w:cstheme="majorBidi"/>
          <w:i/>
          <w:iCs/>
          <w:lang w:val="fr-FR"/>
        </w:rPr>
        <w:t>), mais aucun critère de classification n’a encore été convenu au niveau international.</w:t>
      </w:r>
      <w:r w:rsidRPr="00950D73">
        <w:rPr>
          <w:rFonts w:asciiTheme="majorBidi" w:hAnsiTheme="majorBidi" w:cstheme="majorBidi"/>
          <w:lang w:val="fr-FR"/>
        </w:rPr>
        <w:t> ».</w:t>
      </w:r>
    </w:p>
    <w:p w14:paraId="14350189" w14:textId="2100A0A0" w:rsidR="0084064C" w:rsidRPr="00950D73" w:rsidRDefault="00635ED2" w:rsidP="00FC04D8">
      <w:pPr>
        <w:pStyle w:val="SingleTxtG"/>
        <w:ind w:left="2268" w:hanging="1134"/>
        <w:rPr>
          <w:rFonts w:asciiTheme="majorBidi" w:hAnsiTheme="majorBidi" w:cstheme="majorBidi"/>
          <w:lang w:val="fr-FR"/>
        </w:rPr>
      </w:pPr>
      <w:r w:rsidRPr="00950D73">
        <w:rPr>
          <w:rFonts w:asciiTheme="majorBidi" w:hAnsiTheme="majorBidi" w:cstheme="majorBidi"/>
          <w:iCs/>
          <w:lang w:val="fr-FR"/>
        </w:rPr>
        <w:t xml:space="preserve">Figure 3.4.1 </w:t>
      </w:r>
      <w:r w:rsidRPr="00950D73">
        <w:rPr>
          <w:rFonts w:asciiTheme="majorBidi" w:hAnsiTheme="majorBidi" w:cstheme="majorBidi"/>
          <w:iCs/>
          <w:lang w:val="fr-FR"/>
        </w:rPr>
        <w:tab/>
      </w:r>
      <w:r w:rsidR="004279B7" w:rsidRPr="00950D73">
        <w:rPr>
          <w:rFonts w:asciiTheme="majorBidi" w:hAnsiTheme="majorBidi" w:cstheme="majorBidi"/>
          <w:lang w:val="fr-FR"/>
        </w:rPr>
        <w:t>A</w:t>
      </w:r>
      <w:r w:rsidR="0084064C" w:rsidRPr="00950D73">
        <w:rPr>
          <w:rFonts w:asciiTheme="majorBidi" w:hAnsiTheme="majorBidi" w:cstheme="majorBidi"/>
          <w:lang w:val="fr-FR"/>
        </w:rPr>
        <w:t>jouter la nouvelle figure 3.4.1</w:t>
      </w:r>
      <w:r w:rsidR="004279B7" w:rsidRPr="00950D73">
        <w:rPr>
          <w:rFonts w:asciiTheme="majorBidi" w:hAnsiTheme="majorBidi" w:cstheme="majorBidi"/>
          <w:lang w:val="fr-FR"/>
        </w:rPr>
        <w:t xml:space="preserve"> suivante (et les notes </w:t>
      </w:r>
      <w:r w:rsidR="00144AAC" w:rsidRPr="00950D73">
        <w:rPr>
          <w:rFonts w:asciiTheme="majorBidi" w:hAnsiTheme="majorBidi" w:cstheme="majorBidi"/>
          <w:lang w:val="fr-FR"/>
        </w:rPr>
        <w:t xml:space="preserve">a et b </w:t>
      </w:r>
      <w:r w:rsidR="004279B7" w:rsidRPr="00950D73">
        <w:rPr>
          <w:rFonts w:asciiTheme="majorBidi" w:hAnsiTheme="majorBidi" w:cstheme="majorBidi"/>
          <w:lang w:val="fr-FR"/>
        </w:rPr>
        <w:t>y re</w:t>
      </w:r>
      <w:r w:rsidR="00144AAC" w:rsidRPr="00950D73">
        <w:rPr>
          <w:rFonts w:asciiTheme="majorBidi" w:hAnsiTheme="majorBidi" w:cstheme="majorBidi"/>
          <w:lang w:val="fr-FR"/>
        </w:rPr>
        <w:t>latives)</w:t>
      </w:r>
      <w:r w:rsidR="0084064C" w:rsidRPr="00950D73">
        <w:rPr>
          <w:rFonts w:asciiTheme="majorBidi" w:hAnsiTheme="majorBidi" w:cstheme="majorBidi"/>
          <w:lang w:val="fr-FR"/>
        </w:rPr>
        <w:t xml:space="preserve">, </w:t>
      </w:r>
      <w:r w:rsidR="004279B7" w:rsidRPr="00950D73">
        <w:rPr>
          <w:rFonts w:asciiTheme="majorBidi" w:hAnsiTheme="majorBidi" w:cstheme="majorBidi"/>
          <w:lang w:val="fr-FR"/>
        </w:rPr>
        <w:t>a</w:t>
      </w:r>
      <w:r w:rsidR="004279B7" w:rsidRPr="00950D73">
        <w:rPr>
          <w:rFonts w:asciiTheme="majorBidi" w:hAnsiTheme="majorBidi" w:cstheme="majorBidi"/>
          <w:iCs/>
          <w:lang w:val="fr-FR"/>
        </w:rPr>
        <w:t>près la section 3.4.2.2.8 (ancien 3.4.2.2.4.4),</w:t>
      </w:r>
      <w:r w:rsidR="0084064C" w:rsidRPr="00950D73">
        <w:rPr>
          <w:rFonts w:asciiTheme="majorBidi" w:hAnsiTheme="majorBidi" w:cstheme="majorBidi"/>
          <w:lang w:val="fr-FR"/>
        </w:rPr>
        <w:t xml:space="preserve">: </w:t>
      </w:r>
    </w:p>
    <w:p w14:paraId="23A7362A" w14:textId="77777777" w:rsidR="0084064C" w:rsidRPr="00950D73" w:rsidRDefault="0084064C" w:rsidP="00BB2AAC">
      <w:pPr>
        <w:pStyle w:val="Titre1"/>
        <w:keepNext w:val="0"/>
        <w:keepLines w:val="0"/>
        <w:tabs>
          <w:tab w:val="clear" w:pos="1701"/>
          <w:tab w:val="clear" w:pos="2268"/>
          <w:tab w:val="clear" w:pos="2835"/>
        </w:tabs>
        <w:spacing w:after="120"/>
        <w:jc w:val="center"/>
        <w:rPr>
          <w:rFonts w:asciiTheme="majorBidi" w:hAnsiTheme="majorBidi" w:cstheme="majorBidi"/>
          <w:b/>
          <w:bCs/>
          <w:i/>
          <w:iCs/>
          <w:vertAlign w:val="superscript"/>
          <w:lang w:val="fr-FR"/>
        </w:rPr>
      </w:pPr>
      <w:r w:rsidRPr="00950D73">
        <w:rPr>
          <w:rFonts w:asciiTheme="majorBidi" w:hAnsiTheme="majorBidi" w:cstheme="majorBidi"/>
          <w:b/>
          <w:bCs/>
          <w:lang w:val="fr-FR"/>
        </w:rPr>
        <w:t>Figure 3.4.1</w:t>
      </w:r>
      <w:r w:rsidRPr="00950D73">
        <w:rPr>
          <w:rFonts w:asciiTheme="majorBidi" w:hAnsiTheme="majorBidi" w:cstheme="majorBidi"/>
          <w:b/>
          <w:bCs/>
          <w:lang w:val="fr-FR"/>
        </w:rPr>
        <w:br/>
        <w:t xml:space="preserve">Application de la méthode par étapes pour la sensibilisation de la </w:t>
      </w:r>
      <w:proofErr w:type="spellStart"/>
      <w:r w:rsidRPr="00950D73">
        <w:rPr>
          <w:rFonts w:asciiTheme="majorBidi" w:hAnsiTheme="majorBidi" w:cstheme="majorBidi"/>
          <w:b/>
          <w:bCs/>
          <w:lang w:val="fr-FR"/>
        </w:rPr>
        <w:t>peau</w:t>
      </w:r>
      <w:r w:rsidRPr="00950D73">
        <w:rPr>
          <w:rFonts w:asciiTheme="majorBidi" w:hAnsiTheme="majorBidi" w:cstheme="majorBidi"/>
          <w:b/>
          <w:bCs/>
          <w:i/>
          <w:iCs/>
          <w:vertAlign w:val="superscript"/>
          <w:lang w:val="fr-FR"/>
        </w:rPr>
        <w:t>a</w:t>
      </w:r>
      <w:proofErr w:type="spellEnd"/>
    </w:p>
    <w:p w14:paraId="7CB7B330" w14:textId="5566930C" w:rsidR="00CE7046" w:rsidRPr="00950D73" w:rsidRDefault="00B07D24" w:rsidP="00BB2AAC">
      <w:pPr>
        <w:pStyle w:val="SingleTxtG"/>
        <w:rPr>
          <w:rFonts w:asciiTheme="majorBidi" w:hAnsiTheme="majorBidi" w:cstheme="majorBidi"/>
          <w:i/>
          <w:iCs/>
        </w:rPr>
      </w:pPr>
      <w:r w:rsidRPr="00950D73">
        <w:rPr>
          <w:rFonts w:asciiTheme="majorBidi" w:hAnsiTheme="majorBidi" w:cstheme="majorBidi"/>
        </w:rPr>
        <w:object w:dxaOrig="8235" w:dyaOrig="7635" w14:anchorId="64F63BF2">
          <v:shape id="_x0000_i1033" type="#_x0000_t75" style="width:410.1pt;height:381pt" o:ole="">
            <v:imagedata r:id="rId41" o:title=""/>
          </v:shape>
          <o:OLEObject Type="Embed" ProgID="Visio.Drawing.15" ShapeID="_x0000_i1033" DrawAspect="Content" ObjectID="_1745040353" r:id="rId42"/>
        </w:object>
      </w:r>
    </w:p>
    <w:p w14:paraId="45D68DAD" w14:textId="0AED1FB3" w:rsidR="0084064C" w:rsidRPr="00950D73" w:rsidRDefault="0084064C" w:rsidP="00BB2AAC">
      <w:pPr>
        <w:pStyle w:val="SingleTxtG"/>
        <w:spacing w:before="240" w:line="220" w:lineRule="atLeast"/>
        <w:rPr>
          <w:rFonts w:asciiTheme="majorBidi" w:hAnsiTheme="majorBidi" w:cstheme="majorBidi"/>
          <w:i/>
          <w:iCs/>
          <w:lang w:val="fr-FR"/>
        </w:rPr>
      </w:pPr>
      <w:r w:rsidRPr="00950D73">
        <w:rPr>
          <w:rFonts w:asciiTheme="majorBidi" w:hAnsiTheme="majorBidi" w:cstheme="majorBidi"/>
          <w:bCs/>
          <w:vertAlign w:val="superscript"/>
          <w:lang w:val="fr-FR"/>
        </w:rPr>
        <w:lastRenderedPageBreak/>
        <w:t>a</w:t>
      </w:r>
      <w:r w:rsidRPr="00950D73">
        <w:rPr>
          <w:rFonts w:asciiTheme="majorBidi" w:hAnsiTheme="majorBidi" w:cstheme="majorBidi"/>
          <w:i/>
          <w:iCs/>
          <w:lang w:val="fr-FR"/>
        </w:rPr>
        <w:tab/>
        <w:t>Avant d’appliquer cette méthode, il convient de consulter le texte explicatif du 3.4.2.2.7 ainsi que les orientations du 3.4.5.3. Seules des données adéquates et fiables, de qualité suffisante, doivent être utilisées lors de l’application de la méthode par étapes.</w:t>
      </w:r>
    </w:p>
    <w:p w14:paraId="53060E39" w14:textId="77777777" w:rsidR="0084064C" w:rsidRPr="00950D73" w:rsidRDefault="0084064C" w:rsidP="00BB2AAC">
      <w:pPr>
        <w:pStyle w:val="SingleTxtG"/>
        <w:keepNext/>
        <w:keepLines/>
        <w:spacing w:line="220" w:lineRule="atLeast"/>
        <w:rPr>
          <w:rFonts w:asciiTheme="majorBidi" w:hAnsiTheme="majorBidi" w:cstheme="majorBidi"/>
          <w:i/>
          <w:iCs/>
          <w:lang w:val="fr-FR"/>
        </w:rPr>
      </w:pPr>
      <w:r w:rsidRPr="00950D73">
        <w:rPr>
          <w:rFonts w:asciiTheme="majorBidi" w:hAnsiTheme="majorBidi" w:cstheme="majorBidi"/>
          <w:bCs/>
          <w:vertAlign w:val="superscript"/>
          <w:lang w:val="fr-FR"/>
        </w:rPr>
        <w:t>b</w:t>
      </w:r>
      <w:r w:rsidRPr="00950D73">
        <w:rPr>
          <w:rFonts w:asciiTheme="majorBidi" w:hAnsiTheme="majorBidi" w:cstheme="majorBidi"/>
          <w:i/>
          <w:iCs/>
          <w:lang w:val="fr-FR"/>
        </w:rPr>
        <w:tab/>
        <w:t>Les informations peuvent être peu concluantes pour diverses raisons, par exemple :</w:t>
      </w:r>
    </w:p>
    <w:p w14:paraId="2A5C7B86" w14:textId="4F9D593B" w:rsidR="0084064C" w:rsidRPr="00950D73" w:rsidRDefault="00FE5841" w:rsidP="0084064C">
      <w:pPr>
        <w:pStyle w:val="SingleTxtG"/>
        <w:spacing w:line="220" w:lineRule="atLeast"/>
        <w:ind w:left="2041" w:hanging="340"/>
        <w:rPr>
          <w:rFonts w:asciiTheme="majorBidi" w:hAnsiTheme="majorBidi" w:cstheme="majorBidi"/>
          <w:i/>
          <w:iCs/>
          <w:lang w:val="fr-FR"/>
        </w:rPr>
      </w:pPr>
      <w:r w:rsidRPr="00950D73">
        <w:rPr>
          <w:rFonts w:asciiTheme="majorBidi" w:hAnsiTheme="majorBidi" w:cstheme="majorBidi"/>
          <w:i/>
          <w:iCs/>
          <w:lang w:val="fr-FR"/>
        </w:rPr>
        <w:t>-</w:t>
      </w:r>
      <w:r w:rsidR="0084064C" w:rsidRPr="00950D73">
        <w:rPr>
          <w:rFonts w:asciiTheme="majorBidi" w:hAnsiTheme="majorBidi" w:cstheme="majorBidi"/>
          <w:i/>
          <w:iCs/>
          <w:lang w:val="fr-FR"/>
        </w:rPr>
        <w:tab/>
        <w:t>Les données disponibles peuvent être de qualité insuffisante ou être elles</w:t>
      </w:r>
      <w:r w:rsidR="0084064C" w:rsidRPr="00950D73">
        <w:rPr>
          <w:rFonts w:asciiTheme="majorBidi" w:hAnsiTheme="majorBidi" w:cstheme="majorBidi"/>
          <w:i/>
          <w:iCs/>
          <w:lang w:val="fr-FR"/>
        </w:rPr>
        <w:noBreakHyphen/>
        <w:t>mêmes insuffisantes ou inadéquates aux fins du classement, par exemple en raison de problèmes de qualité liés à la conception de l’expérience ou à la présentation des résultats ;</w:t>
      </w:r>
    </w:p>
    <w:p w14:paraId="38FB7CDA" w14:textId="41195F19" w:rsidR="0084064C" w:rsidRPr="00950D73" w:rsidRDefault="00FE5841" w:rsidP="0084064C">
      <w:pPr>
        <w:pStyle w:val="SingleTxtG"/>
        <w:spacing w:line="220" w:lineRule="atLeast"/>
        <w:ind w:left="2041" w:hanging="340"/>
        <w:rPr>
          <w:rFonts w:asciiTheme="majorBidi" w:hAnsiTheme="majorBidi" w:cstheme="majorBidi"/>
          <w:lang w:val="fr-FR"/>
        </w:rPr>
      </w:pPr>
      <w:r w:rsidRPr="00950D73">
        <w:rPr>
          <w:rFonts w:asciiTheme="majorBidi" w:hAnsiTheme="majorBidi" w:cstheme="majorBidi"/>
          <w:i/>
          <w:iCs/>
          <w:lang w:val="fr-FR"/>
        </w:rPr>
        <w:t>-</w:t>
      </w:r>
      <w:r w:rsidR="0084064C" w:rsidRPr="00950D73">
        <w:rPr>
          <w:rFonts w:asciiTheme="majorBidi" w:hAnsiTheme="majorBidi" w:cstheme="majorBidi"/>
          <w:i/>
          <w:iCs/>
          <w:lang w:val="fr-FR"/>
        </w:rPr>
        <w:tab/>
        <w:t>Lorsque les autorités compétentes font usage des sous-catégories de sensibilisation cutanée 1A et 1B, les données disponibles peuvent ne pas permettre de distinguer la sous</w:t>
      </w:r>
      <w:r w:rsidR="0084064C" w:rsidRPr="00950D73">
        <w:rPr>
          <w:rFonts w:asciiTheme="majorBidi" w:hAnsiTheme="majorBidi" w:cstheme="majorBidi"/>
          <w:i/>
          <w:iCs/>
          <w:lang w:val="fr-FR"/>
        </w:rPr>
        <w:noBreakHyphen/>
        <w:t>catégorie 1A de la sous-catégorie 1B</w:t>
      </w:r>
      <w:r w:rsidR="0084064C" w:rsidRPr="00950D73">
        <w:rPr>
          <w:rFonts w:asciiTheme="majorBidi" w:hAnsiTheme="majorBidi" w:cstheme="majorBidi"/>
          <w:lang w:val="fr-FR"/>
        </w:rPr>
        <w:t>.</w:t>
      </w:r>
      <w:r w:rsidR="0084064C" w:rsidRPr="00950D73">
        <w:rPr>
          <w:rFonts w:asciiTheme="majorBidi" w:hAnsiTheme="majorBidi" w:cstheme="majorBidi"/>
          <w:iCs/>
          <w:lang w:val="fr-FR"/>
        </w:rPr>
        <w:t> ».</w:t>
      </w:r>
    </w:p>
    <w:p w14:paraId="44967343" w14:textId="70E5EE38" w:rsidR="00742944" w:rsidRPr="00950D73" w:rsidRDefault="00742944" w:rsidP="00742944">
      <w:pPr>
        <w:pStyle w:val="SingleTxtG"/>
        <w:ind w:left="2268" w:hanging="1134"/>
        <w:rPr>
          <w:rFonts w:asciiTheme="majorBidi" w:hAnsiTheme="majorBidi" w:cstheme="majorBidi"/>
        </w:rPr>
      </w:pPr>
      <w:r w:rsidRPr="00950D73">
        <w:rPr>
          <w:rFonts w:asciiTheme="majorBidi" w:hAnsiTheme="majorBidi" w:cstheme="majorBidi"/>
        </w:rPr>
        <w:t>3.4.3.1</w:t>
      </w:r>
      <w:r w:rsidRPr="00950D73">
        <w:rPr>
          <w:rFonts w:asciiTheme="majorBidi" w:hAnsiTheme="majorBidi" w:cstheme="majorBidi"/>
        </w:rPr>
        <w:tab/>
      </w:r>
      <w:r w:rsidRPr="00950D73">
        <w:rPr>
          <w:rFonts w:asciiTheme="majorBidi" w:hAnsiTheme="majorBidi" w:cstheme="majorBidi"/>
        </w:rPr>
        <w:tab/>
        <w:t>Modification sans objet en français.</w:t>
      </w:r>
    </w:p>
    <w:p w14:paraId="119FFCC2" w14:textId="77777777" w:rsidR="00742944" w:rsidRPr="00950D73" w:rsidRDefault="00742944" w:rsidP="00742944">
      <w:pPr>
        <w:pStyle w:val="SingleTxtG"/>
        <w:rPr>
          <w:rFonts w:asciiTheme="majorBidi" w:hAnsiTheme="majorBidi" w:cstheme="majorBidi"/>
          <w:b/>
        </w:rPr>
      </w:pPr>
      <w:r w:rsidRPr="00950D73">
        <w:rPr>
          <w:rFonts w:asciiTheme="majorBidi" w:hAnsiTheme="majorBidi" w:cstheme="majorBidi"/>
        </w:rPr>
        <w:t>3.4.3.2.6</w:t>
      </w:r>
      <w:r w:rsidRPr="00950D73">
        <w:rPr>
          <w:rFonts w:asciiTheme="majorBidi" w:hAnsiTheme="majorBidi" w:cstheme="majorBidi"/>
        </w:rPr>
        <w:tab/>
        <w:t>Modification sans objet en français.</w:t>
      </w:r>
    </w:p>
    <w:p w14:paraId="24E8A7F1" w14:textId="77777777" w:rsidR="00742944" w:rsidRPr="00950D73" w:rsidRDefault="00742944" w:rsidP="00742944">
      <w:pPr>
        <w:pStyle w:val="SingleTxtG"/>
        <w:rPr>
          <w:rFonts w:asciiTheme="majorBidi" w:hAnsiTheme="majorBidi" w:cstheme="majorBidi"/>
        </w:rPr>
      </w:pPr>
      <w:r w:rsidRPr="00950D73">
        <w:rPr>
          <w:rFonts w:asciiTheme="majorBidi" w:hAnsiTheme="majorBidi" w:cstheme="majorBidi"/>
        </w:rPr>
        <w:t>3.4.3.2.7</w:t>
      </w:r>
      <w:r w:rsidRPr="00950D73">
        <w:rPr>
          <w:rFonts w:asciiTheme="majorBidi" w:hAnsiTheme="majorBidi" w:cstheme="majorBidi"/>
        </w:rPr>
        <w:tab/>
        <w:t>Modification sans objet en français.</w:t>
      </w:r>
    </w:p>
    <w:p w14:paraId="16BF50ED" w14:textId="1451CBC0" w:rsidR="00742944" w:rsidRPr="00950D73" w:rsidRDefault="00742944" w:rsidP="00742944">
      <w:pPr>
        <w:pStyle w:val="SingleTxtG"/>
        <w:rPr>
          <w:rFonts w:asciiTheme="majorBidi" w:hAnsiTheme="majorBidi" w:cstheme="majorBidi"/>
        </w:rPr>
      </w:pPr>
      <w:r w:rsidRPr="00950D73">
        <w:rPr>
          <w:rFonts w:asciiTheme="majorBidi" w:hAnsiTheme="majorBidi" w:cstheme="majorBidi"/>
        </w:rPr>
        <w:t>3.4.4.1</w:t>
      </w:r>
      <w:r w:rsidRPr="00950D73">
        <w:rPr>
          <w:rFonts w:asciiTheme="majorBidi" w:hAnsiTheme="majorBidi" w:cstheme="majorBidi"/>
        </w:rPr>
        <w:tab/>
      </w:r>
      <w:r w:rsidRPr="00950D73">
        <w:rPr>
          <w:rFonts w:asciiTheme="majorBidi" w:hAnsiTheme="majorBidi" w:cstheme="majorBidi"/>
        </w:rPr>
        <w:tab/>
      </w:r>
      <w:r w:rsidR="00554BC7" w:rsidRPr="00950D73">
        <w:rPr>
          <w:rFonts w:asciiTheme="majorBidi" w:hAnsiTheme="majorBidi" w:cstheme="majorBidi"/>
        </w:rPr>
        <w:t xml:space="preserve">Modifier </w:t>
      </w:r>
      <w:r w:rsidRPr="00950D73">
        <w:rPr>
          <w:rFonts w:asciiTheme="majorBidi" w:hAnsiTheme="majorBidi" w:cstheme="majorBidi"/>
        </w:rPr>
        <w:t>la dernière phrase du paragraphe</w:t>
      </w:r>
      <w:r w:rsidR="00554BC7" w:rsidRPr="00950D73">
        <w:rPr>
          <w:rFonts w:asciiTheme="majorBidi" w:hAnsiTheme="majorBidi" w:cstheme="majorBidi"/>
        </w:rPr>
        <w:t xml:space="preserve"> pour lire comme suit :</w:t>
      </w:r>
    </w:p>
    <w:p w14:paraId="449056EF" w14:textId="2102523A" w:rsidR="00742944" w:rsidRPr="00950D73" w:rsidRDefault="00742944" w:rsidP="00742944">
      <w:pPr>
        <w:pStyle w:val="SingleTxtG"/>
        <w:tabs>
          <w:tab w:val="clear" w:pos="1701"/>
        </w:tabs>
        <w:ind w:left="2268"/>
        <w:rPr>
          <w:rFonts w:asciiTheme="majorBidi" w:hAnsiTheme="majorBidi" w:cstheme="majorBidi"/>
        </w:rPr>
      </w:pPr>
      <w:r w:rsidRPr="00950D73">
        <w:rPr>
          <w:rFonts w:asciiTheme="majorBidi" w:hAnsiTheme="majorBidi" w:cstheme="majorBidi"/>
        </w:rPr>
        <w:t xml:space="preserve"> « Le tableau 3.4.6 présente les éléments d’étiquetage attribués aux substances et mélanges classés dans cette classe de danger d’après les critères exposés dans le présent chapitre. ».</w:t>
      </w:r>
    </w:p>
    <w:p w14:paraId="6D3681FF" w14:textId="76B054F1" w:rsidR="0084064C" w:rsidRPr="00950D73" w:rsidRDefault="0084064C" w:rsidP="004E1A44">
      <w:pPr>
        <w:pStyle w:val="SingleTxtG"/>
        <w:tabs>
          <w:tab w:val="clear" w:pos="1701"/>
          <w:tab w:val="left" w:pos="4253"/>
        </w:tabs>
        <w:ind w:left="2268" w:hanging="1134"/>
        <w:rPr>
          <w:rFonts w:asciiTheme="majorBidi" w:hAnsiTheme="majorBidi" w:cstheme="majorBidi"/>
          <w:lang w:val="fr-FR"/>
        </w:rPr>
      </w:pPr>
      <w:bookmarkStart w:id="32" w:name="_Hlk110252038"/>
      <w:bookmarkEnd w:id="32"/>
      <w:r w:rsidRPr="00950D73">
        <w:rPr>
          <w:rFonts w:asciiTheme="majorBidi" w:hAnsiTheme="majorBidi" w:cstheme="majorBidi"/>
          <w:lang w:val="fr-FR"/>
        </w:rPr>
        <w:t>3.4.5</w:t>
      </w:r>
      <w:r w:rsidR="00663A0F" w:rsidRPr="00950D73">
        <w:rPr>
          <w:rFonts w:asciiTheme="majorBidi" w:hAnsiTheme="majorBidi" w:cstheme="majorBidi"/>
          <w:lang w:val="fr-FR"/>
        </w:rPr>
        <w:tab/>
        <w:t>Modifier l’</w:t>
      </w:r>
      <w:r w:rsidRPr="00950D73">
        <w:rPr>
          <w:rFonts w:asciiTheme="majorBidi" w:hAnsiTheme="majorBidi" w:cstheme="majorBidi"/>
          <w:lang w:val="fr-FR"/>
        </w:rPr>
        <w:t>intitulé</w:t>
      </w:r>
      <w:r w:rsidR="00663A0F" w:rsidRPr="00950D73">
        <w:rPr>
          <w:rFonts w:asciiTheme="majorBidi" w:hAnsiTheme="majorBidi" w:cstheme="majorBidi"/>
          <w:lang w:val="fr-FR"/>
        </w:rPr>
        <w:t xml:space="preserve"> pour lire comme suit : « </w:t>
      </w:r>
      <w:r w:rsidR="004E53E3" w:rsidRPr="00950D73">
        <w:rPr>
          <w:rFonts w:asciiTheme="majorBidi" w:hAnsiTheme="majorBidi" w:cstheme="majorBidi"/>
          <w:b/>
          <w:bCs/>
          <w:lang w:val="fr-FR"/>
        </w:rPr>
        <w:t xml:space="preserve">Procédure </w:t>
      </w:r>
      <w:r w:rsidR="00ED669B" w:rsidRPr="00950D73">
        <w:rPr>
          <w:rFonts w:asciiTheme="majorBidi" w:hAnsiTheme="majorBidi" w:cstheme="majorBidi"/>
          <w:b/>
          <w:bCs/>
          <w:lang w:val="fr-FR"/>
        </w:rPr>
        <w:t xml:space="preserve">de décision </w:t>
      </w:r>
      <w:r w:rsidRPr="00950D73">
        <w:rPr>
          <w:rFonts w:asciiTheme="majorBidi" w:hAnsiTheme="majorBidi" w:cstheme="majorBidi"/>
          <w:b/>
          <w:bCs/>
          <w:lang w:val="fr-FR"/>
        </w:rPr>
        <w:t>et orientations</w:t>
      </w:r>
      <w:r w:rsidRPr="00950D73">
        <w:rPr>
          <w:rFonts w:asciiTheme="majorBidi" w:hAnsiTheme="majorBidi" w:cstheme="majorBidi"/>
          <w:lang w:val="fr-FR"/>
        </w:rPr>
        <w:t> ».</w:t>
      </w:r>
    </w:p>
    <w:p w14:paraId="5F2616C3" w14:textId="4F8BE908" w:rsidR="0084064C" w:rsidRPr="00950D73" w:rsidRDefault="0084064C" w:rsidP="0084064C">
      <w:pPr>
        <w:keepNext/>
        <w:tabs>
          <w:tab w:val="left" w:pos="2268"/>
        </w:tabs>
        <w:spacing w:after="120" w:line="240" w:lineRule="auto"/>
        <w:ind w:left="1134" w:right="1134"/>
        <w:jc w:val="both"/>
        <w:rPr>
          <w:rFonts w:asciiTheme="majorBidi" w:hAnsiTheme="majorBidi" w:cstheme="majorBidi"/>
          <w:lang w:val="fr-FR"/>
        </w:rPr>
      </w:pPr>
      <w:r w:rsidRPr="00950D73">
        <w:rPr>
          <w:rFonts w:asciiTheme="majorBidi" w:hAnsiTheme="majorBidi" w:cstheme="majorBidi"/>
          <w:lang w:val="fr-FR"/>
        </w:rPr>
        <w:lastRenderedPageBreak/>
        <w:t>3.4.5.1</w:t>
      </w:r>
      <w:r w:rsidR="00824F9A" w:rsidRPr="00950D73">
        <w:rPr>
          <w:rFonts w:asciiTheme="majorBidi" w:hAnsiTheme="majorBidi" w:cstheme="majorBidi"/>
          <w:lang w:val="fr-FR"/>
        </w:rPr>
        <w:tab/>
      </w:r>
      <w:r w:rsidR="001B1710" w:rsidRPr="00950D73">
        <w:rPr>
          <w:rFonts w:asciiTheme="majorBidi" w:hAnsiTheme="majorBidi" w:cstheme="majorBidi"/>
          <w:lang w:val="fr-FR"/>
        </w:rPr>
        <w:t>Modifier le</w:t>
      </w:r>
      <w:r w:rsidR="00824F9A" w:rsidRPr="00950D73">
        <w:rPr>
          <w:rFonts w:asciiTheme="majorBidi" w:hAnsiTheme="majorBidi" w:cstheme="majorBidi"/>
          <w:lang w:val="fr-FR"/>
        </w:rPr>
        <w:t xml:space="preserve"> </w:t>
      </w:r>
      <w:r w:rsidR="001B1710" w:rsidRPr="00950D73">
        <w:rPr>
          <w:rFonts w:asciiTheme="majorBidi" w:hAnsiTheme="majorBidi" w:cstheme="majorBidi"/>
          <w:lang w:val="fr-FR"/>
        </w:rPr>
        <w:t>d</w:t>
      </w:r>
      <w:r w:rsidRPr="00950D73">
        <w:rPr>
          <w:rFonts w:asciiTheme="majorBidi" w:hAnsiTheme="majorBidi" w:cstheme="majorBidi"/>
          <w:lang w:val="fr-FR"/>
        </w:rPr>
        <w:t xml:space="preserve">iagramme de décision 3.4.1 </w:t>
      </w:r>
      <w:r w:rsidR="001B1710" w:rsidRPr="00950D73">
        <w:rPr>
          <w:rFonts w:asciiTheme="majorBidi" w:hAnsiTheme="majorBidi" w:cstheme="majorBidi"/>
          <w:lang w:val="fr-FR"/>
        </w:rPr>
        <w:t>comme suit</w:t>
      </w:r>
      <w:r w:rsidRPr="00950D73">
        <w:rPr>
          <w:rFonts w:asciiTheme="majorBidi" w:hAnsiTheme="majorBidi" w:cstheme="majorBidi"/>
          <w:lang w:val="fr-FR"/>
        </w:rPr>
        <w:t> :</w:t>
      </w:r>
    </w:p>
    <w:p w14:paraId="534422D0" w14:textId="77777777" w:rsidR="0084064C" w:rsidRPr="00950D73" w:rsidRDefault="0084064C" w:rsidP="00DB49DA">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lang w:val="fr-FR"/>
        </w:rPr>
      </w:pPr>
      <w:r w:rsidRPr="00950D73">
        <w:rPr>
          <w:rFonts w:asciiTheme="majorBidi" w:hAnsiTheme="majorBidi" w:cstheme="majorBidi"/>
          <w:lang w:val="fr-FR"/>
        </w:rPr>
        <w:t>Deuxième zone de texte de droite en partant du haut, remplacer « Catégorie 1</w:t>
      </w:r>
      <w:r w:rsidRPr="00950D73">
        <w:rPr>
          <w:rFonts w:asciiTheme="majorBidi" w:hAnsiTheme="majorBidi" w:cstheme="majorBidi"/>
          <w:vertAlign w:val="superscript"/>
          <w:lang w:val="fr-FR"/>
        </w:rPr>
        <w:t>5</w:t>
      </w:r>
      <w:r w:rsidRPr="00950D73">
        <w:rPr>
          <w:rFonts w:asciiTheme="majorBidi" w:hAnsiTheme="majorBidi" w:cstheme="majorBidi"/>
          <w:lang w:val="fr-FR"/>
        </w:rPr>
        <w:t> » par « Catégorie 1</w:t>
      </w:r>
      <w:r w:rsidRPr="00950D73">
        <w:rPr>
          <w:rFonts w:asciiTheme="majorBidi" w:hAnsiTheme="majorBidi" w:cstheme="majorBidi"/>
          <w:vertAlign w:val="superscript"/>
          <w:lang w:val="fr-FR"/>
        </w:rPr>
        <w:t>7</w:t>
      </w:r>
      <w:r w:rsidRPr="00950D73">
        <w:rPr>
          <w:rFonts w:asciiTheme="majorBidi" w:hAnsiTheme="majorBidi" w:cstheme="majorBidi"/>
          <w:lang w:val="fr-FR"/>
        </w:rPr>
        <w:t> » ;</w:t>
      </w:r>
    </w:p>
    <w:p w14:paraId="0CF83509" w14:textId="73FB3ECA" w:rsidR="0084064C" w:rsidRPr="00950D73" w:rsidRDefault="0084064C" w:rsidP="00DB49DA">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lang w:val="fr-FR"/>
        </w:rPr>
      </w:pPr>
      <w:r w:rsidRPr="00950D73">
        <w:rPr>
          <w:rFonts w:asciiTheme="majorBidi" w:hAnsiTheme="majorBidi" w:cstheme="majorBidi"/>
          <w:lang w:val="fr-FR"/>
        </w:rPr>
        <w:t>Zone de texte en bas à gauche commençant par « Le mélange contient-il... »</w:t>
      </w:r>
      <w:bookmarkStart w:id="33" w:name="_Hlk116574491"/>
      <w:r w:rsidR="00DB49DA" w:rsidRPr="00950D73">
        <w:rPr>
          <w:rFonts w:asciiTheme="majorBidi" w:hAnsiTheme="majorBidi" w:cstheme="majorBidi"/>
          <w:lang w:val="fr-FR"/>
        </w:rPr>
        <w:t xml:space="preserve"> : </w:t>
      </w:r>
      <w:r w:rsidR="005B2798" w:rsidRPr="00950D73">
        <w:rPr>
          <w:rFonts w:asciiTheme="majorBidi" w:hAnsiTheme="majorBidi" w:cstheme="majorBidi"/>
          <w:lang w:val="fr-FR"/>
        </w:rPr>
        <w:t>remplacer les a</w:t>
      </w:r>
      <w:r w:rsidRPr="00950D73">
        <w:rPr>
          <w:rFonts w:asciiTheme="majorBidi" w:hAnsiTheme="majorBidi" w:cstheme="majorBidi"/>
          <w:lang w:val="fr-FR"/>
        </w:rPr>
        <w:t>ppels de notes de bas de page « </w:t>
      </w:r>
      <w:r w:rsidRPr="00950D73">
        <w:rPr>
          <w:rFonts w:asciiTheme="majorBidi" w:hAnsiTheme="majorBidi" w:cstheme="majorBidi"/>
          <w:vertAlign w:val="superscript"/>
          <w:lang w:val="fr-FR"/>
        </w:rPr>
        <w:t>3,4</w:t>
      </w:r>
      <w:r w:rsidRPr="00950D73">
        <w:rPr>
          <w:rFonts w:asciiTheme="majorBidi" w:hAnsiTheme="majorBidi" w:cstheme="majorBidi"/>
          <w:lang w:val="fr-FR"/>
        </w:rPr>
        <w:t> » par « </w:t>
      </w:r>
      <w:r w:rsidRPr="00950D73">
        <w:rPr>
          <w:rFonts w:asciiTheme="majorBidi" w:hAnsiTheme="majorBidi" w:cstheme="majorBidi"/>
          <w:vertAlign w:val="superscript"/>
          <w:lang w:val="fr-FR"/>
        </w:rPr>
        <w:t>5,6</w:t>
      </w:r>
      <w:r w:rsidRPr="00950D73">
        <w:rPr>
          <w:rFonts w:asciiTheme="majorBidi" w:hAnsiTheme="majorBidi" w:cstheme="majorBidi"/>
          <w:lang w:val="fr-FR"/>
        </w:rPr>
        <w:t> » ;</w:t>
      </w:r>
      <w:bookmarkEnd w:id="33"/>
    </w:p>
    <w:p w14:paraId="0D7CE450" w14:textId="180FA20A" w:rsidR="001508F7" w:rsidRPr="00950D73" w:rsidRDefault="001508F7" w:rsidP="001508F7">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lang w:val="fr-FR"/>
        </w:rPr>
      </w:pPr>
      <w:bookmarkStart w:id="34" w:name="_Hlk116574573"/>
      <w:r w:rsidRPr="00950D73">
        <w:rPr>
          <w:rFonts w:asciiTheme="majorBidi" w:hAnsiTheme="majorBidi" w:cstheme="majorBidi"/>
          <w:lang w:val="fr-FR"/>
        </w:rPr>
        <w:t>Renuméroter l</w:t>
      </w:r>
      <w:r w:rsidR="002523C6" w:rsidRPr="00950D73">
        <w:rPr>
          <w:rFonts w:asciiTheme="majorBidi" w:hAnsiTheme="majorBidi" w:cstheme="majorBidi"/>
          <w:lang w:val="fr-FR"/>
        </w:rPr>
        <w:t>es n</w:t>
      </w:r>
      <w:r w:rsidR="0084064C" w:rsidRPr="00950D73">
        <w:rPr>
          <w:rFonts w:asciiTheme="majorBidi" w:hAnsiTheme="majorBidi" w:cstheme="majorBidi"/>
          <w:lang w:val="fr-FR"/>
        </w:rPr>
        <w:t>otes de bas de page 3</w:t>
      </w:r>
      <w:r w:rsidR="00294D1A" w:rsidRPr="00950D73">
        <w:rPr>
          <w:rFonts w:asciiTheme="majorBidi" w:hAnsiTheme="majorBidi" w:cstheme="majorBidi"/>
          <w:lang w:val="fr-FR"/>
        </w:rPr>
        <w:t xml:space="preserve">, 4 </w:t>
      </w:r>
      <w:r w:rsidR="00504129" w:rsidRPr="00950D73">
        <w:rPr>
          <w:rFonts w:asciiTheme="majorBidi" w:hAnsiTheme="majorBidi" w:cstheme="majorBidi"/>
          <w:lang w:val="fr-FR"/>
        </w:rPr>
        <w:t>et</w:t>
      </w:r>
      <w:r w:rsidR="001D64F4" w:rsidRPr="00950D73">
        <w:rPr>
          <w:rFonts w:asciiTheme="majorBidi" w:hAnsiTheme="majorBidi" w:cstheme="majorBidi"/>
          <w:lang w:val="fr-FR"/>
        </w:rPr>
        <w:t xml:space="preserve"> </w:t>
      </w:r>
      <w:r w:rsidR="002523C6" w:rsidRPr="00950D73">
        <w:rPr>
          <w:rFonts w:asciiTheme="majorBidi" w:hAnsiTheme="majorBidi" w:cstheme="majorBidi"/>
          <w:lang w:val="fr-FR"/>
        </w:rPr>
        <w:t xml:space="preserve">5 </w:t>
      </w:r>
      <w:bookmarkEnd w:id="34"/>
      <w:r w:rsidR="00504129" w:rsidRPr="00950D73">
        <w:rPr>
          <w:rFonts w:asciiTheme="majorBidi" w:hAnsiTheme="majorBidi" w:cstheme="majorBidi"/>
          <w:lang w:val="fr-FR"/>
        </w:rPr>
        <w:t>en 5, 6 et 7 respectivement</w:t>
      </w:r>
      <w:r w:rsidR="007D2782">
        <w:rPr>
          <w:rFonts w:asciiTheme="majorBidi" w:hAnsiTheme="majorBidi" w:cstheme="majorBidi"/>
          <w:lang w:val="fr-FR"/>
        </w:rPr>
        <w:t>.</w:t>
      </w:r>
    </w:p>
    <w:p w14:paraId="52D4D757" w14:textId="59D3774B" w:rsidR="0084064C" w:rsidRPr="00950D73" w:rsidRDefault="0084064C" w:rsidP="0084064C">
      <w:pPr>
        <w:keepNext/>
        <w:tabs>
          <w:tab w:val="left" w:pos="2268"/>
        </w:tabs>
        <w:spacing w:after="120" w:line="240" w:lineRule="auto"/>
        <w:ind w:left="1134" w:right="1134"/>
        <w:jc w:val="both"/>
        <w:rPr>
          <w:rFonts w:asciiTheme="majorBidi" w:hAnsiTheme="majorBidi" w:cstheme="majorBidi"/>
          <w:lang w:val="fr-FR"/>
        </w:rPr>
      </w:pPr>
      <w:r w:rsidRPr="00950D73">
        <w:rPr>
          <w:rFonts w:asciiTheme="majorBidi" w:hAnsiTheme="majorBidi" w:cstheme="majorBidi"/>
          <w:lang w:val="fr-FR"/>
        </w:rPr>
        <w:t>3.4.5.2</w:t>
      </w:r>
      <w:r w:rsidR="00C426D1" w:rsidRPr="00950D73">
        <w:rPr>
          <w:rFonts w:asciiTheme="majorBidi" w:hAnsiTheme="majorBidi" w:cstheme="majorBidi"/>
          <w:lang w:val="fr-FR"/>
        </w:rPr>
        <w:tab/>
        <w:t xml:space="preserve">Modifier le diagramme de décision </w:t>
      </w:r>
      <w:r w:rsidRPr="00950D73">
        <w:rPr>
          <w:rFonts w:asciiTheme="majorBidi" w:hAnsiTheme="majorBidi" w:cstheme="majorBidi"/>
          <w:lang w:val="fr-FR"/>
        </w:rPr>
        <w:t xml:space="preserve">3.4.2 </w:t>
      </w:r>
      <w:r w:rsidR="00320FCE" w:rsidRPr="00950D73">
        <w:rPr>
          <w:rFonts w:asciiTheme="majorBidi" w:hAnsiTheme="majorBidi" w:cstheme="majorBidi"/>
          <w:lang w:val="fr-FR"/>
        </w:rPr>
        <w:t xml:space="preserve">comme suit : </w:t>
      </w:r>
      <w:r w:rsidRPr="00950D73">
        <w:rPr>
          <w:rFonts w:asciiTheme="majorBidi" w:hAnsiTheme="majorBidi" w:cstheme="majorBidi"/>
          <w:lang w:val="fr-FR"/>
        </w:rPr>
        <w:t xml:space="preserve"> </w:t>
      </w:r>
    </w:p>
    <w:p w14:paraId="0E261CC9" w14:textId="2AC8114E" w:rsidR="004F6C26" w:rsidRPr="00950D73" w:rsidRDefault="006D2162" w:rsidP="00943596">
      <w:pPr>
        <w:pStyle w:val="Bullet1G"/>
        <w:numPr>
          <w:ilvl w:val="0"/>
          <w:numId w:val="0"/>
        </w:numPr>
        <w:ind w:left="2268"/>
        <w:rPr>
          <w:rFonts w:asciiTheme="majorBidi" w:hAnsiTheme="majorBidi" w:cstheme="majorBidi"/>
          <w:lang w:val="fr-FR"/>
        </w:rPr>
      </w:pPr>
      <w:r w:rsidRPr="00950D73">
        <w:rPr>
          <w:rFonts w:asciiTheme="majorBidi" w:hAnsiTheme="majorBidi" w:cstheme="majorBidi"/>
          <w:lang w:val="fr-FR"/>
        </w:rPr>
        <w:t xml:space="preserve">Remplacer le texte </w:t>
      </w:r>
      <w:r w:rsidR="004F6C26" w:rsidRPr="00950D73">
        <w:rPr>
          <w:rFonts w:asciiTheme="majorBidi" w:hAnsiTheme="majorBidi" w:cstheme="majorBidi"/>
          <w:lang w:val="fr-FR"/>
        </w:rPr>
        <w:t>commençant par « a) Existe-t-il des données... » dans la zone de texte centrale</w:t>
      </w:r>
      <w:r w:rsidRPr="00950D73">
        <w:rPr>
          <w:rFonts w:asciiTheme="majorBidi" w:hAnsiTheme="majorBidi" w:cstheme="majorBidi"/>
          <w:lang w:val="fr-FR"/>
        </w:rPr>
        <w:t xml:space="preserve"> par</w:t>
      </w:r>
      <w:r w:rsidR="004F6C26" w:rsidRPr="00950D73">
        <w:rPr>
          <w:rFonts w:asciiTheme="majorBidi" w:hAnsiTheme="majorBidi" w:cstheme="majorBidi"/>
          <w:lang w:val="fr-FR"/>
        </w:rPr>
        <w:t xml:space="preserve"> : « Existe-t-il des preuves que la substance ou le mélange satisfait aux critères des 3.4.2.2.2.2 à 3.4.2.2.2.8 pour les </w:t>
      </w:r>
      <w:r w:rsidR="007D2782">
        <w:rPr>
          <w:rFonts w:asciiTheme="majorBidi" w:hAnsiTheme="majorBidi" w:cstheme="majorBidi"/>
          <w:lang w:val="fr-FR"/>
        </w:rPr>
        <w:t>substances</w:t>
      </w:r>
      <w:r w:rsidR="007D2782" w:rsidRPr="00950D73">
        <w:rPr>
          <w:rFonts w:asciiTheme="majorBidi" w:hAnsiTheme="majorBidi" w:cstheme="majorBidi"/>
          <w:lang w:val="fr-FR"/>
        </w:rPr>
        <w:t xml:space="preserve"> </w:t>
      </w:r>
      <w:r w:rsidR="004F6C26" w:rsidRPr="00950D73">
        <w:rPr>
          <w:rFonts w:asciiTheme="majorBidi" w:hAnsiTheme="majorBidi" w:cstheme="majorBidi"/>
          <w:lang w:val="fr-FR"/>
        </w:rPr>
        <w:t>et du 3.4.3.1 pour les mélanges ? ».</w:t>
      </w:r>
    </w:p>
    <w:p w14:paraId="1C64250C" w14:textId="77777777" w:rsidR="0084064C" w:rsidRPr="00950D73" w:rsidRDefault="0084064C" w:rsidP="00943596">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lang w:val="fr-FR"/>
        </w:rPr>
      </w:pPr>
      <w:r w:rsidRPr="00950D73">
        <w:rPr>
          <w:rFonts w:asciiTheme="majorBidi" w:hAnsiTheme="majorBidi" w:cstheme="majorBidi"/>
          <w:lang w:val="fr-FR"/>
        </w:rPr>
        <w:t>Deuxième zone de texte à droite en partant du haut, remplacer « Catégorie 1</w:t>
      </w:r>
      <w:r w:rsidRPr="00950D73">
        <w:rPr>
          <w:rFonts w:asciiTheme="majorBidi" w:hAnsiTheme="majorBidi" w:cstheme="majorBidi"/>
          <w:vertAlign w:val="superscript"/>
          <w:lang w:val="fr-FR"/>
        </w:rPr>
        <w:t>6</w:t>
      </w:r>
      <w:r w:rsidRPr="00950D73">
        <w:rPr>
          <w:rFonts w:asciiTheme="majorBidi" w:hAnsiTheme="majorBidi" w:cstheme="majorBidi"/>
          <w:lang w:val="fr-FR"/>
        </w:rPr>
        <w:t> » par « Catégorie 1</w:t>
      </w:r>
      <w:r w:rsidRPr="00950D73">
        <w:rPr>
          <w:rFonts w:asciiTheme="majorBidi" w:hAnsiTheme="majorBidi" w:cstheme="majorBidi"/>
          <w:vertAlign w:val="superscript"/>
          <w:lang w:val="fr-FR"/>
        </w:rPr>
        <w:t>8</w:t>
      </w:r>
      <w:r w:rsidRPr="00950D73">
        <w:rPr>
          <w:rFonts w:asciiTheme="majorBidi" w:hAnsiTheme="majorBidi" w:cstheme="majorBidi"/>
          <w:lang w:val="fr-FR"/>
        </w:rPr>
        <w:t> » ;</w:t>
      </w:r>
    </w:p>
    <w:p w14:paraId="6BB5CDFB" w14:textId="1625CB6B" w:rsidR="0084064C" w:rsidRPr="00950D73" w:rsidRDefault="0084064C" w:rsidP="009B494C">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lang w:val="fr-FR"/>
        </w:rPr>
      </w:pPr>
      <w:r w:rsidRPr="00950D73">
        <w:rPr>
          <w:rFonts w:asciiTheme="majorBidi" w:hAnsiTheme="majorBidi" w:cstheme="majorBidi"/>
          <w:lang w:val="fr-FR"/>
        </w:rPr>
        <w:t>Zone de texte en bas à gauche, commençant par « Le mélange contient-il... » :</w:t>
      </w:r>
      <w:r w:rsidR="009B494C" w:rsidRPr="00950D73">
        <w:rPr>
          <w:rFonts w:asciiTheme="majorBidi" w:hAnsiTheme="majorBidi" w:cstheme="majorBidi"/>
          <w:lang w:val="fr-FR"/>
        </w:rPr>
        <w:t xml:space="preserve"> remplacer les a</w:t>
      </w:r>
      <w:r w:rsidRPr="00950D73">
        <w:rPr>
          <w:rFonts w:asciiTheme="majorBidi" w:hAnsiTheme="majorBidi" w:cstheme="majorBidi"/>
          <w:lang w:val="fr-FR"/>
        </w:rPr>
        <w:t>ppels de notes de bas de page « </w:t>
      </w:r>
      <w:r w:rsidRPr="00950D73">
        <w:rPr>
          <w:rFonts w:asciiTheme="majorBidi" w:hAnsiTheme="majorBidi" w:cstheme="majorBidi"/>
          <w:vertAlign w:val="superscript"/>
          <w:lang w:val="fr-FR"/>
        </w:rPr>
        <w:t>3,4</w:t>
      </w:r>
      <w:r w:rsidRPr="00950D73">
        <w:rPr>
          <w:rFonts w:asciiTheme="majorBidi" w:hAnsiTheme="majorBidi" w:cstheme="majorBidi"/>
          <w:lang w:val="fr-FR"/>
        </w:rPr>
        <w:t xml:space="preserve"> », </w:t>
      </w:r>
      <w:r w:rsidR="009B494C" w:rsidRPr="00950D73">
        <w:rPr>
          <w:rFonts w:asciiTheme="majorBidi" w:hAnsiTheme="majorBidi" w:cstheme="majorBidi"/>
          <w:lang w:val="fr-FR"/>
        </w:rPr>
        <w:t xml:space="preserve">par </w:t>
      </w:r>
      <w:r w:rsidRPr="00950D73">
        <w:rPr>
          <w:rFonts w:asciiTheme="majorBidi" w:hAnsiTheme="majorBidi" w:cstheme="majorBidi"/>
          <w:lang w:val="fr-FR"/>
        </w:rPr>
        <w:t>« </w:t>
      </w:r>
      <w:r w:rsidRPr="00950D73">
        <w:rPr>
          <w:rFonts w:asciiTheme="majorBidi" w:hAnsiTheme="majorBidi" w:cstheme="majorBidi"/>
          <w:vertAlign w:val="superscript"/>
          <w:lang w:val="fr-FR"/>
        </w:rPr>
        <w:t>5,6</w:t>
      </w:r>
      <w:r w:rsidRPr="00950D73">
        <w:rPr>
          <w:rFonts w:asciiTheme="majorBidi" w:hAnsiTheme="majorBidi" w:cstheme="majorBidi"/>
          <w:lang w:val="fr-FR"/>
        </w:rPr>
        <w:t> » ;</w:t>
      </w:r>
    </w:p>
    <w:p w14:paraId="39E1485F" w14:textId="072F1625" w:rsidR="0084064C" w:rsidRPr="00950D73" w:rsidRDefault="00A8149D" w:rsidP="00943596">
      <w:pPr>
        <w:pStyle w:val="Bullet1G"/>
        <w:numPr>
          <w:ilvl w:val="0"/>
          <w:numId w:val="0"/>
        </w:numPr>
        <w:suppressAutoHyphens/>
        <w:kinsoku w:val="0"/>
        <w:overflowPunct w:val="0"/>
        <w:autoSpaceDE w:val="0"/>
        <w:autoSpaceDN w:val="0"/>
        <w:adjustRightInd w:val="0"/>
        <w:snapToGrid w:val="0"/>
        <w:ind w:left="2268"/>
        <w:rPr>
          <w:rFonts w:asciiTheme="majorBidi" w:hAnsiTheme="majorBidi" w:cstheme="majorBidi"/>
          <w:lang w:val="fr-FR"/>
        </w:rPr>
      </w:pPr>
      <w:r w:rsidRPr="00950D73">
        <w:rPr>
          <w:rFonts w:asciiTheme="majorBidi" w:hAnsiTheme="majorBidi" w:cstheme="majorBidi"/>
          <w:lang w:val="fr-FR"/>
        </w:rPr>
        <w:t>Renuméroter l</w:t>
      </w:r>
      <w:r w:rsidR="001F32DB" w:rsidRPr="00950D73">
        <w:rPr>
          <w:rFonts w:asciiTheme="majorBidi" w:hAnsiTheme="majorBidi" w:cstheme="majorBidi"/>
          <w:lang w:val="fr-FR"/>
        </w:rPr>
        <w:t>es</w:t>
      </w:r>
      <w:r w:rsidR="0084064C" w:rsidRPr="00950D73">
        <w:rPr>
          <w:rFonts w:asciiTheme="majorBidi" w:hAnsiTheme="majorBidi" w:cstheme="majorBidi"/>
          <w:lang w:val="fr-FR"/>
        </w:rPr>
        <w:t xml:space="preserve"> notes de bas de page </w:t>
      </w:r>
      <w:r w:rsidRPr="00950D73">
        <w:rPr>
          <w:rFonts w:asciiTheme="majorBidi" w:hAnsiTheme="majorBidi" w:cstheme="majorBidi"/>
          <w:lang w:val="fr-FR"/>
        </w:rPr>
        <w:t>« </w:t>
      </w:r>
      <w:r w:rsidR="0084064C" w:rsidRPr="00950D73">
        <w:rPr>
          <w:rFonts w:asciiTheme="majorBidi" w:hAnsiTheme="majorBidi" w:cstheme="majorBidi"/>
          <w:lang w:val="fr-FR"/>
        </w:rPr>
        <w:t>3</w:t>
      </w:r>
      <w:r w:rsidRPr="00950D73">
        <w:rPr>
          <w:rFonts w:asciiTheme="majorBidi" w:hAnsiTheme="majorBidi" w:cstheme="majorBidi"/>
          <w:lang w:val="fr-FR"/>
        </w:rPr>
        <w:t> »</w:t>
      </w:r>
      <w:r w:rsidR="0084064C" w:rsidRPr="00950D73">
        <w:rPr>
          <w:rFonts w:asciiTheme="majorBidi" w:hAnsiTheme="majorBidi" w:cstheme="majorBidi"/>
          <w:lang w:val="fr-FR"/>
        </w:rPr>
        <w:t xml:space="preserve">, </w:t>
      </w:r>
      <w:r w:rsidRPr="00950D73">
        <w:rPr>
          <w:rFonts w:asciiTheme="majorBidi" w:hAnsiTheme="majorBidi" w:cstheme="majorBidi"/>
          <w:lang w:val="fr-FR"/>
        </w:rPr>
        <w:t>« </w:t>
      </w:r>
      <w:r w:rsidR="0084064C" w:rsidRPr="00950D73">
        <w:rPr>
          <w:rFonts w:asciiTheme="majorBidi" w:hAnsiTheme="majorBidi" w:cstheme="majorBidi"/>
          <w:lang w:val="fr-FR"/>
        </w:rPr>
        <w:t>4</w:t>
      </w:r>
      <w:r w:rsidRPr="00950D73">
        <w:rPr>
          <w:rFonts w:asciiTheme="majorBidi" w:hAnsiTheme="majorBidi" w:cstheme="majorBidi"/>
          <w:lang w:val="fr-FR"/>
        </w:rPr>
        <w:t> »</w:t>
      </w:r>
      <w:r w:rsidR="0084064C" w:rsidRPr="00950D73">
        <w:rPr>
          <w:rFonts w:asciiTheme="majorBidi" w:hAnsiTheme="majorBidi" w:cstheme="majorBidi"/>
          <w:lang w:val="fr-FR"/>
        </w:rPr>
        <w:t xml:space="preserve"> et </w:t>
      </w:r>
      <w:r w:rsidRPr="00950D73">
        <w:rPr>
          <w:rFonts w:asciiTheme="majorBidi" w:hAnsiTheme="majorBidi" w:cstheme="majorBidi"/>
          <w:lang w:val="fr-FR"/>
        </w:rPr>
        <w:t>« </w:t>
      </w:r>
      <w:r w:rsidR="0084064C" w:rsidRPr="00950D73">
        <w:rPr>
          <w:rFonts w:asciiTheme="majorBidi" w:hAnsiTheme="majorBidi" w:cstheme="majorBidi"/>
          <w:lang w:val="fr-FR"/>
        </w:rPr>
        <w:t>6</w:t>
      </w:r>
      <w:r w:rsidRPr="00950D73">
        <w:rPr>
          <w:rFonts w:asciiTheme="majorBidi" w:hAnsiTheme="majorBidi" w:cstheme="majorBidi"/>
          <w:lang w:val="fr-FR"/>
        </w:rPr>
        <w:t> » en « </w:t>
      </w:r>
      <w:r w:rsidR="0084064C" w:rsidRPr="00950D73">
        <w:rPr>
          <w:rFonts w:asciiTheme="majorBidi" w:hAnsiTheme="majorBidi" w:cstheme="majorBidi"/>
          <w:lang w:val="fr-FR"/>
        </w:rPr>
        <w:t>5</w:t>
      </w:r>
      <w:r w:rsidRPr="00950D73">
        <w:rPr>
          <w:rFonts w:asciiTheme="majorBidi" w:hAnsiTheme="majorBidi" w:cstheme="majorBidi"/>
          <w:lang w:val="fr-FR"/>
        </w:rPr>
        <w:t> »</w:t>
      </w:r>
      <w:r w:rsidR="0084064C" w:rsidRPr="00950D73">
        <w:rPr>
          <w:rFonts w:asciiTheme="majorBidi" w:hAnsiTheme="majorBidi" w:cstheme="majorBidi"/>
          <w:lang w:val="fr-FR"/>
        </w:rPr>
        <w:t xml:space="preserve">, </w:t>
      </w:r>
      <w:r w:rsidRPr="00950D73">
        <w:rPr>
          <w:rFonts w:asciiTheme="majorBidi" w:hAnsiTheme="majorBidi" w:cstheme="majorBidi"/>
          <w:lang w:val="fr-FR"/>
        </w:rPr>
        <w:t>« </w:t>
      </w:r>
      <w:r w:rsidR="0084064C" w:rsidRPr="00950D73">
        <w:rPr>
          <w:rFonts w:asciiTheme="majorBidi" w:hAnsiTheme="majorBidi" w:cstheme="majorBidi"/>
          <w:lang w:val="fr-FR"/>
        </w:rPr>
        <w:t>6</w:t>
      </w:r>
      <w:r w:rsidRPr="00950D73">
        <w:rPr>
          <w:rFonts w:asciiTheme="majorBidi" w:hAnsiTheme="majorBidi" w:cstheme="majorBidi"/>
          <w:lang w:val="fr-FR"/>
        </w:rPr>
        <w:t> »</w:t>
      </w:r>
      <w:r w:rsidR="0084064C" w:rsidRPr="00950D73">
        <w:rPr>
          <w:rFonts w:asciiTheme="majorBidi" w:hAnsiTheme="majorBidi" w:cstheme="majorBidi"/>
          <w:lang w:val="fr-FR"/>
        </w:rPr>
        <w:t xml:space="preserve"> et </w:t>
      </w:r>
      <w:r w:rsidRPr="00950D73">
        <w:rPr>
          <w:rFonts w:asciiTheme="majorBidi" w:hAnsiTheme="majorBidi" w:cstheme="majorBidi"/>
          <w:lang w:val="fr-FR"/>
        </w:rPr>
        <w:t>« </w:t>
      </w:r>
      <w:r w:rsidR="0084064C" w:rsidRPr="00950D73">
        <w:rPr>
          <w:rFonts w:asciiTheme="majorBidi" w:hAnsiTheme="majorBidi" w:cstheme="majorBidi"/>
          <w:lang w:val="fr-FR"/>
        </w:rPr>
        <w:t>8</w:t>
      </w:r>
      <w:r w:rsidRPr="00950D73">
        <w:rPr>
          <w:rFonts w:asciiTheme="majorBidi" w:hAnsiTheme="majorBidi" w:cstheme="majorBidi"/>
          <w:lang w:val="fr-FR"/>
        </w:rPr>
        <w:t> » re</w:t>
      </w:r>
      <w:r w:rsidR="00452D5C" w:rsidRPr="00950D73">
        <w:rPr>
          <w:rFonts w:asciiTheme="majorBidi" w:hAnsiTheme="majorBidi" w:cstheme="majorBidi"/>
          <w:lang w:val="fr-FR"/>
        </w:rPr>
        <w:t>spectivement</w:t>
      </w:r>
      <w:r w:rsidR="0084064C" w:rsidRPr="00950D73">
        <w:rPr>
          <w:rFonts w:asciiTheme="majorBidi" w:hAnsiTheme="majorBidi" w:cstheme="majorBidi"/>
          <w:lang w:val="fr-FR"/>
        </w:rPr>
        <w:t>.</w:t>
      </w:r>
    </w:p>
    <w:p w14:paraId="12A23CC8" w14:textId="4C709917" w:rsidR="0084064C" w:rsidRPr="00950D73" w:rsidRDefault="002B0406" w:rsidP="0084064C">
      <w:pPr>
        <w:pStyle w:val="SingleTxtG"/>
        <w:tabs>
          <w:tab w:val="left" w:pos="5670"/>
        </w:tabs>
        <w:spacing w:after="240"/>
        <w:rPr>
          <w:rFonts w:asciiTheme="majorBidi" w:hAnsiTheme="majorBidi" w:cstheme="majorBidi"/>
          <w:lang w:val="fr-FR"/>
        </w:rPr>
      </w:pPr>
      <w:r w:rsidRPr="00950D73">
        <w:rPr>
          <w:rFonts w:asciiTheme="majorBidi" w:hAnsiTheme="majorBidi" w:cstheme="majorBidi"/>
          <w:iCs/>
          <w:lang w:val="fr-FR"/>
        </w:rPr>
        <w:t>3.4.5.3</w:t>
      </w:r>
      <w:r w:rsidRPr="00950D73">
        <w:rPr>
          <w:rFonts w:asciiTheme="majorBidi" w:hAnsiTheme="majorBidi" w:cstheme="majorBidi"/>
          <w:iCs/>
          <w:lang w:val="fr-FR"/>
        </w:rPr>
        <w:tab/>
      </w:r>
      <w:r w:rsidR="00452D5C" w:rsidRPr="00950D73">
        <w:rPr>
          <w:rFonts w:asciiTheme="majorBidi" w:hAnsiTheme="majorBidi" w:cstheme="majorBidi"/>
          <w:iCs/>
          <w:lang w:val="fr-FR"/>
        </w:rPr>
        <w:t xml:space="preserve"> </w:t>
      </w:r>
      <w:r w:rsidRPr="00A70D3B">
        <w:rPr>
          <w:rFonts w:asciiTheme="majorBidi" w:hAnsiTheme="majorBidi" w:cstheme="majorBidi"/>
          <w:iCs/>
          <w:lang w:val="fr-FR"/>
        </w:rPr>
        <w:t>(</w:t>
      </w:r>
      <w:r w:rsidR="007562D0" w:rsidRPr="00A70D3B">
        <w:rPr>
          <w:rFonts w:asciiTheme="majorBidi" w:hAnsiTheme="majorBidi" w:cstheme="majorBidi"/>
          <w:iCs/>
          <w:lang w:val="fr-FR"/>
        </w:rPr>
        <w:t>nouveau</w:t>
      </w:r>
      <w:r w:rsidRPr="00A70D3B">
        <w:rPr>
          <w:rFonts w:asciiTheme="majorBidi" w:hAnsiTheme="majorBidi" w:cstheme="majorBidi"/>
          <w:iCs/>
          <w:lang w:val="fr-FR"/>
        </w:rPr>
        <w:t>)</w:t>
      </w:r>
      <w:r w:rsidRPr="00950D73">
        <w:rPr>
          <w:rFonts w:asciiTheme="majorBidi" w:hAnsiTheme="majorBidi" w:cstheme="majorBidi"/>
          <w:i/>
          <w:lang w:val="fr-FR"/>
        </w:rPr>
        <w:tab/>
      </w:r>
      <w:r w:rsidR="0084064C" w:rsidRPr="00A70D3B">
        <w:rPr>
          <w:rFonts w:asciiTheme="majorBidi" w:hAnsiTheme="majorBidi" w:cstheme="majorBidi"/>
          <w:iCs/>
          <w:lang w:val="fr-FR"/>
        </w:rPr>
        <w:t>Ajouter un nouveau paragraphe</w:t>
      </w:r>
      <w:r w:rsidR="0084064C" w:rsidRPr="00950D73">
        <w:rPr>
          <w:rFonts w:asciiTheme="majorBidi" w:hAnsiTheme="majorBidi" w:cstheme="majorBidi"/>
          <w:iCs/>
          <w:lang w:val="fr-FR"/>
        </w:rPr>
        <w:t xml:space="preserve"> libellé </w:t>
      </w:r>
      <w:r w:rsidR="0084064C" w:rsidRPr="00950D73">
        <w:rPr>
          <w:rFonts w:asciiTheme="majorBidi" w:hAnsiTheme="majorBidi" w:cstheme="majorBidi"/>
          <w:lang w:val="fr-FR"/>
        </w:rPr>
        <w:t>comme suit :</w:t>
      </w:r>
    </w:p>
    <w:p w14:paraId="75027715" w14:textId="661B2517" w:rsidR="0084064C" w:rsidRPr="00950D73" w:rsidRDefault="0084064C" w:rsidP="00FE5841">
      <w:pPr>
        <w:pStyle w:val="SingleTxtG"/>
        <w:ind w:left="2268"/>
        <w:rPr>
          <w:rFonts w:asciiTheme="majorBidi" w:hAnsiTheme="majorBidi" w:cstheme="majorBidi"/>
          <w:lang w:val="fr-FR"/>
        </w:rPr>
      </w:pPr>
      <w:r w:rsidRPr="00950D73">
        <w:rPr>
          <w:rFonts w:asciiTheme="majorBidi" w:hAnsiTheme="majorBidi" w:cstheme="majorBidi"/>
          <w:lang w:val="fr-FR"/>
        </w:rPr>
        <w:t>« </w:t>
      </w:r>
      <w:r w:rsidRPr="00950D73">
        <w:rPr>
          <w:rFonts w:asciiTheme="majorBidi" w:hAnsiTheme="majorBidi" w:cstheme="majorBidi"/>
          <w:b/>
          <w:bCs/>
          <w:lang w:val="fr-FR"/>
        </w:rPr>
        <w:t>3.4.5.3</w:t>
      </w:r>
      <w:r w:rsidRPr="00950D73">
        <w:rPr>
          <w:rFonts w:asciiTheme="majorBidi" w:hAnsiTheme="majorBidi" w:cstheme="majorBidi"/>
          <w:b/>
          <w:bCs/>
          <w:lang w:val="fr-FR"/>
        </w:rPr>
        <w:tab/>
      </w:r>
      <w:r w:rsidRPr="00950D73">
        <w:rPr>
          <w:rFonts w:asciiTheme="majorBidi" w:hAnsiTheme="majorBidi" w:cstheme="majorBidi"/>
          <w:b/>
          <w:bCs/>
          <w:i/>
          <w:iCs/>
          <w:lang w:val="fr-FR"/>
        </w:rPr>
        <w:t>Commentaires et observations complémentaires</w:t>
      </w:r>
    </w:p>
    <w:p w14:paraId="7A9F43D5" w14:textId="2D58E849" w:rsidR="0084064C" w:rsidRPr="00950D73" w:rsidRDefault="0084064C" w:rsidP="00FE5841">
      <w:pPr>
        <w:pStyle w:val="SingleTxtG"/>
        <w:keepNext/>
        <w:ind w:left="2268"/>
        <w:jc w:val="left"/>
        <w:rPr>
          <w:rFonts w:asciiTheme="majorBidi" w:hAnsiTheme="majorBidi" w:cstheme="majorBidi"/>
          <w:i/>
          <w:iCs/>
          <w:lang w:val="fr-FR"/>
        </w:rPr>
      </w:pPr>
      <w:r w:rsidRPr="00950D73">
        <w:rPr>
          <w:rFonts w:asciiTheme="majorBidi" w:hAnsiTheme="majorBidi" w:cstheme="majorBidi"/>
          <w:lang w:val="fr-FR"/>
        </w:rPr>
        <w:t>3.4.5.3.1</w:t>
      </w:r>
      <w:r w:rsidRPr="00950D73">
        <w:rPr>
          <w:rFonts w:asciiTheme="majorBidi" w:hAnsiTheme="majorBidi" w:cstheme="majorBidi"/>
          <w:lang w:val="fr-FR"/>
        </w:rPr>
        <w:tab/>
      </w:r>
      <w:r w:rsidRPr="00950D73">
        <w:rPr>
          <w:rFonts w:asciiTheme="majorBidi" w:hAnsiTheme="majorBidi" w:cstheme="majorBidi"/>
          <w:i/>
          <w:iCs/>
          <w:lang w:val="fr-FR"/>
        </w:rPr>
        <w:t>Documents de référence utiles</w:t>
      </w:r>
    </w:p>
    <w:p w14:paraId="4AFA2F19" w14:textId="177D86DB" w:rsidR="0084064C" w:rsidRPr="00950D73" w:rsidRDefault="0084064C" w:rsidP="00FE5841">
      <w:pPr>
        <w:pStyle w:val="SingleTxtG"/>
        <w:ind w:left="2268"/>
        <w:rPr>
          <w:rFonts w:asciiTheme="majorBidi" w:hAnsiTheme="majorBidi" w:cstheme="majorBidi"/>
          <w:lang w:val="fr-FR"/>
        </w:rPr>
      </w:pPr>
      <w:r w:rsidRPr="00950D73">
        <w:rPr>
          <w:rFonts w:asciiTheme="majorBidi" w:hAnsiTheme="majorBidi" w:cstheme="majorBidi"/>
          <w:lang w:val="fr-FR"/>
        </w:rPr>
        <w:t xml:space="preserve">Des informations sur les mécanismes du processus de sensibilisation cutanée sont </w:t>
      </w:r>
      <w:r w:rsidRPr="00950D73">
        <w:rPr>
          <w:rFonts w:asciiTheme="majorBidi" w:hAnsiTheme="majorBidi" w:cstheme="majorBidi"/>
          <w:lang w:val="fr-FR"/>
        </w:rPr>
        <w:lastRenderedPageBreak/>
        <w:t xml:space="preserve">disponibles dans le document de l’OCDE intitulé « Adverse </w:t>
      </w:r>
      <w:proofErr w:type="spellStart"/>
      <w:r w:rsidRPr="00950D73">
        <w:rPr>
          <w:rFonts w:asciiTheme="majorBidi" w:hAnsiTheme="majorBidi" w:cstheme="majorBidi"/>
          <w:lang w:val="fr-FR"/>
        </w:rPr>
        <w:t>Outcome</w:t>
      </w:r>
      <w:proofErr w:type="spellEnd"/>
      <w:r w:rsidRPr="00950D73">
        <w:rPr>
          <w:rFonts w:asciiTheme="majorBidi" w:hAnsiTheme="majorBidi" w:cstheme="majorBidi"/>
          <w:lang w:val="fr-FR"/>
        </w:rPr>
        <w:t xml:space="preserve"> </w:t>
      </w:r>
      <w:proofErr w:type="spellStart"/>
      <w:r w:rsidRPr="00950D73">
        <w:rPr>
          <w:rFonts w:asciiTheme="majorBidi" w:hAnsiTheme="majorBidi" w:cstheme="majorBidi"/>
          <w:lang w:val="fr-FR"/>
        </w:rPr>
        <w:t>Pathway</w:t>
      </w:r>
      <w:proofErr w:type="spellEnd"/>
      <w:r w:rsidRPr="00950D73">
        <w:rPr>
          <w:rFonts w:asciiTheme="majorBidi" w:hAnsiTheme="majorBidi" w:cstheme="majorBidi"/>
          <w:lang w:val="fr-FR"/>
        </w:rPr>
        <w:t xml:space="preserve"> for skin </w:t>
      </w:r>
      <w:proofErr w:type="spellStart"/>
      <w:r w:rsidRPr="00950D73">
        <w:rPr>
          <w:rFonts w:asciiTheme="majorBidi" w:hAnsiTheme="majorBidi" w:cstheme="majorBidi"/>
          <w:lang w:val="fr-FR"/>
        </w:rPr>
        <w:t>sensitization</w:t>
      </w:r>
      <w:proofErr w:type="spellEnd"/>
      <w:r w:rsidRPr="00950D73">
        <w:rPr>
          <w:rFonts w:asciiTheme="majorBidi" w:hAnsiTheme="majorBidi" w:cstheme="majorBidi"/>
          <w:lang w:val="fr-FR"/>
        </w:rPr>
        <w:t> » (</w:t>
      </w:r>
      <w:r w:rsidR="00607437" w:rsidRPr="00950D73">
        <w:rPr>
          <w:rFonts w:asciiTheme="majorBidi" w:hAnsiTheme="majorBidi" w:cstheme="majorBidi"/>
          <w:lang w:val="fr-FR"/>
        </w:rPr>
        <w:t xml:space="preserve">voir </w:t>
      </w:r>
      <w:r w:rsidRPr="00950D73">
        <w:rPr>
          <w:rFonts w:asciiTheme="majorBidi" w:hAnsiTheme="majorBidi" w:cstheme="majorBidi"/>
          <w:lang w:val="fr-FR"/>
        </w:rPr>
        <w:t xml:space="preserve">OCDE </w:t>
      </w:r>
      <w:r w:rsidR="00607437" w:rsidRPr="00950D73">
        <w:rPr>
          <w:rFonts w:asciiTheme="majorBidi" w:hAnsiTheme="majorBidi" w:cstheme="majorBidi"/>
          <w:lang w:val="fr-FR"/>
        </w:rPr>
        <w:t>(</w:t>
      </w:r>
      <w:r w:rsidRPr="00950D73">
        <w:rPr>
          <w:rFonts w:asciiTheme="majorBidi" w:hAnsiTheme="majorBidi" w:cstheme="majorBidi"/>
          <w:lang w:val="fr-FR"/>
        </w:rPr>
        <w:t>2014)</w:t>
      </w:r>
      <w:r w:rsidR="00607437" w:rsidRPr="00950D73">
        <w:rPr>
          <w:rFonts w:asciiTheme="majorBidi" w:hAnsiTheme="majorBidi" w:cstheme="majorBidi"/>
          <w:lang w:val="fr-FR"/>
        </w:rPr>
        <w:t>)</w:t>
      </w:r>
      <w:r w:rsidRPr="00950D73">
        <w:rPr>
          <w:rFonts w:asciiTheme="majorBidi" w:hAnsiTheme="majorBidi" w:cstheme="majorBidi"/>
          <w:lang w:val="fr-FR"/>
        </w:rPr>
        <w:t xml:space="preserve">. Ces informations peuvent être utiles pour comprendre la valeur des méthodes </w:t>
      </w:r>
      <w:r w:rsidRPr="00950D73">
        <w:rPr>
          <w:rFonts w:asciiTheme="majorBidi" w:hAnsiTheme="majorBidi" w:cstheme="majorBidi"/>
          <w:i/>
          <w:iCs/>
          <w:lang w:val="fr-FR"/>
        </w:rPr>
        <w:t xml:space="preserve">in </w:t>
      </w:r>
      <w:proofErr w:type="spellStart"/>
      <w:r w:rsidRPr="00950D73">
        <w:rPr>
          <w:rFonts w:asciiTheme="majorBidi" w:hAnsiTheme="majorBidi" w:cstheme="majorBidi"/>
          <w:i/>
          <w:iCs/>
          <w:lang w:val="fr-FR"/>
        </w:rPr>
        <w:t>chemico</w:t>
      </w:r>
      <w:proofErr w:type="spellEnd"/>
      <w:r w:rsidRPr="00950D73">
        <w:rPr>
          <w:rFonts w:asciiTheme="majorBidi" w:hAnsiTheme="majorBidi" w:cstheme="majorBidi"/>
          <w:i/>
          <w:iCs/>
          <w:lang w:val="fr-FR"/>
        </w:rPr>
        <w:t xml:space="preserve"> </w:t>
      </w:r>
      <w:r w:rsidRPr="00950D73">
        <w:rPr>
          <w:rFonts w:asciiTheme="majorBidi" w:hAnsiTheme="majorBidi" w:cstheme="majorBidi"/>
          <w:lang w:val="fr-FR"/>
        </w:rPr>
        <w:t>et in vitro</w:t>
      </w:r>
      <w:r w:rsidRPr="00950D73">
        <w:rPr>
          <w:rFonts w:asciiTheme="majorBidi" w:hAnsiTheme="majorBidi" w:cstheme="majorBidi"/>
          <w:i/>
          <w:iCs/>
          <w:lang w:val="fr-FR"/>
        </w:rPr>
        <w:t xml:space="preserve"> </w:t>
      </w:r>
      <w:r w:rsidRPr="00950D73">
        <w:rPr>
          <w:rFonts w:asciiTheme="majorBidi" w:hAnsiTheme="majorBidi" w:cstheme="majorBidi"/>
          <w:lang w:val="fr-FR"/>
        </w:rPr>
        <w:t>par rapport aux méthodes in vivo.</w:t>
      </w:r>
    </w:p>
    <w:p w14:paraId="7AEDC17F" w14:textId="4C701788" w:rsidR="0084064C" w:rsidRPr="00950D73" w:rsidRDefault="0084064C" w:rsidP="00C60AFE">
      <w:pPr>
        <w:pStyle w:val="SingleTxtG"/>
        <w:keepNext/>
        <w:ind w:left="2268"/>
        <w:rPr>
          <w:rFonts w:asciiTheme="majorBidi" w:hAnsiTheme="majorBidi" w:cstheme="majorBidi"/>
          <w:lang w:val="fr-FR"/>
        </w:rPr>
      </w:pPr>
      <w:r w:rsidRPr="00950D73">
        <w:rPr>
          <w:rFonts w:asciiTheme="majorBidi" w:hAnsiTheme="majorBidi" w:cstheme="majorBidi"/>
          <w:lang w:val="fr-FR"/>
        </w:rPr>
        <w:t>3.4.5.3.2</w:t>
      </w:r>
      <w:r w:rsidRPr="00950D73">
        <w:rPr>
          <w:rFonts w:asciiTheme="majorBidi" w:hAnsiTheme="majorBidi" w:cstheme="majorBidi"/>
          <w:lang w:val="fr-FR"/>
        </w:rPr>
        <w:tab/>
      </w:r>
      <w:r w:rsidRPr="00950D73">
        <w:rPr>
          <w:rFonts w:asciiTheme="majorBidi" w:hAnsiTheme="majorBidi" w:cstheme="majorBidi"/>
          <w:i/>
          <w:iCs/>
          <w:lang w:val="fr-FR"/>
        </w:rPr>
        <w:t>Orientations sur l’utilisation des données obtenues sur l’homme</w:t>
      </w:r>
    </w:p>
    <w:p w14:paraId="0E25292A" w14:textId="523B4851" w:rsidR="0084064C" w:rsidRPr="00950D73" w:rsidRDefault="0084064C" w:rsidP="00FE5841">
      <w:pPr>
        <w:pStyle w:val="SingleTxtG"/>
        <w:ind w:left="2268"/>
        <w:rPr>
          <w:rFonts w:asciiTheme="majorBidi" w:hAnsiTheme="majorBidi" w:cstheme="majorBidi"/>
          <w:lang w:val="fr-FR"/>
        </w:rPr>
      </w:pPr>
      <w:r w:rsidRPr="00950D73">
        <w:rPr>
          <w:rFonts w:asciiTheme="majorBidi" w:hAnsiTheme="majorBidi" w:cstheme="majorBidi"/>
          <w:lang w:val="fr-FR"/>
        </w:rPr>
        <w:t>3.4.5.3.2.1</w:t>
      </w:r>
      <w:r w:rsidRPr="00950D73">
        <w:rPr>
          <w:rFonts w:asciiTheme="majorBidi" w:hAnsiTheme="majorBidi" w:cstheme="majorBidi"/>
          <w:lang w:val="fr-FR"/>
        </w:rPr>
        <w:tab/>
        <w:t xml:space="preserve">Le classement d’une substance peut être basée sur des données obtenues sur l’homme provenant de diverses sources. Ces sources comprennent des tests épicutanés prédictifs chez l’homme, des études épidémiologiques, des études de cas, des rapports ou des historiques de cas, des tests épicutanés diagnostiques et des rapports de surveillance médicale, ainsi que des informations provenant de centres antipoison. Ces données peuvent avoir été produites à l’intention des consommateurs, des travailleurs ou la population générale. Lors de l’examen des données obtenues sur l’homme, il convient de tenir compte de la taille, du niveau et de la fréquence d’exposition de la population exposée. Des orientations concernant l’évaluation des données obtenues sur l’homme et les critères du 3.4.2.2.2 sont fournies par certaines autorités compétentes, par exemple le guide de l’ECHA (2017) intitulé « Guidance on the Application of the CLP </w:t>
      </w:r>
      <w:proofErr w:type="spellStart"/>
      <w:r w:rsidRPr="00950D73">
        <w:rPr>
          <w:rFonts w:asciiTheme="majorBidi" w:hAnsiTheme="majorBidi" w:cstheme="majorBidi"/>
          <w:lang w:val="fr-FR"/>
        </w:rPr>
        <w:t>Criteria</w:t>
      </w:r>
      <w:proofErr w:type="spellEnd"/>
      <w:r w:rsidRPr="00950D73">
        <w:rPr>
          <w:rFonts w:asciiTheme="majorBidi" w:hAnsiTheme="majorBidi" w:cstheme="majorBidi"/>
          <w:lang w:val="fr-FR"/>
        </w:rPr>
        <w:t> » (Application des critères relatifs à la classification, l’étiquetage et l’emballage).</w:t>
      </w:r>
    </w:p>
    <w:p w14:paraId="42A8E5D5" w14:textId="37EAADAB" w:rsidR="0084064C" w:rsidRPr="00950D73" w:rsidRDefault="0084064C" w:rsidP="00FE5841">
      <w:pPr>
        <w:pStyle w:val="SingleTxtG"/>
        <w:ind w:left="2268"/>
        <w:rPr>
          <w:rFonts w:asciiTheme="majorBidi" w:hAnsiTheme="majorBidi" w:cstheme="majorBidi"/>
          <w:lang w:val="fr-FR"/>
        </w:rPr>
      </w:pPr>
      <w:r w:rsidRPr="00950D73">
        <w:rPr>
          <w:rFonts w:asciiTheme="majorBidi" w:hAnsiTheme="majorBidi" w:cstheme="majorBidi"/>
          <w:lang w:val="fr-FR"/>
        </w:rPr>
        <w:t>3.4.5.3.2.2</w:t>
      </w:r>
      <w:r w:rsidRPr="00950D73">
        <w:rPr>
          <w:rFonts w:asciiTheme="majorBidi" w:hAnsiTheme="majorBidi" w:cstheme="majorBidi"/>
          <w:lang w:val="fr-FR"/>
        </w:rPr>
        <w:tab/>
        <w:t xml:space="preserve">Des données positives issues de tests épicutanés prédictifs (HRIPT ou HMT) réalisés dans le cadre d’études expérimentales et cliniques sur l’homme, faisant apparaître que la substance testée provoque une dermatite allergique de contact, peuvent être utilisées pour classer les substances </w:t>
      </w:r>
      <w:r w:rsidRPr="00950D73">
        <w:rPr>
          <w:rFonts w:asciiTheme="majorBidi" w:eastAsiaTheme="minorEastAsia" w:hAnsiTheme="majorBidi" w:cstheme="majorBidi"/>
          <w:lang w:val="fr-FR"/>
        </w:rPr>
        <w:t>en ce qui concerne</w:t>
      </w:r>
      <w:r w:rsidRPr="00950D73">
        <w:rPr>
          <w:rFonts w:asciiTheme="majorBidi" w:hAnsiTheme="majorBidi" w:cstheme="majorBidi"/>
          <w:lang w:val="fr-FR"/>
        </w:rPr>
        <w:t xml:space="preserve"> la sensibilisation cutanée. Ces études sont généralement réalisées dans des conditions cliniques contrôlées</w:t>
      </w:r>
      <w:r w:rsidR="003A5251" w:rsidRPr="00950D73">
        <w:rPr>
          <w:rFonts w:asciiTheme="majorBidi" w:hAnsiTheme="majorBidi" w:cstheme="majorBidi"/>
          <w:lang w:val="fr-FR"/>
        </w:rPr>
        <w:t>. En général</w:t>
      </w:r>
      <w:r w:rsidRPr="00950D73">
        <w:rPr>
          <w:rFonts w:asciiTheme="majorBidi" w:hAnsiTheme="majorBidi" w:cstheme="majorBidi"/>
          <w:lang w:val="fr-FR"/>
        </w:rPr>
        <w:t xml:space="preserve">, plus la taille de la population est importante, plus les résultats de l’étude sont fiables. Les </w:t>
      </w:r>
      <w:r w:rsidRPr="00950D73">
        <w:rPr>
          <w:rFonts w:asciiTheme="majorBidi" w:hAnsiTheme="majorBidi" w:cstheme="majorBidi"/>
          <w:lang w:val="fr-FR"/>
        </w:rPr>
        <w:lastRenderedPageBreak/>
        <w:t>critères d’évaluation de ces données sont fournis aux paragraphes 3.4.2.2.2.1 et 3.4.2.2.2.</w:t>
      </w:r>
    </w:p>
    <w:p w14:paraId="6485F158" w14:textId="372CEC30" w:rsidR="0084064C" w:rsidRPr="00950D73" w:rsidRDefault="0084064C" w:rsidP="00FE5841">
      <w:pPr>
        <w:pStyle w:val="SingleTxtG"/>
        <w:ind w:left="2268"/>
        <w:rPr>
          <w:rFonts w:asciiTheme="majorBidi" w:hAnsiTheme="majorBidi" w:cstheme="majorBidi"/>
          <w:lang w:val="fr-FR"/>
        </w:rPr>
      </w:pPr>
      <w:r w:rsidRPr="00950D73">
        <w:rPr>
          <w:rFonts w:asciiTheme="majorBidi" w:hAnsiTheme="majorBidi" w:cstheme="majorBidi"/>
          <w:lang w:val="fr-FR"/>
        </w:rPr>
        <w:t>3.4.5.3.2.3</w:t>
      </w:r>
      <w:r w:rsidRPr="00950D73">
        <w:rPr>
          <w:rFonts w:asciiTheme="majorBidi" w:hAnsiTheme="majorBidi" w:cstheme="majorBidi"/>
          <w:lang w:val="fr-FR"/>
        </w:rPr>
        <w:tab/>
        <w:t>Les données positives issues d’études épidémiologiques bien menées (conformément aux directives CI</w:t>
      </w:r>
      <w:r w:rsidR="0020471B" w:rsidRPr="00950D73">
        <w:rPr>
          <w:rFonts w:asciiTheme="majorBidi" w:hAnsiTheme="majorBidi" w:cstheme="majorBidi"/>
          <w:lang w:val="fr-FR"/>
        </w:rPr>
        <w:t>O</w:t>
      </w:r>
      <w:r w:rsidRPr="00950D73">
        <w:rPr>
          <w:rFonts w:asciiTheme="majorBidi" w:hAnsiTheme="majorBidi" w:cstheme="majorBidi"/>
          <w:lang w:val="fr-FR"/>
        </w:rPr>
        <w:t xml:space="preserve">MS de l’OMS, 2009) peuvent être utilisées pour classer les substances </w:t>
      </w:r>
      <w:r w:rsidRPr="00950D73">
        <w:rPr>
          <w:rFonts w:asciiTheme="majorBidi" w:eastAsiaTheme="minorEastAsia" w:hAnsiTheme="majorBidi" w:cstheme="majorBidi"/>
          <w:lang w:val="fr-FR"/>
        </w:rPr>
        <w:t>en ce qui concerne</w:t>
      </w:r>
      <w:r w:rsidRPr="00950D73">
        <w:rPr>
          <w:rFonts w:asciiTheme="majorBidi" w:hAnsiTheme="majorBidi" w:cstheme="majorBidi"/>
          <w:lang w:val="fr-FR"/>
        </w:rPr>
        <w:t xml:space="preserve"> la sensibilisation cutanée. Parmi les exemples d’études épidémiologiques, on peut citer les études de cas</w:t>
      </w:r>
      <w:r w:rsidRPr="00950D73">
        <w:rPr>
          <w:rFonts w:asciiTheme="majorBidi" w:hAnsiTheme="majorBidi" w:cstheme="majorBidi"/>
          <w:lang w:val="fr-FR"/>
        </w:rPr>
        <w:noBreakHyphen/>
        <w:t>témoins, les études de cohorte, les études transversales ou les études longitudinales. Ces études doivent comporter des échantillons de grande taille et l’exposition à la substance à classer doit être bien établie.</w:t>
      </w:r>
    </w:p>
    <w:p w14:paraId="0188BC6D" w14:textId="622E4EC0" w:rsidR="0084064C" w:rsidRPr="00950D73" w:rsidRDefault="0084064C" w:rsidP="00FE5841">
      <w:pPr>
        <w:pStyle w:val="SingleTxtG"/>
        <w:ind w:left="2268"/>
        <w:rPr>
          <w:rFonts w:asciiTheme="majorBidi" w:hAnsiTheme="majorBidi" w:cstheme="majorBidi"/>
          <w:lang w:val="fr-FR"/>
        </w:rPr>
      </w:pPr>
      <w:r w:rsidRPr="00950D73">
        <w:rPr>
          <w:rFonts w:asciiTheme="majorBidi" w:hAnsiTheme="majorBidi" w:cstheme="majorBidi"/>
          <w:lang w:val="fr-FR"/>
        </w:rPr>
        <w:t>3.4.5.3.2.4</w:t>
      </w:r>
      <w:r w:rsidRPr="00950D73">
        <w:rPr>
          <w:rFonts w:asciiTheme="majorBidi" w:hAnsiTheme="majorBidi" w:cstheme="majorBidi"/>
          <w:lang w:val="fr-FR"/>
        </w:rPr>
        <w:tab/>
        <w:t xml:space="preserve">Certaines études épidémiologiques (par exemple les études ou les essais contrôlés randomisés) peuvent comporter des informations issues de tests épicutanés diagnostiques. Le test épicutané diagnostique est considéré par certaines autorités compétentes comme l’archétype du diagnostic de l’allergie de contact chez les patients atteints de dermatite (Johansen et coll., 2015). Il est important de tenir compte du choix du véhicule, de la substance et des concentrations du test épicutané afin de ne pas provoquer de faux négatifs, de faux positifs ou de réactions irritantes ni d’induire une allergie de contact (sensibilisation cutanée). Des données positives provenant d’études expérimentales, cliniques ou diagnostiques chez </w:t>
      </w:r>
      <w:r w:rsidR="00620CCE" w:rsidRPr="00950D73">
        <w:rPr>
          <w:rFonts w:asciiTheme="majorBidi" w:hAnsiTheme="majorBidi" w:cstheme="majorBidi"/>
          <w:lang w:val="fr-FR"/>
        </w:rPr>
        <w:t xml:space="preserve">les humains </w:t>
      </w:r>
      <w:r w:rsidRPr="00950D73">
        <w:rPr>
          <w:rFonts w:asciiTheme="majorBidi" w:hAnsiTheme="majorBidi" w:cstheme="majorBidi"/>
          <w:lang w:val="fr-FR"/>
        </w:rPr>
        <w:t xml:space="preserve">ou d’épisodes bien établis de dermatite allergique de contact peuvent être utilisées pour classer les substances </w:t>
      </w:r>
      <w:r w:rsidRPr="00950D73">
        <w:rPr>
          <w:rFonts w:asciiTheme="majorBidi" w:eastAsiaTheme="minorEastAsia" w:hAnsiTheme="majorBidi" w:cstheme="majorBidi"/>
          <w:lang w:val="fr-FR"/>
        </w:rPr>
        <w:t>en ce qui concerne</w:t>
      </w:r>
      <w:r w:rsidRPr="00950D73">
        <w:rPr>
          <w:rFonts w:asciiTheme="majorBidi" w:hAnsiTheme="majorBidi" w:cstheme="majorBidi"/>
          <w:lang w:val="fr-FR"/>
        </w:rPr>
        <w:t xml:space="preserve"> la sensibilisation cutanée, lorsqu’on peut supposer avec une probabilité suffisante que la substance testée était effectivement la cause la plus probable de l’induction de la sensibilisation. Il convient donc d’établir qu’il existe au moins une probabilité générale que le ou les patients concernés aient été précédemment exposés à la substance. Par ailleurs, un résultat négatif de ces essais ne suffit pas à établir que la substance testée ne doit pas être classée comme sensibilisant cutané. </w:t>
      </w:r>
    </w:p>
    <w:p w14:paraId="75B153F2" w14:textId="7821154B" w:rsidR="0084064C" w:rsidRPr="00950D73" w:rsidRDefault="0084064C" w:rsidP="00824D1C">
      <w:pPr>
        <w:pStyle w:val="SingleTxtG"/>
        <w:ind w:left="2268"/>
        <w:rPr>
          <w:rFonts w:asciiTheme="majorBidi" w:hAnsiTheme="majorBidi" w:cstheme="majorBidi"/>
          <w:lang w:val="fr-FR"/>
        </w:rPr>
      </w:pPr>
      <w:r w:rsidRPr="00950D73">
        <w:rPr>
          <w:rFonts w:asciiTheme="majorBidi" w:hAnsiTheme="majorBidi" w:cstheme="majorBidi"/>
          <w:lang w:val="fr-FR"/>
        </w:rPr>
        <w:lastRenderedPageBreak/>
        <w:t>3.4.5.3.2.5</w:t>
      </w:r>
      <w:r w:rsidRPr="00950D73">
        <w:rPr>
          <w:rFonts w:asciiTheme="majorBidi" w:hAnsiTheme="majorBidi" w:cstheme="majorBidi"/>
          <w:lang w:val="fr-FR"/>
        </w:rPr>
        <w:tab/>
        <w:t xml:space="preserve">Les données humaines qui ne sont pas produites dans le cadre d’expériences contrôlées avec des volontaires aux fins du classement des dangers (par exemple, les études de cas, les rapports de cas et les histoires de cas, ainsi que les informations des centres antipoison) peuvent être utilisées avec prudence. Il convient de prendre en considération la fréquence des cas, les propriétés inhérentes des substances, ainsi que des facteurs tels que la situation d’exposition, la biodisponibilité, la prédisposition individuelle, la réactivité croisée et les mesures préventives prises. </w:t>
      </w:r>
    </w:p>
    <w:p w14:paraId="2EEE6D84" w14:textId="283AE771" w:rsidR="0084064C" w:rsidRPr="00950D73" w:rsidRDefault="0084064C" w:rsidP="00824D1C">
      <w:pPr>
        <w:pStyle w:val="SingleTxtG"/>
        <w:ind w:left="2268"/>
        <w:rPr>
          <w:rFonts w:asciiTheme="majorBidi" w:hAnsiTheme="majorBidi" w:cstheme="majorBidi"/>
          <w:lang w:val="fr-FR"/>
        </w:rPr>
      </w:pPr>
      <w:r w:rsidRPr="00950D73">
        <w:rPr>
          <w:rFonts w:asciiTheme="majorBidi" w:hAnsiTheme="majorBidi" w:cstheme="majorBidi"/>
          <w:lang w:val="fr-FR"/>
        </w:rPr>
        <w:t>3.4.5.3.2.6</w:t>
      </w:r>
      <w:r w:rsidRPr="00950D73">
        <w:rPr>
          <w:rFonts w:asciiTheme="majorBidi" w:hAnsiTheme="majorBidi" w:cstheme="majorBidi"/>
          <w:lang w:val="fr-FR"/>
        </w:rPr>
        <w:tab/>
        <w:t xml:space="preserve">Il convient d’accorder une attention particulière aux données humaines négatives, car les informations complètes sur la relation dose-effet ne sont généralement pas disponibles. Par exemple, un résultat négatif dans un HRIPT ou un HMT à une faible concentration ne permet pas de conclure que la substance n’a pas de propriétés de sensibilisation cutanée, car un tel effet à une concentration plus élevée ne peut être exclu. En outre, les données humaines négatives ne doivent pas nécessairement être utilisées pour annuler les résultats positifs d’études animales ou de méthodes définies, mais peuvent être utilisées dans le cadre d’une évaluation de </w:t>
      </w:r>
      <w:r w:rsidRPr="00950D73">
        <w:rPr>
          <w:rFonts w:asciiTheme="majorBidi" w:hAnsiTheme="majorBidi" w:cstheme="majorBidi"/>
          <w:bCs/>
          <w:lang w:val="fr-FR"/>
        </w:rPr>
        <w:t>la force probante des données</w:t>
      </w:r>
      <w:r w:rsidRPr="00950D73">
        <w:rPr>
          <w:rFonts w:asciiTheme="majorBidi" w:hAnsiTheme="majorBidi" w:cstheme="majorBidi"/>
          <w:lang w:val="fr-FR"/>
        </w:rPr>
        <w:t xml:space="preserve">. Pour les données animales et humaines, il convient de tenir compte de l’incidence du véhicule (par exemple, Wright et coll., 2001, et </w:t>
      </w:r>
      <w:proofErr w:type="spellStart"/>
      <w:r w:rsidRPr="00950D73">
        <w:rPr>
          <w:rFonts w:asciiTheme="majorBidi" w:hAnsiTheme="majorBidi" w:cstheme="majorBidi"/>
          <w:lang w:val="fr-FR"/>
        </w:rPr>
        <w:t>Kligman</w:t>
      </w:r>
      <w:proofErr w:type="spellEnd"/>
      <w:r w:rsidRPr="00950D73">
        <w:rPr>
          <w:rFonts w:asciiTheme="majorBidi" w:hAnsiTheme="majorBidi" w:cstheme="majorBidi"/>
          <w:lang w:val="fr-FR"/>
        </w:rPr>
        <w:t xml:space="preserve">, 1966). </w:t>
      </w:r>
    </w:p>
    <w:p w14:paraId="0BEC370D" w14:textId="6D21A35E" w:rsidR="0084064C" w:rsidRPr="00950D73" w:rsidRDefault="0084064C" w:rsidP="00824D1C">
      <w:pPr>
        <w:pStyle w:val="SingleTxtG"/>
        <w:ind w:left="2268"/>
        <w:rPr>
          <w:rFonts w:asciiTheme="majorBidi" w:hAnsiTheme="majorBidi" w:cstheme="majorBidi"/>
          <w:lang w:val="fr-FR"/>
        </w:rPr>
      </w:pPr>
      <w:r w:rsidRPr="00950D73">
        <w:rPr>
          <w:rFonts w:asciiTheme="majorBidi" w:hAnsiTheme="majorBidi" w:cstheme="majorBidi"/>
          <w:lang w:val="fr-FR"/>
        </w:rPr>
        <w:t>3.4.5.3.2.7</w:t>
      </w:r>
      <w:r w:rsidRPr="00950D73">
        <w:rPr>
          <w:rFonts w:asciiTheme="majorBidi" w:hAnsiTheme="majorBidi" w:cstheme="majorBidi"/>
          <w:lang w:val="fr-FR"/>
        </w:rPr>
        <w:tab/>
        <w:t>Par exemple, les résultats négatifs de substances mises à l’essai dans un test épicutané prédictif à une dose par surface de peau (DSP) inférieure à 500 </w:t>
      </w:r>
      <w:r w:rsidRPr="00950D73">
        <w:rPr>
          <w:rFonts w:asciiTheme="majorBidi" w:hAnsiTheme="majorBidi" w:cstheme="majorBidi"/>
        </w:rPr>
        <w:t>μ</w:t>
      </w:r>
      <w:r w:rsidRPr="00950D73">
        <w:rPr>
          <w:rFonts w:asciiTheme="majorBidi" w:hAnsiTheme="majorBidi" w:cstheme="majorBidi"/>
          <w:lang w:val="fr-FR"/>
        </w:rPr>
        <w:t>g/cm</w:t>
      </w:r>
      <w:r w:rsidRPr="00950D73">
        <w:rPr>
          <w:rFonts w:asciiTheme="majorBidi" w:hAnsiTheme="majorBidi" w:cstheme="majorBidi"/>
          <w:vertAlign w:val="superscript"/>
          <w:lang w:val="fr-FR"/>
        </w:rPr>
        <w:t>2</w:t>
      </w:r>
      <w:r w:rsidRPr="00950D73">
        <w:rPr>
          <w:rFonts w:asciiTheme="majorBidi" w:hAnsiTheme="majorBidi" w:cstheme="majorBidi"/>
          <w:lang w:val="fr-FR"/>
        </w:rPr>
        <w:t xml:space="preserve"> impliquent qu’un classement </w:t>
      </w:r>
      <w:r w:rsidRPr="00950D73">
        <w:rPr>
          <w:rFonts w:asciiTheme="majorBidi" w:eastAsiaTheme="minorEastAsia" w:hAnsiTheme="majorBidi" w:cstheme="majorBidi"/>
          <w:lang w:val="fr-FR"/>
        </w:rPr>
        <w:t>en ce qui concerne</w:t>
      </w:r>
      <w:r w:rsidRPr="00950D73">
        <w:rPr>
          <w:rFonts w:asciiTheme="majorBidi" w:hAnsiTheme="majorBidi" w:cstheme="majorBidi"/>
          <w:lang w:val="fr-FR"/>
        </w:rPr>
        <w:t xml:space="preserve"> la sensibilisation cutanée pourrait ne pas être nécessaire. Cependant, le classement dans la </w:t>
      </w:r>
      <w:r w:rsidR="008177B9" w:rsidRPr="00950D73">
        <w:rPr>
          <w:rFonts w:asciiTheme="majorBidi" w:hAnsiTheme="majorBidi" w:cstheme="majorBidi"/>
          <w:lang w:val="fr-FR"/>
        </w:rPr>
        <w:t>sous-</w:t>
      </w:r>
      <w:r w:rsidRPr="00950D73">
        <w:rPr>
          <w:rFonts w:asciiTheme="majorBidi" w:hAnsiTheme="majorBidi" w:cstheme="majorBidi"/>
          <w:lang w:val="fr-FR"/>
        </w:rPr>
        <w:t xml:space="preserve">catégorie 1A ou 1B ne peut être exclu, car la concentration testée n’était pas assez élevée pour exclure ces possibilités. Il en va de même pour les résultats d’essais pour lesquels on ne sait pas si la concentration testée correspondait à une DSP inférieure à </w:t>
      </w:r>
      <w:r w:rsidRPr="00950D73">
        <w:rPr>
          <w:rFonts w:asciiTheme="majorBidi" w:hAnsiTheme="majorBidi" w:cstheme="majorBidi"/>
          <w:lang w:val="fr-FR"/>
        </w:rPr>
        <w:lastRenderedPageBreak/>
        <w:t>500 </w:t>
      </w:r>
      <w:r w:rsidRPr="00950D73">
        <w:rPr>
          <w:rFonts w:asciiTheme="majorBidi" w:hAnsiTheme="majorBidi" w:cstheme="majorBidi"/>
        </w:rPr>
        <w:t>μ</w:t>
      </w:r>
      <w:r w:rsidRPr="00950D73">
        <w:rPr>
          <w:rFonts w:asciiTheme="majorBidi" w:hAnsiTheme="majorBidi" w:cstheme="majorBidi"/>
          <w:lang w:val="fr-FR"/>
        </w:rPr>
        <w:t>g/cm</w:t>
      </w:r>
      <w:r w:rsidRPr="00950D73">
        <w:rPr>
          <w:rFonts w:asciiTheme="majorBidi" w:hAnsiTheme="majorBidi" w:cstheme="majorBidi"/>
          <w:vertAlign w:val="superscript"/>
          <w:lang w:val="fr-FR"/>
        </w:rPr>
        <w:t>2</w:t>
      </w:r>
      <w:r w:rsidRPr="00950D73">
        <w:rPr>
          <w:rFonts w:asciiTheme="majorBidi" w:hAnsiTheme="majorBidi" w:cstheme="majorBidi"/>
          <w:lang w:val="fr-FR"/>
        </w:rPr>
        <w:t>. Les résultats négatifs des substances testées à une DSP supérieure ou égale à 500 </w:t>
      </w:r>
      <w:r w:rsidRPr="00950D73">
        <w:rPr>
          <w:rFonts w:asciiTheme="majorBidi" w:hAnsiTheme="majorBidi" w:cstheme="majorBidi"/>
        </w:rPr>
        <w:t>μ</w:t>
      </w:r>
      <w:r w:rsidRPr="00950D73">
        <w:rPr>
          <w:rFonts w:asciiTheme="majorBidi" w:hAnsiTheme="majorBidi" w:cstheme="majorBidi"/>
          <w:lang w:val="fr-FR"/>
        </w:rPr>
        <w:t>g/cm</w:t>
      </w:r>
      <w:r w:rsidRPr="00950D73">
        <w:rPr>
          <w:rFonts w:asciiTheme="majorBidi" w:hAnsiTheme="majorBidi" w:cstheme="majorBidi"/>
          <w:vertAlign w:val="superscript"/>
          <w:lang w:val="fr-FR"/>
        </w:rPr>
        <w:t>2</w:t>
      </w:r>
      <w:r w:rsidRPr="00950D73">
        <w:rPr>
          <w:rFonts w:asciiTheme="majorBidi" w:hAnsiTheme="majorBidi" w:cstheme="majorBidi"/>
          <w:lang w:val="fr-FR"/>
        </w:rPr>
        <w:t xml:space="preserve"> suggèrent que le classement pourrait ne pas être nécessaire. Toutefois, si le classement dans la </w:t>
      </w:r>
      <w:r w:rsidR="008177B9" w:rsidRPr="00950D73">
        <w:rPr>
          <w:rFonts w:asciiTheme="majorBidi" w:hAnsiTheme="majorBidi" w:cstheme="majorBidi"/>
          <w:lang w:val="fr-FR"/>
        </w:rPr>
        <w:t>sous-</w:t>
      </w:r>
      <w:r w:rsidRPr="00950D73">
        <w:rPr>
          <w:rFonts w:asciiTheme="majorBidi" w:hAnsiTheme="majorBidi" w:cstheme="majorBidi"/>
          <w:lang w:val="fr-FR"/>
        </w:rPr>
        <w:t xml:space="preserve">catégorie 1A peut être exclu, le classement dans la </w:t>
      </w:r>
      <w:r w:rsidR="008177B9" w:rsidRPr="00950D73">
        <w:rPr>
          <w:rFonts w:asciiTheme="majorBidi" w:hAnsiTheme="majorBidi" w:cstheme="majorBidi"/>
          <w:lang w:val="fr-FR"/>
        </w:rPr>
        <w:t>sous-</w:t>
      </w:r>
      <w:r w:rsidRPr="00950D73">
        <w:rPr>
          <w:rFonts w:asciiTheme="majorBidi" w:hAnsiTheme="majorBidi" w:cstheme="majorBidi"/>
          <w:lang w:val="fr-FR"/>
        </w:rPr>
        <w:t xml:space="preserve">catégorie 1B ne peut pas l’être, car une concentration d’essai plus élevée aurait pu entraîner un résultat positif. Cependant, un résultat négatif à une concentration de 100 % </w:t>
      </w:r>
      <w:r w:rsidR="00565F7E" w:rsidRPr="00950D73">
        <w:rPr>
          <w:rFonts w:asciiTheme="majorBidi" w:hAnsiTheme="majorBidi" w:cstheme="majorBidi"/>
          <w:lang w:val="fr-FR"/>
        </w:rPr>
        <w:t>peut justifier qu’on ne classe pas (sur la base de ce test).</w:t>
      </w:r>
      <w:r w:rsidRPr="00950D73">
        <w:rPr>
          <w:rFonts w:asciiTheme="majorBidi" w:hAnsiTheme="majorBidi" w:cstheme="majorBidi"/>
          <w:lang w:val="fr-FR"/>
        </w:rPr>
        <w:t>. En revanche, des résultats négatifs à de faibles concentrations peuvent être informatifs pour les mélanges contenant la substance</w:t>
      </w:r>
      <w:r w:rsidR="00E1476B" w:rsidRPr="00950D73">
        <w:rPr>
          <w:rFonts w:asciiTheme="majorBidi" w:hAnsiTheme="majorBidi" w:cstheme="majorBidi"/>
          <w:lang w:val="fr-FR"/>
        </w:rPr>
        <w:t xml:space="preserve"> à des concentrations semblables ou inférieures</w:t>
      </w:r>
      <w:r w:rsidRPr="00950D73">
        <w:rPr>
          <w:rFonts w:asciiTheme="majorBidi" w:hAnsiTheme="majorBidi" w:cstheme="majorBidi"/>
          <w:lang w:val="fr-FR"/>
        </w:rPr>
        <w:t>.</w:t>
      </w:r>
    </w:p>
    <w:p w14:paraId="000895E3" w14:textId="186BF33F" w:rsidR="0084064C" w:rsidRPr="00950D73" w:rsidRDefault="0084064C" w:rsidP="001F2161">
      <w:pPr>
        <w:pStyle w:val="SingleTxtG"/>
        <w:keepNext/>
        <w:ind w:left="2268"/>
        <w:rPr>
          <w:rFonts w:asciiTheme="majorBidi" w:hAnsiTheme="majorBidi" w:cstheme="majorBidi"/>
          <w:lang w:val="fr-FR"/>
        </w:rPr>
      </w:pPr>
      <w:r w:rsidRPr="00950D73">
        <w:rPr>
          <w:rFonts w:asciiTheme="majorBidi" w:hAnsiTheme="majorBidi" w:cstheme="majorBidi"/>
          <w:bCs/>
          <w:iCs/>
          <w:lang w:val="fr-FR"/>
        </w:rPr>
        <w:t>3.4.5.3.3</w:t>
      </w:r>
      <w:r w:rsidRPr="00950D73">
        <w:rPr>
          <w:rFonts w:asciiTheme="majorBidi" w:hAnsiTheme="majorBidi" w:cstheme="majorBidi"/>
          <w:bCs/>
          <w:i/>
          <w:lang w:val="fr-FR"/>
        </w:rPr>
        <w:tab/>
      </w:r>
      <w:r w:rsidRPr="00950D73">
        <w:rPr>
          <w:rFonts w:asciiTheme="majorBidi" w:hAnsiTheme="majorBidi" w:cstheme="majorBidi"/>
          <w:bCs/>
          <w:i/>
          <w:iCs/>
          <w:lang w:val="fr-FR"/>
        </w:rPr>
        <w:t xml:space="preserve">Orientations </w:t>
      </w:r>
      <w:r w:rsidRPr="00950D73">
        <w:rPr>
          <w:rFonts w:asciiTheme="majorBidi" w:hAnsiTheme="majorBidi" w:cstheme="majorBidi"/>
          <w:i/>
          <w:lang w:val="fr-FR"/>
        </w:rPr>
        <w:t>pour l’utilisation de données animales normalisées</w:t>
      </w:r>
    </w:p>
    <w:p w14:paraId="2F043E25" w14:textId="4BA3C9A0" w:rsidR="006024A9" w:rsidRPr="00950D73" w:rsidRDefault="006024A9" w:rsidP="00D8310A">
      <w:pPr>
        <w:pStyle w:val="SingleTxtG"/>
        <w:ind w:left="2268"/>
        <w:rPr>
          <w:rStyle w:val="normaltextrun"/>
          <w:rFonts w:asciiTheme="majorBidi" w:hAnsiTheme="majorBidi" w:cstheme="majorBidi"/>
          <w:lang w:val="fr-FR"/>
        </w:rPr>
      </w:pPr>
      <w:r w:rsidRPr="00950D73">
        <w:rPr>
          <w:rFonts w:asciiTheme="majorBidi" w:hAnsiTheme="majorBidi" w:cstheme="majorBidi"/>
          <w:lang w:val="fr-FR"/>
        </w:rPr>
        <w:t>3.4.5.3.3.1</w:t>
      </w:r>
      <w:r w:rsidRPr="00950D73">
        <w:rPr>
          <w:rFonts w:asciiTheme="majorBidi" w:hAnsiTheme="majorBidi" w:cstheme="majorBidi"/>
          <w:lang w:val="fr-FR"/>
        </w:rPr>
        <w:tab/>
        <w:t>Les essais les plus couramment utilisés pour les essais de sensibilisation cutanée chez les animaux sont l’essai sur les ganglions lymphatiques locaux (ELGL, lignes directrices de l’OCDE 429, 442A et 442B), le test de maximisation chez le cobaye (G</w:t>
      </w:r>
      <w:r w:rsidR="00724B73" w:rsidRPr="00950D73">
        <w:rPr>
          <w:rFonts w:asciiTheme="majorBidi" w:hAnsiTheme="majorBidi" w:cstheme="majorBidi"/>
          <w:lang w:val="fr-FR"/>
        </w:rPr>
        <w:t>P</w:t>
      </w:r>
      <w:r w:rsidRPr="00950D73">
        <w:rPr>
          <w:rFonts w:asciiTheme="majorBidi" w:hAnsiTheme="majorBidi" w:cstheme="majorBidi"/>
          <w:lang w:val="fr-FR"/>
        </w:rPr>
        <w:t xml:space="preserve">MT, ligne directrice 406 de l’OCDE) et le test de </w:t>
      </w:r>
      <w:proofErr w:type="spellStart"/>
      <w:r w:rsidRPr="00950D73">
        <w:rPr>
          <w:rFonts w:asciiTheme="majorBidi" w:hAnsiTheme="majorBidi" w:cstheme="majorBidi"/>
          <w:lang w:val="fr-FR"/>
        </w:rPr>
        <w:t>Buehler</w:t>
      </w:r>
      <w:proofErr w:type="spellEnd"/>
      <w:r w:rsidRPr="00950D73">
        <w:rPr>
          <w:rFonts w:asciiTheme="majorBidi" w:hAnsiTheme="majorBidi" w:cstheme="majorBidi"/>
          <w:lang w:val="fr-FR"/>
        </w:rPr>
        <w:t xml:space="preserve"> (ligne directrice 406 de l’OCDE). Lors de l’évaluation de la qualité de l’étude, il convient de tenir compte, le cas échéant, de la souche de souris et de cobaye utilisée, du nombre, de l’âge et du sexe des animaux, ainsi que des conditions d’essai (par exemple, préparation du site de l’essai épicutané, sélection de la dose, préparation chimique, témoins positifs et négatifs).</w:t>
      </w:r>
    </w:p>
    <w:p w14:paraId="50D0D819" w14:textId="78B73D38" w:rsidR="006024A9" w:rsidRPr="00950D73" w:rsidRDefault="006024A9" w:rsidP="001F2161">
      <w:pPr>
        <w:pStyle w:val="SingleTxtG"/>
        <w:ind w:left="2268"/>
        <w:rPr>
          <w:rFonts w:asciiTheme="majorBidi" w:hAnsiTheme="majorBidi" w:cstheme="majorBidi"/>
          <w:lang w:val="fr-FR"/>
        </w:rPr>
      </w:pPr>
      <w:r w:rsidRPr="00950D73">
        <w:rPr>
          <w:rFonts w:asciiTheme="majorBidi" w:hAnsiTheme="majorBidi" w:cstheme="majorBidi"/>
          <w:lang w:val="fr-FR"/>
        </w:rPr>
        <w:t>3.4.5.3.3.2</w:t>
      </w:r>
      <w:r w:rsidRPr="00950D73">
        <w:rPr>
          <w:rFonts w:asciiTheme="majorBidi" w:hAnsiTheme="majorBidi" w:cstheme="majorBidi"/>
          <w:lang w:val="fr-FR"/>
        </w:rPr>
        <w:tab/>
        <w:t xml:space="preserve">Les lignes directrices de l’OCDE pour l’ELGL comprennent un essai avec marquage radioactif (ligne directrice 429) et des variantes non radioactives (lignes directrices 442A et 442B ; ELGL:DA, </w:t>
      </w:r>
      <w:proofErr w:type="spellStart"/>
      <w:r w:rsidRPr="00950D73">
        <w:rPr>
          <w:rFonts w:asciiTheme="majorBidi" w:hAnsiTheme="majorBidi" w:cstheme="majorBidi"/>
          <w:lang w:val="fr-FR"/>
        </w:rPr>
        <w:t>ELGL:BrdU-ELISA</w:t>
      </w:r>
      <w:proofErr w:type="spellEnd"/>
      <w:r w:rsidRPr="00950D73">
        <w:rPr>
          <w:rFonts w:asciiTheme="majorBidi" w:hAnsiTheme="majorBidi" w:cstheme="majorBidi"/>
          <w:lang w:val="fr-FR"/>
        </w:rPr>
        <w:t xml:space="preserve">, et </w:t>
      </w:r>
      <w:proofErr w:type="spellStart"/>
      <w:r w:rsidRPr="00950D73">
        <w:rPr>
          <w:rFonts w:asciiTheme="majorBidi" w:hAnsiTheme="majorBidi" w:cstheme="majorBidi"/>
          <w:lang w:val="fr-FR"/>
        </w:rPr>
        <w:t>ELGL:BrdU-FCM</w:t>
      </w:r>
      <w:proofErr w:type="spellEnd"/>
      <w:r w:rsidRPr="00950D73">
        <w:rPr>
          <w:rFonts w:asciiTheme="majorBidi" w:hAnsiTheme="majorBidi" w:cstheme="majorBidi"/>
          <w:lang w:val="fr-FR"/>
        </w:rPr>
        <w:t xml:space="preserve">). Dans ces essais, les substances sont considérées comme sensibilisantes si l’augmentation de la valeur moyenne de l’indice de stimulation (IS, qui mesure la prolifération de lymphocytes dans les ganglions lymphatiques) </w:t>
      </w:r>
      <w:r w:rsidRPr="00950D73">
        <w:rPr>
          <w:rFonts w:asciiTheme="majorBidi" w:hAnsiTheme="majorBidi" w:cstheme="majorBidi"/>
          <w:lang w:val="fr-FR"/>
        </w:rPr>
        <w:lastRenderedPageBreak/>
        <w:t>dans les groupes traités par rapport aux groupes témoins traités avec le véhicule dépasse une valeur critique prédéfinie qui varie selon le type d’ELGL (par exemple, IS ≥ 3 pour l’ELGL radioactif, IS ≥ 1,6 pour l’</w:t>
      </w:r>
      <w:proofErr w:type="spellStart"/>
      <w:r w:rsidRPr="00950D73">
        <w:rPr>
          <w:rFonts w:asciiTheme="majorBidi" w:hAnsiTheme="majorBidi" w:cstheme="majorBidi"/>
          <w:lang w:val="fr-FR"/>
        </w:rPr>
        <w:t>ELGL:BrdU-ELISA</w:t>
      </w:r>
      <w:proofErr w:type="spellEnd"/>
      <w:r w:rsidRPr="00950D73">
        <w:rPr>
          <w:rFonts w:asciiTheme="majorBidi" w:hAnsiTheme="majorBidi" w:cstheme="majorBidi"/>
          <w:lang w:val="fr-FR"/>
        </w:rPr>
        <w:t>). Pour les sensibilisants, la sous-catégorisation est effectuée sur la base de la concentration efficace (CE) provoquant une augmentation de l’IS correspondant exactement à l’ampleur critique (par exemple, la CE3 selon la ligne directrice 429 de l’OCDE est la concentration entraînant exactement le triplement de l’IS moyen du groupe par rapport au groupe témoin).</w:t>
      </w:r>
    </w:p>
    <w:p w14:paraId="76FF1BEF" w14:textId="32B25981" w:rsidR="006024A9" w:rsidRPr="00950D73" w:rsidRDefault="006024A9" w:rsidP="001F2161">
      <w:pPr>
        <w:pStyle w:val="SingleTxtG"/>
        <w:ind w:left="2268"/>
        <w:rPr>
          <w:rFonts w:asciiTheme="majorBidi" w:hAnsiTheme="majorBidi" w:cstheme="majorBidi"/>
          <w:lang w:val="fr-FR"/>
        </w:rPr>
      </w:pPr>
      <w:r w:rsidRPr="00950D73">
        <w:rPr>
          <w:rFonts w:asciiTheme="majorBidi" w:hAnsiTheme="majorBidi" w:cstheme="majorBidi"/>
          <w:lang w:val="fr-FR"/>
        </w:rPr>
        <w:t>3.4.5.3.3.3</w:t>
      </w:r>
      <w:r w:rsidRPr="00950D73">
        <w:rPr>
          <w:rFonts w:asciiTheme="majorBidi" w:hAnsiTheme="majorBidi" w:cstheme="majorBidi"/>
          <w:lang w:val="fr-FR"/>
        </w:rPr>
        <w:tab/>
        <w:t>Les lignes directrices de l’OCDE pour les différentes variantes de l’ELGL spécifient qu’un essai préliminaire doit être effectué pour déterminer la concentration la plus élevée à tester. Si un tel essai n’a pas été réalisé et que l’ELGL a été effectué avec une concentration d’essai &lt; 100 %, il convient de justifier (par exemple, sur la base de la solubilité ou de la toxicité locale ou systémique, voir les lignes directrices 429, 442A et 442B de l’OCDE) que la concentration d’essai la plus élevée représente la concentration maximale utilisable. Dans le cas contraire, la fiabilité d’un résultat négatif doit être mise en doute.</w:t>
      </w:r>
    </w:p>
    <w:p w14:paraId="33DF8C65" w14:textId="403A007C" w:rsidR="006024A9" w:rsidRPr="00950D73" w:rsidRDefault="006024A9" w:rsidP="001F2161">
      <w:pPr>
        <w:pStyle w:val="SingleTxtG"/>
        <w:ind w:left="2268"/>
        <w:rPr>
          <w:rFonts w:asciiTheme="majorBidi" w:hAnsiTheme="majorBidi" w:cstheme="majorBidi"/>
          <w:lang w:val="fr-FR"/>
        </w:rPr>
      </w:pPr>
      <w:r w:rsidRPr="00950D73">
        <w:rPr>
          <w:rFonts w:asciiTheme="majorBidi" w:hAnsiTheme="majorBidi" w:cstheme="majorBidi"/>
          <w:lang w:val="fr-FR"/>
        </w:rPr>
        <w:t>3.4.5.3.3.4</w:t>
      </w:r>
      <w:r w:rsidRPr="00950D73">
        <w:rPr>
          <w:rFonts w:asciiTheme="majorBidi" w:hAnsiTheme="majorBidi" w:cstheme="majorBidi"/>
          <w:lang w:val="fr-FR"/>
        </w:rPr>
        <w:tab/>
        <w:t xml:space="preserve">Les valeurs de la CE sont normalement obtenues par interpolation entre des concentrations d’essai adjacentes, c’est-à-dire entre la concentration d’essai la plus élevée provoquant un IS inférieur à la valeur critique et la concentration d’essai la plus faible provoquant un IS supérieur à la valeur critique. Il faut cependant être prudent lorsque la valeur de la CE est inférieure à la plus faible concentration d’essai utilisée et ne peut donc être estimée que par extrapolation, ce qui crée une incertitude supplémentaire. Dans certains cas, l’IS à la concentration d’essai la plus élevée n’est que légèrement inférieur à la valeur critique, ce qui pose la question de l’extrapolation vers le haut (à moins que la concentration </w:t>
      </w:r>
      <w:r w:rsidRPr="00950D73">
        <w:rPr>
          <w:rFonts w:asciiTheme="majorBidi" w:hAnsiTheme="majorBidi" w:cstheme="majorBidi"/>
          <w:lang w:val="fr-FR"/>
        </w:rPr>
        <w:lastRenderedPageBreak/>
        <w:t xml:space="preserve">maximale utilisable n’ait été appliquée). Ces questions et d’autres concernant la fiabilité des résultats de l’ELGL sont abordées plus en détail dans Ryan et al. (2007) et dans l’annexe 3 de la série sur les essais et évaluations </w:t>
      </w:r>
      <w:r w:rsidRPr="00950D73">
        <w:rPr>
          <w:rFonts w:asciiTheme="majorBidi" w:eastAsia="MS Mincho" w:hAnsiTheme="majorBidi" w:cstheme="majorBidi"/>
          <w:szCs w:val="22"/>
          <w:lang w:val="fr-FR"/>
        </w:rPr>
        <w:t>n</w:t>
      </w:r>
      <w:r w:rsidRPr="00950D73">
        <w:rPr>
          <w:rFonts w:asciiTheme="majorBidi" w:eastAsia="MS Mincho" w:hAnsiTheme="majorBidi" w:cstheme="majorBidi"/>
          <w:szCs w:val="22"/>
          <w:vertAlign w:val="superscript"/>
          <w:lang w:val="fr-FR"/>
        </w:rPr>
        <w:t>o</w:t>
      </w:r>
      <w:r w:rsidRPr="00950D73">
        <w:rPr>
          <w:rFonts w:asciiTheme="majorBidi" w:hAnsiTheme="majorBidi" w:cstheme="majorBidi"/>
          <w:lang w:val="fr-FR"/>
        </w:rPr>
        <w:t> 336 de l’OCDE (document d’appui à la ligne directrice 497 de l’OCDE), qui fournit également une base de données soigneusement organisée de valeurs CE3 pour l’ELGL de la ligne directrice 429.</w:t>
      </w:r>
    </w:p>
    <w:p w14:paraId="2219E02D" w14:textId="5DCB7F68" w:rsidR="006024A9" w:rsidRPr="00950D73" w:rsidRDefault="006024A9" w:rsidP="001F2161">
      <w:pPr>
        <w:pStyle w:val="SingleTxtG"/>
        <w:ind w:left="2268"/>
        <w:rPr>
          <w:rFonts w:asciiTheme="majorBidi" w:hAnsiTheme="majorBidi" w:cstheme="majorBidi"/>
          <w:lang w:val="fr-FR"/>
        </w:rPr>
      </w:pPr>
      <w:r w:rsidRPr="00950D73">
        <w:rPr>
          <w:rFonts w:asciiTheme="majorBidi" w:hAnsiTheme="majorBidi" w:cstheme="majorBidi"/>
          <w:lang w:val="fr-FR"/>
        </w:rPr>
        <w:t>3.4.5.3.3.5</w:t>
      </w:r>
      <w:r w:rsidRPr="00950D73">
        <w:rPr>
          <w:rFonts w:asciiTheme="majorBidi" w:hAnsiTheme="majorBidi" w:cstheme="majorBidi"/>
          <w:lang w:val="fr-FR"/>
        </w:rPr>
        <w:tab/>
        <w:t xml:space="preserve">D’autres limites ont été identifiées pour les ELGL radioactifs et non radioactifs. Par exemple, les substances contenant certains groupes fonctionnels peuvent nuire à la précision de l’essai. Ces contraintes, ainsi que l’éventualité de résultats positifs limites, sont décrites dans les lignes directrices 429, 442A et 442B de l’OCDE. La variabilité des valeurs de la CE pour une même substance peut également avoir pour origine le véhicule utilisé. Par exemple, on a mis en évidence une sous-estimation de la puissance (c’est-à-dire des valeurs de la CE3 plus élevées) avec des véhicules principalement aqueux ou du propylène glycol (voir </w:t>
      </w:r>
      <w:proofErr w:type="spellStart"/>
      <w:r w:rsidRPr="00950D73">
        <w:rPr>
          <w:rFonts w:asciiTheme="majorBidi" w:hAnsiTheme="majorBidi" w:cstheme="majorBidi"/>
          <w:lang w:val="fr-FR"/>
        </w:rPr>
        <w:t>Jowsey</w:t>
      </w:r>
      <w:proofErr w:type="spellEnd"/>
      <w:r w:rsidRPr="00950D73">
        <w:rPr>
          <w:rFonts w:asciiTheme="majorBidi" w:hAnsiTheme="majorBidi" w:cstheme="majorBidi"/>
          <w:lang w:val="fr-FR"/>
        </w:rPr>
        <w:t xml:space="preserve"> (2008)).</w:t>
      </w:r>
    </w:p>
    <w:p w14:paraId="55B9DDE3" w14:textId="4F740FD2" w:rsidR="006024A9" w:rsidRDefault="006024A9" w:rsidP="001F2161">
      <w:pPr>
        <w:pStyle w:val="SingleTxtG"/>
        <w:ind w:left="2268"/>
        <w:rPr>
          <w:rFonts w:asciiTheme="majorBidi" w:hAnsiTheme="majorBidi" w:cstheme="majorBidi"/>
          <w:lang w:val="fr-FR"/>
        </w:rPr>
      </w:pPr>
      <w:r w:rsidRPr="00950D73">
        <w:rPr>
          <w:rFonts w:asciiTheme="majorBidi" w:hAnsiTheme="majorBidi" w:cstheme="majorBidi"/>
          <w:lang w:val="fr-FR"/>
        </w:rPr>
        <w:t>3.4.5.3.3.6</w:t>
      </w:r>
      <w:r w:rsidRPr="00950D73">
        <w:rPr>
          <w:rFonts w:asciiTheme="majorBidi" w:hAnsiTheme="majorBidi" w:cstheme="majorBidi"/>
          <w:lang w:val="fr-FR"/>
        </w:rPr>
        <w:tab/>
        <w:t xml:space="preserve">En ce qui concerne la ligne directrice 406 de l’OCDE, la concentration du produit chimique mis à l’essai utilisée pour chaque exposition inductrice doit être bien tolérée par l’organisme et correspondre à la dose maximale entraînant une irritation cutanée légère à modérée. La concentration utilisée pour l’exposition déclenchante doit être la concentration maximale non irritante. Un résultat positif dans un essai sur cobayes, pour au moins un des deux instants d’observation, est défini comme un score supérieur à zéro selon l’échelle de cotation applicable, telle que l’échelle de </w:t>
      </w:r>
      <w:proofErr w:type="spellStart"/>
      <w:r w:rsidRPr="00950D73">
        <w:rPr>
          <w:rFonts w:asciiTheme="majorBidi" w:hAnsiTheme="majorBidi" w:cstheme="majorBidi"/>
          <w:lang w:val="fr-FR"/>
        </w:rPr>
        <w:t>Magnusson</w:t>
      </w:r>
      <w:proofErr w:type="spellEnd"/>
      <w:r w:rsidRPr="00950D73">
        <w:rPr>
          <w:rFonts w:asciiTheme="majorBidi" w:hAnsiTheme="majorBidi" w:cstheme="majorBidi"/>
          <w:lang w:val="fr-FR"/>
        </w:rPr>
        <w:t xml:space="preserve"> et </w:t>
      </w:r>
      <w:proofErr w:type="spellStart"/>
      <w:r w:rsidRPr="00950D73">
        <w:rPr>
          <w:rFonts w:asciiTheme="majorBidi" w:hAnsiTheme="majorBidi" w:cstheme="majorBidi"/>
          <w:lang w:val="fr-FR"/>
        </w:rPr>
        <w:t>Kligman</w:t>
      </w:r>
      <w:proofErr w:type="spellEnd"/>
      <w:r w:rsidRPr="00950D73">
        <w:rPr>
          <w:rFonts w:asciiTheme="majorBidi" w:hAnsiTheme="majorBidi" w:cstheme="majorBidi"/>
          <w:lang w:val="fr-FR"/>
        </w:rPr>
        <w:t xml:space="preserve"> pour la ligne directrice 406 de l’OCDE. Un score de 0,5, qui est parfois signalé, est donc également considéré comme un résultat positif.</w:t>
      </w:r>
    </w:p>
    <w:p w14:paraId="79D55FAA" w14:textId="77777777" w:rsidR="00A52D79" w:rsidRPr="000266DD" w:rsidRDefault="00A52D79" w:rsidP="000266DD">
      <w:pPr>
        <w:pStyle w:val="SingleTxtG"/>
        <w:keepNext/>
        <w:spacing w:after="100"/>
        <w:ind w:left="2268"/>
        <w:jc w:val="left"/>
        <w:rPr>
          <w:rFonts w:asciiTheme="majorBidi" w:hAnsiTheme="majorBidi" w:cstheme="majorBidi"/>
          <w:bCs/>
          <w:i/>
          <w:iCs/>
          <w:lang w:val="fr-FR"/>
        </w:rPr>
      </w:pPr>
      <w:r w:rsidRPr="000266DD">
        <w:rPr>
          <w:rFonts w:asciiTheme="majorBidi" w:hAnsiTheme="majorBidi" w:cstheme="majorBidi"/>
          <w:bCs/>
          <w:lang w:val="fr-FR"/>
        </w:rPr>
        <w:lastRenderedPageBreak/>
        <w:t>3.4.5.3.4</w:t>
      </w:r>
      <w:r w:rsidRPr="000266DD">
        <w:rPr>
          <w:rFonts w:asciiTheme="majorBidi" w:hAnsiTheme="majorBidi" w:cstheme="majorBidi"/>
          <w:bCs/>
          <w:lang w:val="fr-FR"/>
        </w:rPr>
        <w:tab/>
      </w:r>
      <w:r w:rsidRPr="000266DD">
        <w:rPr>
          <w:rFonts w:asciiTheme="majorBidi" w:hAnsiTheme="majorBidi" w:cstheme="majorBidi"/>
          <w:bCs/>
          <w:i/>
          <w:iCs/>
          <w:lang w:val="fr-FR"/>
        </w:rPr>
        <w:t>Orientations pour l’utilisation des méthodes définies</w:t>
      </w:r>
    </w:p>
    <w:p w14:paraId="54F0DBE7" w14:textId="3B159038" w:rsidR="00A52D79" w:rsidRPr="00950D73" w:rsidRDefault="00A52D79" w:rsidP="000266DD">
      <w:pPr>
        <w:pStyle w:val="SingleTxtG"/>
        <w:tabs>
          <w:tab w:val="clear" w:pos="2835"/>
          <w:tab w:val="left" w:pos="3402"/>
        </w:tabs>
        <w:ind w:left="2268"/>
        <w:rPr>
          <w:rFonts w:asciiTheme="majorBidi" w:hAnsiTheme="majorBidi" w:cstheme="majorBidi"/>
          <w:lang w:val="fr-FR"/>
        </w:rPr>
      </w:pPr>
      <w:r w:rsidRPr="000266DD">
        <w:rPr>
          <w:rFonts w:asciiTheme="majorBidi" w:hAnsiTheme="majorBidi" w:cstheme="majorBidi"/>
          <w:lang w:val="fr-FR"/>
        </w:rPr>
        <w:tab/>
        <w:t>Les méthodes définies validées selon les procédures internationales et décrites dans la ligne directrice 497 de l’OCDE sont caractérisées pour le degré de confiance qui peut être attribué à leurs prédictions sur la base du domaine d’applicabilité de chacune des sources d’information utilisées et de la procédure d’interprétation des données appliquée (voir tableau 3.4.6). D’autres méthodes définies à l’étude mais non encore validées selon les procédures internationales et décrites dans le document d’orientation 256 de l’OCDE selon les critères convenus au niveau international en ce qui concerne la présentation des comptes rendus (document d’orientation 255 de l’OCDE) peuvent être acceptées par certaines autorités compétentes.</w:t>
      </w:r>
    </w:p>
    <w:p w14:paraId="41478E27" w14:textId="3E97EB9A" w:rsidR="0084064C" w:rsidRPr="00950D73" w:rsidRDefault="0084064C" w:rsidP="00B30609">
      <w:pPr>
        <w:pStyle w:val="SingleTxtG"/>
        <w:keepNext/>
        <w:spacing w:after="100"/>
        <w:ind w:left="2268"/>
        <w:jc w:val="left"/>
        <w:rPr>
          <w:rFonts w:asciiTheme="majorBidi" w:hAnsiTheme="majorBidi" w:cstheme="majorBidi"/>
          <w:bCs/>
          <w:i/>
          <w:iCs/>
          <w:lang w:val="fr-FR"/>
        </w:rPr>
      </w:pPr>
      <w:r w:rsidRPr="00950D73">
        <w:rPr>
          <w:rFonts w:asciiTheme="majorBidi" w:hAnsiTheme="majorBidi" w:cstheme="majorBidi"/>
          <w:bCs/>
          <w:lang w:val="fr-FR"/>
        </w:rPr>
        <w:t>3.4.5.3.5</w:t>
      </w:r>
      <w:r w:rsidRPr="00950D73">
        <w:rPr>
          <w:rFonts w:asciiTheme="majorBidi" w:hAnsiTheme="majorBidi" w:cstheme="majorBidi"/>
          <w:bCs/>
          <w:lang w:val="fr-FR"/>
        </w:rPr>
        <w:tab/>
      </w:r>
      <w:r w:rsidRPr="00950D73">
        <w:rPr>
          <w:rFonts w:asciiTheme="majorBidi" w:hAnsiTheme="majorBidi" w:cstheme="majorBidi"/>
          <w:bCs/>
          <w:i/>
          <w:iCs/>
          <w:lang w:val="fr-FR"/>
        </w:rPr>
        <w:t xml:space="preserve">Orientations pour l’utilisation de méthodes in </w:t>
      </w:r>
      <w:proofErr w:type="spellStart"/>
      <w:r w:rsidRPr="00950D73">
        <w:rPr>
          <w:rFonts w:asciiTheme="majorBidi" w:hAnsiTheme="majorBidi" w:cstheme="majorBidi"/>
          <w:bCs/>
          <w:i/>
          <w:iCs/>
          <w:lang w:val="fr-FR"/>
        </w:rPr>
        <w:t>chemico</w:t>
      </w:r>
      <w:proofErr w:type="spellEnd"/>
      <w:r w:rsidRPr="00950D73">
        <w:rPr>
          <w:rFonts w:asciiTheme="majorBidi" w:hAnsiTheme="majorBidi" w:cstheme="majorBidi"/>
          <w:bCs/>
          <w:i/>
          <w:iCs/>
          <w:lang w:val="fr-FR"/>
        </w:rPr>
        <w:t>/in vitro non autonomes</w:t>
      </w:r>
    </w:p>
    <w:p w14:paraId="71255651" w14:textId="79D56F00" w:rsidR="0084064C" w:rsidRPr="00950D73" w:rsidRDefault="0084064C" w:rsidP="00B30609">
      <w:pPr>
        <w:pStyle w:val="SingleTxtG"/>
        <w:spacing w:after="100"/>
        <w:ind w:left="2268"/>
        <w:rPr>
          <w:rFonts w:asciiTheme="majorBidi" w:hAnsiTheme="majorBidi" w:cstheme="majorBidi"/>
          <w:iCs/>
          <w:lang w:val="fr-FR"/>
        </w:rPr>
      </w:pPr>
      <w:r w:rsidRPr="00950D73">
        <w:rPr>
          <w:rFonts w:asciiTheme="majorBidi" w:hAnsiTheme="majorBidi" w:cstheme="majorBidi"/>
          <w:lang w:val="fr-FR"/>
        </w:rPr>
        <w:t xml:space="preserve">Certaines méthodes </w:t>
      </w:r>
      <w:r w:rsidRPr="00950D73">
        <w:rPr>
          <w:rFonts w:asciiTheme="majorBidi" w:hAnsiTheme="majorBidi" w:cstheme="majorBidi"/>
          <w:i/>
          <w:lang w:val="fr-FR"/>
        </w:rPr>
        <w:t xml:space="preserve">in </w:t>
      </w:r>
      <w:proofErr w:type="spellStart"/>
      <w:r w:rsidRPr="00950D73">
        <w:rPr>
          <w:rFonts w:asciiTheme="majorBidi" w:hAnsiTheme="majorBidi" w:cstheme="majorBidi"/>
          <w:i/>
          <w:lang w:val="fr-FR"/>
        </w:rPr>
        <w:t>chemico</w:t>
      </w:r>
      <w:proofErr w:type="spellEnd"/>
      <w:r w:rsidRPr="00950D73">
        <w:rPr>
          <w:rFonts w:asciiTheme="majorBidi" w:hAnsiTheme="majorBidi" w:cstheme="majorBidi"/>
          <w:i/>
          <w:lang w:val="fr-FR"/>
        </w:rPr>
        <w:t>/</w:t>
      </w:r>
      <w:r w:rsidRPr="00950D73">
        <w:rPr>
          <w:rFonts w:asciiTheme="majorBidi" w:hAnsiTheme="majorBidi" w:cstheme="majorBidi"/>
          <w:iCs/>
          <w:lang w:val="fr-FR"/>
        </w:rPr>
        <w:t>in vitro</w:t>
      </w:r>
      <w:r w:rsidRPr="00950D73">
        <w:rPr>
          <w:rFonts w:asciiTheme="majorBidi" w:hAnsiTheme="majorBidi" w:cstheme="majorBidi"/>
          <w:i/>
          <w:iCs/>
          <w:lang w:val="fr-FR"/>
        </w:rPr>
        <w:t xml:space="preserve"> </w:t>
      </w:r>
      <w:r w:rsidRPr="00950D73">
        <w:rPr>
          <w:rFonts w:asciiTheme="majorBidi" w:hAnsiTheme="majorBidi" w:cstheme="majorBidi"/>
          <w:lang w:val="fr-FR"/>
        </w:rPr>
        <w:t>telles que celles rapportées dans les lignes directrices de l’OCDE 442C, 442D et 442E, en raison de leur traitement limité des mécanismes de sensibilisation, ne peuvent être utilisées seules pour conclure à un classement dans la catégorie 1 ou à une absence de classement selon les critères définis dans le tableau 3.4.</w:t>
      </w:r>
      <w:r w:rsidR="00180AF0" w:rsidRPr="00950D73">
        <w:rPr>
          <w:rFonts w:asciiTheme="majorBidi" w:hAnsiTheme="majorBidi" w:cstheme="majorBidi"/>
          <w:lang w:val="fr-FR"/>
        </w:rPr>
        <w:t>8</w:t>
      </w:r>
      <w:r w:rsidRPr="00950D73">
        <w:rPr>
          <w:rFonts w:asciiTheme="majorBidi" w:hAnsiTheme="majorBidi" w:cstheme="majorBidi"/>
          <w:lang w:val="fr-FR"/>
        </w:rPr>
        <w:t>, et des données supplémentaires sont nécessaires pour le classement dans la catégorie 2. De plus, bien que certaines de ces méthodes fournissent des informations quantitatives, celles</w:t>
      </w:r>
      <w:r w:rsidRPr="00950D73">
        <w:rPr>
          <w:rFonts w:asciiTheme="majorBidi" w:hAnsiTheme="majorBidi" w:cstheme="majorBidi"/>
          <w:lang w:val="fr-FR"/>
        </w:rPr>
        <w:noBreakHyphen/>
        <w:t>ci ne peuvent pas être utilisées pour la sous-catégorisation dans les sous</w:t>
      </w:r>
      <w:r w:rsidRPr="00950D73">
        <w:rPr>
          <w:rFonts w:asciiTheme="majorBidi" w:hAnsiTheme="majorBidi" w:cstheme="majorBidi"/>
          <w:lang w:val="fr-FR"/>
        </w:rPr>
        <w:noBreakHyphen/>
        <w:t xml:space="preserve">catégories 1A et 1B car les critères n’ont pas été validés selon une procédure internationale. Néanmoins, de telles informations quantitatives peuvent être acceptées aux fins de la sous-catégorisation par une autorité compétente lorsqu’elles sont utilisées pour évaluer </w:t>
      </w:r>
      <w:r w:rsidRPr="00950D73">
        <w:rPr>
          <w:rFonts w:asciiTheme="majorBidi" w:hAnsiTheme="majorBidi" w:cstheme="majorBidi"/>
          <w:bCs/>
          <w:lang w:val="fr-FR"/>
        </w:rPr>
        <w:t>la force probante des données</w:t>
      </w:r>
      <w:r w:rsidRPr="00950D73">
        <w:rPr>
          <w:rFonts w:asciiTheme="majorBidi" w:hAnsiTheme="majorBidi" w:cstheme="majorBidi"/>
          <w:lang w:val="fr-FR"/>
        </w:rPr>
        <w:t xml:space="preserve"> à l’étape 2. Cela est également conforme à la Ligne directrice 442E, selon laquelle, « </w:t>
      </w:r>
      <w:r w:rsidR="00376996" w:rsidRPr="00950D73">
        <w:rPr>
          <w:rFonts w:asciiTheme="majorBidi" w:hAnsiTheme="majorBidi" w:cstheme="majorBidi"/>
          <w:i/>
          <w:iCs/>
          <w:lang w:val="fr-FR"/>
        </w:rPr>
        <w:t>E</w:t>
      </w:r>
      <w:r w:rsidRPr="00950D73">
        <w:rPr>
          <w:rFonts w:asciiTheme="majorBidi" w:hAnsiTheme="majorBidi" w:cstheme="majorBidi"/>
          <w:i/>
          <w:iCs/>
          <w:lang w:val="fr-FR"/>
        </w:rPr>
        <w:t xml:space="preserve">n fonction du cadre </w:t>
      </w:r>
      <w:r w:rsidRPr="00950D73">
        <w:rPr>
          <w:rFonts w:asciiTheme="majorBidi" w:hAnsiTheme="majorBidi" w:cstheme="majorBidi"/>
          <w:i/>
          <w:iCs/>
          <w:lang w:val="fr-FR"/>
        </w:rPr>
        <w:lastRenderedPageBreak/>
        <w:t>réglementaire applicable, des résultats positifs avec ces méthodes peuvent être considérés comme suffisants à eux seuls pour classer un produit chimique dans la catégorie 1 du SGH</w:t>
      </w:r>
      <w:r w:rsidRPr="00950D73">
        <w:rPr>
          <w:rFonts w:asciiTheme="majorBidi" w:hAnsiTheme="majorBidi" w:cstheme="majorBidi"/>
          <w:lang w:val="fr-FR"/>
        </w:rPr>
        <w:t xml:space="preserve">». Par conséquent, le SGH permet également à </w:t>
      </w:r>
      <w:r w:rsidRPr="00950D73">
        <w:rPr>
          <w:rFonts w:asciiTheme="majorBidi" w:hAnsiTheme="majorBidi" w:cstheme="majorBidi"/>
          <w:iCs/>
          <w:lang w:val="fr-FR"/>
        </w:rPr>
        <w:t xml:space="preserve">une autorité compétente de décider qu’un résultat positif obtenu avec l’une de ces méthodes </w:t>
      </w:r>
      <w:r w:rsidRPr="00950D73">
        <w:rPr>
          <w:rFonts w:asciiTheme="majorBidi" w:hAnsiTheme="majorBidi" w:cstheme="majorBidi"/>
          <w:i/>
          <w:lang w:val="fr-FR"/>
        </w:rPr>
        <w:t xml:space="preserve">in </w:t>
      </w:r>
      <w:proofErr w:type="spellStart"/>
      <w:r w:rsidRPr="00950D73">
        <w:rPr>
          <w:rFonts w:asciiTheme="majorBidi" w:hAnsiTheme="majorBidi" w:cstheme="majorBidi"/>
          <w:i/>
          <w:lang w:val="fr-FR"/>
        </w:rPr>
        <w:t>chemico</w:t>
      </w:r>
      <w:proofErr w:type="spellEnd"/>
      <w:r w:rsidRPr="00950D73">
        <w:rPr>
          <w:rFonts w:asciiTheme="majorBidi" w:hAnsiTheme="majorBidi" w:cstheme="majorBidi"/>
          <w:i/>
          <w:lang w:val="fr-FR"/>
        </w:rPr>
        <w:t>/</w:t>
      </w:r>
      <w:r w:rsidRPr="00950D73">
        <w:rPr>
          <w:rFonts w:asciiTheme="majorBidi" w:hAnsiTheme="majorBidi" w:cstheme="majorBidi"/>
          <w:iCs/>
          <w:lang w:val="fr-FR"/>
        </w:rPr>
        <w:t>in vitro</w:t>
      </w:r>
      <w:r w:rsidRPr="00950D73">
        <w:rPr>
          <w:rFonts w:asciiTheme="majorBidi" w:hAnsiTheme="majorBidi" w:cstheme="majorBidi"/>
          <w:i/>
          <w:lang w:val="fr-FR"/>
        </w:rPr>
        <w:t xml:space="preserve"> </w:t>
      </w:r>
      <w:r w:rsidRPr="00950D73">
        <w:rPr>
          <w:rFonts w:asciiTheme="majorBidi" w:hAnsiTheme="majorBidi" w:cstheme="majorBidi"/>
          <w:iCs/>
          <w:lang w:val="fr-FR"/>
        </w:rPr>
        <w:t>non autonomes peut à lui seul permettre de classer un produit chimique dans la catégorie 1 et que l’</w:t>
      </w:r>
      <w:r w:rsidRPr="00950D73">
        <w:rPr>
          <w:rFonts w:asciiTheme="majorBidi" w:hAnsiTheme="majorBidi" w:cstheme="majorBidi"/>
          <w:lang w:val="fr-FR"/>
        </w:rPr>
        <w:t>e</w:t>
      </w:r>
      <w:r w:rsidRPr="00950D73">
        <w:rPr>
          <w:rFonts w:asciiTheme="majorBidi" w:hAnsiTheme="majorBidi" w:cstheme="majorBidi"/>
          <w:iCs/>
          <w:lang w:val="fr-FR"/>
        </w:rPr>
        <w:t>ssai cinétique de liaison directe sur la réactivité peptidique (</w:t>
      </w:r>
      <w:proofErr w:type="spellStart"/>
      <w:r w:rsidRPr="00950D73">
        <w:rPr>
          <w:rFonts w:asciiTheme="majorBidi" w:hAnsiTheme="majorBidi" w:cstheme="majorBidi"/>
          <w:iCs/>
          <w:lang w:val="fr-FR"/>
        </w:rPr>
        <w:t>kDPRA</w:t>
      </w:r>
      <w:proofErr w:type="spellEnd"/>
      <w:r w:rsidRPr="00950D73">
        <w:rPr>
          <w:rFonts w:asciiTheme="majorBidi" w:hAnsiTheme="majorBidi" w:cstheme="majorBidi"/>
          <w:iCs/>
          <w:lang w:val="fr-FR"/>
        </w:rPr>
        <w:t xml:space="preserve">) de la </w:t>
      </w:r>
      <w:r w:rsidRPr="00950D73">
        <w:rPr>
          <w:rFonts w:asciiTheme="majorBidi" w:hAnsiTheme="majorBidi" w:cstheme="majorBidi"/>
          <w:lang w:val="fr-FR"/>
        </w:rPr>
        <w:t xml:space="preserve">Ligne directrice </w:t>
      </w:r>
      <w:r w:rsidRPr="00950D73">
        <w:rPr>
          <w:rFonts w:asciiTheme="majorBidi" w:hAnsiTheme="majorBidi" w:cstheme="majorBidi"/>
          <w:iCs/>
          <w:lang w:val="fr-FR"/>
        </w:rPr>
        <w:t xml:space="preserve">442C (annexe III) peut être utilisé pour déterminer le classement ou non dans la </w:t>
      </w:r>
      <w:r w:rsidR="000C1DD8" w:rsidRPr="00950D73">
        <w:rPr>
          <w:rFonts w:asciiTheme="majorBidi" w:hAnsiTheme="majorBidi" w:cstheme="majorBidi"/>
          <w:iCs/>
          <w:lang w:val="fr-FR"/>
        </w:rPr>
        <w:t>sous-</w:t>
      </w:r>
      <w:r w:rsidRPr="00950D73">
        <w:rPr>
          <w:rFonts w:asciiTheme="majorBidi" w:hAnsiTheme="majorBidi" w:cstheme="majorBidi"/>
          <w:iCs/>
          <w:lang w:val="fr-FR"/>
        </w:rPr>
        <w:t>catégorie 1A.</w:t>
      </w:r>
    </w:p>
    <w:p w14:paraId="406D4DB3" w14:textId="267ADF50" w:rsidR="0084064C" w:rsidRPr="00950D73" w:rsidRDefault="0084064C" w:rsidP="00F51A90">
      <w:pPr>
        <w:pStyle w:val="SingleTxtG"/>
        <w:keepNext/>
        <w:spacing w:after="100"/>
        <w:ind w:left="2268"/>
        <w:jc w:val="left"/>
        <w:rPr>
          <w:rFonts w:asciiTheme="majorBidi" w:hAnsiTheme="majorBidi" w:cstheme="majorBidi"/>
          <w:bCs/>
          <w:lang w:val="fr-FR"/>
        </w:rPr>
      </w:pPr>
      <w:r w:rsidRPr="00950D73">
        <w:rPr>
          <w:rFonts w:asciiTheme="majorBidi" w:hAnsiTheme="majorBidi" w:cstheme="majorBidi"/>
          <w:bCs/>
          <w:lang w:val="fr-FR"/>
        </w:rPr>
        <w:t>3.4.5.3.6</w:t>
      </w:r>
      <w:r w:rsidRPr="00950D73">
        <w:rPr>
          <w:rFonts w:asciiTheme="majorBidi" w:hAnsiTheme="majorBidi" w:cstheme="majorBidi"/>
          <w:bCs/>
          <w:lang w:val="fr-FR"/>
        </w:rPr>
        <w:tab/>
      </w:r>
      <w:r w:rsidRPr="00950D73">
        <w:rPr>
          <w:rFonts w:asciiTheme="majorBidi" w:hAnsiTheme="majorBidi" w:cstheme="majorBidi"/>
          <w:bCs/>
          <w:i/>
          <w:iCs/>
          <w:lang w:val="fr-FR"/>
        </w:rPr>
        <w:t>Orientations pour l’utilisation de données non normalisées</w:t>
      </w:r>
    </w:p>
    <w:p w14:paraId="3C4A91A3" w14:textId="6DD689F6" w:rsidR="0084064C" w:rsidRPr="00950D73" w:rsidRDefault="0084064C" w:rsidP="00F51A90">
      <w:pPr>
        <w:pStyle w:val="SingleTxtG"/>
        <w:spacing w:after="100"/>
        <w:ind w:left="2268"/>
        <w:rPr>
          <w:rFonts w:asciiTheme="majorBidi" w:hAnsiTheme="majorBidi" w:cstheme="majorBidi"/>
          <w:lang w:val="fr-FR"/>
        </w:rPr>
      </w:pPr>
      <w:r w:rsidRPr="00950D73">
        <w:rPr>
          <w:rFonts w:asciiTheme="majorBidi" w:hAnsiTheme="majorBidi" w:cstheme="majorBidi"/>
          <w:bCs/>
          <w:lang w:val="fr-FR"/>
        </w:rPr>
        <w:t>3.4.5.3.6.1</w:t>
      </w:r>
      <w:r w:rsidRPr="00950D73">
        <w:rPr>
          <w:rFonts w:asciiTheme="majorBidi" w:hAnsiTheme="majorBidi" w:cstheme="majorBidi"/>
          <w:bCs/>
          <w:lang w:val="fr-FR"/>
        </w:rPr>
        <w:tab/>
        <w:t xml:space="preserve">Les </w:t>
      </w:r>
      <w:r w:rsidRPr="00950D73">
        <w:rPr>
          <w:rFonts w:asciiTheme="majorBidi" w:hAnsiTheme="majorBidi" w:cstheme="majorBidi"/>
          <w:lang w:val="fr-FR"/>
        </w:rPr>
        <w:t xml:space="preserve">méthodes </w:t>
      </w:r>
      <w:r w:rsidRPr="00950D73">
        <w:rPr>
          <w:rFonts w:asciiTheme="majorBidi" w:hAnsiTheme="majorBidi" w:cstheme="majorBidi"/>
          <w:i/>
          <w:lang w:val="fr-FR"/>
        </w:rPr>
        <w:t xml:space="preserve">in </w:t>
      </w:r>
      <w:proofErr w:type="spellStart"/>
      <w:r w:rsidRPr="00950D73">
        <w:rPr>
          <w:rFonts w:asciiTheme="majorBidi" w:hAnsiTheme="majorBidi" w:cstheme="majorBidi"/>
          <w:i/>
          <w:lang w:val="fr-FR"/>
        </w:rPr>
        <w:t>chemico</w:t>
      </w:r>
      <w:proofErr w:type="spellEnd"/>
      <w:r w:rsidRPr="00950D73">
        <w:rPr>
          <w:rFonts w:asciiTheme="majorBidi" w:hAnsiTheme="majorBidi" w:cstheme="majorBidi"/>
          <w:iCs/>
          <w:lang w:val="fr-FR"/>
        </w:rPr>
        <w:t>/in vitro</w:t>
      </w:r>
      <w:r w:rsidRPr="00950D73">
        <w:rPr>
          <w:rFonts w:asciiTheme="majorBidi" w:hAnsiTheme="majorBidi" w:cstheme="majorBidi"/>
          <w:i/>
          <w:iCs/>
          <w:lang w:val="fr-FR"/>
        </w:rPr>
        <w:t xml:space="preserve"> </w:t>
      </w:r>
      <w:r w:rsidRPr="00950D73">
        <w:rPr>
          <w:rFonts w:asciiTheme="majorBidi" w:hAnsiTheme="majorBidi" w:cstheme="majorBidi"/>
          <w:bCs/>
          <w:lang w:val="fr-FR"/>
        </w:rPr>
        <w:t xml:space="preserve">validées </w:t>
      </w:r>
      <w:r w:rsidRPr="00950D73">
        <w:rPr>
          <w:rFonts w:asciiTheme="majorBidi" w:hAnsiTheme="majorBidi" w:cstheme="majorBidi"/>
          <w:lang w:val="fr-FR"/>
        </w:rPr>
        <w:t xml:space="preserve">mais non encore adoptées, </w:t>
      </w:r>
      <w:bookmarkStart w:id="35" w:name="_Hlk116845099"/>
      <w:r w:rsidRPr="00950D73">
        <w:rPr>
          <w:rFonts w:asciiTheme="majorBidi" w:hAnsiTheme="majorBidi" w:cstheme="majorBidi"/>
          <w:lang w:val="fr-FR"/>
        </w:rPr>
        <w:t>telles que celles mentionnées au 3.4.5.3.6.2,</w:t>
      </w:r>
      <w:bookmarkEnd w:id="35"/>
      <w:r w:rsidRPr="00950D73">
        <w:rPr>
          <w:rFonts w:asciiTheme="majorBidi" w:hAnsiTheme="majorBidi" w:cstheme="majorBidi"/>
          <w:lang w:val="fr-FR"/>
        </w:rPr>
        <w:t xml:space="preserve"> ainsi que les méthodes d’essai </w:t>
      </w:r>
      <w:r w:rsidRPr="00950D73">
        <w:rPr>
          <w:rFonts w:asciiTheme="majorBidi" w:hAnsiTheme="majorBidi" w:cstheme="majorBidi"/>
          <w:i/>
          <w:iCs/>
          <w:lang w:val="fr-FR"/>
        </w:rPr>
        <w:t xml:space="preserve">in vivo </w:t>
      </w:r>
      <w:r w:rsidRPr="00950D73">
        <w:rPr>
          <w:rFonts w:asciiTheme="majorBidi" w:hAnsiTheme="majorBidi" w:cstheme="majorBidi"/>
          <w:lang w:val="fr-FR"/>
        </w:rPr>
        <w:t xml:space="preserve">qui ne sont pas conformes aux lignes directrices internationalement reconnues pour la détermination des sensibilisants cutanés ou l’évaluation de leur pouvoir de sensibilisation de la peau, peuvent fournir des éléments de preuve supplémentaires lorsqu’elles sont utilisées dans le cadre d’une évaluation globale de </w:t>
      </w:r>
      <w:r w:rsidRPr="00950D73">
        <w:rPr>
          <w:rFonts w:asciiTheme="majorBidi" w:hAnsiTheme="majorBidi" w:cstheme="majorBidi"/>
          <w:bCs/>
          <w:lang w:val="fr-FR"/>
        </w:rPr>
        <w:t>la force probante des données</w:t>
      </w:r>
      <w:r w:rsidRPr="00950D73">
        <w:rPr>
          <w:rFonts w:asciiTheme="majorBidi" w:hAnsiTheme="majorBidi" w:cstheme="majorBidi"/>
          <w:lang w:val="fr-FR"/>
        </w:rPr>
        <w:t xml:space="preserve"> (c’est-à-dire à l’étape 3). </w:t>
      </w:r>
    </w:p>
    <w:p w14:paraId="13C1EA3E" w14:textId="3AD56A83" w:rsidR="0084064C" w:rsidRPr="00950D73" w:rsidRDefault="0084064C" w:rsidP="00F51A90">
      <w:pPr>
        <w:pStyle w:val="SingleTxtG"/>
        <w:keepNext/>
        <w:ind w:left="2268"/>
        <w:rPr>
          <w:rFonts w:asciiTheme="majorBidi" w:hAnsiTheme="majorBidi" w:cstheme="majorBidi"/>
          <w:lang w:val="fr-FR"/>
        </w:rPr>
      </w:pPr>
      <w:r w:rsidRPr="00950D73">
        <w:rPr>
          <w:rFonts w:asciiTheme="majorBidi" w:hAnsiTheme="majorBidi" w:cstheme="majorBidi"/>
          <w:lang w:val="fr-FR"/>
        </w:rPr>
        <w:t>3.4.5.3.6.2</w:t>
      </w:r>
      <w:r w:rsidRPr="00950D73">
        <w:rPr>
          <w:rFonts w:asciiTheme="majorBidi" w:hAnsiTheme="majorBidi" w:cstheme="majorBidi"/>
          <w:lang w:val="fr-FR"/>
        </w:rPr>
        <w:tab/>
        <w:t xml:space="preserve">Une liste non exhaustive d’autres méthodes d’essai </w:t>
      </w:r>
      <w:r w:rsidRPr="00950D73">
        <w:rPr>
          <w:rFonts w:asciiTheme="majorBidi" w:hAnsiTheme="majorBidi" w:cstheme="majorBidi"/>
          <w:i/>
          <w:lang w:val="fr-FR"/>
        </w:rPr>
        <w:t xml:space="preserve">in </w:t>
      </w:r>
      <w:proofErr w:type="spellStart"/>
      <w:r w:rsidRPr="00950D73">
        <w:rPr>
          <w:rFonts w:asciiTheme="majorBidi" w:hAnsiTheme="majorBidi" w:cstheme="majorBidi"/>
          <w:i/>
          <w:lang w:val="fr-FR"/>
        </w:rPr>
        <w:t>chemico</w:t>
      </w:r>
      <w:proofErr w:type="spellEnd"/>
      <w:r w:rsidRPr="00950D73">
        <w:rPr>
          <w:rFonts w:asciiTheme="majorBidi" w:hAnsiTheme="majorBidi" w:cstheme="majorBidi"/>
          <w:i/>
          <w:lang w:val="fr-FR"/>
        </w:rPr>
        <w:t>/</w:t>
      </w:r>
      <w:r w:rsidRPr="00950D73">
        <w:rPr>
          <w:rFonts w:asciiTheme="majorBidi" w:hAnsiTheme="majorBidi" w:cstheme="majorBidi"/>
          <w:iCs/>
          <w:lang w:val="fr-FR"/>
        </w:rPr>
        <w:t>in vitro</w:t>
      </w:r>
      <w:r w:rsidRPr="00950D73">
        <w:rPr>
          <w:rFonts w:asciiTheme="majorBidi" w:hAnsiTheme="majorBidi" w:cstheme="majorBidi"/>
          <w:lang w:val="fr-FR"/>
        </w:rPr>
        <w:t xml:space="preserve"> validées, acceptées par certaines autorités compétentes mais non adoptées en qualité de lignes directrices de l’OCDE, est fournie ci-dessous. Une autorité compétente peut décider quels critères de classement, le cas échéant, doivent être appliqués pour ces méthodes d’essai :</w:t>
      </w:r>
    </w:p>
    <w:p w14:paraId="1143FFB4" w14:textId="77777777" w:rsidR="0084064C" w:rsidRPr="00950D73" w:rsidRDefault="0084064C" w:rsidP="0084064C">
      <w:pPr>
        <w:pStyle w:val="SingleTxtG"/>
        <w:ind w:left="2835" w:hanging="567"/>
        <w:rPr>
          <w:rFonts w:asciiTheme="majorBidi" w:hAnsiTheme="majorBidi" w:cstheme="majorBidi"/>
          <w:lang w:val="fr-FR"/>
        </w:rPr>
      </w:pPr>
      <w:r w:rsidRPr="00950D73">
        <w:rPr>
          <w:rFonts w:asciiTheme="majorBidi" w:hAnsiTheme="majorBidi" w:cstheme="majorBidi"/>
          <w:lang w:val="fr-FR"/>
        </w:rPr>
        <w:t>a)</w:t>
      </w:r>
      <w:r w:rsidRPr="00950D73">
        <w:rPr>
          <w:rFonts w:asciiTheme="majorBidi" w:hAnsiTheme="majorBidi" w:cstheme="majorBidi"/>
          <w:lang w:val="fr-FR"/>
        </w:rPr>
        <w:tab/>
        <w:t>Le test d’activation par détection rapide d’allergènes génomiques (</w:t>
      </w:r>
      <w:proofErr w:type="spellStart"/>
      <w:r w:rsidRPr="00950D73">
        <w:rPr>
          <w:rFonts w:asciiTheme="majorBidi" w:hAnsiTheme="majorBidi" w:cstheme="majorBidi"/>
          <w:lang w:val="fr-FR"/>
        </w:rPr>
        <w:t>GARDpotency</w:t>
      </w:r>
      <w:proofErr w:type="spellEnd"/>
      <w:r w:rsidRPr="00950D73">
        <w:rPr>
          <w:rFonts w:asciiTheme="majorBidi" w:hAnsiTheme="majorBidi" w:cstheme="majorBidi"/>
          <w:lang w:val="fr-FR"/>
        </w:rPr>
        <w:t>) est un test in vitro</w:t>
      </w:r>
      <w:r w:rsidRPr="00950D73">
        <w:rPr>
          <w:rFonts w:asciiTheme="majorBidi" w:hAnsiTheme="majorBidi" w:cstheme="majorBidi"/>
          <w:i/>
          <w:iCs/>
          <w:lang w:val="fr-FR"/>
        </w:rPr>
        <w:t xml:space="preserve"> </w:t>
      </w:r>
      <w:r w:rsidRPr="00950D73">
        <w:rPr>
          <w:rFonts w:asciiTheme="majorBidi" w:hAnsiTheme="majorBidi" w:cstheme="majorBidi"/>
          <w:lang w:val="fr-FR"/>
        </w:rPr>
        <w:t xml:space="preserve">fondé sur la transcriptomique et portant sur le troisième événement clé de la voie toxicologique impliquée dans les effets indésirables pour la </w:t>
      </w:r>
      <w:r w:rsidRPr="00950D73">
        <w:rPr>
          <w:rFonts w:asciiTheme="majorBidi" w:hAnsiTheme="majorBidi" w:cstheme="majorBidi"/>
          <w:lang w:val="fr-FR"/>
        </w:rPr>
        <w:lastRenderedPageBreak/>
        <w:t xml:space="preserve">sensibilisation cutanée (activation des cellules dendritiques), similaire au test </w:t>
      </w:r>
      <w:proofErr w:type="spellStart"/>
      <w:r w:rsidRPr="00950D73">
        <w:rPr>
          <w:rFonts w:asciiTheme="majorBidi" w:hAnsiTheme="majorBidi" w:cstheme="majorBidi"/>
          <w:lang w:val="fr-FR"/>
        </w:rPr>
        <w:t>GARDskin</w:t>
      </w:r>
      <w:proofErr w:type="spellEnd"/>
      <w:r w:rsidRPr="00950D73">
        <w:rPr>
          <w:rFonts w:asciiTheme="majorBidi" w:hAnsiTheme="majorBidi" w:cstheme="majorBidi"/>
          <w:lang w:val="fr-FR"/>
        </w:rPr>
        <w:t xml:space="preserve"> mais utilisant une signature génétique différente qui permet de sous-catégoriser les sensibilisateurs cutanés (Gradin et coll., 2020 ; Zeller et coll., 2017 ; </w:t>
      </w:r>
      <w:proofErr w:type="spellStart"/>
      <w:r w:rsidRPr="00950D73">
        <w:rPr>
          <w:rFonts w:asciiTheme="majorBidi" w:hAnsiTheme="majorBidi" w:cstheme="majorBidi"/>
          <w:lang w:val="fr-FR"/>
        </w:rPr>
        <w:t>Corsini</w:t>
      </w:r>
      <w:proofErr w:type="spellEnd"/>
      <w:r w:rsidRPr="00950D73">
        <w:rPr>
          <w:rFonts w:asciiTheme="majorBidi" w:hAnsiTheme="majorBidi" w:cstheme="majorBidi"/>
          <w:lang w:val="fr-FR"/>
        </w:rPr>
        <w:t xml:space="preserve"> et coll., 2021) ;</w:t>
      </w:r>
    </w:p>
    <w:p w14:paraId="78B55230" w14:textId="33B46C13" w:rsidR="0084064C" w:rsidRPr="00950D73" w:rsidRDefault="0084064C" w:rsidP="0084064C">
      <w:pPr>
        <w:pStyle w:val="SingleTxtG"/>
        <w:ind w:left="2835" w:hanging="567"/>
        <w:rPr>
          <w:rFonts w:asciiTheme="majorBidi" w:hAnsiTheme="majorBidi" w:cstheme="majorBidi"/>
          <w:lang w:val="fr-FR"/>
        </w:rPr>
      </w:pPr>
      <w:r w:rsidRPr="00950D73">
        <w:rPr>
          <w:rFonts w:asciiTheme="majorBidi" w:hAnsiTheme="majorBidi" w:cstheme="majorBidi"/>
          <w:lang w:val="fr-FR"/>
        </w:rPr>
        <w:t>b)</w:t>
      </w:r>
      <w:r w:rsidRPr="00950D73">
        <w:rPr>
          <w:rFonts w:asciiTheme="majorBidi" w:hAnsiTheme="majorBidi" w:cstheme="majorBidi"/>
          <w:lang w:val="fr-FR"/>
        </w:rPr>
        <w:tab/>
        <w:t>Le test SENS-IS est une méthode génomique appliquée à un épiderme humain reconstitué (</w:t>
      </w:r>
      <w:proofErr w:type="spellStart"/>
      <w:r w:rsidR="00C40DE1" w:rsidRPr="00950D73">
        <w:rPr>
          <w:rFonts w:asciiTheme="majorBidi" w:hAnsiTheme="majorBidi" w:cstheme="majorBidi"/>
          <w:lang w:val="fr-FR"/>
        </w:rPr>
        <w:t>RhE</w:t>
      </w:r>
      <w:proofErr w:type="spellEnd"/>
      <w:r w:rsidRPr="00950D73">
        <w:rPr>
          <w:rFonts w:asciiTheme="majorBidi" w:hAnsiTheme="majorBidi" w:cstheme="majorBidi"/>
          <w:lang w:val="fr-FR"/>
        </w:rPr>
        <w:t>) (</w:t>
      </w:r>
      <w:proofErr w:type="spellStart"/>
      <w:r w:rsidRPr="00950D73">
        <w:rPr>
          <w:rFonts w:asciiTheme="majorBidi" w:hAnsiTheme="majorBidi" w:cstheme="majorBidi"/>
          <w:lang w:val="fr-FR"/>
        </w:rPr>
        <w:t>Cottrez</w:t>
      </w:r>
      <w:proofErr w:type="spellEnd"/>
      <w:r w:rsidRPr="00950D73">
        <w:rPr>
          <w:rFonts w:asciiTheme="majorBidi" w:hAnsiTheme="majorBidi" w:cstheme="majorBidi"/>
          <w:lang w:val="fr-FR"/>
        </w:rPr>
        <w:t xml:space="preserve"> et coll., 2015 ; </w:t>
      </w:r>
      <w:proofErr w:type="spellStart"/>
      <w:r w:rsidRPr="00950D73">
        <w:rPr>
          <w:rFonts w:asciiTheme="majorBidi" w:hAnsiTheme="majorBidi" w:cstheme="majorBidi"/>
          <w:lang w:val="fr-FR"/>
        </w:rPr>
        <w:t>Cottrez</w:t>
      </w:r>
      <w:proofErr w:type="spellEnd"/>
      <w:r w:rsidRPr="00950D73">
        <w:rPr>
          <w:rFonts w:asciiTheme="majorBidi" w:hAnsiTheme="majorBidi" w:cstheme="majorBidi"/>
          <w:lang w:val="fr-FR"/>
        </w:rPr>
        <w:t xml:space="preserve"> et coll., 2016) ;</w:t>
      </w:r>
    </w:p>
    <w:p w14:paraId="5F1EE54F" w14:textId="77777777" w:rsidR="0084064C" w:rsidRPr="00950D73" w:rsidRDefault="0084064C" w:rsidP="0084064C">
      <w:pPr>
        <w:pStyle w:val="SingleTxtG"/>
        <w:ind w:left="2835" w:hanging="567"/>
        <w:rPr>
          <w:rFonts w:asciiTheme="majorBidi" w:hAnsiTheme="majorBidi" w:cstheme="majorBidi"/>
          <w:lang w:val="fr-FR"/>
        </w:rPr>
      </w:pPr>
      <w:r w:rsidRPr="00950D73">
        <w:rPr>
          <w:rFonts w:asciiTheme="majorBidi" w:hAnsiTheme="majorBidi" w:cstheme="majorBidi"/>
          <w:lang w:val="fr-FR"/>
        </w:rPr>
        <w:t>c)</w:t>
      </w:r>
      <w:r w:rsidRPr="00950D73">
        <w:rPr>
          <w:rFonts w:asciiTheme="majorBidi" w:hAnsiTheme="majorBidi" w:cstheme="majorBidi"/>
          <w:lang w:val="fr-FR"/>
        </w:rPr>
        <w:tab/>
        <w:t xml:space="preserve">Le test de sensibilisation épidermique </w:t>
      </w:r>
      <w:proofErr w:type="spellStart"/>
      <w:r w:rsidRPr="00950D73">
        <w:rPr>
          <w:rFonts w:asciiTheme="majorBidi" w:hAnsiTheme="majorBidi" w:cstheme="majorBidi"/>
          <w:lang w:val="fr-FR"/>
        </w:rPr>
        <w:t>EpisensA</w:t>
      </w:r>
      <w:proofErr w:type="spellEnd"/>
      <w:r w:rsidRPr="00950D73">
        <w:rPr>
          <w:rFonts w:asciiTheme="majorBidi" w:hAnsiTheme="majorBidi" w:cstheme="majorBidi"/>
          <w:lang w:val="fr-FR"/>
        </w:rPr>
        <w:t xml:space="preserve"> est basé sur la mesure de la régulation positive de quatre gènes dans un épiderme humain reconstruit (</w:t>
      </w:r>
      <w:proofErr w:type="spellStart"/>
      <w:r w:rsidRPr="00950D73">
        <w:rPr>
          <w:rFonts w:asciiTheme="majorBidi" w:hAnsiTheme="majorBidi" w:cstheme="majorBidi"/>
          <w:lang w:val="fr-FR"/>
        </w:rPr>
        <w:t>RhE</w:t>
      </w:r>
      <w:proofErr w:type="spellEnd"/>
      <w:r w:rsidRPr="00950D73">
        <w:rPr>
          <w:rFonts w:asciiTheme="majorBidi" w:hAnsiTheme="majorBidi" w:cstheme="majorBidi"/>
          <w:lang w:val="fr-FR"/>
        </w:rPr>
        <w:t>) pour discriminer les sensibilisateurs des non-sensibilisateurs (Saito et coll., 2017).</w:t>
      </w:r>
    </w:p>
    <w:p w14:paraId="3F4FFADD" w14:textId="3CE91D24" w:rsidR="0084064C" w:rsidRPr="00950D73" w:rsidRDefault="0084064C" w:rsidP="00F51A90">
      <w:pPr>
        <w:pStyle w:val="SingleTxtG"/>
        <w:keepNext/>
        <w:ind w:left="2268"/>
        <w:rPr>
          <w:rFonts w:asciiTheme="majorBidi" w:hAnsiTheme="majorBidi" w:cstheme="majorBidi"/>
          <w:i/>
          <w:iCs/>
          <w:lang w:val="fr-FR"/>
        </w:rPr>
      </w:pPr>
      <w:r w:rsidRPr="00950D73">
        <w:rPr>
          <w:rFonts w:asciiTheme="majorBidi" w:hAnsiTheme="majorBidi" w:cstheme="majorBidi"/>
          <w:lang w:val="fr-FR"/>
        </w:rPr>
        <w:t>3.4.5.3.7</w:t>
      </w:r>
      <w:r w:rsidRPr="00950D73">
        <w:rPr>
          <w:rFonts w:asciiTheme="majorBidi" w:hAnsiTheme="majorBidi" w:cstheme="majorBidi"/>
          <w:lang w:val="fr-FR"/>
        </w:rPr>
        <w:tab/>
      </w:r>
      <w:r w:rsidRPr="00950D73">
        <w:rPr>
          <w:rFonts w:asciiTheme="majorBidi" w:hAnsiTheme="majorBidi" w:cstheme="majorBidi"/>
          <w:bCs/>
          <w:i/>
          <w:iCs/>
          <w:lang w:val="fr-FR"/>
        </w:rPr>
        <w:t xml:space="preserve">Orientations </w:t>
      </w:r>
      <w:r w:rsidRPr="00950D73">
        <w:rPr>
          <w:rFonts w:asciiTheme="majorBidi" w:hAnsiTheme="majorBidi" w:cstheme="majorBidi"/>
          <w:i/>
          <w:iCs/>
          <w:lang w:val="fr-FR"/>
        </w:rPr>
        <w:t>sur l’évaluation de</w:t>
      </w:r>
      <w:r w:rsidRPr="00950D73">
        <w:rPr>
          <w:rFonts w:asciiTheme="majorBidi" w:hAnsiTheme="majorBidi" w:cstheme="majorBidi"/>
          <w:lang w:val="fr-FR"/>
        </w:rPr>
        <w:t xml:space="preserve"> </w:t>
      </w:r>
      <w:r w:rsidRPr="00950D73">
        <w:rPr>
          <w:rFonts w:asciiTheme="majorBidi" w:hAnsiTheme="majorBidi" w:cstheme="majorBidi"/>
          <w:i/>
          <w:iCs/>
          <w:lang w:val="fr-FR"/>
        </w:rPr>
        <w:t>la force probante des données</w:t>
      </w:r>
      <w:r w:rsidR="006C6C5F" w:rsidRPr="00950D73">
        <w:rPr>
          <w:rFonts w:asciiTheme="majorBidi" w:hAnsiTheme="majorBidi" w:cstheme="majorBidi"/>
          <w:i/>
          <w:iCs/>
          <w:lang w:val="fr-FR"/>
        </w:rPr>
        <w:t xml:space="preserve"> aux fins du classement des substances et des mélanges en ce qui concerne la sensibilisation cutanée</w:t>
      </w:r>
    </w:p>
    <w:p w14:paraId="1B24DAA3" w14:textId="77777777" w:rsidR="00B35CF5" w:rsidRPr="00950D73" w:rsidRDefault="00B35CF5" w:rsidP="00B35CF5">
      <w:pPr>
        <w:pStyle w:val="SingleTxtG"/>
        <w:ind w:left="2268"/>
        <w:rPr>
          <w:rFonts w:asciiTheme="majorBidi" w:hAnsiTheme="majorBidi" w:cstheme="majorBidi"/>
          <w:lang w:val="fr-FR"/>
        </w:rPr>
      </w:pPr>
      <w:r w:rsidRPr="00950D73">
        <w:rPr>
          <w:rFonts w:asciiTheme="majorBidi" w:hAnsiTheme="majorBidi" w:cstheme="majorBidi"/>
          <w:lang w:val="fr-FR"/>
        </w:rPr>
        <w:t>3.4.5.3.7.1</w:t>
      </w:r>
      <w:r w:rsidRPr="00950D73">
        <w:rPr>
          <w:rFonts w:asciiTheme="majorBidi" w:hAnsiTheme="majorBidi" w:cstheme="majorBidi"/>
          <w:lang w:val="fr-FR"/>
        </w:rPr>
        <w:tab/>
        <w:t xml:space="preserve">Il peut arriver que les résultats de méthodes fondées ou non sur des essais soient disponibles mais divergent en ce qui concerne le classement. Dans ces situations, la démarche séquentielle appliquée au classement en ce qui concerne la sensibilisation cutanée nécessite une évaluation fondée sur la force probante des données conformément aux principes énoncés dans les sections 1.3.2.4.2 et 1.3.2.4.9 sur la qualité des données d’essai et la force probante des données, respectivement. En outre, on trouvera ci-dessous des orientations spéciales pour les évaluations fondées sur la force probante des données dans le cas de la sensibilisation cutanée. Ces orientations peuvent être suivies lorsque les principes généraux ne permettent pas d’aboutir à une conclusion sur le classement. Il convient de noter que les résultats obtenus chez l’homme et l’animal pour une substance à de faibles concentrations peuvent malgré tout être instructifs pour le classement d’un </w:t>
      </w:r>
      <w:r w:rsidRPr="00950D73">
        <w:rPr>
          <w:rFonts w:asciiTheme="majorBidi" w:hAnsiTheme="majorBidi" w:cstheme="majorBidi"/>
          <w:lang w:val="fr-FR"/>
        </w:rPr>
        <w:lastRenderedPageBreak/>
        <w:t>mélange contenant cette substance à des concentrations similaires ou inférieures.</w:t>
      </w:r>
    </w:p>
    <w:p w14:paraId="6FE45DC7" w14:textId="05720055" w:rsidR="00B35CF5" w:rsidRPr="00950D73" w:rsidRDefault="00B35CF5" w:rsidP="00B35CF5">
      <w:pPr>
        <w:pStyle w:val="SingleTxtG"/>
        <w:ind w:left="2268"/>
        <w:rPr>
          <w:rFonts w:asciiTheme="majorBidi" w:hAnsiTheme="majorBidi" w:cstheme="majorBidi"/>
          <w:lang w:val="fr-FR"/>
        </w:rPr>
      </w:pPr>
      <w:r w:rsidRPr="00950D73">
        <w:rPr>
          <w:rFonts w:asciiTheme="majorBidi" w:hAnsiTheme="majorBidi" w:cstheme="majorBidi"/>
          <w:lang w:val="fr-FR"/>
        </w:rPr>
        <w:t>3.4.5.3.7.2</w:t>
      </w:r>
      <w:r w:rsidRPr="00950D73">
        <w:rPr>
          <w:rFonts w:asciiTheme="majorBidi" w:hAnsiTheme="majorBidi" w:cstheme="majorBidi"/>
          <w:lang w:val="fr-FR"/>
        </w:rPr>
        <w:tab/>
        <w:t>Compatibilité mutuelle des résultats d’études</w:t>
      </w:r>
    </w:p>
    <w:p w14:paraId="26EE8ED6" w14:textId="5F79BDA9" w:rsidR="00B35CF5" w:rsidRPr="00950D73" w:rsidRDefault="00B35CF5" w:rsidP="00376996">
      <w:pPr>
        <w:pStyle w:val="SingleTxtG"/>
        <w:ind w:left="2268"/>
        <w:rPr>
          <w:rFonts w:asciiTheme="majorBidi" w:hAnsiTheme="majorBidi" w:cstheme="majorBidi"/>
          <w:lang w:val="fr-FR"/>
        </w:rPr>
      </w:pPr>
      <w:r w:rsidRPr="00950D73">
        <w:rPr>
          <w:rFonts w:asciiTheme="majorBidi" w:hAnsiTheme="majorBidi" w:cstheme="majorBidi"/>
          <w:lang w:val="fr-FR"/>
        </w:rPr>
        <w:t xml:space="preserve">3.4.5.3.7.2.1 </w:t>
      </w:r>
      <w:r w:rsidRPr="00950D73">
        <w:rPr>
          <w:rFonts w:asciiTheme="majorBidi" w:hAnsiTheme="majorBidi" w:cstheme="majorBidi"/>
          <w:lang w:val="fr-FR"/>
        </w:rPr>
        <w:tab/>
        <w:t>Dans les cas où les résultats se contredisent (par exemple, non classé par opposition à catégorie 1, sous-catégorie 1A ou 1B ; sous-catégorie</w:t>
      </w:r>
      <w:r w:rsidR="00376996" w:rsidRPr="00950D73">
        <w:rPr>
          <w:rFonts w:asciiTheme="majorBidi" w:hAnsiTheme="majorBidi" w:cstheme="majorBidi"/>
          <w:lang w:val="fr-FR"/>
        </w:rPr>
        <w:t> </w:t>
      </w:r>
      <w:r w:rsidRPr="00950D73">
        <w:rPr>
          <w:rFonts w:asciiTheme="majorBidi" w:hAnsiTheme="majorBidi" w:cstheme="majorBidi"/>
          <w:lang w:val="fr-FR"/>
        </w:rPr>
        <w:t xml:space="preserve">1A par opposition à </w:t>
      </w:r>
      <w:r w:rsidR="004C1849" w:rsidRPr="00950D73">
        <w:rPr>
          <w:rFonts w:asciiTheme="majorBidi" w:hAnsiTheme="majorBidi" w:cstheme="majorBidi"/>
          <w:lang w:val="fr-FR"/>
        </w:rPr>
        <w:t>sous-catégorie</w:t>
      </w:r>
      <w:r w:rsidRPr="00950D73">
        <w:rPr>
          <w:rFonts w:asciiTheme="majorBidi" w:hAnsiTheme="majorBidi" w:cstheme="majorBidi"/>
          <w:lang w:val="fr-FR"/>
        </w:rPr>
        <w:t xml:space="preserve"> 1B), une évaluation fondée sur la force probante des données devient nécessaire. Toutefois, on peut également se trouver face à des situations moins évidentes, par exemple lorsque certaines études suggèrent le non-classement de la substance ou son classement dans la sous-catégorie 1B, mais qu’il ne peut être exclu qu’un régime de dosage différent aurait donné lieu à un classement plus strict. Par exemple, un résultat HMT négatif à une dose par surface de peau de 100</w:t>
      </w:r>
      <w:r w:rsidR="008D33D4" w:rsidRPr="00950D73">
        <w:rPr>
          <w:rFonts w:asciiTheme="majorBidi" w:hAnsiTheme="majorBidi" w:cstheme="majorBidi"/>
          <w:lang w:val="fr-FR"/>
        </w:rPr>
        <w:t> </w:t>
      </w:r>
      <w:r w:rsidRPr="00950D73">
        <w:rPr>
          <w:rFonts w:asciiTheme="majorBidi" w:hAnsiTheme="majorBidi" w:cstheme="majorBidi"/>
          <w:lang w:val="fr-FR"/>
        </w:rPr>
        <w:t>µg/cm</w:t>
      </w:r>
      <w:r w:rsidRPr="00950D73">
        <w:rPr>
          <w:rFonts w:asciiTheme="majorBidi" w:hAnsiTheme="majorBidi" w:cstheme="majorBidi"/>
          <w:vertAlign w:val="superscript"/>
          <w:lang w:val="fr-FR"/>
        </w:rPr>
        <w:t>2</w:t>
      </w:r>
      <w:r w:rsidRPr="00950D73">
        <w:rPr>
          <w:rFonts w:asciiTheme="majorBidi" w:hAnsiTheme="majorBidi" w:cstheme="majorBidi"/>
          <w:lang w:val="fr-FR"/>
        </w:rPr>
        <w:t xml:space="preserve"> ne permet pas d’exclure qu’un résultat positif aurait pu être obtenu à, par exemple, 300</w:t>
      </w:r>
      <w:r w:rsidR="008D33D4" w:rsidRPr="00950D73">
        <w:rPr>
          <w:rFonts w:asciiTheme="majorBidi" w:hAnsiTheme="majorBidi" w:cstheme="majorBidi"/>
          <w:lang w:val="fr-FR"/>
        </w:rPr>
        <w:t> </w:t>
      </w:r>
      <w:r w:rsidRPr="00950D73">
        <w:rPr>
          <w:rFonts w:asciiTheme="majorBidi" w:hAnsiTheme="majorBidi" w:cstheme="majorBidi"/>
          <w:lang w:val="fr-FR"/>
        </w:rPr>
        <w:t>µg/cm</w:t>
      </w:r>
      <w:r w:rsidRPr="00950D73">
        <w:rPr>
          <w:rFonts w:asciiTheme="majorBidi" w:hAnsiTheme="majorBidi" w:cstheme="majorBidi"/>
          <w:vertAlign w:val="superscript"/>
          <w:lang w:val="fr-FR"/>
        </w:rPr>
        <w:t>2</w:t>
      </w:r>
      <w:r w:rsidRPr="00950D73">
        <w:rPr>
          <w:rFonts w:asciiTheme="majorBidi" w:hAnsiTheme="majorBidi" w:cstheme="majorBidi"/>
          <w:lang w:val="fr-FR"/>
        </w:rPr>
        <w:t xml:space="preserve"> (sous-catégorie 1A) ou 700</w:t>
      </w:r>
      <w:r w:rsidR="008D33D4" w:rsidRPr="00950D73">
        <w:rPr>
          <w:rFonts w:asciiTheme="majorBidi" w:hAnsiTheme="majorBidi" w:cstheme="majorBidi"/>
          <w:lang w:val="fr-FR"/>
        </w:rPr>
        <w:t> </w:t>
      </w:r>
      <w:r w:rsidRPr="00950D73">
        <w:rPr>
          <w:rFonts w:asciiTheme="majorBidi" w:hAnsiTheme="majorBidi" w:cstheme="majorBidi"/>
          <w:lang w:val="fr-FR"/>
        </w:rPr>
        <w:t>µg/cm</w:t>
      </w:r>
      <w:r w:rsidRPr="00950D73">
        <w:rPr>
          <w:rFonts w:asciiTheme="majorBidi" w:hAnsiTheme="majorBidi" w:cstheme="majorBidi"/>
          <w:vertAlign w:val="superscript"/>
          <w:lang w:val="fr-FR"/>
        </w:rPr>
        <w:t>2</w:t>
      </w:r>
      <w:r w:rsidRPr="00950D73">
        <w:rPr>
          <w:rFonts w:asciiTheme="majorBidi" w:hAnsiTheme="majorBidi" w:cstheme="majorBidi"/>
          <w:lang w:val="fr-FR"/>
        </w:rPr>
        <w:t xml:space="preserve"> (</w:t>
      </w:r>
      <w:r w:rsidR="004C1849" w:rsidRPr="00950D73">
        <w:rPr>
          <w:rFonts w:asciiTheme="majorBidi" w:hAnsiTheme="majorBidi" w:cstheme="majorBidi"/>
          <w:lang w:val="fr-FR"/>
        </w:rPr>
        <w:t>sous-catégorie</w:t>
      </w:r>
      <w:r w:rsidRPr="00950D73">
        <w:rPr>
          <w:rFonts w:asciiTheme="majorBidi" w:hAnsiTheme="majorBidi" w:cstheme="majorBidi"/>
          <w:lang w:val="fr-FR"/>
        </w:rPr>
        <w:t xml:space="preserve"> 1B). Il en va de même pour les résultats ELGL obtenus à partir d’essais qui n’ont pas été réalisés en utilisant la concentration d’essai la plus élevée possible (voir la ligne directrice 429 de l’OCDE pour plus de détails).</w:t>
      </w:r>
    </w:p>
    <w:p w14:paraId="28EA5ED1" w14:textId="0F5AA199" w:rsidR="00B35CF5" w:rsidRPr="00950D73" w:rsidRDefault="00B35CF5" w:rsidP="00B35CF5">
      <w:pPr>
        <w:pStyle w:val="SingleTxtG"/>
        <w:ind w:left="2268"/>
        <w:rPr>
          <w:rFonts w:asciiTheme="majorBidi" w:hAnsiTheme="majorBidi" w:cstheme="majorBidi"/>
          <w:lang w:val="fr-FR"/>
        </w:rPr>
      </w:pPr>
      <w:r w:rsidRPr="00950D73">
        <w:rPr>
          <w:rFonts w:asciiTheme="majorBidi" w:hAnsiTheme="majorBidi" w:cstheme="majorBidi"/>
          <w:lang w:val="fr-FR"/>
        </w:rPr>
        <w:t>3.4.5.3.7.2.2</w:t>
      </w:r>
      <w:r w:rsidRPr="00950D73">
        <w:rPr>
          <w:rFonts w:asciiTheme="majorBidi" w:hAnsiTheme="majorBidi" w:cstheme="majorBidi"/>
          <w:lang w:val="fr-FR"/>
        </w:rPr>
        <w:tab/>
        <w:t>Dans les cas ambigus suivants, les résultats d’étude obtenus pour les substances et mélanges ne seraient pas en désaccord avec un autre résultat indiquant un classement plus strict :</w:t>
      </w:r>
    </w:p>
    <w:p w14:paraId="42443ECF" w14:textId="77777777" w:rsidR="00B35CF5" w:rsidRPr="00950D73" w:rsidRDefault="00B35CF5" w:rsidP="00F51A90">
      <w:pPr>
        <w:pStyle w:val="SingleTxtG"/>
        <w:tabs>
          <w:tab w:val="clear" w:pos="2268"/>
        </w:tabs>
        <w:ind w:left="2835" w:hanging="567"/>
        <w:rPr>
          <w:rFonts w:asciiTheme="majorBidi" w:hAnsiTheme="majorBidi" w:cstheme="majorBidi"/>
          <w:lang w:val="fr-FR"/>
        </w:rPr>
      </w:pPr>
      <w:r w:rsidRPr="00950D73">
        <w:rPr>
          <w:rFonts w:asciiTheme="majorBidi" w:hAnsiTheme="majorBidi" w:cstheme="majorBidi"/>
          <w:lang w:val="fr-FR"/>
        </w:rPr>
        <w:t>a)</w:t>
      </w:r>
      <w:r w:rsidRPr="00950D73">
        <w:rPr>
          <w:rFonts w:asciiTheme="majorBidi" w:hAnsiTheme="majorBidi" w:cstheme="majorBidi"/>
          <w:lang w:val="fr-FR"/>
        </w:rPr>
        <w:tab/>
        <w:t xml:space="preserve">Un résultat de non-classement obtenu à une concentration d’essai inférieure n’exclut pas la possibilité d’un classement dans la sous-catégorie 1B à une concentration d’essai supérieure. Par conséquent, un résultat de non-classement obtenu à une faible concentration est compatible avec d’autres résultats de non-classement, ou avec un résultat indiquant un classement dans la catégorie 1 et la sous-catégorie 1B, </w:t>
      </w:r>
      <w:r w:rsidRPr="00950D73">
        <w:rPr>
          <w:rFonts w:asciiTheme="majorBidi" w:hAnsiTheme="majorBidi" w:cstheme="majorBidi"/>
          <w:lang w:val="fr-FR"/>
        </w:rPr>
        <w:lastRenderedPageBreak/>
        <w:t>à la suite d’essais réalisés à des concentrations plus élevées ;</w:t>
      </w:r>
    </w:p>
    <w:p w14:paraId="4F2A5E98" w14:textId="77777777" w:rsidR="00B35CF5" w:rsidRPr="00950D73" w:rsidRDefault="00B35CF5" w:rsidP="00F51A90">
      <w:pPr>
        <w:pStyle w:val="SingleTxtG"/>
        <w:tabs>
          <w:tab w:val="clear" w:pos="2268"/>
        </w:tabs>
        <w:ind w:left="2835" w:hanging="567"/>
        <w:rPr>
          <w:rFonts w:asciiTheme="majorBidi" w:hAnsiTheme="majorBidi" w:cstheme="majorBidi"/>
          <w:lang w:val="fr-FR"/>
        </w:rPr>
      </w:pPr>
      <w:r w:rsidRPr="00950D73">
        <w:rPr>
          <w:rFonts w:asciiTheme="majorBidi" w:hAnsiTheme="majorBidi" w:cstheme="majorBidi"/>
          <w:lang w:val="fr-FR"/>
        </w:rPr>
        <w:t>b)</w:t>
      </w:r>
      <w:r w:rsidRPr="00950D73">
        <w:rPr>
          <w:rFonts w:asciiTheme="majorBidi" w:hAnsiTheme="majorBidi" w:cstheme="majorBidi"/>
          <w:lang w:val="fr-FR"/>
        </w:rPr>
        <w:tab/>
        <w:t>Un résultat de non-classement à une concentration d’essai très faible n’exclut même pas un éventuel classement dans la sous-catégorie 1A résultant d’un essai à une concentration plus élevée. Par conséquent, un résultat de non-classement obtenu à une concentration d’essai très faible est compatible avec tous les résultats de classement possibles (c’est-à-dire non classé, catégorie 1, sous-catégorie 1A ou 1B) obtenus à des concentrations d’essai plus élevées ;</w:t>
      </w:r>
    </w:p>
    <w:p w14:paraId="277BCD6E" w14:textId="55578970" w:rsidR="00B35CF5" w:rsidRPr="00950D73" w:rsidRDefault="00B35CF5" w:rsidP="00F51A90">
      <w:pPr>
        <w:pStyle w:val="SingleTxtG"/>
        <w:tabs>
          <w:tab w:val="clear" w:pos="2268"/>
        </w:tabs>
        <w:ind w:left="2835" w:hanging="567"/>
        <w:rPr>
          <w:rFonts w:asciiTheme="majorBidi" w:hAnsiTheme="majorBidi" w:cstheme="majorBidi"/>
          <w:lang w:val="fr-FR"/>
        </w:rPr>
      </w:pPr>
      <w:r w:rsidRPr="00950D73">
        <w:rPr>
          <w:rFonts w:asciiTheme="majorBidi" w:hAnsiTheme="majorBidi" w:cstheme="majorBidi"/>
          <w:lang w:val="fr-FR"/>
        </w:rPr>
        <w:t>c)</w:t>
      </w:r>
      <w:r w:rsidRPr="00950D73">
        <w:rPr>
          <w:rFonts w:asciiTheme="majorBidi" w:hAnsiTheme="majorBidi" w:cstheme="majorBidi"/>
          <w:lang w:val="fr-FR"/>
        </w:rPr>
        <w:tab/>
        <w:t xml:space="preserve">Un résultat indiquant un classement dans la sous-catégorie 1B à une concentration d’essai supérieure n’exclut pas un résultat indiquant un classement dans la sous-catégorie 1A à une concentration inférieure. Par conséquent, un classement dans la </w:t>
      </w:r>
      <w:r w:rsidR="009C736C" w:rsidRPr="00950D73">
        <w:rPr>
          <w:rFonts w:asciiTheme="majorBidi" w:hAnsiTheme="majorBidi" w:cstheme="majorBidi"/>
          <w:lang w:val="fr-FR"/>
        </w:rPr>
        <w:t>sous-</w:t>
      </w:r>
      <w:r w:rsidRPr="00950D73">
        <w:rPr>
          <w:rFonts w:asciiTheme="majorBidi" w:hAnsiTheme="majorBidi" w:cstheme="majorBidi"/>
          <w:lang w:val="fr-FR"/>
        </w:rPr>
        <w:t>catégorie 1B à une concentration d’essai élevée est compatible avec d’autres résultats indiquant un classement dans la sous-catégorie 1B, voire dans la sous-catégorie 1A, obtenus à des concentrations d’essai plus faibles.</w:t>
      </w:r>
    </w:p>
    <w:p w14:paraId="5384B121" w14:textId="52ABF532" w:rsidR="00B35CF5" w:rsidRPr="00950D73" w:rsidRDefault="00B35CF5" w:rsidP="00B35CF5">
      <w:pPr>
        <w:pStyle w:val="SingleTxtG"/>
        <w:ind w:left="2268"/>
        <w:rPr>
          <w:rFonts w:asciiTheme="majorBidi" w:hAnsiTheme="majorBidi" w:cstheme="majorBidi"/>
          <w:lang w:val="fr-FR"/>
        </w:rPr>
      </w:pPr>
      <w:r w:rsidRPr="00950D73">
        <w:rPr>
          <w:rFonts w:asciiTheme="majorBidi" w:hAnsiTheme="majorBidi" w:cstheme="majorBidi"/>
          <w:lang w:val="fr-FR"/>
        </w:rPr>
        <w:t>3.4.5.3.7.2.3</w:t>
      </w:r>
      <w:r w:rsidRPr="00950D73">
        <w:rPr>
          <w:rFonts w:asciiTheme="majorBidi" w:hAnsiTheme="majorBidi" w:cstheme="majorBidi"/>
          <w:lang w:val="fr-FR"/>
        </w:rPr>
        <w:tab/>
        <w:t xml:space="preserve">Si au moins un résultat d’étude non ambigu permet la sous-catégorisation d’une substance ou d’un mélange et que tous les autres résultats d’étude ne sont pas incompatibles avec cette décision (voir ci-dessus), alors la substance ou le mélange peut être classé(e) dans une sous-catégorie. Par exemple, si tous les résultats indiquent un classement dans la même sous-catégorie (c’est-à-dire la sous-catégorie 1A ou 1B), ou si au moins une étude permet la sous-catégorisation (c’est-à-dire le classement dans la sous-catégorie 1A ou 1B) et que toutes les autres études donnent lieu à un classement dans la catégorie 1 sans sous-catégorisation, alors la substance ou le mélange peut être classé(e) dans la </w:t>
      </w:r>
      <w:r w:rsidR="009C736C" w:rsidRPr="00950D73">
        <w:rPr>
          <w:rFonts w:asciiTheme="majorBidi" w:hAnsiTheme="majorBidi" w:cstheme="majorBidi"/>
          <w:lang w:val="fr-FR"/>
        </w:rPr>
        <w:t>sous-catégorie</w:t>
      </w:r>
      <w:r w:rsidRPr="00950D73">
        <w:rPr>
          <w:rFonts w:asciiTheme="majorBidi" w:hAnsiTheme="majorBidi" w:cstheme="majorBidi"/>
          <w:lang w:val="fr-FR"/>
        </w:rPr>
        <w:t xml:space="preserve"> concernée.</w:t>
      </w:r>
    </w:p>
    <w:p w14:paraId="248C135C" w14:textId="48970DEA" w:rsidR="00B35CF5" w:rsidRPr="00950D73" w:rsidRDefault="00B35CF5" w:rsidP="00B35CF5">
      <w:pPr>
        <w:pStyle w:val="SingleTxtG"/>
        <w:ind w:left="2268"/>
        <w:rPr>
          <w:rFonts w:asciiTheme="majorBidi" w:hAnsiTheme="majorBidi" w:cstheme="majorBidi"/>
          <w:lang w:val="fr-FR"/>
        </w:rPr>
      </w:pPr>
      <w:r w:rsidRPr="00950D73">
        <w:rPr>
          <w:rFonts w:asciiTheme="majorBidi" w:hAnsiTheme="majorBidi" w:cstheme="majorBidi"/>
          <w:lang w:val="fr-FR"/>
        </w:rPr>
        <w:lastRenderedPageBreak/>
        <w:t>3.4.5.3.7.3</w:t>
      </w:r>
      <w:r w:rsidRPr="00950D73">
        <w:rPr>
          <w:rFonts w:asciiTheme="majorBidi" w:hAnsiTheme="majorBidi" w:cstheme="majorBidi"/>
          <w:lang w:val="fr-FR"/>
        </w:rPr>
        <w:tab/>
        <w:t>Considérations relatives à la force probante des données dans l’optique de l’attribution d’un poids plus élevé à un résultat d’étude particulier</w:t>
      </w:r>
    </w:p>
    <w:p w14:paraId="2CCF7821" w14:textId="17BB142D" w:rsidR="00B35CF5" w:rsidRPr="00950D73" w:rsidRDefault="00B35CF5" w:rsidP="00B35CF5">
      <w:pPr>
        <w:pStyle w:val="SingleTxtG"/>
        <w:ind w:left="2268"/>
        <w:rPr>
          <w:rFonts w:asciiTheme="majorBidi" w:hAnsiTheme="majorBidi" w:cstheme="majorBidi"/>
          <w:lang w:val="fr-FR"/>
        </w:rPr>
      </w:pPr>
      <w:r w:rsidRPr="00950D73">
        <w:rPr>
          <w:rFonts w:asciiTheme="majorBidi" w:hAnsiTheme="majorBidi" w:cstheme="majorBidi"/>
          <w:lang w:val="fr-FR"/>
        </w:rPr>
        <w:t>3.4.5.3.7.3.1</w:t>
      </w:r>
      <w:r w:rsidRPr="00950D73">
        <w:rPr>
          <w:rFonts w:asciiTheme="majorBidi" w:hAnsiTheme="majorBidi" w:cstheme="majorBidi"/>
          <w:lang w:val="fr-FR"/>
        </w:rPr>
        <w:tab/>
        <w:t>Les organismes de classement ou les autorités compétentes peuvent adopter différentes approches pour évaluer les résultats des études, en fonction du niveau de jugement d’expert (voir 1.3.2.4.8) requis pour effectuer une évaluation fondée sur la force probante des données. Les autorités compétentes peuvent préciser l’approche qu’elles privilégient dans leurs propres documents d’orientation. Par exemple :</w:t>
      </w:r>
    </w:p>
    <w:p w14:paraId="2E405D4F" w14:textId="77777777" w:rsidR="00B35CF5" w:rsidRPr="00950D73" w:rsidRDefault="00B35CF5" w:rsidP="00F51A90">
      <w:pPr>
        <w:pStyle w:val="SingleTxtG"/>
        <w:tabs>
          <w:tab w:val="clear" w:pos="2268"/>
        </w:tabs>
        <w:ind w:left="2835" w:hanging="567"/>
        <w:rPr>
          <w:rFonts w:asciiTheme="majorBidi" w:hAnsiTheme="majorBidi" w:cstheme="majorBidi"/>
          <w:lang w:val="fr-FR"/>
        </w:rPr>
      </w:pPr>
      <w:r w:rsidRPr="00950D73">
        <w:rPr>
          <w:rFonts w:asciiTheme="majorBidi" w:hAnsiTheme="majorBidi" w:cstheme="majorBidi"/>
          <w:lang w:val="fr-FR"/>
        </w:rPr>
        <w:t>a)</w:t>
      </w:r>
      <w:r w:rsidRPr="00950D73">
        <w:rPr>
          <w:rFonts w:asciiTheme="majorBidi" w:hAnsiTheme="majorBidi" w:cstheme="majorBidi"/>
          <w:lang w:val="fr-FR"/>
        </w:rPr>
        <w:tab/>
        <w:t>Adopter une approche de précaution, en donnant plus de poids aux études aboutissant au classement le plus strict ;</w:t>
      </w:r>
    </w:p>
    <w:p w14:paraId="764878F0" w14:textId="77777777" w:rsidR="00B35CF5" w:rsidRPr="00950D73" w:rsidRDefault="00B35CF5" w:rsidP="00F51A90">
      <w:pPr>
        <w:pStyle w:val="SingleTxtG"/>
        <w:tabs>
          <w:tab w:val="clear" w:pos="2268"/>
        </w:tabs>
        <w:ind w:left="2835" w:hanging="567"/>
        <w:rPr>
          <w:rFonts w:asciiTheme="majorBidi" w:hAnsiTheme="majorBidi" w:cstheme="majorBidi"/>
          <w:lang w:val="fr-FR"/>
        </w:rPr>
      </w:pPr>
      <w:r w:rsidRPr="00950D73">
        <w:rPr>
          <w:rFonts w:asciiTheme="majorBidi" w:hAnsiTheme="majorBidi" w:cstheme="majorBidi"/>
          <w:lang w:val="fr-FR"/>
        </w:rPr>
        <w:t>b)</w:t>
      </w:r>
      <w:r w:rsidRPr="00950D73">
        <w:rPr>
          <w:rFonts w:asciiTheme="majorBidi" w:hAnsiTheme="majorBidi" w:cstheme="majorBidi"/>
          <w:lang w:val="fr-FR"/>
        </w:rPr>
        <w:tab/>
        <w:t>Accorder davantage de poids aux données obtenues sur l’homme qu’aux données obtenues sur les animaux ou sans essais ;</w:t>
      </w:r>
    </w:p>
    <w:p w14:paraId="555475D7" w14:textId="77777777" w:rsidR="00B35CF5" w:rsidRPr="00950D73" w:rsidRDefault="00B35CF5" w:rsidP="00F51A90">
      <w:pPr>
        <w:pStyle w:val="SingleTxtG"/>
        <w:tabs>
          <w:tab w:val="clear" w:pos="2268"/>
        </w:tabs>
        <w:ind w:left="2835" w:hanging="567"/>
        <w:rPr>
          <w:rFonts w:asciiTheme="majorBidi" w:hAnsiTheme="majorBidi" w:cstheme="majorBidi"/>
          <w:lang w:val="fr-FR"/>
        </w:rPr>
      </w:pPr>
      <w:r w:rsidRPr="00950D73">
        <w:rPr>
          <w:rFonts w:asciiTheme="majorBidi" w:hAnsiTheme="majorBidi" w:cstheme="majorBidi"/>
          <w:lang w:val="fr-FR"/>
        </w:rPr>
        <w:t>c)</w:t>
      </w:r>
      <w:r w:rsidRPr="00950D73">
        <w:rPr>
          <w:rFonts w:asciiTheme="majorBidi" w:hAnsiTheme="majorBidi" w:cstheme="majorBidi"/>
          <w:lang w:val="fr-FR"/>
        </w:rPr>
        <w:tab/>
        <w:t xml:space="preserve">Accorder davantage de poids à certaines données obtenues sur les animaux (par exemple, les données ELGL) qu’à d’autres données obtenues sur les animaux (par exemple, les données issues du test de </w:t>
      </w:r>
      <w:proofErr w:type="spellStart"/>
      <w:r w:rsidRPr="00950D73">
        <w:rPr>
          <w:rFonts w:asciiTheme="majorBidi" w:hAnsiTheme="majorBidi" w:cstheme="majorBidi"/>
          <w:lang w:val="fr-FR"/>
        </w:rPr>
        <w:t>Buehler</w:t>
      </w:r>
      <w:proofErr w:type="spellEnd"/>
      <w:r w:rsidRPr="00950D73">
        <w:rPr>
          <w:rFonts w:asciiTheme="majorBidi" w:hAnsiTheme="majorBidi" w:cstheme="majorBidi"/>
          <w:lang w:val="fr-FR"/>
        </w:rPr>
        <w:t>).</w:t>
      </w:r>
    </w:p>
    <w:p w14:paraId="24398D41" w14:textId="00080D2F" w:rsidR="00B35CF5" w:rsidRPr="00950D73" w:rsidRDefault="00B35CF5" w:rsidP="00B35CF5">
      <w:pPr>
        <w:pStyle w:val="SingleTxtG"/>
        <w:ind w:left="2268"/>
        <w:rPr>
          <w:rFonts w:asciiTheme="majorBidi" w:hAnsiTheme="majorBidi" w:cstheme="majorBidi"/>
          <w:lang w:val="fr-FR"/>
        </w:rPr>
      </w:pPr>
      <w:r w:rsidRPr="00950D73">
        <w:rPr>
          <w:rFonts w:asciiTheme="majorBidi" w:hAnsiTheme="majorBidi" w:cstheme="majorBidi"/>
          <w:lang w:val="fr-FR"/>
        </w:rPr>
        <w:t>3.4.5.3.7.3.2</w:t>
      </w:r>
      <w:r w:rsidRPr="00950D73">
        <w:rPr>
          <w:rFonts w:asciiTheme="majorBidi" w:hAnsiTheme="majorBidi" w:cstheme="majorBidi"/>
          <w:lang w:val="fr-FR"/>
        </w:rPr>
        <w:tab/>
        <w:t>Souvent, plusieurs résultats (de même type ou de type différent) doivent être pris en compte dans l’évaluation de la force probante des données. Il n’y a pas de règles généralement reconnues pour cette situation ; cependant, différentes solutions sont possibles pour intégrer plusieurs résultats du même type, par exemple :</w:t>
      </w:r>
    </w:p>
    <w:p w14:paraId="4EECA96A" w14:textId="77777777" w:rsidR="00B35CF5" w:rsidRPr="00950D73" w:rsidRDefault="00B35CF5" w:rsidP="00F51A90">
      <w:pPr>
        <w:pStyle w:val="SingleTxtG"/>
        <w:tabs>
          <w:tab w:val="clear" w:pos="2268"/>
        </w:tabs>
        <w:ind w:left="2835" w:hanging="567"/>
        <w:rPr>
          <w:rFonts w:asciiTheme="majorBidi" w:hAnsiTheme="majorBidi" w:cstheme="majorBidi"/>
          <w:lang w:val="fr-FR"/>
        </w:rPr>
      </w:pPr>
      <w:r w:rsidRPr="00950D73">
        <w:rPr>
          <w:rFonts w:asciiTheme="majorBidi" w:hAnsiTheme="majorBidi" w:cstheme="majorBidi"/>
          <w:lang w:val="fr-FR"/>
        </w:rPr>
        <w:t>a)</w:t>
      </w:r>
      <w:r w:rsidRPr="00950D73">
        <w:rPr>
          <w:rFonts w:asciiTheme="majorBidi" w:hAnsiTheme="majorBidi" w:cstheme="majorBidi"/>
          <w:lang w:val="fr-FR"/>
        </w:rPr>
        <w:tab/>
        <w:t xml:space="preserve">Adopter une approche de précaution selon laquelle le résultat de classement le plus strict de toutes les études de qualité suffisante est choisi comme résultat de classement final ; </w:t>
      </w:r>
    </w:p>
    <w:p w14:paraId="65C073A8" w14:textId="77777777" w:rsidR="00F51A90" w:rsidRPr="00950D73" w:rsidRDefault="00B35CF5" w:rsidP="00F51A90">
      <w:pPr>
        <w:pStyle w:val="SingleTxtG"/>
        <w:ind w:left="2835" w:hanging="567"/>
        <w:rPr>
          <w:rFonts w:asciiTheme="majorBidi" w:hAnsiTheme="majorBidi" w:cstheme="majorBidi"/>
          <w:lang w:val="fr-FR"/>
        </w:rPr>
      </w:pPr>
      <w:r w:rsidRPr="00950D73">
        <w:rPr>
          <w:rFonts w:asciiTheme="majorBidi" w:hAnsiTheme="majorBidi" w:cstheme="majorBidi"/>
          <w:lang w:val="fr-FR"/>
        </w:rPr>
        <w:t>b)</w:t>
      </w:r>
      <w:r w:rsidRPr="00950D73">
        <w:rPr>
          <w:rFonts w:asciiTheme="majorBidi" w:hAnsiTheme="majorBidi" w:cstheme="majorBidi"/>
          <w:lang w:val="fr-FR"/>
        </w:rPr>
        <w:tab/>
        <w:t xml:space="preserve">Calculer la moyenne des descripteurs de dose obtenus (par exemple, les valeurs CE3 de l’ELGL) ou des résultats de classement </w:t>
      </w:r>
      <w:r w:rsidRPr="00950D73">
        <w:rPr>
          <w:rFonts w:asciiTheme="majorBidi" w:hAnsiTheme="majorBidi" w:cstheme="majorBidi"/>
          <w:lang w:val="fr-FR"/>
        </w:rPr>
        <w:lastRenderedPageBreak/>
        <w:t xml:space="preserve">(non-classement, catégorie, 1, 1A, 1B). Ces approches sont examinées en détail dans l’annexe 3 (sur les données ELGL) et l’annexe 4 (sur les données HMT/HRIPT) de la série sur les essais et évaluations </w:t>
      </w:r>
      <w:r w:rsidR="00CD0AAE" w:rsidRPr="00950D73">
        <w:rPr>
          <w:rFonts w:asciiTheme="majorBidi" w:hAnsiTheme="majorBidi" w:cstheme="majorBidi"/>
          <w:lang w:val="fr-FR"/>
        </w:rPr>
        <w:t>No.</w:t>
      </w:r>
      <w:r w:rsidRPr="00950D73">
        <w:rPr>
          <w:rFonts w:asciiTheme="majorBidi" w:hAnsiTheme="majorBidi" w:cstheme="majorBidi"/>
          <w:lang w:val="fr-FR"/>
        </w:rPr>
        <w:t xml:space="preserve"> 336 de l’OCDE (document d’appui à la ligne directrice 497 de l’OCDE).</w:t>
      </w:r>
    </w:p>
    <w:p w14:paraId="1FACF8A6" w14:textId="77777777" w:rsidR="00917000" w:rsidRPr="00950D73" w:rsidRDefault="00917000" w:rsidP="0084064C">
      <w:pPr>
        <w:pStyle w:val="SingleTxtG"/>
        <w:rPr>
          <w:rFonts w:asciiTheme="majorBidi" w:hAnsiTheme="majorBidi" w:cstheme="majorBidi"/>
          <w:lang w:val="fr-FR"/>
        </w:rPr>
      </w:pPr>
    </w:p>
    <w:p w14:paraId="5379F4DD" w14:textId="77777777" w:rsidR="00917000" w:rsidRPr="00950D73" w:rsidRDefault="00917000" w:rsidP="0084064C">
      <w:pPr>
        <w:pStyle w:val="SingleTxtG"/>
        <w:rPr>
          <w:rFonts w:asciiTheme="majorBidi" w:hAnsiTheme="majorBidi" w:cstheme="majorBidi"/>
          <w:i/>
          <w:iCs/>
        </w:rPr>
        <w:sectPr w:rsidR="00917000" w:rsidRPr="00950D73" w:rsidSect="00E871C6">
          <w:headerReference w:type="even" r:id="rId43"/>
          <w:headerReference w:type="default" r:id="rId44"/>
          <w:footerReference w:type="even" r:id="rId45"/>
          <w:footerReference w:type="default" r:id="rId46"/>
          <w:endnotePr>
            <w:numFmt w:val="decimal"/>
          </w:endnotePr>
          <w:pgSz w:w="11906" w:h="16838" w:code="9"/>
          <w:pgMar w:top="1417" w:right="1134" w:bottom="1134" w:left="1134" w:header="850" w:footer="567" w:gutter="0"/>
          <w:cols w:space="708"/>
          <w:docGrid w:linePitch="360"/>
        </w:sectPr>
      </w:pPr>
    </w:p>
    <w:p w14:paraId="4B23426F" w14:textId="57CEF339" w:rsidR="001E1F03" w:rsidRPr="00950D73" w:rsidRDefault="001E1F03">
      <w:pPr>
        <w:rPr>
          <w:rFonts w:asciiTheme="majorBidi" w:hAnsiTheme="majorBidi" w:cstheme="majorBidi"/>
          <w:i/>
          <w:iCs/>
        </w:rPr>
      </w:pPr>
    </w:p>
    <w:p w14:paraId="152C177A" w14:textId="3645D998" w:rsidR="00560CB5" w:rsidRPr="00950D73" w:rsidRDefault="00560CB5" w:rsidP="00B51B80">
      <w:pPr>
        <w:pStyle w:val="SingleTxtG"/>
        <w:ind w:left="2268" w:hanging="1134"/>
        <w:jc w:val="center"/>
        <w:rPr>
          <w:rFonts w:asciiTheme="majorBidi" w:hAnsiTheme="majorBidi" w:cstheme="majorBidi"/>
          <w:b/>
          <w:lang w:val="fr-FR"/>
        </w:rPr>
      </w:pPr>
      <w:r w:rsidRPr="00950D73">
        <w:rPr>
          <w:rFonts w:asciiTheme="majorBidi" w:hAnsiTheme="majorBidi" w:cstheme="majorBidi"/>
          <w:b/>
          <w:lang w:val="fr-FR"/>
        </w:rPr>
        <w:t>Tableau 3.4.</w:t>
      </w:r>
      <w:r w:rsidR="00293674" w:rsidRPr="00950D73">
        <w:rPr>
          <w:rFonts w:asciiTheme="majorBidi" w:hAnsiTheme="majorBidi" w:cstheme="majorBidi"/>
          <w:b/>
          <w:lang w:val="fr-FR"/>
        </w:rPr>
        <w:t>7</w:t>
      </w:r>
      <w:r w:rsidR="006674DF" w:rsidRPr="00950D73">
        <w:rPr>
          <w:rFonts w:asciiTheme="majorBidi" w:hAnsiTheme="majorBidi" w:cstheme="majorBidi"/>
          <w:b/>
          <w:lang w:val="fr-FR"/>
        </w:rPr>
        <w:t xml:space="preserve"> : </w:t>
      </w:r>
      <w:r w:rsidRPr="00950D73">
        <w:rPr>
          <w:rFonts w:asciiTheme="majorBidi" w:hAnsiTheme="majorBidi" w:cstheme="majorBidi"/>
          <w:b/>
          <w:lang w:val="fr-FR"/>
        </w:rPr>
        <w:t>Critères pour les méthodes définies</w:t>
      </w:r>
    </w:p>
    <w:tbl>
      <w:tblPr>
        <w:tblW w:w="1377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7"/>
        <w:gridCol w:w="6421"/>
        <w:gridCol w:w="6200"/>
      </w:tblGrid>
      <w:tr w:rsidR="00560CB5" w:rsidRPr="00950D73" w14:paraId="282E0E6F" w14:textId="77777777" w:rsidTr="009B2983">
        <w:trPr>
          <w:trHeight w:val="718"/>
        </w:trPr>
        <w:tc>
          <w:tcPr>
            <w:tcW w:w="1157"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578D62EF" w14:textId="77777777" w:rsidR="00560CB5" w:rsidRPr="00950D73" w:rsidRDefault="00560CB5" w:rsidP="00DC619C">
            <w:pPr>
              <w:spacing w:before="60" w:after="60" w:line="240" w:lineRule="auto"/>
              <w:ind w:left="57" w:right="57"/>
              <w:contextualSpacing/>
              <w:rPr>
                <w:rFonts w:asciiTheme="majorBidi" w:hAnsiTheme="majorBidi" w:cstheme="majorBidi"/>
                <w:b/>
                <w:sz w:val="18"/>
                <w:szCs w:val="18"/>
              </w:rPr>
            </w:pPr>
            <w:r w:rsidRPr="00950D73">
              <w:rPr>
                <w:rFonts w:asciiTheme="majorBidi" w:hAnsiTheme="majorBidi" w:cstheme="majorBidi"/>
                <w:b/>
                <w:sz w:val="18"/>
                <w:szCs w:val="18"/>
              </w:rPr>
              <w:t>Catégorie</w:t>
            </w:r>
          </w:p>
        </w:tc>
        <w:tc>
          <w:tcPr>
            <w:tcW w:w="64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6194CD4" w14:textId="77777777" w:rsidR="00560CB5" w:rsidRPr="00950D73" w:rsidRDefault="00560CB5" w:rsidP="00DC619C">
            <w:pPr>
              <w:spacing w:before="60" w:after="60" w:line="240" w:lineRule="auto"/>
              <w:ind w:left="57" w:right="57"/>
              <w:jc w:val="center"/>
              <w:rPr>
                <w:rFonts w:asciiTheme="majorBidi" w:hAnsiTheme="majorBidi" w:cstheme="majorBidi"/>
                <w:b/>
                <w:sz w:val="18"/>
                <w:szCs w:val="18"/>
              </w:rPr>
            </w:pPr>
            <w:r w:rsidRPr="00950D73">
              <w:rPr>
                <w:rFonts w:asciiTheme="majorBidi" w:hAnsiTheme="majorBidi" w:cstheme="majorBidi"/>
                <w:b/>
                <w:sz w:val="18"/>
                <w:szCs w:val="18"/>
                <w:lang w:val="fr-FR"/>
              </w:rPr>
              <w:t xml:space="preserve">Ligne directrice 497 de l’OCDE sur les méthodes définies </w:t>
            </w:r>
            <w:r w:rsidRPr="00950D73">
              <w:rPr>
                <w:rFonts w:asciiTheme="majorBidi" w:hAnsiTheme="majorBidi" w:cstheme="majorBidi"/>
                <w:b/>
                <w:sz w:val="18"/>
                <w:szCs w:val="18"/>
                <w:lang w:val="fr-FR"/>
              </w:rPr>
              <w:br/>
              <w:t>en ce qui concerne la sensibilisation de la peau</w:t>
            </w:r>
            <w:r w:rsidRPr="00950D73">
              <w:rPr>
                <w:rFonts w:asciiTheme="majorBidi" w:hAnsiTheme="majorBidi" w:cstheme="majorBidi"/>
                <w:b/>
                <w:sz w:val="18"/>
                <w:szCs w:val="18"/>
                <w:lang w:val="fr-FR"/>
              </w:rPr>
              <w:br/>
              <w:t xml:space="preserve">Méthode </w:t>
            </w:r>
            <w:r w:rsidRPr="00950D73">
              <w:rPr>
                <w:rFonts w:asciiTheme="majorBidi" w:hAnsiTheme="majorBidi" w:cstheme="majorBidi"/>
                <w:b/>
                <w:sz w:val="18"/>
                <w:szCs w:val="18"/>
              </w:rPr>
              <w:t>définie « 2 sur 3 » (2o3)</w:t>
            </w:r>
          </w:p>
        </w:tc>
        <w:tc>
          <w:tcPr>
            <w:tcW w:w="6200" w:type="dxa"/>
            <w:tcBorders>
              <w:top w:val="single" w:sz="4" w:space="0" w:color="auto"/>
              <w:left w:val="single" w:sz="4" w:space="0" w:color="auto"/>
              <w:bottom w:val="single" w:sz="4" w:space="0" w:color="auto"/>
              <w:right w:val="single" w:sz="4" w:space="0" w:color="auto"/>
            </w:tcBorders>
          </w:tcPr>
          <w:p w14:paraId="73A55155" w14:textId="77777777" w:rsidR="00560CB5" w:rsidRPr="00950D73" w:rsidRDefault="00560CB5" w:rsidP="00DC619C">
            <w:pPr>
              <w:spacing w:before="60" w:after="6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 xml:space="preserve">Ligne directrice 497 de l’OCDE sur les méthodes définies </w:t>
            </w:r>
            <w:r w:rsidRPr="00950D73">
              <w:rPr>
                <w:rFonts w:asciiTheme="majorBidi" w:hAnsiTheme="majorBidi" w:cstheme="majorBidi"/>
                <w:b/>
                <w:sz w:val="18"/>
                <w:szCs w:val="18"/>
                <w:lang w:val="fr-FR"/>
              </w:rPr>
              <w:br/>
              <w:t>en ce qui concerne la sensibilisation de la peau</w:t>
            </w:r>
            <w:r w:rsidRPr="00950D73">
              <w:rPr>
                <w:rFonts w:asciiTheme="majorBidi" w:hAnsiTheme="majorBidi" w:cstheme="majorBidi"/>
                <w:b/>
                <w:sz w:val="18"/>
                <w:szCs w:val="18"/>
                <w:lang w:val="fr-FR"/>
              </w:rPr>
              <w:br/>
              <w:t xml:space="preserve">Méthode définie de stratégie d’essai intégrée ITSv1 </w:t>
            </w:r>
            <w:r w:rsidRPr="00950D73">
              <w:rPr>
                <w:rFonts w:asciiTheme="majorBidi" w:hAnsiTheme="majorBidi" w:cstheme="majorBidi"/>
                <w:b/>
                <w:sz w:val="18"/>
                <w:szCs w:val="18"/>
                <w:lang w:val="fr-FR"/>
              </w:rPr>
              <w:br/>
              <w:t>et méthode définie de stratégie d’essai intégrée ITSv2</w:t>
            </w:r>
          </w:p>
        </w:tc>
      </w:tr>
      <w:tr w:rsidR="00560CB5" w:rsidRPr="00950D73" w14:paraId="182194B6" w14:textId="77777777" w:rsidTr="009B2983">
        <w:trPr>
          <w:trHeight w:val="947"/>
        </w:trPr>
        <w:tc>
          <w:tcPr>
            <w:tcW w:w="1157" w:type="dxa"/>
            <w:tcBorders>
              <w:top w:val="nil"/>
              <w:left w:val="single" w:sz="4" w:space="0" w:color="auto"/>
              <w:bottom w:val="nil"/>
              <w:right w:val="single" w:sz="4" w:space="0" w:color="auto"/>
            </w:tcBorders>
            <w:vAlign w:val="center"/>
            <w:hideMark/>
          </w:tcPr>
          <w:p w14:paraId="09EC892D" w14:textId="77777777" w:rsidR="00560CB5" w:rsidRPr="00950D73" w:rsidRDefault="00560CB5" w:rsidP="00DC619C">
            <w:pPr>
              <w:spacing w:before="60" w:after="60" w:line="240" w:lineRule="auto"/>
              <w:ind w:left="57" w:right="57"/>
              <w:contextualSpacing/>
              <w:rPr>
                <w:rFonts w:asciiTheme="majorBidi" w:hAnsiTheme="majorBidi" w:cstheme="majorBidi"/>
                <w:sz w:val="18"/>
                <w:szCs w:val="18"/>
                <w:lang w:val="fr-FR"/>
              </w:rPr>
            </w:pPr>
          </w:p>
        </w:tc>
        <w:tc>
          <w:tcPr>
            <w:tcW w:w="6421"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52573673" w14:textId="77777777" w:rsidR="00560CB5" w:rsidRPr="00950D73" w:rsidRDefault="00560CB5" w:rsidP="009B2983">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b/>
                <w:bCs/>
                <w:sz w:val="18"/>
                <w:szCs w:val="18"/>
                <w:lang w:val="fr-FR"/>
              </w:rPr>
              <w:t xml:space="preserve">2o3 </w:t>
            </w:r>
            <w:r w:rsidRPr="00950D73">
              <w:rPr>
                <w:rFonts w:asciiTheme="majorBidi" w:hAnsiTheme="majorBidi" w:cstheme="majorBidi"/>
                <w:sz w:val="18"/>
                <w:szCs w:val="18"/>
                <w:lang w:val="fr-FR"/>
              </w:rPr>
              <w:t xml:space="preserve">Méthode définie de détermination des risques de sensibilisation cutanée, fondée sur des essais </w:t>
            </w:r>
            <w:r w:rsidRPr="00950D73">
              <w:rPr>
                <w:rFonts w:asciiTheme="majorBidi" w:hAnsiTheme="majorBidi" w:cstheme="majorBidi"/>
                <w:i/>
                <w:iCs/>
                <w:sz w:val="18"/>
                <w:szCs w:val="18"/>
                <w:lang w:val="fr-FR"/>
              </w:rPr>
              <w:t xml:space="preserve">in </w:t>
            </w:r>
            <w:proofErr w:type="spellStart"/>
            <w:r w:rsidRPr="00950D73">
              <w:rPr>
                <w:rFonts w:asciiTheme="majorBidi" w:hAnsiTheme="majorBidi" w:cstheme="majorBidi"/>
                <w:i/>
                <w:iCs/>
                <w:sz w:val="18"/>
                <w:szCs w:val="18"/>
                <w:lang w:val="fr-FR"/>
              </w:rPr>
              <w:t>chemico</w:t>
            </w:r>
            <w:proofErr w:type="spellEnd"/>
            <w:r w:rsidRPr="00950D73">
              <w:rPr>
                <w:rFonts w:asciiTheme="majorBidi" w:hAnsiTheme="majorBidi" w:cstheme="majorBidi"/>
                <w:i/>
                <w:iCs/>
                <w:sz w:val="18"/>
                <w:szCs w:val="18"/>
                <w:lang w:val="fr-FR"/>
              </w:rPr>
              <w:t xml:space="preserve"> </w:t>
            </w:r>
            <w:r w:rsidRPr="00950D73">
              <w:rPr>
                <w:rFonts w:asciiTheme="majorBidi" w:hAnsiTheme="majorBidi" w:cstheme="majorBidi"/>
                <w:sz w:val="18"/>
                <w:szCs w:val="18"/>
                <w:lang w:val="fr-FR"/>
              </w:rPr>
              <w:t>(événement clé 1 − essai de réactivité peptidique directe (KE1-DPRA)) et in vitro</w:t>
            </w:r>
            <w:r w:rsidRPr="00950D73">
              <w:rPr>
                <w:rFonts w:asciiTheme="majorBidi" w:hAnsiTheme="majorBidi" w:cstheme="majorBidi"/>
                <w:i/>
                <w:iCs/>
                <w:sz w:val="18"/>
                <w:szCs w:val="18"/>
                <w:lang w:val="fr-FR"/>
              </w:rPr>
              <w:t xml:space="preserve"> </w:t>
            </w:r>
            <w:r w:rsidRPr="00950D73">
              <w:rPr>
                <w:rFonts w:asciiTheme="majorBidi" w:hAnsiTheme="majorBidi" w:cstheme="majorBidi"/>
                <w:sz w:val="18"/>
                <w:szCs w:val="18"/>
                <w:lang w:val="fr-FR"/>
              </w:rPr>
              <w:t>(événement clé 2 − annexe IA des Ligne directrice 442D de l’OCDE, événement clé 3 − essai d’activation de la lignée cellulaire humaine (KE3-h-CLAT))</w:t>
            </w:r>
          </w:p>
        </w:tc>
        <w:tc>
          <w:tcPr>
            <w:tcW w:w="6200" w:type="dxa"/>
            <w:tcBorders>
              <w:top w:val="single" w:sz="4" w:space="0" w:color="auto"/>
              <w:left w:val="single" w:sz="4" w:space="0" w:color="auto"/>
              <w:bottom w:val="nil"/>
              <w:right w:val="single" w:sz="4" w:space="0" w:color="auto"/>
            </w:tcBorders>
          </w:tcPr>
          <w:p w14:paraId="76D0AEF8" w14:textId="77777777" w:rsidR="00560CB5" w:rsidRPr="00950D73" w:rsidRDefault="00560CB5" w:rsidP="009B2983">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b/>
                <w:bCs/>
                <w:sz w:val="18"/>
                <w:szCs w:val="18"/>
                <w:lang w:val="fr-FR"/>
              </w:rPr>
              <w:t xml:space="preserve">ITSv1 </w:t>
            </w:r>
            <w:r w:rsidRPr="00950D73">
              <w:rPr>
                <w:rFonts w:asciiTheme="majorBidi" w:hAnsiTheme="majorBidi" w:cstheme="majorBidi"/>
                <w:sz w:val="18"/>
                <w:szCs w:val="18"/>
                <w:lang w:val="fr-FR"/>
              </w:rPr>
              <w:t>Méthode définie fondée</w:t>
            </w:r>
            <w:r w:rsidRPr="00950D73">
              <w:rPr>
                <w:rFonts w:asciiTheme="majorBidi" w:hAnsiTheme="majorBidi" w:cstheme="majorBidi"/>
                <w:b/>
                <w:bCs/>
                <w:sz w:val="18"/>
                <w:szCs w:val="18"/>
                <w:lang w:val="fr-FR"/>
              </w:rPr>
              <w:t xml:space="preserve"> </w:t>
            </w:r>
            <w:r w:rsidRPr="00950D73">
              <w:rPr>
                <w:rFonts w:asciiTheme="majorBidi" w:hAnsiTheme="majorBidi" w:cstheme="majorBidi"/>
                <w:sz w:val="18"/>
                <w:szCs w:val="18"/>
                <w:lang w:val="fr-FR"/>
              </w:rPr>
              <w:t xml:space="preserve">sur des données </w:t>
            </w:r>
            <w:r w:rsidRPr="00950D73">
              <w:rPr>
                <w:rFonts w:asciiTheme="majorBidi" w:hAnsiTheme="majorBidi" w:cstheme="majorBidi"/>
                <w:i/>
                <w:iCs/>
                <w:sz w:val="18"/>
                <w:szCs w:val="18"/>
                <w:lang w:val="fr-FR"/>
              </w:rPr>
              <w:t xml:space="preserve">in </w:t>
            </w:r>
            <w:proofErr w:type="spellStart"/>
            <w:r w:rsidRPr="00950D73">
              <w:rPr>
                <w:rFonts w:asciiTheme="majorBidi" w:hAnsiTheme="majorBidi" w:cstheme="majorBidi"/>
                <w:i/>
                <w:iCs/>
                <w:sz w:val="18"/>
                <w:szCs w:val="18"/>
                <w:lang w:val="fr-FR"/>
              </w:rPr>
              <w:t>chemico</w:t>
            </w:r>
            <w:proofErr w:type="spellEnd"/>
            <w:r w:rsidRPr="00950D73">
              <w:rPr>
                <w:rFonts w:asciiTheme="majorBidi" w:hAnsiTheme="majorBidi" w:cstheme="majorBidi"/>
                <w:i/>
                <w:iCs/>
                <w:sz w:val="18"/>
                <w:szCs w:val="18"/>
                <w:lang w:val="fr-FR"/>
              </w:rPr>
              <w:t xml:space="preserve"> </w:t>
            </w:r>
            <w:r w:rsidRPr="00950D73">
              <w:rPr>
                <w:rFonts w:asciiTheme="majorBidi" w:hAnsiTheme="majorBidi" w:cstheme="majorBidi"/>
                <w:sz w:val="18"/>
                <w:szCs w:val="18"/>
                <w:lang w:val="fr-FR"/>
              </w:rPr>
              <w:t>(KE1-DPRA) ou in vitro</w:t>
            </w:r>
            <w:r w:rsidRPr="00950D73">
              <w:rPr>
                <w:rFonts w:asciiTheme="majorBidi" w:hAnsiTheme="majorBidi" w:cstheme="majorBidi"/>
                <w:i/>
                <w:iCs/>
                <w:sz w:val="18"/>
                <w:szCs w:val="18"/>
                <w:lang w:val="fr-FR"/>
              </w:rPr>
              <w:t xml:space="preserve"> </w:t>
            </w:r>
            <w:r w:rsidRPr="00950D73">
              <w:rPr>
                <w:rFonts w:asciiTheme="majorBidi" w:hAnsiTheme="majorBidi" w:cstheme="majorBidi"/>
                <w:sz w:val="18"/>
                <w:szCs w:val="18"/>
                <w:lang w:val="fr-FR"/>
              </w:rPr>
              <w:t xml:space="preserve">(KE3-h-CLAT), ou sur des prédictions </w:t>
            </w:r>
            <w:r w:rsidRPr="00CC5A65">
              <w:rPr>
                <w:rFonts w:asciiTheme="majorBidi" w:hAnsiTheme="majorBidi" w:cstheme="majorBidi"/>
                <w:sz w:val="18"/>
                <w:szCs w:val="18"/>
                <w:lang w:val="fr-FR"/>
              </w:rPr>
              <w:t>in silico</w:t>
            </w:r>
            <w:r w:rsidRPr="00950D73">
              <w:rPr>
                <w:rFonts w:asciiTheme="majorBidi" w:hAnsiTheme="majorBidi" w:cstheme="majorBidi"/>
                <w:i/>
                <w:iCs/>
                <w:sz w:val="18"/>
                <w:szCs w:val="18"/>
                <w:lang w:val="fr-FR"/>
              </w:rPr>
              <w:t xml:space="preserve"> </w:t>
            </w:r>
            <w:r w:rsidRPr="00950D73">
              <w:rPr>
                <w:rFonts w:asciiTheme="majorBidi" w:hAnsiTheme="majorBidi" w:cstheme="majorBidi"/>
                <w:sz w:val="18"/>
                <w:szCs w:val="18"/>
                <w:lang w:val="fr-FR"/>
              </w:rPr>
              <w:t>(Derek Nexus)</w:t>
            </w:r>
          </w:p>
          <w:p w14:paraId="3ED54E17" w14:textId="77777777" w:rsidR="00560CB5" w:rsidRPr="00950D73" w:rsidRDefault="00560CB5" w:rsidP="009B2983">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b/>
                <w:bCs/>
                <w:sz w:val="18"/>
                <w:szCs w:val="18"/>
                <w:lang w:val="fr-FR"/>
              </w:rPr>
              <w:t xml:space="preserve">ITSv2 </w:t>
            </w:r>
            <w:r w:rsidRPr="00950D73">
              <w:rPr>
                <w:rFonts w:asciiTheme="majorBidi" w:hAnsiTheme="majorBidi" w:cstheme="majorBidi"/>
                <w:sz w:val="18"/>
                <w:szCs w:val="18"/>
                <w:lang w:val="fr-FR"/>
              </w:rPr>
              <w:t>Méthode définie fondée</w:t>
            </w:r>
            <w:r w:rsidRPr="00950D73">
              <w:rPr>
                <w:rFonts w:asciiTheme="majorBidi" w:hAnsiTheme="majorBidi" w:cstheme="majorBidi"/>
                <w:b/>
                <w:bCs/>
                <w:sz w:val="18"/>
                <w:szCs w:val="18"/>
                <w:lang w:val="fr-FR"/>
              </w:rPr>
              <w:t xml:space="preserve"> </w:t>
            </w:r>
            <w:r w:rsidRPr="00950D73">
              <w:rPr>
                <w:rFonts w:asciiTheme="majorBidi" w:hAnsiTheme="majorBidi" w:cstheme="majorBidi"/>
                <w:sz w:val="18"/>
                <w:szCs w:val="18"/>
                <w:lang w:val="fr-FR"/>
              </w:rPr>
              <w:t xml:space="preserve">sur des données </w:t>
            </w:r>
            <w:r w:rsidRPr="00950D73">
              <w:rPr>
                <w:rFonts w:asciiTheme="majorBidi" w:hAnsiTheme="majorBidi" w:cstheme="majorBidi"/>
                <w:i/>
                <w:sz w:val="18"/>
                <w:szCs w:val="18"/>
                <w:lang w:val="fr-FR"/>
              </w:rPr>
              <w:t xml:space="preserve">in </w:t>
            </w:r>
            <w:proofErr w:type="spellStart"/>
            <w:r w:rsidRPr="00950D73">
              <w:rPr>
                <w:rFonts w:asciiTheme="majorBidi" w:hAnsiTheme="majorBidi" w:cstheme="majorBidi"/>
                <w:i/>
                <w:sz w:val="18"/>
                <w:szCs w:val="18"/>
                <w:lang w:val="fr-FR"/>
              </w:rPr>
              <w:t>chemico</w:t>
            </w:r>
            <w:proofErr w:type="spellEnd"/>
            <w:r w:rsidRPr="00950D73">
              <w:rPr>
                <w:rFonts w:asciiTheme="majorBidi" w:hAnsiTheme="majorBidi" w:cstheme="majorBidi"/>
                <w:i/>
                <w:sz w:val="18"/>
                <w:szCs w:val="18"/>
                <w:lang w:val="fr-FR"/>
              </w:rPr>
              <w:t xml:space="preserve"> </w:t>
            </w:r>
            <w:r w:rsidRPr="00950D73">
              <w:rPr>
                <w:rFonts w:asciiTheme="majorBidi" w:hAnsiTheme="majorBidi" w:cstheme="majorBidi"/>
                <w:sz w:val="18"/>
                <w:szCs w:val="18"/>
                <w:lang w:val="fr-FR"/>
              </w:rPr>
              <w:t xml:space="preserve">(KE1-DPRA) ou </w:t>
            </w:r>
            <w:r w:rsidRPr="00950D73">
              <w:rPr>
                <w:rFonts w:asciiTheme="majorBidi" w:hAnsiTheme="majorBidi" w:cstheme="majorBidi"/>
                <w:iCs/>
                <w:sz w:val="18"/>
                <w:szCs w:val="18"/>
                <w:lang w:val="fr-FR"/>
              </w:rPr>
              <w:t>in vitro</w:t>
            </w:r>
            <w:r w:rsidRPr="00950D73">
              <w:rPr>
                <w:rFonts w:asciiTheme="majorBidi" w:hAnsiTheme="majorBidi" w:cstheme="majorBidi"/>
                <w:i/>
                <w:sz w:val="18"/>
                <w:szCs w:val="18"/>
                <w:lang w:val="fr-FR"/>
              </w:rPr>
              <w:t xml:space="preserve"> </w:t>
            </w:r>
            <w:r w:rsidRPr="00950D73">
              <w:rPr>
                <w:rFonts w:asciiTheme="majorBidi" w:hAnsiTheme="majorBidi" w:cstheme="majorBidi"/>
                <w:sz w:val="18"/>
                <w:szCs w:val="18"/>
                <w:lang w:val="fr-FR"/>
              </w:rPr>
              <w:t xml:space="preserve">(KE3 -h-CLAT), ou sur des prédictions </w:t>
            </w:r>
            <w:r w:rsidRPr="00632194">
              <w:rPr>
                <w:rFonts w:asciiTheme="majorBidi" w:hAnsiTheme="majorBidi" w:cstheme="majorBidi"/>
                <w:sz w:val="18"/>
                <w:szCs w:val="18"/>
                <w:lang w:val="fr-FR"/>
              </w:rPr>
              <w:t>in silico</w:t>
            </w:r>
            <w:r w:rsidRPr="00950D73">
              <w:rPr>
                <w:rFonts w:asciiTheme="majorBidi" w:hAnsiTheme="majorBidi" w:cstheme="majorBidi"/>
                <w:sz w:val="18"/>
                <w:szCs w:val="18"/>
                <w:lang w:val="fr-FR"/>
              </w:rPr>
              <w:t xml:space="preserve"> (OECD QSAR Toolbox)</w:t>
            </w:r>
          </w:p>
        </w:tc>
      </w:tr>
      <w:tr w:rsidR="00560CB5" w:rsidRPr="00950D73" w14:paraId="42346919" w14:textId="77777777" w:rsidTr="009B2983">
        <w:trPr>
          <w:trHeight w:val="1329"/>
        </w:trPr>
        <w:tc>
          <w:tcPr>
            <w:tcW w:w="1157"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5B52C11D" w14:textId="77777777" w:rsidR="00560CB5" w:rsidRPr="00950D73" w:rsidRDefault="00560CB5" w:rsidP="00DC619C">
            <w:pPr>
              <w:spacing w:before="60" w:after="60" w:line="240" w:lineRule="auto"/>
              <w:ind w:left="57" w:right="57"/>
              <w:contextualSpacing/>
              <w:rPr>
                <w:rFonts w:asciiTheme="majorBidi" w:hAnsiTheme="majorBidi" w:cstheme="majorBidi"/>
                <w:b/>
                <w:bCs/>
                <w:sz w:val="18"/>
                <w:szCs w:val="18"/>
              </w:rPr>
            </w:pPr>
          </w:p>
        </w:tc>
        <w:tc>
          <w:tcPr>
            <w:tcW w:w="6421"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10C75BD1" w14:textId="77777777" w:rsidR="00560CB5" w:rsidRPr="00950D73" w:rsidRDefault="00560CB5" w:rsidP="009B2983">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 xml:space="preserve">Des essais sont effectués pour deux événements clés et, si ces essais donnent des résultats cohérents, le produit chimique est classé comme sensibilisant ou non sensibilisant. Si les deux premiers essais donnent des résultats discordants, on procède à l’essai concernant l’événement clé restant. Le résultat global est basé sur les deux résultats concordants en tenant compte de la confiance dans les prédictions obtenues, comme décrit dans la </w:t>
            </w:r>
            <w:r w:rsidRPr="00950D73">
              <w:rPr>
                <w:rFonts w:asciiTheme="majorBidi" w:hAnsiTheme="majorBidi" w:cstheme="majorBidi"/>
                <w:bCs/>
                <w:sz w:val="18"/>
                <w:szCs w:val="18"/>
                <w:lang w:val="fr-FR"/>
              </w:rPr>
              <w:t>Ligne directrice.</w:t>
            </w:r>
          </w:p>
        </w:tc>
        <w:tc>
          <w:tcPr>
            <w:tcW w:w="6200" w:type="dxa"/>
            <w:tcBorders>
              <w:top w:val="nil"/>
              <w:left w:val="single" w:sz="4" w:space="0" w:color="auto"/>
              <w:bottom w:val="single" w:sz="4" w:space="0" w:color="auto"/>
              <w:right w:val="single" w:sz="4" w:space="0" w:color="auto"/>
            </w:tcBorders>
          </w:tcPr>
          <w:p w14:paraId="4B1A1214" w14:textId="77777777" w:rsidR="00560CB5" w:rsidRPr="00950D73" w:rsidRDefault="00560CB5" w:rsidP="009B2983">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 xml:space="preserve">Les résultats quantitatifs des essais h-CLAT et DPRA sont convertis en un indice allant de 0 à 3. Pour la prédiction </w:t>
            </w:r>
            <w:r w:rsidRPr="00CC5A65">
              <w:rPr>
                <w:rFonts w:asciiTheme="majorBidi" w:hAnsiTheme="majorBidi" w:cstheme="majorBidi"/>
                <w:iCs/>
                <w:sz w:val="18"/>
                <w:szCs w:val="18"/>
                <w:lang w:val="fr-FR"/>
              </w:rPr>
              <w:t>in silico</w:t>
            </w:r>
            <w:r w:rsidRPr="00950D73">
              <w:rPr>
                <w:rFonts w:asciiTheme="majorBidi" w:hAnsiTheme="majorBidi" w:cstheme="majorBidi"/>
                <w:i/>
                <w:sz w:val="18"/>
                <w:szCs w:val="18"/>
                <w:lang w:val="fr-FR"/>
              </w:rPr>
              <w:t xml:space="preserve"> </w:t>
            </w:r>
            <w:r w:rsidRPr="00950D73">
              <w:rPr>
                <w:rFonts w:asciiTheme="majorBidi" w:hAnsiTheme="majorBidi" w:cstheme="majorBidi"/>
                <w:sz w:val="18"/>
                <w:szCs w:val="18"/>
                <w:lang w:val="fr-FR"/>
              </w:rPr>
              <w:t xml:space="preserve">(Derek ou test QSAR </w:t>
            </w:r>
            <w:proofErr w:type="spellStart"/>
            <w:r w:rsidRPr="00950D73">
              <w:rPr>
                <w:rFonts w:asciiTheme="majorBidi" w:hAnsiTheme="majorBidi" w:cstheme="majorBidi"/>
                <w:sz w:val="18"/>
                <w:szCs w:val="18"/>
                <w:lang w:val="fr-FR"/>
              </w:rPr>
              <w:t>ToolBox</w:t>
            </w:r>
            <w:proofErr w:type="spellEnd"/>
            <w:r w:rsidRPr="00950D73">
              <w:rPr>
                <w:rFonts w:asciiTheme="majorBidi" w:hAnsiTheme="majorBidi" w:cstheme="majorBidi"/>
                <w:sz w:val="18"/>
                <w:szCs w:val="18"/>
                <w:lang w:val="fr-FR"/>
              </w:rPr>
              <w:t xml:space="preserve"> de l’OCDE), un résultat positif se voit attribuer un indice de 1 ; un résultat négatif se voit attribuer un indice de 0. Une fois que ces indices ont été évalués, un indice total de la batterie allant de 0 à 7, calculé en additionnant les scores individuels, est utilisé pour prédire la capacité de sensibilisation (détermination du danger ; catégorie 1 du SGH ou non-classification) et l’activité sensibilisante (catégories 1A ou 1B du SGH ou non-classification).</w:t>
            </w:r>
          </w:p>
        </w:tc>
      </w:tr>
      <w:tr w:rsidR="00560CB5" w:rsidRPr="00950D73" w14:paraId="4C1F4235" w14:textId="77777777" w:rsidTr="004846A2">
        <w:trPr>
          <w:trHeight w:val="69"/>
        </w:trPr>
        <w:tc>
          <w:tcPr>
            <w:tcW w:w="115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FB0CA22" w14:textId="77777777" w:rsidR="00560CB5" w:rsidRPr="00950D73" w:rsidRDefault="00560CB5" w:rsidP="006674DF">
            <w:pPr>
              <w:spacing w:before="20" w:after="20" w:line="240" w:lineRule="auto"/>
              <w:ind w:left="57" w:right="57"/>
              <w:jc w:val="center"/>
              <w:rPr>
                <w:rFonts w:asciiTheme="majorBidi" w:hAnsiTheme="majorBidi" w:cstheme="majorBidi"/>
                <w:b/>
                <w:bCs/>
                <w:sz w:val="18"/>
                <w:szCs w:val="18"/>
              </w:rPr>
            </w:pPr>
            <w:r w:rsidRPr="00950D73">
              <w:rPr>
                <w:rFonts w:asciiTheme="majorBidi" w:hAnsiTheme="majorBidi" w:cstheme="majorBidi"/>
                <w:b/>
                <w:bCs/>
                <w:sz w:val="18"/>
                <w:szCs w:val="18"/>
              </w:rPr>
              <w:t>1</w:t>
            </w:r>
          </w:p>
        </w:tc>
        <w:tc>
          <w:tcPr>
            <w:tcW w:w="64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476353" w14:textId="77777777"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 xml:space="preserve">2 prédictions positives sur 3 ou 3 sur 3 </w:t>
            </w:r>
          </w:p>
        </w:tc>
        <w:tc>
          <w:tcPr>
            <w:tcW w:w="6200" w:type="dxa"/>
            <w:tcBorders>
              <w:top w:val="single" w:sz="4" w:space="0" w:color="auto"/>
              <w:left w:val="single" w:sz="4" w:space="0" w:color="auto"/>
              <w:bottom w:val="single" w:sz="4" w:space="0" w:color="auto"/>
              <w:right w:val="single" w:sz="4" w:space="0" w:color="auto"/>
            </w:tcBorders>
          </w:tcPr>
          <w:p w14:paraId="09BA536D" w14:textId="3B35B1C1"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Indice total de la batterie ≥</w:t>
            </w:r>
            <w:r w:rsidR="006674DF"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2</w:t>
            </w:r>
          </w:p>
        </w:tc>
      </w:tr>
      <w:tr w:rsidR="00560CB5" w:rsidRPr="00950D73" w14:paraId="6A0DCA81" w14:textId="77777777" w:rsidTr="00DC619C">
        <w:trPr>
          <w:trHeight w:val="20"/>
        </w:trPr>
        <w:tc>
          <w:tcPr>
            <w:tcW w:w="115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63BBB46" w14:textId="77777777" w:rsidR="00560CB5" w:rsidRPr="00950D73" w:rsidRDefault="00560CB5" w:rsidP="006674DF">
            <w:pPr>
              <w:spacing w:before="20" w:after="20" w:line="240" w:lineRule="auto"/>
              <w:ind w:left="57" w:right="57"/>
              <w:jc w:val="center"/>
              <w:rPr>
                <w:rFonts w:asciiTheme="majorBidi" w:hAnsiTheme="majorBidi" w:cstheme="majorBidi"/>
                <w:b/>
                <w:bCs/>
                <w:sz w:val="18"/>
                <w:szCs w:val="18"/>
              </w:rPr>
            </w:pPr>
            <w:r w:rsidRPr="00950D73">
              <w:rPr>
                <w:rFonts w:asciiTheme="majorBidi" w:hAnsiTheme="majorBidi" w:cstheme="majorBidi"/>
                <w:b/>
                <w:bCs/>
                <w:sz w:val="18"/>
                <w:szCs w:val="18"/>
              </w:rPr>
              <w:t>1A</w:t>
            </w:r>
          </w:p>
        </w:tc>
        <w:tc>
          <w:tcPr>
            <w:tcW w:w="64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C8C6C56" w14:textId="77777777"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Sans objet</w:t>
            </w:r>
          </w:p>
        </w:tc>
        <w:tc>
          <w:tcPr>
            <w:tcW w:w="6200" w:type="dxa"/>
            <w:tcBorders>
              <w:top w:val="single" w:sz="4" w:space="0" w:color="auto"/>
              <w:left w:val="single" w:sz="4" w:space="0" w:color="auto"/>
              <w:bottom w:val="single" w:sz="4" w:space="0" w:color="auto"/>
              <w:right w:val="single" w:sz="4" w:space="0" w:color="auto"/>
            </w:tcBorders>
          </w:tcPr>
          <w:p w14:paraId="5224D50A" w14:textId="77777777"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Indice total de la batterie 6-7</w:t>
            </w:r>
          </w:p>
        </w:tc>
      </w:tr>
      <w:tr w:rsidR="00560CB5" w:rsidRPr="00950D73" w14:paraId="29A44373" w14:textId="77777777" w:rsidTr="00DC619C">
        <w:trPr>
          <w:trHeight w:val="20"/>
        </w:trPr>
        <w:tc>
          <w:tcPr>
            <w:tcW w:w="115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1EA9F4" w14:textId="77777777" w:rsidR="00560CB5" w:rsidRPr="00950D73" w:rsidRDefault="00560CB5" w:rsidP="006674DF">
            <w:pPr>
              <w:spacing w:before="20" w:after="20" w:line="240" w:lineRule="auto"/>
              <w:ind w:left="57" w:right="57"/>
              <w:jc w:val="center"/>
              <w:rPr>
                <w:rFonts w:asciiTheme="majorBidi" w:hAnsiTheme="majorBidi" w:cstheme="majorBidi"/>
                <w:b/>
                <w:bCs/>
                <w:sz w:val="18"/>
                <w:szCs w:val="18"/>
              </w:rPr>
            </w:pPr>
            <w:r w:rsidRPr="00950D73">
              <w:rPr>
                <w:rFonts w:asciiTheme="majorBidi" w:hAnsiTheme="majorBidi" w:cstheme="majorBidi"/>
                <w:b/>
                <w:bCs/>
                <w:sz w:val="18"/>
                <w:szCs w:val="18"/>
              </w:rPr>
              <w:t>1B</w:t>
            </w:r>
          </w:p>
        </w:tc>
        <w:tc>
          <w:tcPr>
            <w:tcW w:w="64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6ACF7A" w14:textId="77777777"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Sans objet</w:t>
            </w:r>
          </w:p>
        </w:tc>
        <w:tc>
          <w:tcPr>
            <w:tcW w:w="6200" w:type="dxa"/>
            <w:tcBorders>
              <w:top w:val="single" w:sz="4" w:space="0" w:color="auto"/>
              <w:left w:val="single" w:sz="4" w:space="0" w:color="auto"/>
              <w:bottom w:val="single" w:sz="4" w:space="0" w:color="auto"/>
              <w:right w:val="single" w:sz="4" w:space="0" w:color="auto"/>
            </w:tcBorders>
          </w:tcPr>
          <w:p w14:paraId="41A6735B" w14:textId="77777777"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Indice total de la batterie 2-5</w:t>
            </w:r>
          </w:p>
        </w:tc>
      </w:tr>
      <w:tr w:rsidR="00560CB5" w:rsidRPr="00950D73" w14:paraId="0EBC3B43" w14:textId="77777777" w:rsidTr="00DC619C">
        <w:trPr>
          <w:trHeight w:val="20"/>
        </w:trPr>
        <w:tc>
          <w:tcPr>
            <w:tcW w:w="115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BC6101" w14:textId="77777777" w:rsidR="00560CB5" w:rsidRPr="00950D73" w:rsidRDefault="00560CB5" w:rsidP="006674DF">
            <w:pPr>
              <w:spacing w:before="20" w:after="20" w:line="240" w:lineRule="auto"/>
              <w:ind w:left="57" w:right="57"/>
              <w:jc w:val="center"/>
              <w:rPr>
                <w:rFonts w:asciiTheme="majorBidi" w:hAnsiTheme="majorBidi" w:cstheme="majorBidi"/>
                <w:b/>
                <w:bCs/>
                <w:sz w:val="18"/>
                <w:szCs w:val="18"/>
              </w:rPr>
            </w:pPr>
            <w:r w:rsidRPr="00950D73">
              <w:rPr>
                <w:rFonts w:asciiTheme="majorBidi" w:hAnsiTheme="majorBidi" w:cstheme="majorBidi"/>
                <w:b/>
                <w:bCs/>
                <w:sz w:val="18"/>
                <w:szCs w:val="18"/>
              </w:rPr>
              <w:t>Substance non classée</w:t>
            </w:r>
          </w:p>
        </w:tc>
        <w:tc>
          <w:tcPr>
            <w:tcW w:w="64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E22F1D" w14:textId="77777777"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2 prédictions négatives sur 3 ou 3 sur 3</w:t>
            </w:r>
          </w:p>
        </w:tc>
        <w:tc>
          <w:tcPr>
            <w:tcW w:w="6200" w:type="dxa"/>
            <w:tcBorders>
              <w:top w:val="single" w:sz="4" w:space="0" w:color="auto"/>
              <w:left w:val="single" w:sz="4" w:space="0" w:color="auto"/>
              <w:bottom w:val="single" w:sz="4" w:space="0" w:color="auto"/>
              <w:right w:val="single" w:sz="4" w:space="0" w:color="auto"/>
            </w:tcBorders>
          </w:tcPr>
          <w:p w14:paraId="26365DE1" w14:textId="43664976" w:rsidR="00560CB5" w:rsidRPr="00950D73" w:rsidRDefault="00560CB5" w:rsidP="006674DF">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Indice total de la batterie &lt;</w:t>
            </w:r>
            <w:r w:rsidR="006674DF"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2</w:t>
            </w:r>
          </w:p>
        </w:tc>
      </w:tr>
    </w:tbl>
    <w:p w14:paraId="600A08C7" w14:textId="77777777" w:rsidR="00560CB5" w:rsidRPr="00950D73" w:rsidRDefault="00560CB5" w:rsidP="00560CB5">
      <w:pPr>
        <w:spacing w:after="200" w:line="276" w:lineRule="auto"/>
        <w:rPr>
          <w:rFonts w:asciiTheme="majorBidi" w:hAnsiTheme="majorBidi" w:cstheme="majorBidi"/>
          <w:lang w:val="fr-FR"/>
        </w:rPr>
      </w:pPr>
      <w:r w:rsidRPr="00950D73">
        <w:rPr>
          <w:rFonts w:asciiTheme="majorBidi" w:hAnsiTheme="majorBidi" w:cstheme="majorBidi"/>
          <w:iCs/>
          <w:lang w:val="fr-FR"/>
        </w:rPr>
        <w:br w:type="page"/>
      </w:r>
    </w:p>
    <w:p w14:paraId="1A6C254A" w14:textId="70F762D9" w:rsidR="00560CB5" w:rsidRPr="00950D73" w:rsidRDefault="00560CB5" w:rsidP="00B51B80">
      <w:pPr>
        <w:pStyle w:val="SingleTxtG"/>
        <w:ind w:left="2268" w:hanging="1134"/>
        <w:jc w:val="center"/>
        <w:rPr>
          <w:rFonts w:asciiTheme="majorBidi" w:hAnsiTheme="majorBidi" w:cstheme="majorBidi"/>
          <w:lang w:val="fr-FR"/>
        </w:rPr>
      </w:pPr>
      <w:r w:rsidRPr="00950D73">
        <w:rPr>
          <w:rFonts w:asciiTheme="majorBidi" w:hAnsiTheme="majorBidi" w:cstheme="majorBidi"/>
          <w:b/>
          <w:bCs/>
          <w:lang w:val="fr-FR"/>
        </w:rPr>
        <w:lastRenderedPageBreak/>
        <w:t>Tableau 3.4.</w:t>
      </w:r>
      <w:r w:rsidR="00293674" w:rsidRPr="00950D73">
        <w:rPr>
          <w:rFonts w:asciiTheme="majorBidi" w:hAnsiTheme="majorBidi" w:cstheme="majorBidi"/>
          <w:b/>
          <w:bCs/>
          <w:lang w:val="fr-FR"/>
        </w:rPr>
        <w:t>8</w:t>
      </w:r>
      <w:r w:rsidR="00B13B1A" w:rsidRPr="00950D73">
        <w:rPr>
          <w:rFonts w:asciiTheme="majorBidi" w:hAnsiTheme="majorBidi" w:cstheme="majorBidi"/>
          <w:b/>
          <w:bCs/>
          <w:lang w:val="fr-FR"/>
        </w:rPr>
        <w:t> :</w:t>
      </w:r>
      <w:r w:rsidRPr="00950D73">
        <w:rPr>
          <w:rFonts w:asciiTheme="majorBidi" w:hAnsiTheme="majorBidi" w:cstheme="majorBidi"/>
          <w:b/>
          <w:bCs/>
          <w:lang w:val="fr-FR"/>
        </w:rPr>
        <w:t xml:space="preserve"> Critères pour les différentes méthodes </w:t>
      </w:r>
      <w:r w:rsidRPr="00950D73">
        <w:rPr>
          <w:rFonts w:asciiTheme="majorBidi" w:hAnsiTheme="majorBidi" w:cstheme="majorBidi"/>
          <w:b/>
          <w:bCs/>
          <w:i/>
          <w:lang w:val="fr-FR"/>
        </w:rPr>
        <w:t xml:space="preserve">in </w:t>
      </w:r>
      <w:proofErr w:type="spellStart"/>
      <w:r w:rsidRPr="00950D73">
        <w:rPr>
          <w:rFonts w:asciiTheme="majorBidi" w:hAnsiTheme="majorBidi" w:cstheme="majorBidi"/>
          <w:b/>
          <w:bCs/>
          <w:i/>
          <w:lang w:val="fr-FR"/>
        </w:rPr>
        <w:t>chemico</w:t>
      </w:r>
      <w:proofErr w:type="spellEnd"/>
      <w:r w:rsidRPr="00950D73">
        <w:rPr>
          <w:rFonts w:asciiTheme="majorBidi" w:hAnsiTheme="majorBidi" w:cstheme="majorBidi"/>
          <w:b/>
          <w:bCs/>
          <w:iCs/>
          <w:lang w:val="fr-FR"/>
        </w:rPr>
        <w:t>/in vitro</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7"/>
        <w:gridCol w:w="1336"/>
        <w:gridCol w:w="1338"/>
        <w:gridCol w:w="1182"/>
        <w:gridCol w:w="2087"/>
        <w:gridCol w:w="1617"/>
        <w:gridCol w:w="1333"/>
        <w:gridCol w:w="1605"/>
        <w:gridCol w:w="1312"/>
        <w:gridCol w:w="1348"/>
      </w:tblGrid>
      <w:tr w:rsidR="00560CB5" w:rsidRPr="00950D73" w14:paraId="6D581FF4" w14:textId="77777777" w:rsidTr="00542896">
        <w:trPr>
          <w:trHeight w:val="135"/>
          <w:tblHeader/>
          <w:jc w:val="center"/>
        </w:trPr>
        <w:tc>
          <w:tcPr>
            <w:tcW w:w="988"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41DF4134" w14:textId="77777777" w:rsidR="00560CB5" w:rsidRPr="00950D73" w:rsidRDefault="00560CB5" w:rsidP="00956D48">
            <w:pPr>
              <w:spacing w:before="20" w:after="20" w:line="240" w:lineRule="auto"/>
              <w:ind w:right="-52"/>
              <w:rPr>
                <w:rFonts w:asciiTheme="majorBidi" w:hAnsiTheme="majorBidi" w:cstheme="majorBidi"/>
                <w:b/>
                <w:bCs/>
                <w:sz w:val="18"/>
                <w:szCs w:val="18"/>
              </w:rPr>
            </w:pPr>
            <w:r w:rsidRPr="00950D73">
              <w:rPr>
                <w:rFonts w:asciiTheme="majorBidi" w:hAnsiTheme="majorBidi" w:cstheme="majorBidi"/>
                <w:b/>
                <w:bCs/>
                <w:sz w:val="18"/>
                <w:szCs w:val="18"/>
              </w:rPr>
              <w:t>Catégorie</w:t>
            </w:r>
          </w:p>
        </w:tc>
        <w:tc>
          <w:tcPr>
            <w:tcW w:w="3749" w:type="dxa"/>
            <w:gridSpan w:val="3"/>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0C055795" w14:textId="690CE083" w:rsidR="00560CB5" w:rsidRPr="00950D73" w:rsidRDefault="00560CB5" w:rsidP="00956D48">
            <w:pPr>
              <w:keepNext/>
              <w:keepLines/>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 xml:space="preserve">Ligne directrice 442C de l’OCDE </w:t>
            </w:r>
          </w:p>
        </w:tc>
        <w:tc>
          <w:tcPr>
            <w:tcW w:w="3601" w:type="dxa"/>
            <w:gridSpan w:val="2"/>
            <w:tcBorders>
              <w:top w:val="single" w:sz="4" w:space="0" w:color="auto"/>
              <w:left w:val="single" w:sz="4" w:space="0" w:color="auto"/>
              <w:bottom w:val="nil"/>
              <w:right w:val="single" w:sz="4" w:space="0" w:color="auto"/>
            </w:tcBorders>
          </w:tcPr>
          <w:p w14:paraId="76F76796" w14:textId="69731B64" w:rsidR="00560CB5" w:rsidRPr="00950D73" w:rsidRDefault="00560CB5" w:rsidP="00956D48">
            <w:pPr>
              <w:keepNext/>
              <w:keepLines/>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Ligne directrice 442D de l’OCDE</w:t>
            </w:r>
          </w:p>
        </w:tc>
        <w:tc>
          <w:tcPr>
            <w:tcW w:w="5441" w:type="dxa"/>
            <w:gridSpan w:val="4"/>
            <w:tcBorders>
              <w:top w:val="single" w:sz="4" w:space="0" w:color="auto"/>
              <w:left w:val="single" w:sz="4" w:space="0" w:color="auto"/>
              <w:bottom w:val="nil"/>
              <w:right w:val="single" w:sz="4" w:space="0" w:color="auto"/>
            </w:tcBorders>
          </w:tcPr>
          <w:p w14:paraId="21F92048" w14:textId="59FF0733" w:rsidR="00560CB5" w:rsidRPr="00950D73" w:rsidRDefault="00560CB5" w:rsidP="00956D48">
            <w:pPr>
              <w:keepNext/>
              <w:keepLines/>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Ligne directrice 442E de l’OCDE</w:t>
            </w:r>
          </w:p>
        </w:tc>
      </w:tr>
      <w:tr w:rsidR="00956D48" w:rsidRPr="00950D73" w14:paraId="2794DFB0" w14:textId="77777777" w:rsidTr="00541706">
        <w:trPr>
          <w:trHeight w:val="1463"/>
          <w:tblHeader/>
          <w:jc w:val="center"/>
        </w:trPr>
        <w:tc>
          <w:tcPr>
            <w:tcW w:w="988" w:type="dxa"/>
            <w:tcBorders>
              <w:top w:val="nil"/>
              <w:left w:val="single" w:sz="4" w:space="0" w:color="auto"/>
              <w:bottom w:val="nil"/>
              <w:right w:val="single" w:sz="4" w:space="0" w:color="auto"/>
            </w:tcBorders>
            <w:tcMar>
              <w:top w:w="57" w:type="dxa"/>
              <w:left w:w="57" w:type="dxa"/>
              <w:bottom w:w="57" w:type="dxa"/>
              <w:right w:w="57" w:type="dxa"/>
            </w:tcMar>
          </w:tcPr>
          <w:p w14:paraId="00CC1E96" w14:textId="77777777" w:rsidR="00956D48" w:rsidRPr="00950D73" w:rsidRDefault="00956D48" w:rsidP="00956D48">
            <w:pPr>
              <w:spacing w:before="20" w:after="20" w:line="240" w:lineRule="auto"/>
              <w:ind w:right="-52"/>
              <w:rPr>
                <w:rFonts w:asciiTheme="majorBidi" w:hAnsiTheme="majorBidi" w:cstheme="majorBidi"/>
                <w:b/>
                <w:bCs/>
                <w:sz w:val="18"/>
                <w:szCs w:val="18"/>
              </w:rPr>
            </w:pPr>
          </w:p>
        </w:tc>
        <w:tc>
          <w:tcPr>
            <w:tcW w:w="3749"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14:paraId="31BE1578" w14:textId="77777777" w:rsidR="00956D48" w:rsidRPr="00950D73" w:rsidRDefault="00956D48" w:rsidP="00956D48">
            <w:pPr>
              <w:keepNext/>
              <w:keepLines/>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 xml:space="preserve">Ligne directrice fondée sur les événements clés pour les essais de sensibilisation cutanée </w:t>
            </w:r>
            <w:r w:rsidRPr="00950D73">
              <w:rPr>
                <w:rFonts w:asciiTheme="majorBidi" w:hAnsiTheme="majorBidi" w:cstheme="majorBidi"/>
                <w:b/>
                <w:i/>
                <w:sz w:val="18"/>
                <w:szCs w:val="18"/>
                <w:lang w:val="fr-FR"/>
              </w:rPr>
              <w:t>in </w:t>
            </w:r>
            <w:proofErr w:type="spellStart"/>
            <w:r w:rsidRPr="00950D73">
              <w:rPr>
                <w:rFonts w:asciiTheme="majorBidi" w:hAnsiTheme="majorBidi" w:cstheme="majorBidi"/>
                <w:b/>
                <w:i/>
                <w:sz w:val="18"/>
                <w:szCs w:val="18"/>
                <w:lang w:val="fr-FR"/>
              </w:rPr>
              <w:t>chemico</w:t>
            </w:r>
            <w:proofErr w:type="spellEnd"/>
            <w:r w:rsidRPr="00950D73">
              <w:rPr>
                <w:rFonts w:asciiTheme="majorBidi" w:hAnsiTheme="majorBidi" w:cstheme="majorBidi"/>
                <w:b/>
                <w:sz w:val="18"/>
                <w:szCs w:val="18"/>
                <w:lang w:val="fr-FR"/>
              </w:rPr>
              <w:t xml:space="preserve"> portant sur l’événement clé relatif </w:t>
            </w:r>
            <w:r w:rsidRPr="00950D73">
              <w:rPr>
                <w:rFonts w:asciiTheme="majorBidi" w:hAnsiTheme="majorBidi" w:cstheme="majorBidi"/>
                <w:b/>
                <w:sz w:val="18"/>
                <w:szCs w:val="18"/>
                <w:lang w:val="fr-FR"/>
              </w:rPr>
              <w:br/>
              <w:t>à l’établissement d’une liaison covalente avec les protéines, dans la voie toxicologique impliquée dans les effets indésirables</w:t>
            </w:r>
          </w:p>
        </w:tc>
        <w:tc>
          <w:tcPr>
            <w:tcW w:w="3601" w:type="dxa"/>
            <w:gridSpan w:val="2"/>
            <w:tcBorders>
              <w:top w:val="nil"/>
              <w:left w:val="single" w:sz="4" w:space="0" w:color="auto"/>
              <w:bottom w:val="single" w:sz="4" w:space="0" w:color="auto"/>
              <w:right w:val="single" w:sz="4" w:space="0" w:color="auto"/>
            </w:tcBorders>
          </w:tcPr>
          <w:p w14:paraId="644A602E" w14:textId="77777777" w:rsidR="00956D48" w:rsidRPr="00950D73" w:rsidRDefault="00956D48" w:rsidP="00956D48">
            <w:pPr>
              <w:keepNext/>
              <w:keepLines/>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 xml:space="preserve">Ligne directrice fondée sur les événements clés pour les essais de sensibilisation cutanée </w:t>
            </w:r>
            <w:r w:rsidRPr="00950D73">
              <w:rPr>
                <w:rFonts w:asciiTheme="majorBidi" w:hAnsiTheme="majorBidi" w:cstheme="majorBidi"/>
                <w:b/>
                <w:iCs/>
                <w:sz w:val="18"/>
                <w:szCs w:val="18"/>
                <w:lang w:val="fr-FR"/>
              </w:rPr>
              <w:t>in vitro</w:t>
            </w:r>
            <w:r w:rsidRPr="00950D73">
              <w:rPr>
                <w:rFonts w:asciiTheme="majorBidi" w:hAnsiTheme="majorBidi" w:cstheme="majorBidi"/>
                <w:b/>
                <w:i/>
                <w:sz w:val="18"/>
                <w:szCs w:val="18"/>
                <w:lang w:val="fr-FR"/>
              </w:rPr>
              <w:t xml:space="preserve"> </w:t>
            </w:r>
            <w:r w:rsidRPr="00950D73">
              <w:rPr>
                <w:rFonts w:asciiTheme="majorBidi" w:hAnsiTheme="majorBidi" w:cstheme="majorBidi"/>
                <w:b/>
                <w:sz w:val="18"/>
                <w:szCs w:val="18"/>
                <w:lang w:val="fr-FR"/>
              </w:rPr>
              <w:t xml:space="preserve">portant sur l’événement clé relatif </w:t>
            </w:r>
            <w:r w:rsidRPr="00950D73">
              <w:rPr>
                <w:rFonts w:asciiTheme="majorBidi" w:hAnsiTheme="majorBidi" w:cstheme="majorBidi"/>
                <w:b/>
                <w:sz w:val="18"/>
                <w:szCs w:val="18"/>
                <w:lang w:val="fr-FR"/>
              </w:rPr>
              <w:br/>
              <w:t xml:space="preserve">à l’activation des kératinocytes </w:t>
            </w:r>
            <w:r w:rsidRPr="00950D73">
              <w:rPr>
                <w:rFonts w:asciiTheme="majorBidi" w:hAnsiTheme="majorBidi" w:cstheme="majorBidi"/>
                <w:b/>
                <w:sz w:val="18"/>
                <w:szCs w:val="18"/>
                <w:lang w:val="fr-FR"/>
              </w:rPr>
              <w:br/>
              <w:t xml:space="preserve">dans la voie toxicologique impliquée </w:t>
            </w:r>
            <w:r w:rsidRPr="00950D73">
              <w:rPr>
                <w:rFonts w:asciiTheme="majorBidi" w:hAnsiTheme="majorBidi" w:cstheme="majorBidi"/>
                <w:b/>
                <w:sz w:val="18"/>
                <w:szCs w:val="18"/>
                <w:lang w:val="fr-FR"/>
              </w:rPr>
              <w:br/>
              <w:t>dans les effets indésirables</w:t>
            </w:r>
            <w:r w:rsidRPr="00950D73">
              <w:rPr>
                <w:rFonts w:asciiTheme="majorBidi" w:hAnsiTheme="majorBidi" w:cstheme="majorBidi"/>
                <w:b/>
                <w:sz w:val="18"/>
                <w:szCs w:val="18"/>
                <w:lang w:val="fr-FR"/>
              </w:rPr>
              <w:br/>
              <w:t xml:space="preserve">Méthodes d’essai ARE-Nrf2 luciférase </w:t>
            </w:r>
          </w:p>
        </w:tc>
        <w:tc>
          <w:tcPr>
            <w:tcW w:w="5441" w:type="dxa"/>
            <w:gridSpan w:val="4"/>
            <w:tcBorders>
              <w:top w:val="nil"/>
              <w:left w:val="single" w:sz="4" w:space="0" w:color="auto"/>
              <w:bottom w:val="single" w:sz="4" w:space="0" w:color="auto"/>
              <w:right w:val="single" w:sz="4" w:space="0" w:color="auto"/>
            </w:tcBorders>
          </w:tcPr>
          <w:p w14:paraId="1458A3E9" w14:textId="77777777" w:rsidR="00956D48" w:rsidRPr="00950D73" w:rsidRDefault="00956D48" w:rsidP="00956D48">
            <w:pPr>
              <w:keepNext/>
              <w:keepLines/>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Tests de sensibilisation cutanée</w:t>
            </w:r>
            <w:r w:rsidRPr="00950D73">
              <w:rPr>
                <w:rFonts w:asciiTheme="majorBidi" w:hAnsiTheme="majorBidi" w:cstheme="majorBidi"/>
                <w:b/>
                <w:i/>
                <w:iCs/>
                <w:sz w:val="18"/>
                <w:szCs w:val="18"/>
                <w:lang w:val="fr-FR"/>
              </w:rPr>
              <w:t xml:space="preserve"> </w:t>
            </w:r>
            <w:r w:rsidRPr="00950D73">
              <w:rPr>
                <w:rFonts w:asciiTheme="majorBidi" w:hAnsiTheme="majorBidi" w:cstheme="majorBidi"/>
                <w:b/>
                <w:sz w:val="18"/>
                <w:szCs w:val="18"/>
                <w:lang w:val="fr-FR"/>
              </w:rPr>
              <w:t xml:space="preserve">in vitro portant sur l’événement clé relatif à l’activation des cellules dendritiques </w:t>
            </w:r>
            <w:r w:rsidRPr="00950D73">
              <w:rPr>
                <w:rFonts w:asciiTheme="majorBidi" w:hAnsiTheme="majorBidi" w:cstheme="majorBidi"/>
                <w:b/>
                <w:sz w:val="18"/>
                <w:szCs w:val="18"/>
                <w:lang w:val="fr-FR"/>
              </w:rPr>
              <w:br/>
              <w:t>dans la voie toxicologique impliquée dans les effets indésirables</w:t>
            </w:r>
          </w:p>
        </w:tc>
      </w:tr>
      <w:tr w:rsidR="00560CB5" w:rsidRPr="00950D73" w14:paraId="015E17E0" w14:textId="77777777" w:rsidTr="00541706">
        <w:trPr>
          <w:trHeight w:val="432"/>
          <w:tblHeader/>
          <w:jc w:val="center"/>
        </w:trPr>
        <w:tc>
          <w:tcPr>
            <w:tcW w:w="988" w:type="dxa"/>
            <w:tcBorders>
              <w:top w:val="nil"/>
              <w:left w:val="single" w:sz="4" w:space="0" w:color="auto"/>
              <w:bottom w:val="nil"/>
              <w:right w:val="single" w:sz="4" w:space="0" w:color="auto"/>
            </w:tcBorders>
            <w:tcMar>
              <w:top w:w="57" w:type="dxa"/>
              <w:left w:w="57" w:type="dxa"/>
              <w:bottom w:w="57" w:type="dxa"/>
              <w:right w:w="57" w:type="dxa"/>
            </w:tcMar>
          </w:tcPr>
          <w:p w14:paraId="68CEBD83" w14:textId="77777777" w:rsidR="00560CB5" w:rsidRPr="00950D73" w:rsidRDefault="00560CB5" w:rsidP="00927330">
            <w:pPr>
              <w:spacing w:before="20" w:after="20" w:line="240" w:lineRule="auto"/>
              <w:ind w:left="-32" w:right="-22"/>
              <w:jc w:val="center"/>
              <w:rPr>
                <w:rFonts w:asciiTheme="majorBidi" w:hAnsiTheme="majorBidi" w:cstheme="majorBidi"/>
                <w:sz w:val="18"/>
                <w:szCs w:val="18"/>
                <w:lang w:val="fr-FR"/>
              </w:rPr>
            </w:pPr>
          </w:p>
        </w:tc>
        <w:tc>
          <w:tcPr>
            <w:tcW w:w="1299"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4A312C49" w14:textId="6D02D6A3" w:rsidR="00560CB5" w:rsidRPr="00950D73" w:rsidRDefault="00560CB5" w:rsidP="00927330">
            <w:pPr>
              <w:spacing w:before="20" w:after="20" w:line="240" w:lineRule="auto"/>
              <w:ind w:left="57" w:right="57"/>
              <w:jc w:val="center"/>
              <w:rPr>
                <w:rFonts w:asciiTheme="majorBidi" w:hAnsiTheme="majorBidi" w:cstheme="majorBidi"/>
                <w:sz w:val="18"/>
                <w:szCs w:val="18"/>
                <w:lang w:val="fr-FR"/>
              </w:rPr>
            </w:pPr>
            <w:r w:rsidRPr="00950D73">
              <w:rPr>
                <w:rFonts w:asciiTheme="majorBidi" w:hAnsiTheme="majorBidi" w:cstheme="majorBidi"/>
                <w:b/>
                <w:sz w:val="18"/>
                <w:szCs w:val="18"/>
                <w:lang w:val="fr-FR"/>
              </w:rPr>
              <w:t xml:space="preserve">Méthode décrite à l’annexe I </w:t>
            </w:r>
          </w:p>
        </w:tc>
        <w:tc>
          <w:tcPr>
            <w:tcW w:w="1301" w:type="dxa"/>
            <w:tcBorders>
              <w:top w:val="single" w:sz="4" w:space="0" w:color="auto"/>
              <w:left w:val="single" w:sz="4" w:space="0" w:color="auto"/>
              <w:bottom w:val="nil"/>
              <w:right w:val="single" w:sz="4" w:space="0" w:color="auto"/>
            </w:tcBorders>
          </w:tcPr>
          <w:p w14:paraId="5CCFA939" w14:textId="1A15C084" w:rsidR="00560CB5" w:rsidRPr="00950D73" w:rsidRDefault="00560CB5" w:rsidP="00927330">
            <w:pPr>
              <w:spacing w:before="20" w:after="20" w:line="240" w:lineRule="auto"/>
              <w:ind w:left="57" w:right="57"/>
              <w:jc w:val="center"/>
              <w:rPr>
                <w:rFonts w:asciiTheme="majorBidi" w:hAnsiTheme="majorBidi" w:cstheme="majorBidi"/>
                <w:b/>
                <w:bCs/>
                <w:sz w:val="18"/>
                <w:szCs w:val="18"/>
                <w:lang w:val="fr-FR"/>
              </w:rPr>
            </w:pPr>
            <w:r w:rsidRPr="00950D73">
              <w:rPr>
                <w:rFonts w:asciiTheme="majorBidi" w:hAnsiTheme="majorBidi" w:cstheme="majorBidi"/>
                <w:b/>
                <w:sz w:val="18"/>
                <w:szCs w:val="18"/>
                <w:lang w:val="fr-FR"/>
              </w:rPr>
              <w:t xml:space="preserve">Méthode décrite à l’annexe II </w:t>
            </w:r>
          </w:p>
        </w:tc>
        <w:tc>
          <w:tcPr>
            <w:tcW w:w="1149" w:type="dxa"/>
            <w:tcBorders>
              <w:top w:val="single" w:sz="4" w:space="0" w:color="auto"/>
              <w:left w:val="single" w:sz="4" w:space="0" w:color="auto"/>
              <w:bottom w:val="nil"/>
              <w:right w:val="single" w:sz="4" w:space="0" w:color="auto"/>
            </w:tcBorders>
          </w:tcPr>
          <w:p w14:paraId="651CAB31" w14:textId="46C7DF12" w:rsidR="00560CB5" w:rsidRPr="00950D73" w:rsidRDefault="00560CB5" w:rsidP="00927330">
            <w:pPr>
              <w:spacing w:before="20" w:after="20" w:line="240" w:lineRule="auto"/>
              <w:ind w:left="57" w:right="57"/>
              <w:jc w:val="center"/>
              <w:rPr>
                <w:rFonts w:asciiTheme="majorBidi" w:hAnsiTheme="majorBidi" w:cstheme="majorBidi"/>
                <w:sz w:val="18"/>
                <w:szCs w:val="18"/>
                <w:lang w:val="fr-FR"/>
              </w:rPr>
            </w:pPr>
            <w:r w:rsidRPr="00950D73">
              <w:rPr>
                <w:rFonts w:asciiTheme="majorBidi" w:hAnsiTheme="majorBidi" w:cstheme="majorBidi"/>
                <w:b/>
                <w:sz w:val="18"/>
                <w:szCs w:val="18"/>
                <w:lang w:val="fr-FR"/>
              </w:rPr>
              <w:t>Méthode décrite à l’annexe III</w:t>
            </w:r>
          </w:p>
        </w:tc>
        <w:tc>
          <w:tcPr>
            <w:tcW w:w="2029" w:type="dxa"/>
            <w:tcBorders>
              <w:top w:val="single" w:sz="4" w:space="0" w:color="auto"/>
              <w:left w:val="single" w:sz="4" w:space="0" w:color="auto"/>
              <w:bottom w:val="nil"/>
              <w:right w:val="single" w:sz="4" w:space="0" w:color="auto"/>
            </w:tcBorders>
          </w:tcPr>
          <w:p w14:paraId="17E06C71" w14:textId="77777777" w:rsidR="00560CB5" w:rsidRPr="00950D73" w:rsidRDefault="00560CB5"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Méthode décrite à l’annexe 1A</w:t>
            </w:r>
            <w:r w:rsidRPr="00950D73">
              <w:rPr>
                <w:rFonts w:asciiTheme="majorBidi" w:hAnsiTheme="majorBidi" w:cstheme="majorBidi"/>
                <w:b/>
                <w:i/>
                <w:iCs/>
                <w:sz w:val="18"/>
                <w:szCs w:val="18"/>
                <w:vertAlign w:val="superscript"/>
                <w:lang w:val="fr-FR"/>
              </w:rPr>
              <w:t>a</w:t>
            </w:r>
          </w:p>
        </w:tc>
        <w:tc>
          <w:tcPr>
            <w:tcW w:w="1572" w:type="dxa"/>
            <w:tcBorders>
              <w:top w:val="single" w:sz="4" w:space="0" w:color="auto"/>
              <w:left w:val="single" w:sz="4" w:space="0" w:color="auto"/>
              <w:bottom w:val="nil"/>
              <w:right w:val="single" w:sz="4" w:space="0" w:color="auto"/>
            </w:tcBorders>
          </w:tcPr>
          <w:p w14:paraId="17ACE546" w14:textId="0163686A" w:rsidR="00560CB5" w:rsidRPr="00950D73" w:rsidRDefault="00560CB5"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Méthode décrite à l’annexe 1B</w:t>
            </w:r>
            <w:r w:rsidRPr="00950D73">
              <w:rPr>
                <w:rFonts w:asciiTheme="majorBidi" w:hAnsiTheme="majorBidi" w:cstheme="majorBidi"/>
                <w:b/>
                <w:sz w:val="18"/>
                <w:szCs w:val="18"/>
                <w:lang w:val="fr-FR"/>
              </w:rPr>
              <w:br/>
            </w:r>
          </w:p>
        </w:tc>
        <w:tc>
          <w:tcPr>
            <w:tcW w:w="1296" w:type="dxa"/>
            <w:tcBorders>
              <w:top w:val="single" w:sz="4" w:space="0" w:color="auto"/>
              <w:left w:val="single" w:sz="4" w:space="0" w:color="auto"/>
              <w:bottom w:val="nil"/>
              <w:right w:val="single" w:sz="4" w:space="0" w:color="auto"/>
            </w:tcBorders>
          </w:tcPr>
          <w:p w14:paraId="7B532A07" w14:textId="6CB37E56" w:rsidR="00560CB5" w:rsidRPr="00950D73" w:rsidRDefault="00560CB5" w:rsidP="00927330">
            <w:pPr>
              <w:spacing w:before="20" w:after="20" w:line="240" w:lineRule="auto"/>
              <w:ind w:left="57" w:right="57"/>
              <w:jc w:val="center"/>
              <w:rPr>
                <w:rFonts w:asciiTheme="majorBidi" w:hAnsiTheme="majorBidi" w:cstheme="majorBidi"/>
                <w:b/>
                <w:sz w:val="18"/>
                <w:szCs w:val="18"/>
              </w:rPr>
            </w:pPr>
            <w:r w:rsidRPr="00950D73">
              <w:rPr>
                <w:rFonts w:asciiTheme="majorBidi" w:hAnsiTheme="majorBidi" w:cstheme="majorBidi"/>
                <w:b/>
                <w:sz w:val="18"/>
                <w:szCs w:val="18"/>
                <w:lang w:val="fr-FR"/>
              </w:rPr>
              <w:t>Méthode décrite à l’annexe I</w:t>
            </w:r>
          </w:p>
        </w:tc>
        <w:tc>
          <w:tcPr>
            <w:tcW w:w="1560" w:type="dxa"/>
            <w:tcBorders>
              <w:top w:val="single" w:sz="4" w:space="0" w:color="auto"/>
              <w:left w:val="single" w:sz="4" w:space="0" w:color="auto"/>
              <w:bottom w:val="nil"/>
              <w:right w:val="single" w:sz="4" w:space="0" w:color="auto"/>
            </w:tcBorders>
          </w:tcPr>
          <w:p w14:paraId="12EA0346" w14:textId="5EDD08C9" w:rsidR="00560CB5" w:rsidRPr="00950D73" w:rsidRDefault="00560CB5"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Méthode décrite à l’annexe II</w:t>
            </w:r>
            <w:r w:rsidR="00956D48" w:rsidRPr="00950D73">
              <w:rPr>
                <w:rFonts w:asciiTheme="majorBidi" w:hAnsiTheme="majorBidi" w:cstheme="majorBidi"/>
                <w:b/>
                <w:sz w:val="18"/>
                <w:szCs w:val="18"/>
                <w:lang w:val="fr-FR"/>
              </w:rPr>
              <w:br/>
            </w:r>
            <w:r w:rsidRPr="00950D73">
              <w:rPr>
                <w:rFonts w:asciiTheme="majorBidi" w:hAnsiTheme="majorBidi" w:cstheme="majorBidi"/>
                <w:b/>
                <w:sz w:val="18"/>
                <w:szCs w:val="18"/>
                <w:lang w:val="fr-FR"/>
              </w:rPr>
              <w:t xml:space="preserve">Test d’activation </w:t>
            </w:r>
          </w:p>
        </w:tc>
        <w:tc>
          <w:tcPr>
            <w:tcW w:w="1275" w:type="dxa"/>
            <w:tcBorders>
              <w:top w:val="single" w:sz="4" w:space="0" w:color="auto"/>
              <w:left w:val="single" w:sz="4" w:space="0" w:color="auto"/>
              <w:bottom w:val="nil"/>
              <w:right w:val="single" w:sz="4" w:space="0" w:color="auto"/>
            </w:tcBorders>
          </w:tcPr>
          <w:p w14:paraId="427DD51D" w14:textId="530C438D" w:rsidR="00560CB5" w:rsidRPr="00950D73" w:rsidRDefault="00560CB5" w:rsidP="00927330">
            <w:pPr>
              <w:spacing w:before="20" w:after="20" w:line="240" w:lineRule="auto"/>
              <w:ind w:left="57" w:right="57"/>
              <w:jc w:val="center"/>
              <w:rPr>
                <w:rFonts w:asciiTheme="majorBidi" w:hAnsiTheme="majorBidi" w:cstheme="majorBidi"/>
                <w:b/>
                <w:sz w:val="18"/>
                <w:szCs w:val="18"/>
              </w:rPr>
            </w:pPr>
            <w:r w:rsidRPr="00950D73">
              <w:rPr>
                <w:rFonts w:asciiTheme="majorBidi" w:hAnsiTheme="majorBidi" w:cstheme="majorBidi"/>
                <w:b/>
                <w:sz w:val="18"/>
                <w:szCs w:val="18"/>
                <w:lang w:val="fr-FR"/>
              </w:rPr>
              <w:t>Méthode décrite à l’annexe III</w:t>
            </w:r>
          </w:p>
        </w:tc>
        <w:tc>
          <w:tcPr>
            <w:tcW w:w="1310" w:type="dxa"/>
            <w:tcBorders>
              <w:top w:val="single" w:sz="4" w:space="0" w:color="auto"/>
              <w:left w:val="single" w:sz="4" w:space="0" w:color="auto"/>
              <w:bottom w:val="nil"/>
              <w:right w:val="single" w:sz="4" w:space="0" w:color="auto"/>
            </w:tcBorders>
          </w:tcPr>
          <w:p w14:paraId="706582F6" w14:textId="299E2D66" w:rsidR="00560CB5" w:rsidRPr="00950D73" w:rsidRDefault="00560CB5"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Méthode décrite à l’annexe IV</w:t>
            </w:r>
            <w:r w:rsidR="00847F63" w:rsidRPr="00950D73">
              <w:rPr>
                <w:rFonts w:asciiTheme="majorBidi" w:hAnsiTheme="majorBidi" w:cstheme="majorBidi"/>
                <w:b/>
                <w:sz w:val="18"/>
                <w:szCs w:val="18"/>
                <w:lang w:val="fr-FR"/>
              </w:rPr>
              <w:t xml:space="preserve"> </w:t>
            </w:r>
          </w:p>
        </w:tc>
      </w:tr>
      <w:tr w:rsidR="00956D48" w:rsidRPr="00950D73" w14:paraId="53CC0975" w14:textId="77777777" w:rsidTr="00541706">
        <w:trPr>
          <w:trHeight w:val="1492"/>
          <w:tblHeader/>
          <w:jc w:val="center"/>
        </w:trPr>
        <w:tc>
          <w:tcPr>
            <w:tcW w:w="988"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329868C3" w14:textId="77777777" w:rsidR="00956D48" w:rsidRPr="00950D73" w:rsidRDefault="00956D48" w:rsidP="00927330">
            <w:pPr>
              <w:spacing w:before="20" w:after="20" w:line="240" w:lineRule="auto"/>
              <w:ind w:left="-32" w:right="-22"/>
              <w:jc w:val="center"/>
              <w:rPr>
                <w:rFonts w:asciiTheme="majorBidi" w:hAnsiTheme="majorBidi" w:cstheme="majorBidi"/>
                <w:sz w:val="18"/>
                <w:szCs w:val="18"/>
                <w:lang w:val="fr-FR"/>
              </w:rPr>
            </w:pPr>
          </w:p>
        </w:tc>
        <w:tc>
          <w:tcPr>
            <w:tcW w:w="1299"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5CDA6041" w14:textId="77777777" w:rsidR="00956D48" w:rsidRPr="00950D73" w:rsidRDefault="00956D48" w:rsidP="00927330">
            <w:pPr>
              <w:spacing w:before="20" w:after="20" w:line="240" w:lineRule="auto"/>
              <w:ind w:left="57" w:right="57"/>
              <w:jc w:val="center"/>
              <w:rPr>
                <w:rFonts w:asciiTheme="majorBidi" w:hAnsiTheme="majorBidi" w:cstheme="majorBidi"/>
                <w:b/>
                <w:bCs/>
                <w:sz w:val="18"/>
                <w:szCs w:val="18"/>
                <w:lang w:val="fr-FR"/>
              </w:rPr>
            </w:pPr>
            <w:r w:rsidRPr="00950D73">
              <w:rPr>
                <w:rFonts w:asciiTheme="majorBidi" w:hAnsiTheme="majorBidi" w:cstheme="majorBidi"/>
                <w:b/>
                <w:bCs/>
                <w:sz w:val="18"/>
                <w:szCs w:val="18"/>
                <w:lang w:val="fr-FR"/>
              </w:rPr>
              <w:t>Essai de liaison directe sur la réactivité peptidique</w:t>
            </w:r>
          </w:p>
          <w:p w14:paraId="1BF7D9B5" w14:textId="77777777"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bCs/>
                <w:sz w:val="18"/>
                <w:szCs w:val="18"/>
                <w:lang w:val="fr-FR"/>
              </w:rPr>
              <w:t>(DPRA)</w:t>
            </w:r>
            <w:r w:rsidRPr="00950D73">
              <w:rPr>
                <w:rFonts w:asciiTheme="majorBidi" w:hAnsiTheme="majorBidi" w:cstheme="majorBidi"/>
                <w:b/>
                <w:bCs/>
                <w:sz w:val="18"/>
                <w:szCs w:val="18"/>
                <w:vertAlign w:val="superscript"/>
                <w:lang w:val="fr-FR"/>
              </w:rPr>
              <w:t>a</w:t>
            </w:r>
          </w:p>
        </w:tc>
        <w:tc>
          <w:tcPr>
            <w:tcW w:w="1301" w:type="dxa"/>
            <w:tcBorders>
              <w:top w:val="nil"/>
              <w:left w:val="single" w:sz="4" w:space="0" w:color="auto"/>
              <w:bottom w:val="single" w:sz="4" w:space="0" w:color="auto"/>
              <w:right w:val="single" w:sz="4" w:space="0" w:color="auto"/>
            </w:tcBorders>
          </w:tcPr>
          <w:p w14:paraId="0E67B891" w14:textId="77777777"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bCs/>
                <w:sz w:val="18"/>
                <w:szCs w:val="18"/>
                <w:lang w:val="fr-FR"/>
              </w:rPr>
              <w:t>Essai de réactivité à des dérivés d’acides aminés (ADRA)</w:t>
            </w:r>
            <w:r w:rsidRPr="00950D73">
              <w:rPr>
                <w:rFonts w:asciiTheme="majorBidi" w:hAnsiTheme="majorBidi" w:cstheme="majorBidi"/>
                <w:b/>
                <w:bCs/>
                <w:sz w:val="18"/>
                <w:szCs w:val="18"/>
                <w:vertAlign w:val="superscript"/>
                <w:lang w:val="fr-FR"/>
              </w:rPr>
              <w:t>a</w:t>
            </w:r>
          </w:p>
        </w:tc>
        <w:tc>
          <w:tcPr>
            <w:tcW w:w="1149" w:type="dxa"/>
            <w:tcBorders>
              <w:top w:val="nil"/>
              <w:left w:val="single" w:sz="4" w:space="0" w:color="auto"/>
              <w:bottom w:val="single" w:sz="4" w:space="0" w:color="auto"/>
              <w:right w:val="single" w:sz="4" w:space="0" w:color="auto"/>
            </w:tcBorders>
          </w:tcPr>
          <w:p w14:paraId="3C2054EA" w14:textId="0CFBD8B8"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bookmarkStart w:id="36" w:name="_Hlk117081828"/>
            <w:r w:rsidRPr="00950D73">
              <w:rPr>
                <w:rFonts w:asciiTheme="majorBidi" w:hAnsiTheme="majorBidi" w:cstheme="majorBidi"/>
                <w:b/>
                <w:bCs/>
                <w:sz w:val="18"/>
                <w:szCs w:val="18"/>
                <w:lang w:val="fr-FR"/>
              </w:rPr>
              <w:t xml:space="preserve">Essai cinétique de liaison directe sur la réactivité peptidique </w:t>
            </w:r>
            <w:bookmarkEnd w:id="36"/>
            <w:r w:rsidRPr="00950D73">
              <w:rPr>
                <w:rFonts w:asciiTheme="majorBidi" w:hAnsiTheme="majorBidi" w:cstheme="majorBidi"/>
                <w:b/>
                <w:bCs/>
                <w:sz w:val="18"/>
                <w:szCs w:val="18"/>
                <w:lang w:val="fr-FR"/>
              </w:rPr>
              <w:t>(</w:t>
            </w:r>
            <w:proofErr w:type="spellStart"/>
            <w:r w:rsidRPr="00950D73">
              <w:rPr>
                <w:rFonts w:asciiTheme="majorBidi" w:hAnsiTheme="majorBidi" w:cstheme="majorBidi"/>
                <w:b/>
                <w:bCs/>
                <w:sz w:val="18"/>
                <w:szCs w:val="18"/>
                <w:lang w:val="fr-FR"/>
              </w:rPr>
              <w:t>kDPRA</w:t>
            </w:r>
            <w:proofErr w:type="spellEnd"/>
            <w:r w:rsidRPr="00950D73">
              <w:rPr>
                <w:rFonts w:asciiTheme="majorBidi" w:hAnsiTheme="majorBidi" w:cstheme="majorBidi"/>
                <w:b/>
                <w:bCs/>
                <w:sz w:val="18"/>
                <w:szCs w:val="18"/>
                <w:lang w:val="fr-FR"/>
              </w:rPr>
              <w:t>)</w:t>
            </w:r>
            <w:r w:rsidRPr="00950D73">
              <w:rPr>
                <w:rFonts w:asciiTheme="majorBidi" w:hAnsiTheme="majorBidi" w:cstheme="majorBidi"/>
                <w:b/>
                <w:bCs/>
                <w:sz w:val="18"/>
                <w:szCs w:val="18"/>
                <w:vertAlign w:val="superscript"/>
                <w:lang w:val="fr-FR"/>
              </w:rPr>
              <w:t>b</w:t>
            </w:r>
          </w:p>
        </w:tc>
        <w:tc>
          <w:tcPr>
            <w:tcW w:w="2029" w:type="dxa"/>
            <w:tcBorders>
              <w:top w:val="nil"/>
              <w:left w:val="single" w:sz="4" w:space="0" w:color="auto"/>
              <w:bottom w:val="single" w:sz="4" w:space="0" w:color="auto"/>
              <w:right w:val="single" w:sz="4" w:space="0" w:color="auto"/>
            </w:tcBorders>
          </w:tcPr>
          <w:p w14:paraId="3F665E5D" w14:textId="77777777"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p>
        </w:tc>
        <w:tc>
          <w:tcPr>
            <w:tcW w:w="1572" w:type="dxa"/>
            <w:tcBorders>
              <w:top w:val="nil"/>
              <w:left w:val="single" w:sz="4" w:space="0" w:color="auto"/>
              <w:bottom w:val="single" w:sz="4" w:space="0" w:color="auto"/>
              <w:right w:val="single" w:sz="4" w:space="0" w:color="auto"/>
            </w:tcBorders>
          </w:tcPr>
          <w:p w14:paraId="553EE8F4" w14:textId="359A689A" w:rsidR="00956D48" w:rsidRPr="00950D73" w:rsidRDefault="00927330" w:rsidP="00927330">
            <w:pPr>
              <w:spacing w:before="20" w:after="20" w:line="240" w:lineRule="auto"/>
              <w:ind w:left="57" w:right="57"/>
              <w:jc w:val="center"/>
              <w:rPr>
                <w:rFonts w:asciiTheme="majorBidi" w:hAnsiTheme="majorBidi" w:cstheme="majorBidi"/>
                <w:b/>
                <w:sz w:val="18"/>
                <w:szCs w:val="18"/>
                <w:lang w:val="fr-FR"/>
              </w:rPr>
            </w:pPr>
            <w:proofErr w:type="spellStart"/>
            <w:r w:rsidRPr="00950D73">
              <w:rPr>
                <w:rFonts w:asciiTheme="majorBidi" w:hAnsiTheme="majorBidi" w:cstheme="majorBidi"/>
                <w:b/>
                <w:sz w:val="18"/>
                <w:szCs w:val="18"/>
                <w:lang w:val="fr-FR"/>
              </w:rPr>
              <w:t>Lusens</w:t>
            </w:r>
            <w:r w:rsidRPr="00950D73">
              <w:rPr>
                <w:rFonts w:asciiTheme="majorBidi" w:hAnsiTheme="majorBidi" w:cstheme="majorBidi"/>
                <w:b/>
                <w:bCs/>
                <w:i/>
                <w:iCs/>
                <w:sz w:val="18"/>
                <w:szCs w:val="18"/>
                <w:vertAlign w:val="superscript"/>
                <w:lang w:val="fr-FR"/>
              </w:rPr>
              <w:t>a</w:t>
            </w:r>
            <w:proofErr w:type="spellEnd"/>
          </w:p>
        </w:tc>
        <w:tc>
          <w:tcPr>
            <w:tcW w:w="1296" w:type="dxa"/>
            <w:tcBorders>
              <w:top w:val="nil"/>
              <w:left w:val="single" w:sz="4" w:space="0" w:color="auto"/>
              <w:bottom w:val="single" w:sz="4" w:space="0" w:color="auto"/>
              <w:right w:val="single" w:sz="4" w:space="0" w:color="auto"/>
            </w:tcBorders>
          </w:tcPr>
          <w:p w14:paraId="697BCA4E" w14:textId="40F8545F"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 xml:space="preserve">Test d’activation de la lignée cellulaire humaine </w:t>
            </w:r>
            <w:r w:rsidRPr="00950D73">
              <w:rPr>
                <w:rFonts w:asciiTheme="majorBidi" w:hAnsiTheme="majorBidi" w:cstheme="majorBidi"/>
                <w:b/>
                <w:sz w:val="18"/>
                <w:szCs w:val="18"/>
                <w:lang w:val="fr-FR"/>
              </w:rPr>
              <w:br/>
            </w:r>
            <w:r w:rsidRPr="00950D73">
              <w:rPr>
                <w:rFonts w:asciiTheme="majorBidi" w:hAnsiTheme="majorBidi" w:cstheme="majorBidi"/>
                <w:b/>
                <w:sz w:val="18"/>
                <w:szCs w:val="18"/>
              </w:rPr>
              <w:t>(h-CLAT)</w:t>
            </w:r>
            <w:r w:rsidRPr="00950D73">
              <w:rPr>
                <w:rFonts w:asciiTheme="majorBidi" w:hAnsiTheme="majorBidi" w:cstheme="majorBidi"/>
                <w:b/>
                <w:bCs/>
                <w:i/>
                <w:iCs/>
                <w:sz w:val="18"/>
                <w:szCs w:val="18"/>
                <w:vertAlign w:val="superscript"/>
              </w:rPr>
              <w:t>a</w:t>
            </w:r>
          </w:p>
        </w:tc>
        <w:tc>
          <w:tcPr>
            <w:tcW w:w="1560" w:type="dxa"/>
            <w:tcBorders>
              <w:top w:val="nil"/>
              <w:left w:val="single" w:sz="4" w:space="0" w:color="auto"/>
              <w:bottom w:val="single" w:sz="4" w:space="0" w:color="auto"/>
              <w:right w:val="single" w:sz="4" w:space="0" w:color="auto"/>
            </w:tcBorders>
          </w:tcPr>
          <w:p w14:paraId="4D0D013B" w14:textId="77777777"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de la lignée cellulaire U937</w:t>
            </w:r>
            <w:r w:rsidRPr="00950D73">
              <w:rPr>
                <w:rFonts w:asciiTheme="majorBidi" w:hAnsiTheme="majorBidi" w:cstheme="majorBidi"/>
                <w:b/>
                <w:bCs/>
                <w:i/>
                <w:iCs/>
                <w:sz w:val="18"/>
                <w:szCs w:val="18"/>
                <w:vertAlign w:val="superscript"/>
              </w:rPr>
              <w:t>a</w:t>
            </w:r>
          </w:p>
        </w:tc>
        <w:tc>
          <w:tcPr>
            <w:tcW w:w="1275" w:type="dxa"/>
            <w:tcBorders>
              <w:top w:val="nil"/>
              <w:left w:val="single" w:sz="4" w:space="0" w:color="auto"/>
              <w:bottom w:val="single" w:sz="4" w:space="0" w:color="auto"/>
              <w:right w:val="single" w:sz="4" w:space="0" w:color="auto"/>
            </w:tcBorders>
          </w:tcPr>
          <w:p w14:paraId="06F507AF" w14:textId="77777777"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bCs/>
                <w:sz w:val="18"/>
                <w:szCs w:val="18"/>
                <w:lang w:val="fr-FR"/>
              </w:rPr>
              <w:t xml:space="preserve">Interleukine-8 luciférase </w:t>
            </w:r>
            <w:r w:rsidRPr="00950D73">
              <w:rPr>
                <w:rFonts w:asciiTheme="majorBidi" w:hAnsiTheme="majorBidi" w:cstheme="majorBidi"/>
                <w:b/>
                <w:bCs/>
                <w:sz w:val="18"/>
                <w:szCs w:val="18"/>
                <w:lang w:val="fr-FR"/>
              </w:rPr>
              <w:br/>
            </w:r>
            <w:r w:rsidRPr="00950D73">
              <w:rPr>
                <w:rFonts w:asciiTheme="majorBidi" w:hAnsiTheme="majorBidi" w:cstheme="majorBidi"/>
                <w:b/>
                <w:sz w:val="18"/>
                <w:szCs w:val="18"/>
              </w:rPr>
              <w:t>(IL-8 Luc)</w:t>
            </w:r>
            <w:r w:rsidRPr="00950D73">
              <w:rPr>
                <w:rFonts w:asciiTheme="majorBidi" w:hAnsiTheme="majorBidi" w:cstheme="majorBidi"/>
                <w:b/>
                <w:i/>
                <w:iCs/>
                <w:sz w:val="18"/>
                <w:szCs w:val="18"/>
                <w:vertAlign w:val="superscript"/>
              </w:rPr>
              <w:t>a</w:t>
            </w:r>
          </w:p>
        </w:tc>
        <w:tc>
          <w:tcPr>
            <w:tcW w:w="1310" w:type="dxa"/>
            <w:tcBorders>
              <w:top w:val="nil"/>
              <w:left w:val="single" w:sz="4" w:space="0" w:color="auto"/>
              <w:bottom w:val="single" w:sz="4" w:space="0" w:color="auto"/>
              <w:right w:val="single" w:sz="4" w:space="0" w:color="auto"/>
            </w:tcBorders>
          </w:tcPr>
          <w:p w14:paraId="0134707D" w14:textId="77777777" w:rsidR="00956D48" w:rsidRPr="00950D73" w:rsidRDefault="00956D48" w:rsidP="00927330">
            <w:pPr>
              <w:spacing w:before="20" w:after="20" w:line="240" w:lineRule="auto"/>
              <w:ind w:left="57" w:right="57"/>
              <w:jc w:val="center"/>
              <w:rPr>
                <w:rFonts w:asciiTheme="majorBidi" w:hAnsiTheme="majorBidi" w:cstheme="majorBidi"/>
                <w:b/>
                <w:sz w:val="18"/>
                <w:szCs w:val="18"/>
                <w:lang w:val="fr-FR"/>
              </w:rPr>
            </w:pPr>
            <w:r w:rsidRPr="00950D73">
              <w:rPr>
                <w:rFonts w:asciiTheme="majorBidi" w:hAnsiTheme="majorBidi" w:cstheme="majorBidi"/>
                <w:b/>
                <w:sz w:val="18"/>
                <w:szCs w:val="18"/>
                <w:lang w:val="fr-FR"/>
              </w:rPr>
              <w:t xml:space="preserve">Détection génomique rapide des allergènes pour l’évaluation des sensibilisants </w:t>
            </w:r>
            <w:proofErr w:type="spellStart"/>
            <w:r w:rsidRPr="00950D73">
              <w:rPr>
                <w:rFonts w:asciiTheme="majorBidi" w:hAnsiTheme="majorBidi" w:cstheme="majorBidi"/>
                <w:b/>
                <w:sz w:val="18"/>
                <w:szCs w:val="18"/>
                <w:lang w:val="fr-FR"/>
              </w:rPr>
              <w:t>cutanés</w:t>
            </w:r>
            <w:r w:rsidRPr="00950D73">
              <w:rPr>
                <w:rFonts w:asciiTheme="majorBidi" w:hAnsiTheme="majorBidi" w:cstheme="majorBidi"/>
                <w:b/>
                <w:i/>
                <w:iCs/>
                <w:sz w:val="18"/>
                <w:szCs w:val="18"/>
                <w:vertAlign w:val="superscript"/>
                <w:lang w:val="fr-FR"/>
              </w:rPr>
              <w:t>a</w:t>
            </w:r>
            <w:proofErr w:type="spellEnd"/>
            <w:r w:rsidRPr="00950D73">
              <w:rPr>
                <w:rFonts w:asciiTheme="majorBidi" w:hAnsiTheme="majorBidi" w:cstheme="majorBidi"/>
                <w:b/>
                <w:i/>
                <w:iCs/>
                <w:sz w:val="18"/>
                <w:szCs w:val="18"/>
                <w:vertAlign w:val="superscript"/>
                <w:lang w:val="fr-FR"/>
              </w:rPr>
              <w:t xml:space="preserve"> </w:t>
            </w:r>
          </w:p>
        </w:tc>
      </w:tr>
      <w:tr w:rsidR="00560CB5" w:rsidRPr="00950D73" w14:paraId="5E93464F" w14:textId="77777777" w:rsidTr="00542896">
        <w:trPr>
          <w:trHeight w:val="2076"/>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1C68D46" w14:textId="77777777" w:rsidR="00560CB5" w:rsidRPr="00950D73" w:rsidRDefault="00560CB5" w:rsidP="008D05B9">
            <w:pPr>
              <w:spacing w:before="20" w:after="20" w:line="240" w:lineRule="auto"/>
              <w:ind w:left="-32" w:right="-22"/>
              <w:jc w:val="center"/>
              <w:rPr>
                <w:rFonts w:asciiTheme="majorBidi" w:hAnsiTheme="majorBidi" w:cstheme="majorBidi"/>
                <w:sz w:val="18"/>
                <w:szCs w:val="18"/>
                <w:lang w:val="fr-FR"/>
              </w:rPr>
            </w:pPr>
          </w:p>
        </w:tc>
        <w:tc>
          <w:tcPr>
            <w:tcW w:w="3749"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9265FF2" w14:textId="77777777" w:rsidR="00560CB5" w:rsidRPr="00950D73" w:rsidRDefault="00560CB5" w:rsidP="00927330">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 xml:space="preserve">Méthodes : méthodes </w:t>
            </w:r>
            <w:r w:rsidRPr="00950D73">
              <w:rPr>
                <w:rFonts w:asciiTheme="majorBidi" w:hAnsiTheme="majorBidi" w:cstheme="majorBidi"/>
                <w:i/>
                <w:iCs/>
                <w:sz w:val="18"/>
                <w:szCs w:val="18"/>
                <w:lang w:val="fr-FR"/>
              </w:rPr>
              <w:t xml:space="preserve">in </w:t>
            </w:r>
            <w:proofErr w:type="spellStart"/>
            <w:r w:rsidRPr="00950D73">
              <w:rPr>
                <w:rFonts w:asciiTheme="majorBidi" w:hAnsiTheme="majorBidi" w:cstheme="majorBidi"/>
                <w:i/>
                <w:iCs/>
                <w:sz w:val="18"/>
                <w:szCs w:val="18"/>
                <w:lang w:val="fr-FR"/>
              </w:rPr>
              <w:t>chemico</w:t>
            </w:r>
            <w:proofErr w:type="spellEnd"/>
            <w:r w:rsidRPr="00950D73">
              <w:rPr>
                <w:rFonts w:asciiTheme="majorBidi" w:hAnsiTheme="majorBidi" w:cstheme="majorBidi"/>
                <w:i/>
                <w:iCs/>
                <w:sz w:val="18"/>
                <w:szCs w:val="18"/>
                <w:lang w:val="fr-FR"/>
              </w:rPr>
              <w:t xml:space="preserve"> </w:t>
            </w:r>
            <w:r w:rsidRPr="00950D73">
              <w:rPr>
                <w:rFonts w:asciiTheme="majorBidi" w:hAnsiTheme="majorBidi" w:cstheme="majorBidi"/>
                <w:sz w:val="18"/>
                <w:szCs w:val="18"/>
                <w:lang w:val="fr-FR"/>
              </w:rPr>
              <w:t>utilisant le processus d’</w:t>
            </w:r>
            <w:proofErr w:type="spellStart"/>
            <w:r w:rsidRPr="00950D73">
              <w:rPr>
                <w:rFonts w:asciiTheme="majorBidi" w:hAnsiTheme="majorBidi" w:cstheme="majorBidi"/>
                <w:sz w:val="18"/>
                <w:szCs w:val="18"/>
                <w:lang w:val="fr-FR"/>
              </w:rPr>
              <w:t>hapténisation</w:t>
            </w:r>
            <w:proofErr w:type="spellEnd"/>
            <w:r w:rsidRPr="00950D73">
              <w:rPr>
                <w:rFonts w:asciiTheme="majorBidi" w:hAnsiTheme="majorBidi" w:cstheme="majorBidi"/>
                <w:sz w:val="18"/>
                <w:szCs w:val="18"/>
                <w:lang w:val="fr-FR"/>
              </w:rPr>
              <w:t xml:space="preserve"> en quantifiant la réactivité des produits chimiques testés vis-à-vis de peptides synthétiques modèles contenant de la lysine ou de la cystéine (DPRA et </w:t>
            </w:r>
            <w:proofErr w:type="spellStart"/>
            <w:r w:rsidRPr="00950D73">
              <w:rPr>
                <w:rFonts w:asciiTheme="majorBidi" w:hAnsiTheme="majorBidi" w:cstheme="majorBidi"/>
                <w:sz w:val="18"/>
                <w:szCs w:val="18"/>
                <w:lang w:val="fr-FR"/>
              </w:rPr>
              <w:t>kDPRA</w:t>
            </w:r>
            <w:proofErr w:type="spellEnd"/>
            <w:r w:rsidRPr="00950D73">
              <w:rPr>
                <w:rFonts w:asciiTheme="majorBidi" w:hAnsiTheme="majorBidi" w:cstheme="majorBidi"/>
                <w:sz w:val="18"/>
                <w:szCs w:val="18"/>
                <w:lang w:val="fr-FR"/>
              </w:rPr>
              <w:t xml:space="preserve">) ou vis-à-vis de dérivés d’acides aminés synthétiques modèles contenant de la N-(2-(1-naphtyl) </w:t>
            </w:r>
            <w:proofErr w:type="spellStart"/>
            <w:r w:rsidRPr="00950D73">
              <w:rPr>
                <w:rFonts w:asciiTheme="majorBidi" w:hAnsiTheme="majorBidi" w:cstheme="majorBidi"/>
                <w:sz w:val="18"/>
                <w:szCs w:val="18"/>
                <w:lang w:val="fr-FR"/>
              </w:rPr>
              <w:t>acétyl</w:t>
            </w:r>
            <w:proofErr w:type="spellEnd"/>
            <w:r w:rsidRPr="00950D73">
              <w:rPr>
                <w:rFonts w:asciiTheme="majorBidi" w:hAnsiTheme="majorBidi" w:cstheme="majorBidi"/>
                <w:sz w:val="18"/>
                <w:szCs w:val="18"/>
                <w:lang w:val="fr-FR"/>
              </w:rPr>
              <w:t>)-L-cystéine (NAC) ou de l’</w:t>
            </w:r>
            <w:r w:rsidRPr="00950D73">
              <w:rPr>
                <w:rFonts w:asciiTheme="majorBidi" w:hAnsiTheme="majorBidi" w:cstheme="majorBidi"/>
                <w:sz w:val="18"/>
                <w:szCs w:val="18"/>
              </w:rPr>
              <w:t>α</w:t>
            </w:r>
            <w:r w:rsidRPr="00950D73">
              <w:rPr>
                <w:rFonts w:asciiTheme="majorBidi" w:hAnsiTheme="majorBidi" w:cstheme="majorBidi"/>
                <w:sz w:val="18"/>
                <w:szCs w:val="18"/>
                <w:lang w:val="fr-FR"/>
              </w:rPr>
              <w:t xml:space="preserve">-N-(2-(1-naphtyl) </w:t>
            </w:r>
            <w:proofErr w:type="spellStart"/>
            <w:r w:rsidRPr="00950D73">
              <w:rPr>
                <w:rFonts w:asciiTheme="majorBidi" w:hAnsiTheme="majorBidi" w:cstheme="majorBidi"/>
                <w:sz w:val="18"/>
                <w:szCs w:val="18"/>
                <w:lang w:val="fr-FR"/>
              </w:rPr>
              <w:t>acétyl</w:t>
            </w:r>
            <w:proofErr w:type="spellEnd"/>
            <w:r w:rsidRPr="00950D73">
              <w:rPr>
                <w:rFonts w:asciiTheme="majorBidi" w:hAnsiTheme="majorBidi" w:cstheme="majorBidi"/>
                <w:sz w:val="18"/>
                <w:szCs w:val="18"/>
                <w:lang w:val="fr-FR"/>
              </w:rPr>
              <w:t xml:space="preserve">)-L-lysine (NAL) (ADRA). </w:t>
            </w:r>
          </w:p>
          <w:p w14:paraId="203B77A8" w14:textId="77777777" w:rsidR="00560CB5" w:rsidRPr="00950D73" w:rsidRDefault="00560CB5" w:rsidP="00927330">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 xml:space="preserve">Les critères sont fondés sur la moyenne du pourcentage de déplétion des peptides de cystéine et de lysine (DPRA), les </w:t>
            </w:r>
            <w:r w:rsidRPr="00950D73">
              <w:rPr>
                <w:rFonts w:asciiTheme="majorBidi" w:hAnsiTheme="majorBidi" w:cstheme="majorBidi"/>
                <w:bCs/>
                <w:sz w:val="18"/>
                <w:szCs w:val="18"/>
                <w:lang w:val="fr-FR"/>
              </w:rPr>
              <w:t xml:space="preserve">taux </w:t>
            </w:r>
            <w:r w:rsidRPr="00950D73">
              <w:rPr>
                <w:rFonts w:asciiTheme="majorBidi" w:hAnsiTheme="majorBidi" w:cstheme="majorBidi"/>
                <w:sz w:val="18"/>
                <w:szCs w:val="18"/>
                <w:lang w:val="fr-FR"/>
              </w:rPr>
              <w:t xml:space="preserve">cinétiques </w:t>
            </w:r>
            <w:r w:rsidRPr="00950D73">
              <w:rPr>
                <w:rFonts w:asciiTheme="majorBidi" w:hAnsiTheme="majorBidi" w:cstheme="majorBidi"/>
                <w:bCs/>
                <w:sz w:val="18"/>
                <w:szCs w:val="18"/>
                <w:lang w:val="fr-FR"/>
              </w:rPr>
              <w:t xml:space="preserve">de </w:t>
            </w:r>
            <w:r w:rsidRPr="00950D73">
              <w:rPr>
                <w:rFonts w:asciiTheme="majorBidi" w:hAnsiTheme="majorBidi" w:cstheme="majorBidi"/>
                <w:sz w:val="18"/>
                <w:szCs w:val="18"/>
                <w:lang w:val="fr-FR"/>
              </w:rPr>
              <w:t xml:space="preserve">déplétion de la </w:t>
            </w:r>
            <w:r w:rsidRPr="00950D73">
              <w:rPr>
                <w:rFonts w:asciiTheme="majorBidi" w:hAnsiTheme="majorBidi" w:cstheme="majorBidi"/>
                <w:bCs/>
                <w:sz w:val="18"/>
                <w:szCs w:val="18"/>
                <w:lang w:val="fr-FR"/>
              </w:rPr>
              <w:t xml:space="preserve">cystéine </w:t>
            </w:r>
            <w:r w:rsidRPr="00950D73">
              <w:rPr>
                <w:rFonts w:asciiTheme="majorBidi" w:hAnsiTheme="majorBidi" w:cstheme="majorBidi"/>
                <w:sz w:val="18"/>
                <w:szCs w:val="18"/>
                <w:lang w:val="fr-FR"/>
              </w:rPr>
              <w:t>(</w:t>
            </w:r>
            <w:proofErr w:type="spellStart"/>
            <w:r w:rsidRPr="00950D73">
              <w:rPr>
                <w:rFonts w:asciiTheme="majorBidi" w:hAnsiTheme="majorBidi" w:cstheme="majorBidi"/>
                <w:sz w:val="18"/>
                <w:szCs w:val="18"/>
                <w:lang w:val="fr-FR"/>
              </w:rPr>
              <w:t>kDPRA</w:t>
            </w:r>
            <w:proofErr w:type="spellEnd"/>
            <w:r w:rsidRPr="00950D73">
              <w:rPr>
                <w:rFonts w:asciiTheme="majorBidi" w:hAnsiTheme="majorBidi" w:cstheme="majorBidi"/>
                <w:sz w:val="18"/>
                <w:szCs w:val="18"/>
                <w:lang w:val="fr-FR"/>
              </w:rPr>
              <w:t>) et la valeur moyenne du pourcentage de déplétion de la NAC et de la NAL (ADRA). Des modèles de prédiction fondés sur la valeur de déplétion en pourcentage de la cystéine ou de la NAC uniquement, dans le cas où le peptide de lysine ou la NAL n’ayant pas réagi ne peut pas être mesuré de manière fiable, peuvent être appliqués pour la DPRA et l’ADRA.</w:t>
            </w:r>
          </w:p>
        </w:tc>
        <w:tc>
          <w:tcPr>
            <w:tcW w:w="3601" w:type="dxa"/>
            <w:gridSpan w:val="2"/>
            <w:tcBorders>
              <w:top w:val="single" w:sz="4" w:space="0" w:color="auto"/>
              <w:left w:val="single" w:sz="4" w:space="0" w:color="auto"/>
              <w:bottom w:val="single" w:sz="4" w:space="0" w:color="auto"/>
              <w:right w:val="single" w:sz="4" w:space="0" w:color="auto"/>
            </w:tcBorders>
          </w:tcPr>
          <w:p w14:paraId="246A34B9" w14:textId="77777777" w:rsidR="00560CB5" w:rsidRPr="00950D73" w:rsidRDefault="00560CB5" w:rsidP="00927330">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Méthodes : méthodes cellulaires utilisant le processus d’activation des kératinocytes, en évaluant, à l’aide de la luciférase, l’activation des gènes dépendant de l’élément de réaction antioxydant (ARE) causée par le facteur de transcription Nrf2 (</w:t>
            </w:r>
            <w:proofErr w:type="spellStart"/>
            <w:r w:rsidRPr="00950D73">
              <w:rPr>
                <w:rFonts w:asciiTheme="majorBidi" w:hAnsiTheme="majorBidi" w:cstheme="majorBidi"/>
                <w:sz w:val="18"/>
                <w:szCs w:val="18"/>
                <w:lang w:val="fr-FR"/>
              </w:rPr>
              <w:t>nuclear</w:t>
            </w:r>
            <w:proofErr w:type="spellEnd"/>
            <w:r w:rsidRPr="00950D73">
              <w:rPr>
                <w:rFonts w:asciiTheme="majorBidi" w:hAnsiTheme="majorBidi" w:cstheme="majorBidi"/>
                <w:sz w:val="18"/>
                <w:szCs w:val="18"/>
                <w:lang w:val="fr-FR"/>
              </w:rPr>
              <w:t xml:space="preserve"> factor (</w:t>
            </w:r>
            <w:proofErr w:type="spellStart"/>
            <w:r w:rsidRPr="00950D73">
              <w:rPr>
                <w:rFonts w:asciiTheme="majorBidi" w:hAnsiTheme="majorBidi" w:cstheme="majorBidi"/>
                <w:sz w:val="18"/>
                <w:szCs w:val="18"/>
                <w:lang w:val="fr-FR"/>
              </w:rPr>
              <w:t>erythroid-derived</w:t>
            </w:r>
            <w:proofErr w:type="spellEnd"/>
            <w:r w:rsidRPr="00950D73">
              <w:rPr>
                <w:rFonts w:asciiTheme="majorBidi" w:hAnsiTheme="majorBidi" w:cstheme="majorBidi"/>
                <w:sz w:val="18"/>
                <w:szCs w:val="18"/>
                <w:lang w:val="fr-FR"/>
              </w:rPr>
              <w:t xml:space="preserve"> 2)-like 2) après exposition des cellules au produit chimique testé.</w:t>
            </w:r>
          </w:p>
          <w:p w14:paraId="19756062" w14:textId="77777777" w:rsidR="00560CB5" w:rsidRPr="00950D73" w:rsidRDefault="00560CB5" w:rsidP="00927330">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 xml:space="preserve">La viabilité cellulaire est mesurée quantitativement en parallèle par conversion enzymatique du colorant bromure de 3-(4,5-diméthylthiazol-2-yl)-2,5-diphényltétrazolium (MTT). </w:t>
            </w:r>
          </w:p>
          <w:p w14:paraId="46FF5027" w14:textId="77777777" w:rsidR="00560CB5" w:rsidRPr="00950D73" w:rsidRDefault="00560CB5" w:rsidP="00927330">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 xml:space="preserve">Les critères reposent sur l’induction du gène de la luciférase au-dessus d’un seuil donné, quantifié à des concentrations </w:t>
            </w:r>
            <w:proofErr w:type="spellStart"/>
            <w:r w:rsidRPr="00950D73">
              <w:rPr>
                <w:rFonts w:asciiTheme="majorBidi" w:hAnsiTheme="majorBidi" w:cstheme="majorBidi"/>
                <w:sz w:val="18"/>
                <w:szCs w:val="18"/>
                <w:lang w:val="fr-FR"/>
              </w:rPr>
              <w:t>subtoxiques</w:t>
            </w:r>
            <w:proofErr w:type="spellEnd"/>
            <w:r w:rsidRPr="00950D73">
              <w:rPr>
                <w:rFonts w:asciiTheme="majorBidi" w:hAnsiTheme="majorBidi" w:cstheme="majorBidi"/>
                <w:sz w:val="18"/>
                <w:szCs w:val="18"/>
                <w:lang w:val="fr-FR"/>
              </w:rPr>
              <w:t>. Les critères doivent être remplis dans 2 répétitions sur 2 ou dans 2 répétitions sur 3.</w:t>
            </w:r>
          </w:p>
        </w:tc>
        <w:tc>
          <w:tcPr>
            <w:tcW w:w="5441" w:type="dxa"/>
            <w:gridSpan w:val="4"/>
            <w:tcBorders>
              <w:top w:val="single" w:sz="4" w:space="0" w:color="auto"/>
              <w:left w:val="single" w:sz="4" w:space="0" w:color="auto"/>
              <w:bottom w:val="single" w:sz="4" w:space="0" w:color="auto"/>
              <w:right w:val="single" w:sz="4" w:space="0" w:color="auto"/>
            </w:tcBorders>
          </w:tcPr>
          <w:p w14:paraId="4BB2C15F" w14:textId="77777777" w:rsidR="00560CB5" w:rsidRPr="00950D73" w:rsidRDefault="00560CB5" w:rsidP="00927330">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Méthodes : méthodes cellulaires utilisant le processus d’activation des monocytes ou des cellules dendritiques, soit en quantifiant la modification de l’expression d’un ou plusieurs marqueurs de surface cellulaire (par exemple, le groupe de différenciation 54 (CD54), le groupe de différenciation 86 (CD86)), soit la modification de l’expression de l’IL-8, soit les schémas transcriptionnels d’une signature génomique de biomarqueur spécifique du point final, après exposition des cellules au produit chimique testé.</w:t>
            </w:r>
          </w:p>
          <w:p w14:paraId="23B1298A" w14:textId="77777777" w:rsidR="00560CB5" w:rsidRPr="00950D73" w:rsidRDefault="00560CB5" w:rsidP="00927330">
            <w:pPr>
              <w:spacing w:before="20" w:after="20" w:line="240" w:lineRule="auto"/>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Les critères doivent être respectés dans 2 répétitions sur 2 ou dans au moins 2 répétitions sur 3 pour les méthodes d’essai décrites aux annexes I, II et III ou dans 3 répétitions biologiques valides pour la méthode d’essai décrite à l’annexe IV.</w:t>
            </w:r>
          </w:p>
        </w:tc>
      </w:tr>
    </w:tbl>
    <w:p w14:paraId="574F509D" w14:textId="1913F6D4" w:rsidR="000A46F2" w:rsidRPr="00950D73" w:rsidRDefault="000A46F2" w:rsidP="00542896">
      <w:pPr>
        <w:pStyle w:val="SingleTxtG"/>
        <w:keepNext/>
        <w:keepLines/>
        <w:spacing w:after="40" w:line="240" w:lineRule="auto"/>
        <w:ind w:left="2268" w:hanging="1134"/>
        <w:jc w:val="center"/>
        <w:rPr>
          <w:rFonts w:asciiTheme="majorBidi" w:hAnsiTheme="majorBidi" w:cstheme="majorBidi"/>
          <w:lang w:val="fr-FR"/>
        </w:rPr>
      </w:pPr>
      <w:r w:rsidRPr="00950D73">
        <w:rPr>
          <w:rFonts w:asciiTheme="majorBidi" w:hAnsiTheme="majorBidi" w:cstheme="majorBidi"/>
          <w:b/>
          <w:bCs/>
          <w:lang w:val="fr-FR"/>
        </w:rPr>
        <w:t xml:space="preserve">Tableau 3.4.8 : Critères pour les différentes méthodes </w:t>
      </w:r>
      <w:r w:rsidRPr="00950D73">
        <w:rPr>
          <w:rFonts w:asciiTheme="majorBidi" w:hAnsiTheme="majorBidi" w:cstheme="majorBidi"/>
          <w:b/>
          <w:bCs/>
          <w:i/>
          <w:lang w:val="fr-FR"/>
        </w:rPr>
        <w:t xml:space="preserve">in </w:t>
      </w:r>
      <w:proofErr w:type="spellStart"/>
      <w:r w:rsidRPr="00950D73">
        <w:rPr>
          <w:rFonts w:asciiTheme="majorBidi" w:hAnsiTheme="majorBidi" w:cstheme="majorBidi"/>
          <w:b/>
          <w:bCs/>
          <w:i/>
          <w:lang w:val="fr-FR"/>
        </w:rPr>
        <w:t>chemico</w:t>
      </w:r>
      <w:proofErr w:type="spellEnd"/>
      <w:r w:rsidRPr="00950D73">
        <w:rPr>
          <w:rFonts w:asciiTheme="majorBidi" w:hAnsiTheme="majorBidi" w:cstheme="majorBidi"/>
          <w:b/>
          <w:bCs/>
          <w:i/>
          <w:lang w:val="fr-FR"/>
        </w:rPr>
        <w:t>/</w:t>
      </w:r>
      <w:r w:rsidRPr="00950D73">
        <w:rPr>
          <w:rFonts w:asciiTheme="majorBidi" w:hAnsiTheme="majorBidi" w:cstheme="majorBidi"/>
          <w:b/>
          <w:bCs/>
          <w:iCs/>
          <w:lang w:val="fr-FR"/>
        </w:rPr>
        <w:t>in vitro</w:t>
      </w:r>
      <w:r w:rsidRPr="00950D73">
        <w:rPr>
          <w:rFonts w:asciiTheme="majorBidi" w:hAnsiTheme="majorBidi" w:cstheme="majorBidi"/>
          <w:b/>
          <w:bCs/>
          <w:i/>
          <w:lang w:val="fr-FR"/>
        </w:rPr>
        <w:t xml:space="preserve"> (suite)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1"/>
        <w:gridCol w:w="1442"/>
        <w:gridCol w:w="1349"/>
        <w:gridCol w:w="1170"/>
        <w:gridCol w:w="2065"/>
        <w:gridCol w:w="1600"/>
        <w:gridCol w:w="1319"/>
        <w:gridCol w:w="1588"/>
        <w:gridCol w:w="1298"/>
        <w:gridCol w:w="1333"/>
      </w:tblGrid>
      <w:tr w:rsidR="000A46F2" w:rsidRPr="00950D73" w14:paraId="078294D8" w14:textId="77777777" w:rsidTr="00542896">
        <w:trPr>
          <w:trHeight w:val="135"/>
          <w:tblHeader/>
          <w:jc w:val="center"/>
        </w:trPr>
        <w:tc>
          <w:tcPr>
            <w:tcW w:w="993"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60BCD2C2" w14:textId="77777777" w:rsidR="000A46F2" w:rsidRPr="00950D73" w:rsidRDefault="000A46F2" w:rsidP="00542896">
            <w:pPr>
              <w:keepNext/>
              <w:keepLines/>
              <w:spacing w:before="20" w:after="20" w:line="240" w:lineRule="auto"/>
              <w:ind w:right="-52"/>
              <w:rPr>
                <w:rFonts w:asciiTheme="majorBidi" w:hAnsiTheme="majorBidi" w:cstheme="majorBidi"/>
                <w:b/>
                <w:bCs/>
                <w:sz w:val="16"/>
                <w:szCs w:val="16"/>
              </w:rPr>
            </w:pPr>
            <w:r w:rsidRPr="00950D73">
              <w:rPr>
                <w:rFonts w:asciiTheme="majorBidi" w:hAnsiTheme="majorBidi" w:cstheme="majorBidi"/>
                <w:b/>
                <w:bCs/>
                <w:sz w:val="16"/>
                <w:szCs w:val="16"/>
              </w:rPr>
              <w:t>Catégorie</w:t>
            </w:r>
          </w:p>
        </w:tc>
        <w:tc>
          <w:tcPr>
            <w:tcW w:w="3891" w:type="dxa"/>
            <w:gridSpan w:val="3"/>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46EE42C1" w14:textId="77777777" w:rsidR="000A46F2" w:rsidRPr="00950D73" w:rsidRDefault="000A46F2"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Ligne directrice 442C de l’OCDE </w:t>
            </w:r>
          </w:p>
        </w:tc>
        <w:tc>
          <w:tcPr>
            <w:tcW w:w="3601" w:type="dxa"/>
            <w:gridSpan w:val="2"/>
            <w:tcBorders>
              <w:top w:val="single" w:sz="4" w:space="0" w:color="auto"/>
              <w:left w:val="single" w:sz="4" w:space="0" w:color="auto"/>
              <w:bottom w:val="nil"/>
              <w:right w:val="single" w:sz="4" w:space="0" w:color="auto"/>
            </w:tcBorders>
          </w:tcPr>
          <w:p w14:paraId="3D83BDA1" w14:textId="77777777" w:rsidR="000A46F2" w:rsidRPr="00950D73" w:rsidRDefault="000A46F2"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Ligne directrice 442D de l’OCDE</w:t>
            </w:r>
          </w:p>
        </w:tc>
        <w:tc>
          <w:tcPr>
            <w:tcW w:w="5441" w:type="dxa"/>
            <w:gridSpan w:val="4"/>
            <w:tcBorders>
              <w:top w:val="single" w:sz="4" w:space="0" w:color="auto"/>
              <w:left w:val="single" w:sz="4" w:space="0" w:color="auto"/>
              <w:bottom w:val="nil"/>
              <w:right w:val="single" w:sz="4" w:space="0" w:color="auto"/>
            </w:tcBorders>
          </w:tcPr>
          <w:p w14:paraId="020EA953" w14:textId="77777777" w:rsidR="000A46F2" w:rsidRPr="00950D73" w:rsidRDefault="000A46F2"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Ligne directrice 442E de l’OCDE</w:t>
            </w:r>
          </w:p>
        </w:tc>
      </w:tr>
      <w:tr w:rsidR="000A46F2" w:rsidRPr="00950D73" w14:paraId="7FD58451" w14:textId="77777777" w:rsidTr="00541706">
        <w:trPr>
          <w:trHeight w:val="1083"/>
          <w:tblHeader/>
          <w:jc w:val="center"/>
        </w:trPr>
        <w:tc>
          <w:tcPr>
            <w:tcW w:w="993" w:type="dxa"/>
            <w:tcBorders>
              <w:top w:val="nil"/>
              <w:left w:val="single" w:sz="4" w:space="0" w:color="auto"/>
              <w:bottom w:val="nil"/>
              <w:right w:val="single" w:sz="4" w:space="0" w:color="auto"/>
            </w:tcBorders>
            <w:tcMar>
              <w:top w:w="57" w:type="dxa"/>
              <w:left w:w="57" w:type="dxa"/>
              <w:bottom w:w="57" w:type="dxa"/>
              <w:right w:w="57" w:type="dxa"/>
            </w:tcMar>
          </w:tcPr>
          <w:p w14:paraId="3794E515" w14:textId="77777777" w:rsidR="000A46F2" w:rsidRPr="00950D73" w:rsidRDefault="000A46F2" w:rsidP="00070AB0">
            <w:pPr>
              <w:spacing w:before="20" w:after="20" w:line="240" w:lineRule="auto"/>
              <w:ind w:right="-52"/>
              <w:rPr>
                <w:rFonts w:asciiTheme="majorBidi" w:hAnsiTheme="majorBidi" w:cstheme="majorBidi"/>
                <w:b/>
                <w:bCs/>
                <w:sz w:val="16"/>
                <w:szCs w:val="16"/>
              </w:rPr>
            </w:pPr>
          </w:p>
        </w:tc>
        <w:tc>
          <w:tcPr>
            <w:tcW w:w="3891"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14:paraId="66253374" w14:textId="77777777" w:rsidR="000A46F2" w:rsidRPr="00950D73" w:rsidRDefault="000A46F2" w:rsidP="00070AB0">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Ligne directrice fondée sur les événements clés pour les essais de sensibilisation cutanée </w:t>
            </w:r>
            <w:r w:rsidRPr="00950D73">
              <w:rPr>
                <w:rFonts w:asciiTheme="majorBidi" w:hAnsiTheme="majorBidi" w:cstheme="majorBidi"/>
                <w:b/>
                <w:i/>
                <w:sz w:val="16"/>
                <w:szCs w:val="16"/>
                <w:lang w:val="fr-FR"/>
              </w:rPr>
              <w:t>in </w:t>
            </w:r>
            <w:proofErr w:type="spellStart"/>
            <w:r w:rsidRPr="00950D73">
              <w:rPr>
                <w:rFonts w:asciiTheme="majorBidi" w:hAnsiTheme="majorBidi" w:cstheme="majorBidi"/>
                <w:b/>
                <w:i/>
                <w:sz w:val="16"/>
                <w:szCs w:val="16"/>
                <w:lang w:val="fr-FR"/>
              </w:rPr>
              <w:t>chemico</w:t>
            </w:r>
            <w:proofErr w:type="spellEnd"/>
            <w:r w:rsidRPr="00950D73">
              <w:rPr>
                <w:rFonts w:asciiTheme="majorBidi" w:hAnsiTheme="majorBidi" w:cstheme="majorBidi"/>
                <w:b/>
                <w:sz w:val="16"/>
                <w:szCs w:val="16"/>
                <w:lang w:val="fr-FR"/>
              </w:rPr>
              <w:t xml:space="preserve"> portant sur l’événement clé relatif </w:t>
            </w:r>
            <w:r w:rsidRPr="00950D73">
              <w:rPr>
                <w:rFonts w:asciiTheme="majorBidi" w:hAnsiTheme="majorBidi" w:cstheme="majorBidi"/>
                <w:b/>
                <w:sz w:val="16"/>
                <w:szCs w:val="16"/>
                <w:lang w:val="fr-FR"/>
              </w:rPr>
              <w:br/>
              <w:t>à l’établissement d’une liaison covalente avec les protéines, dans la voie toxicologique impliquée dans les effets indésirables</w:t>
            </w:r>
          </w:p>
        </w:tc>
        <w:tc>
          <w:tcPr>
            <w:tcW w:w="3601" w:type="dxa"/>
            <w:gridSpan w:val="2"/>
            <w:tcBorders>
              <w:top w:val="nil"/>
              <w:left w:val="single" w:sz="4" w:space="0" w:color="auto"/>
              <w:bottom w:val="single" w:sz="4" w:space="0" w:color="auto"/>
              <w:right w:val="single" w:sz="4" w:space="0" w:color="auto"/>
            </w:tcBorders>
          </w:tcPr>
          <w:p w14:paraId="3C33DC15" w14:textId="77777777" w:rsidR="000A46F2" w:rsidRPr="00950D73" w:rsidRDefault="000A46F2" w:rsidP="00070AB0">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Ligne directrice fondée sur les événements clés pour les essais de sensibilisation cutanée </w:t>
            </w:r>
            <w:r w:rsidRPr="00950D73">
              <w:rPr>
                <w:rFonts w:asciiTheme="majorBidi" w:hAnsiTheme="majorBidi" w:cstheme="majorBidi"/>
                <w:b/>
                <w:iCs/>
                <w:sz w:val="16"/>
                <w:szCs w:val="16"/>
                <w:lang w:val="fr-FR"/>
              </w:rPr>
              <w:t>in vitro</w:t>
            </w:r>
            <w:r w:rsidRPr="00950D73">
              <w:rPr>
                <w:rFonts w:asciiTheme="majorBidi" w:hAnsiTheme="majorBidi" w:cstheme="majorBidi"/>
                <w:b/>
                <w:i/>
                <w:sz w:val="16"/>
                <w:szCs w:val="16"/>
                <w:lang w:val="fr-FR"/>
              </w:rPr>
              <w:t xml:space="preserve"> </w:t>
            </w:r>
            <w:r w:rsidRPr="00950D73">
              <w:rPr>
                <w:rFonts w:asciiTheme="majorBidi" w:hAnsiTheme="majorBidi" w:cstheme="majorBidi"/>
                <w:b/>
                <w:sz w:val="16"/>
                <w:szCs w:val="16"/>
                <w:lang w:val="fr-FR"/>
              </w:rPr>
              <w:t xml:space="preserve">portant sur l’événement clé relatif </w:t>
            </w:r>
            <w:r w:rsidRPr="00950D73">
              <w:rPr>
                <w:rFonts w:asciiTheme="majorBidi" w:hAnsiTheme="majorBidi" w:cstheme="majorBidi"/>
                <w:b/>
                <w:sz w:val="16"/>
                <w:szCs w:val="16"/>
                <w:lang w:val="fr-FR"/>
              </w:rPr>
              <w:br/>
              <w:t xml:space="preserve">à l’activation des kératinocytes </w:t>
            </w:r>
            <w:r w:rsidRPr="00950D73">
              <w:rPr>
                <w:rFonts w:asciiTheme="majorBidi" w:hAnsiTheme="majorBidi" w:cstheme="majorBidi"/>
                <w:b/>
                <w:sz w:val="16"/>
                <w:szCs w:val="16"/>
                <w:lang w:val="fr-FR"/>
              </w:rPr>
              <w:br/>
              <w:t xml:space="preserve">dans la voie toxicologique impliquée </w:t>
            </w:r>
            <w:r w:rsidRPr="00950D73">
              <w:rPr>
                <w:rFonts w:asciiTheme="majorBidi" w:hAnsiTheme="majorBidi" w:cstheme="majorBidi"/>
                <w:b/>
                <w:sz w:val="16"/>
                <w:szCs w:val="16"/>
                <w:lang w:val="fr-FR"/>
              </w:rPr>
              <w:br/>
              <w:t>dans les effets indésirables</w:t>
            </w:r>
            <w:r w:rsidRPr="00950D73">
              <w:rPr>
                <w:rFonts w:asciiTheme="majorBidi" w:hAnsiTheme="majorBidi" w:cstheme="majorBidi"/>
                <w:b/>
                <w:sz w:val="16"/>
                <w:szCs w:val="16"/>
                <w:lang w:val="fr-FR"/>
              </w:rPr>
              <w:br/>
              <w:t xml:space="preserve">Méthodes d’essai ARE-Nrf2 luciférase </w:t>
            </w:r>
          </w:p>
        </w:tc>
        <w:tc>
          <w:tcPr>
            <w:tcW w:w="5441" w:type="dxa"/>
            <w:gridSpan w:val="4"/>
            <w:tcBorders>
              <w:top w:val="nil"/>
              <w:left w:val="single" w:sz="4" w:space="0" w:color="auto"/>
              <w:bottom w:val="single" w:sz="4" w:space="0" w:color="auto"/>
              <w:right w:val="single" w:sz="4" w:space="0" w:color="auto"/>
            </w:tcBorders>
          </w:tcPr>
          <w:p w14:paraId="2C8EDD88" w14:textId="77777777" w:rsidR="000A46F2" w:rsidRPr="00950D73" w:rsidRDefault="000A46F2" w:rsidP="00070AB0">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Tests de sensibilisation cutanée</w:t>
            </w:r>
            <w:r w:rsidRPr="00950D73">
              <w:rPr>
                <w:rFonts w:asciiTheme="majorBidi" w:hAnsiTheme="majorBidi" w:cstheme="majorBidi"/>
                <w:b/>
                <w:i/>
                <w:iCs/>
                <w:sz w:val="16"/>
                <w:szCs w:val="16"/>
                <w:lang w:val="fr-FR"/>
              </w:rPr>
              <w:t xml:space="preserve"> </w:t>
            </w:r>
            <w:r w:rsidRPr="00950D73">
              <w:rPr>
                <w:rFonts w:asciiTheme="majorBidi" w:hAnsiTheme="majorBidi" w:cstheme="majorBidi"/>
                <w:b/>
                <w:sz w:val="16"/>
                <w:szCs w:val="16"/>
                <w:lang w:val="fr-FR"/>
              </w:rPr>
              <w:t xml:space="preserve">in vitro portant sur l’événement clé relatif à l’activation des cellules dendritiques </w:t>
            </w:r>
            <w:r w:rsidRPr="00950D73">
              <w:rPr>
                <w:rFonts w:asciiTheme="majorBidi" w:hAnsiTheme="majorBidi" w:cstheme="majorBidi"/>
                <w:b/>
                <w:sz w:val="16"/>
                <w:szCs w:val="16"/>
                <w:lang w:val="fr-FR"/>
              </w:rPr>
              <w:br/>
              <w:t>dans la voie toxicologique impliquée dans les effets indésirables</w:t>
            </w:r>
          </w:p>
        </w:tc>
      </w:tr>
      <w:tr w:rsidR="00542896" w:rsidRPr="00950D73" w14:paraId="086B0B41" w14:textId="77777777" w:rsidTr="00541706">
        <w:trPr>
          <w:trHeight w:val="342"/>
          <w:tblHeader/>
          <w:jc w:val="center"/>
        </w:trPr>
        <w:tc>
          <w:tcPr>
            <w:tcW w:w="993" w:type="dxa"/>
            <w:tcBorders>
              <w:top w:val="nil"/>
              <w:left w:val="single" w:sz="4" w:space="0" w:color="auto"/>
              <w:bottom w:val="nil"/>
              <w:right w:val="single" w:sz="4" w:space="0" w:color="auto"/>
            </w:tcBorders>
            <w:tcMar>
              <w:top w:w="57" w:type="dxa"/>
              <w:left w:w="57" w:type="dxa"/>
              <w:bottom w:w="57" w:type="dxa"/>
              <w:right w:w="57" w:type="dxa"/>
            </w:tcMar>
          </w:tcPr>
          <w:p w14:paraId="3D42166E" w14:textId="77777777" w:rsidR="000A46F2" w:rsidRPr="00950D73" w:rsidRDefault="000A46F2" w:rsidP="00070AB0">
            <w:pPr>
              <w:spacing w:before="20" w:after="20" w:line="240" w:lineRule="auto"/>
              <w:ind w:left="-32" w:right="-22"/>
              <w:jc w:val="center"/>
              <w:rPr>
                <w:rFonts w:asciiTheme="majorBidi" w:hAnsiTheme="majorBidi" w:cstheme="majorBidi"/>
                <w:sz w:val="16"/>
                <w:szCs w:val="16"/>
                <w:lang w:val="fr-FR"/>
              </w:rPr>
            </w:pPr>
          </w:p>
        </w:tc>
        <w:tc>
          <w:tcPr>
            <w:tcW w:w="1417"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2B634F4E" w14:textId="77777777" w:rsidR="000A46F2" w:rsidRPr="00950D73" w:rsidRDefault="000A46F2" w:rsidP="00070AB0">
            <w:pPr>
              <w:spacing w:before="20" w:after="20" w:line="240" w:lineRule="auto"/>
              <w:ind w:left="57" w:right="57"/>
              <w:jc w:val="center"/>
              <w:rPr>
                <w:rFonts w:asciiTheme="majorBidi" w:hAnsiTheme="majorBidi" w:cstheme="majorBidi"/>
                <w:sz w:val="16"/>
                <w:szCs w:val="16"/>
                <w:lang w:val="fr-FR"/>
              </w:rPr>
            </w:pPr>
            <w:r w:rsidRPr="00950D73">
              <w:rPr>
                <w:rFonts w:asciiTheme="majorBidi" w:hAnsiTheme="majorBidi" w:cstheme="majorBidi"/>
                <w:b/>
                <w:sz w:val="16"/>
                <w:szCs w:val="16"/>
                <w:lang w:val="fr-FR"/>
              </w:rPr>
              <w:t xml:space="preserve">Méthode décrite à l’annexe I </w:t>
            </w:r>
          </w:p>
        </w:tc>
        <w:tc>
          <w:tcPr>
            <w:tcW w:w="1325" w:type="dxa"/>
            <w:tcBorders>
              <w:top w:val="single" w:sz="4" w:space="0" w:color="auto"/>
              <w:left w:val="single" w:sz="4" w:space="0" w:color="auto"/>
              <w:bottom w:val="nil"/>
              <w:right w:val="single" w:sz="4" w:space="0" w:color="auto"/>
            </w:tcBorders>
          </w:tcPr>
          <w:p w14:paraId="1BE638E8" w14:textId="77777777" w:rsidR="000A46F2" w:rsidRPr="00950D73" w:rsidRDefault="000A46F2" w:rsidP="00070AB0">
            <w:pPr>
              <w:spacing w:before="20" w:after="20" w:line="240" w:lineRule="auto"/>
              <w:ind w:left="57" w:right="57"/>
              <w:jc w:val="center"/>
              <w:rPr>
                <w:rFonts w:asciiTheme="majorBidi" w:hAnsiTheme="majorBidi" w:cstheme="majorBidi"/>
                <w:b/>
                <w:bCs/>
                <w:sz w:val="16"/>
                <w:szCs w:val="16"/>
                <w:lang w:val="fr-FR"/>
              </w:rPr>
            </w:pPr>
            <w:r w:rsidRPr="00950D73">
              <w:rPr>
                <w:rFonts w:asciiTheme="majorBidi" w:hAnsiTheme="majorBidi" w:cstheme="majorBidi"/>
                <w:b/>
                <w:sz w:val="16"/>
                <w:szCs w:val="16"/>
                <w:lang w:val="fr-FR"/>
              </w:rPr>
              <w:t xml:space="preserve">Méthode décrite à l’annexe II </w:t>
            </w:r>
          </w:p>
        </w:tc>
        <w:tc>
          <w:tcPr>
            <w:tcW w:w="1149" w:type="dxa"/>
            <w:tcBorders>
              <w:top w:val="single" w:sz="4" w:space="0" w:color="auto"/>
              <w:left w:val="single" w:sz="4" w:space="0" w:color="auto"/>
              <w:bottom w:val="nil"/>
              <w:right w:val="single" w:sz="4" w:space="0" w:color="auto"/>
            </w:tcBorders>
          </w:tcPr>
          <w:p w14:paraId="6A21E064" w14:textId="77777777" w:rsidR="000A46F2" w:rsidRPr="00950D73" w:rsidRDefault="000A46F2" w:rsidP="00070AB0">
            <w:pPr>
              <w:spacing w:before="20" w:after="20" w:line="240" w:lineRule="auto"/>
              <w:ind w:left="57" w:right="57"/>
              <w:jc w:val="center"/>
              <w:rPr>
                <w:rFonts w:asciiTheme="majorBidi" w:hAnsiTheme="majorBidi" w:cstheme="majorBidi"/>
                <w:sz w:val="16"/>
                <w:szCs w:val="16"/>
                <w:lang w:val="fr-FR"/>
              </w:rPr>
            </w:pPr>
            <w:r w:rsidRPr="00950D73">
              <w:rPr>
                <w:rFonts w:asciiTheme="majorBidi" w:hAnsiTheme="majorBidi" w:cstheme="majorBidi"/>
                <w:b/>
                <w:sz w:val="16"/>
                <w:szCs w:val="16"/>
                <w:lang w:val="fr-FR"/>
              </w:rPr>
              <w:t>Méthode décrite à l’annexe III</w:t>
            </w:r>
          </w:p>
        </w:tc>
        <w:tc>
          <w:tcPr>
            <w:tcW w:w="2029" w:type="dxa"/>
            <w:tcBorders>
              <w:top w:val="single" w:sz="4" w:space="0" w:color="auto"/>
              <w:left w:val="single" w:sz="4" w:space="0" w:color="auto"/>
              <w:bottom w:val="nil"/>
              <w:right w:val="single" w:sz="4" w:space="0" w:color="auto"/>
            </w:tcBorders>
          </w:tcPr>
          <w:p w14:paraId="30AA3A70"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Méthode décrite à l’annexe 1A</w:t>
            </w:r>
            <w:r w:rsidRPr="00950D73">
              <w:rPr>
                <w:rFonts w:asciiTheme="majorBidi" w:hAnsiTheme="majorBidi" w:cstheme="majorBidi"/>
                <w:b/>
                <w:i/>
                <w:iCs/>
                <w:sz w:val="16"/>
                <w:szCs w:val="16"/>
                <w:vertAlign w:val="superscript"/>
                <w:lang w:val="fr-FR"/>
              </w:rPr>
              <w:t>a</w:t>
            </w:r>
          </w:p>
        </w:tc>
        <w:tc>
          <w:tcPr>
            <w:tcW w:w="1572" w:type="dxa"/>
            <w:tcBorders>
              <w:top w:val="single" w:sz="4" w:space="0" w:color="auto"/>
              <w:left w:val="single" w:sz="4" w:space="0" w:color="auto"/>
              <w:bottom w:val="nil"/>
              <w:right w:val="single" w:sz="4" w:space="0" w:color="auto"/>
            </w:tcBorders>
          </w:tcPr>
          <w:p w14:paraId="0D90B9ED"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Méthode décrite à l’annexe 1B</w:t>
            </w:r>
            <w:r w:rsidRPr="00950D73">
              <w:rPr>
                <w:rFonts w:asciiTheme="majorBidi" w:hAnsiTheme="majorBidi" w:cstheme="majorBidi"/>
                <w:b/>
                <w:sz w:val="16"/>
                <w:szCs w:val="16"/>
                <w:lang w:val="fr-FR"/>
              </w:rPr>
              <w:br/>
            </w:r>
          </w:p>
        </w:tc>
        <w:tc>
          <w:tcPr>
            <w:tcW w:w="1296" w:type="dxa"/>
            <w:tcBorders>
              <w:top w:val="single" w:sz="4" w:space="0" w:color="auto"/>
              <w:left w:val="single" w:sz="4" w:space="0" w:color="auto"/>
              <w:bottom w:val="nil"/>
              <w:right w:val="single" w:sz="4" w:space="0" w:color="auto"/>
            </w:tcBorders>
          </w:tcPr>
          <w:p w14:paraId="04396768"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rPr>
            </w:pPr>
            <w:r w:rsidRPr="00950D73">
              <w:rPr>
                <w:rFonts w:asciiTheme="majorBidi" w:hAnsiTheme="majorBidi" w:cstheme="majorBidi"/>
                <w:b/>
                <w:sz w:val="16"/>
                <w:szCs w:val="16"/>
                <w:lang w:val="fr-FR"/>
              </w:rPr>
              <w:t>Méthode décrite à l’annexe I</w:t>
            </w:r>
          </w:p>
        </w:tc>
        <w:tc>
          <w:tcPr>
            <w:tcW w:w="1560" w:type="dxa"/>
            <w:tcBorders>
              <w:top w:val="single" w:sz="4" w:space="0" w:color="auto"/>
              <w:left w:val="single" w:sz="4" w:space="0" w:color="auto"/>
              <w:bottom w:val="nil"/>
              <w:right w:val="single" w:sz="4" w:space="0" w:color="auto"/>
            </w:tcBorders>
          </w:tcPr>
          <w:p w14:paraId="2940BE00" w14:textId="51A5D886"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Méthode décrite à l’annexe II</w:t>
            </w:r>
            <w:r w:rsidRPr="00950D73">
              <w:rPr>
                <w:rFonts w:asciiTheme="majorBidi" w:hAnsiTheme="majorBidi" w:cstheme="majorBidi"/>
                <w:b/>
                <w:sz w:val="16"/>
                <w:szCs w:val="16"/>
                <w:lang w:val="fr-FR"/>
              </w:rPr>
              <w:br/>
            </w:r>
          </w:p>
        </w:tc>
        <w:tc>
          <w:tcPr>
            <w:tcW w:w="1275" w:type="dxa"/>
            <w:tcBorders>
              <w:top w:val="single" w:sz="4" w:space="0" w:color="auto"/>
              <w:left w:val="single" w:sz="4" w:space="0" w:color="auto"/>
              <w:bottom w:val="nil"/>
              <w:right w:val="single" w:sz="4" w:space="0" w:color="auto"/>
            </w:tcBorders>
          </w:tcPr>
          <w:p w14:paraId="33C5C8D6"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rPr>
            </w:pPr>
            <w:r w:rsidRPr="00950D73">
              <w:rPr>
                <w:rFonts w:asciiTheme="majorBidi" w:hAnsiTheme="majorBidi" w:cstheme="majorBidi"/>
                <w:b/>
                <w:sz w:val="16"/>
                <w:szCs w:val="16"/>
                <w:lang w:val="fr-FR"/>
              </w:rPr>
              <w:t>Méthode décrite à l’annexe III</w:t>
            </w:r>
          </w:p>
        </w:tc>
        <w:tc>
          <w:tcPr>
            <w:tcW w:w="1310" w:type="dxa"/>
            <w:tcBorders>
              <w:top w:val="single" w:sz="4" w:space="0" w:color="auto"/>
              <w:left w:val="single" w:sz="4" w:space="0" w:color="auto"/>
              <w:bottom w:val="nil"/>
              <w:right w:val="single" w:sz="4" w:space="0" w:color="auto"/>
            </w:tcBorders>
          </w:tcPr>
          <w:p w14:paraId="45B6947B"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Méthode décrite à l’annexe IV </w:t>
            </w:r>
          </w:p>
        </w:tc>
      </w:tr>
      <w:tr w:rsidR="000A46F2" w:rsidRPr="00950D73" w14:paraId="0969591E" w14:textId="77777777" w:rsidTr="00541706">
        <w:trPr>
          <w:trHeight w:val="1047"/>
          <w:tblHeader/>
          <w:jc w:val="center"/>
        </w:trPr>
        <w:tc>
          <w:tcPr>
            <w:tcW w:w="993"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0D9B648E" w14:textId="77777777" w:rsidR="000A46F2" w:rsidRPr="00950D73" w:rsidRDefault="000A46F2" w:rsidP="00070AB0">
            <w:pPr>
              <w:spacing w:before="20" w:after="20" w:line="240" w:lineRule="auto"/>
              <w:ind w:left="-32" w:right="-22"/>
              <w:jc w:val="center"/>
              <w:rPr>
                <w:rFonts w:asciiTheme="majorBidi" w:hAnsiTheme="majorBidi" w:cstheme="majorBidi"/>
                <w:sz w:val="16"/>
                <w:szCs w:val="16"/>
                <w:lang w:val="fr-FR"/>
              </w:rPr>
            </w:pPr>
          </w:p>
        </w:tc>
        <w:tc>
          <w:tcPr>
            <w:tcW w:w="1417"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1D6D47F2" w14:textId="77777777" w:rsidR="000A46F2" w:rsidRPr="00950D73" w:rsidRDefault="000A46F2" w:rsidP="00070AB0">
            <w:pPr>
              <w:spacing w:before="20" w:after="20" w:line="240" w:lineRule="auto"/>
              <w:ind w:left="57" w:right="57"/>
              <w:jc w:val="center"/>
              <w:rPr>
                <w:rFonts w:asciiTheme="majorBidi" w:hAnsiTheme="majorBidi" w:cstheme="majorBidi"/>
                <w:b/>
                <w:bCs/>
                <w:sz w:val="16"/>
                <w:szCs w:val="16"/>
                <w:lang w:val="fr-FR"/>
              </w:rPr>
            </w:pPr>
            <w:r w:rsidRPr="00950D73">
              <w:rPr>
                <w:rFonts w:asciiTheme="majorBidi" w:hAnsiTheme="majorBidi" w:cstheme="majorBidi"/>
                <w:b/>
                <w:bCs/>
                <w:sz w:val="16"/>
                <w:szCs w:val="16"/>
                <w:lang w:val="fr-FR"/>
              </w:rPr>
              <w:t>Essai de liaison directe sur la réactivité peptidique</w:t>
            </w:r>
          </w:p>
          <w:p w14:paraId="046DD6C6"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(DPRA)</w:t>
            </w:r>
            <w:r w:rsidRPr="00950D73">
              <w:rPr>
                <w:rFonts w:asciiTheme="majorBidi" w:hAnsiTheme="majorBidi" w:cstheme="majorBidi"/>
                <w:b/>
                <w:bCs/>
                <w:sz w:val="16"/>
                <w:szCs w:val="16"/>
                <w:vertAlign w:val="superscript"/>
                <w:lang w:val="fr-FR"/>
              </w:rPr>
              <w:t>a</w:t>
            </w:r>
          </w:p>
        </w:tc>
        <w:tc>
          <w:tcPr>
            <w:tcW w:w="1325" w:type="dxa"/>
            <w:tcBorders>
              <w:top w:val="nil"/>
              <w:left w:val="single" w:sz="4" w:space="0" w:color="auto"/>
              <w:bottom w:val="single" w:sz="4" w:space="0" w:color="auto"/>
              <w:right w:val="single" w:sz="4" w:space="0" w:color="auto"/>
            </w:tcBorders>
          </w:tcPr>
          <w:p w14:paraId="04D524D4"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Essai de réactivité à des dérivés d’acides aminés (ADRA)</w:t>
            </w:r>
            <w:r w:rsidRPr="00950D73">
              <w:rPr>
                <w:rFonts w:asciiTheme="majorBidi" w:hAnsiTheme="majorBidi" w:cstheme="majorBidi"/>
                <w:b/>
                <w:bCs/>
                <w:sz w:val="16"/>
                <w:szCs w:val="16"/>
                <w:vertAlign w:val="superscript"/>
                <w:lang w:val="fr-FR"/>
              </w:rPr>
              <w:t>a</w:t>
            </w:r>
          </w:p>
        </w:tc>
        <w:tc>
          <w:tcPr>
            <w:tcW w:w="1149" w:type="dxa"/>
            <w:tcBorders>
              <w:top w:val="nil"/>
              <w:left w:val="single" w:sz="4" w:space="0" w:color="auto"/>
              <w:bottom w:val="single" w:sz="4" w:space="0" w:color="auto"/>
              <w:right w:val="single" w:sz="4" w:space="0" w:color="auto"/>
            </w:tcBorders>
          </w:tcPr>
          <w:p w14:paraId="7FF283A5"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Essai cinétique de liaison directe sur la réactivité peptidique (</w:t>
            </w:r>
            <w:proofErr w:type="spellStart"/>
            <w:r w:rsidRPr="00950D73">
              <w:rPr>
                <w:rFonts w:asciiTheme="majorBidi" w:hAnsiTheme="majorBidi" w:cstheme="majorBidi"/>
                <w:b/>
                <w:bCs/>
                <w:sz w:val="16"/>
                <w:szCs w:val="16"/>
                <w:lang w:val="fr-FR"/>
              </w:rPr>
              <w:t>kDPRA</w:t>
            </w:r>
            <w:proofErr w:type="spellEnd"/>
            <w:r w:rsidRPr="00950D73">
              <w:rPr>
                <w:rFonts w:asciiTheme="majorBidi" w:hAnsiTheme="majorBidi" w:cstheme="majorBidi"/>
                <w:b/>
                <w:bCs/>
                <w:sz w:val="16"/>
                <w:szCs w:val="16"/>
                <w:lang w:val="fr-FR"/>
              </w:rPr>
              <w:t>)</w:t>
            </w:r>
            <w:r w:rsidRPr="00950D73">
              <w:rPr>
                <w:rFonts w:asciiTheme="majorBidi" w:hAnsiTheme="majorBidi" w:cstheme="majorBidi"/>
                <w:b/>
                <w:bCs/>
                <w:sz w:val="16"/>
                <w:szCs w:val="16"/>
                <w:vertAlign w:val="superscript"/>
                <w:lang w:val="fr-FR"/>
              </w:rPr>
              <w:t>b</w:t>
            </w:r>
          </w:p>
        </w:tc>
        <w:tc>
          <w:tcPr>
            <w:tcW w:w="2029" w:type="dxa"/>
            <w:tcBorders>
              <w:top w:val="nil"/>
              <w:left w:val="single" w:sz="4" w:space="0" w:color="auto"/>
              <w:bottom w:val="single" w:sz="4" w:space="0" w:color="auto"/>
              <w:right w:val="single" w:sz="4" w:space="0" w:color="auto"/>
            </w:tcBorders>
          </w:tcPr>
          <w:p w14:paraId="15B15EB5"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p>
        </w:tc>
        <w:tc>
          <w:tcPr>
            <w:tcW w:w="1572" w:type="dxa"/>
            <w:tcBorders>
              <w:top w:val="nil"/>
              <w:left w:val="single" w:sz="4" w:space="0" w:color="auto"/>
              <w:bottom w:val="single" w:sz="4" w:space="0" w:color="auto"/>
              <w:right w:val="single" w:sz="4" w:space="0" w:color="auto"/>
            </w:tcBorders>
          </w:tcPr>
          <w:p w14:paraId="508B12B4"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proofErr w:type="spellStart"/>
            <w:r w:rsidRPr="00950D73">
              <w:rPr>
                <w:rFonts w:asciiTheme="majorBidi" w:hAnsiTheme="majorBidi" w:cstheme="majorBidi"/>
                <w:b/>
                <w:sz w:val="16"/>
                <w:szCs w:val="16"/>
                <w:lang w:val="fr-FR"/>
              </w:rPr>
              <w:t>Lusens</w:t>
            </w:r>
            <w:r w:rsidRPr="00950D73">
              <w:rPr>
                <w:rFonts w:asciiTheme="majorBidi" w:hAnsiTheme="majorBidi" w:cstheme="majorBidi"/>
                <w:b/>
                <w:bCs/>
                <w:i/>
                <w:iCs/>
                <w:sz w:val="16"/>
                <w:szCs w:val="16"/>
                <w:vertAlign w:val="superscript"/>
                <w:lang w:val="fr-FR"/>
              </w:rPr>
              <w:t>a</w:t>
            </w:r>
            <w:proofErr w:type="spellEnd"/>
          </w:p>
        </w:tc>
        <w:tc>
          <w:tcPr>
            <w:tcW w:w="1296" w:type="dxa"/>
            <w:tcBorders>
              <w:top w:val="nil"/>
              <w:left w:val="single" w:sz="4" w:space="0" w:color="auto"/>
              <w:bottom w:val="single" w:sz="4" w:space="0" w:color="auto"/>
              <w:right w:val="single" w:sz="4" w:space="0" w:color="auto"/>
            </w:tcBorders>
          </w:tcPr>
          <w:p w14:paraId="02597224"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Test d’activation de la lignée cellulaire humaine </w:t>
            </w:r>
            <w:r w:rsidRPr="00950D73">
              <w:rPr>
                <w:rFonts w:asciiTheme="majorBidi" w:hAnsiTheme="majorBidi" w:cstheme="majorBidi"/>
                <w:b/>
                <w:sz w:val="16"/>
                <w:szCs w:val="16"/>
                <w:lang w:val="fr-FR"/>
              </w:rPr>
              <w:br/>
            </w:r>
            <w:r w:rsidRPr="00950D73">
              <w:rPr>
                <w:rFonts w:asciiTheme="majorBidi" w:hAnsiTheme="majorBidi" w:cstheme="majorBidi"/>
                <w:b/>
                <w:sz w:val="16"/>
                <w:szCs w:val="16"/>
              </w:rPr>
              <w:t>(h-CLAT)</w:t>
            </w:r>
            <w:r w:rsidRPr="00950D73">
              <w:rPr>
                <w:rFonts w:asciiTheme="majorBidi" w:hAnsiTheme="majorBidi" w:cstheme="majorBidi"/>
                <w:b/>
                <w:bCs/>
                <w:i/>
                <w:iCs/>
                <w:sz w:val="16"/>
                <w:szCs w:val="16"/>
                <w:vertAlign w:val="superscript"/>
              </w:rPr>
              <w:t>a</w:t>
            </w:r>
          </w:p>
        </w:tc>
        <w:tc>
          <w:tcPr>
            <w:tcW w:w="1560" w:type="dxa"/>
            <w:tcBorders>
              <w:top w:val="nil"/>
              <w:left w:val="single" w:sz="4" w:space="0" w:color="auto"/>
              <w:bottom w:val="single" w:sz="4" w:space="0" w:color="auto"/>
              <w:right w:val="single" w:sz="4" w:space="0" w:color="auto"/>
            </w:tcBorders>
          </w:tcPr>
          <w:p w14:paraId="3C7C6E06" w14:textId="5FA8AFC8" w:rsidR="000A46F2" w:rsidRPr="00950D73" w:rsidRDefault="006205AF"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Test d’activation </w:t>
            </w:r>
            <w:r w:rsidR="000A46F2" w:rsidRPr="00950D73">
              <w:rPr>
                <w:rFonts w:asciiTheme="majorBidi" w:hAnsiTheme="majorBidi" w:cstheme="majorBidi"/>
                <w:b/>
                <w:sz w:val="16"/>
                <w:szCs w:val="16"/>
                <w:lang w:val="fr-FR"/>
              </w:rPr>
              <w:t>de la lignée cellulaire U937</w:t>
            </w:r>
            <w:r w:rsidR="000A46F2" w:rsidRPr="00950D73">
              <w:rPr>
                <w:rFonts w:asciiTheme="majorBidi" w:hAnsiTheme="majorBidi" w:cstheme="majorBidi"/>
                <w:b/>
                <w:bCs/>
                <w:i/>
                <w:iCs/>
                <w:sz w:val="16"/>
                <w:szCs w:val="16"/>
                <w:vertAlign w:val="superscript"/>
              </w:rPr>
              <w:t>a</w:t>
            </w:r>
          </w:p>
        </w:tc>
        <w:tc>
          <w:tcPr>
            <w:tcW w:w="1275" w:type="dxa"/>
            <w:tcBorders>
              <w:top w:val="nil"/>
              <w:left w:val="single" w:sz="4" w:space="0" w:color="auto"/>
              <w:bottom w:val="single" w:sz="4" w:space="0" w:color="auto"/>
              <w:right w:val="single" w:sz="4" w:space="0" w:color="auto"/>
            </w:tcBorders>
          </w:tcPr>
          <w:p w14:paraId="0C95B6B3"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 xml:space="preserve">Interleukine-8 luciférase </w:t>
            </w:r>
            <w:r w:rsidRPr="00950D73">
              <w:rPr>
                <w:rFonts w:asciiTheme="majorBidi" w:hAnsiTheme="majorBidi" w:cstheme="majorBidi"/>
                <w:b/>
                <w:bCs/>
                <w:sz w:val="16"/>
                <w:szCs w:val="16"/>
                <w:lang w:val="fr-FR"/>
              </w:rPr>
              <w:br/>
            </w:r>
            <w:r w:rsidRPr="00950D73">
              <w:rPr>
                <w:rFonts w:asciiTheme="majorBidi" w:hAnsiTheme="majorBidi" w:cstheme="majorBidi"/>
                <w:b/>
                <w:sz w:val="16"/>
                <w:szCs w:val="16"/>
              </w:rPr>
              <w:t>(IL-8 Luc)</w:t>
            </w:r>
            <w:r w:rsidRPr="00950D73">
              <w:rPr>
                <w:rFonts w:asciiTheme="majorBidi" w:hAnsiTheme="majorBidi" w:cstheme="majorBidi"/>
                <w:b/>
                <w:i/>
                <w:iCs/>
                <w:sz w:val="16"/>
                <w:szCs w:val="16"/>
                <w:vertAlign w:val="superscript"/>
              </w:rPr>
              <w:t>a</w:t>
            </w:r>
          </w:p>
        </w:tc>
        <w:tc>
          <w:tcPr>
            <w:tcW w:w="1310" w:type="dxa"/>
            <w:tcBorders>
              <w:top w:val="nil"/>
              <w:left w:val="single" w:sz="4" w:space="0" w:color="auto"/>
              <w:bottom w:val="single" w:sz="4" w:space="0" w:color="auto"/>
              <w:right w:val="single" w:sz="4" w:space="0" w:color="auto"/>
            </w:tcBorders>
          </w:tcPr>
          <w:p w14:paraId="668EA553" w14:textId="77777777" w:rsidR="000A46F2" w:rsidRPr="00950D73" w:rsidRDefault="000A46F2"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Détection génomique rapide des allergènes pour l’évaluation des sensibilisants </w:t>
            </w:r>
            <w:proofErr w:type="spellStart"/>
            <w:r w:rsidRPr="00950D73">
              <w:rPr>
                <w:rFonts w:asciiTheme="majorBidi" w:hAnsiTheme="majorBidi" w:cstheme="majorBidi"/>
                <w:b/>
                <w:sz w:val="16"/>
                <w:szCs w:val="16"/>
                <w:lang w:val="fr-FR"/>
              </w:rPr>
              <w:t>cutanés</w:t>
            </w:r>
            <w:r w:rsidRPr="00950D73">
              <w:rPr>
                <w:rFonts w:asciiTheme="majorBidi" w:hAnsiTheme="majorBidi" w:cstheme="majorBidi"/>
                <w:b/>
                <w:i/>
                <w:iCs/>
                <w:sz w:val="16"/>
                <w:szCs w:val="16"/>
                <w:vertAlign w:val="superscript"/>
                <w:lang w:val="fr-FR"/>
              </w:rPr>
              <w:t>a</w:t>
            </w:r>
            <w:proofErr w:type="spellEnd"/>
            <w:r w:rsidRPr="00950D73">
              <w:rPr>
                <w:rFonts w:asciiTheme="majorBidi" w:hAnsiTheme="majorBidi" w:cstheme="majorBidi"/>
                <w:b/>
                <w:i/>
                <w:iCs/>
                <w:sz w:val="16"/>
                <w:szCs w:val="16"/>
                <w:vertAlign w:val="superscript"/>
                <w:lang w:val="fr-FR"/>
              </w:rPr>
              <w:t xml:space="preserve"> </w:t>
            </w:r>
          </w:p>
        </w:tc>
      </w:tr>
      <w:tr w:rsidR="00560CB5" w:rsidRPr="00950D73" w14:paraId="7EB54D4E" w14:textId="77777777" w:rsidTr="00542896">
        <w:trPr>
          <w:trHeight w:val="1454"/>
          <w:jc w:val="center"/>
        </w:trPr>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2FD20DC" w14:textId="77777777" w:rsidR="00560CB5" w:rsidRPr="00950D73" w:rsidRDefault="00560CB5" w:rsidP="008D05B9">
            <w:pPr>
              <w:keepNext/>
              <w:keepLines/>
              <w:spacing w:before="20" w:after="20" w:line="240" w:lineRule="auto"/>
              <w:ind w:left="-32" w:right="-22"/>
              <w:jc w:val="center"/>
              <w:rPr>
                <w:rFonts w:asciiTheme="majorBidi" w:hAnsiTheme="majorBidi" w:cstheme="majorBidi"/>
                <w:b/>
                <w:bCs/>
                <w:sz w:val="16"/>
                <w:szCs w:val="16"/>
              </w:rPr>
            </w:pPr>
            <w:r w:rsidRPr="00950D73">
              <w:rPr>
                <w:rFonts w:asciiTheme="majorBidi" w:hAnsiTheme="majorBidi" w:cstheme="majorBidi"/>
                <w:b/>
                <w:bCs/>
                <w:sz w:val="16"/>
                <w:szCs w:val="16"/>
              </w:rPr>
              <w:t>1</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3E281CB" w14:textId="07DCAC84" w:rsidR="00560CB5" w:rsidRPr="00950D73" w:rsidRDefault="00560CB5" w:rsidP="008D05B9">
            <w:pPr>
              <w:keepNext/>
              <w:keepLines/>
              <w:tabs>
                <w:tab w:val="left" w:pos="294"/>
              </w:tabs>
              <w:spacing w:before="20" w:after="20" w:line="240" w:lineRule="auto"/>
              <w:rPr>
                <w:rFonts w:asciiTheme="majorBidi" w:hAnsiTheme="majorBidi" w:cstheme="majorBidi"/>
                <w:sz w:val="16"/>
                <w:szCs w:val="16"/>
              </w:rPr>
            </w:pPr>
            <w:r w:rsidRPr="00950D73">
              <w:rPr>
                <w:rFonts w:asciiTheme="majorBidi" w:hAnsiTheme="majorBidi" w:cstheme="majorBidi"/>
                <w:sz w:val="16"/>
                <w:szCs w:val="16"/>
                <w:lang w:val="fr-FR"/>
              </w:rPr>
              <w:t xml:space="preserve">Déplétion moyenne en cystéine/lysine </w:t>
            </w:r>
            <w:r w:rsidR="00B85F87" w:rsidRPr="00950D73">
              <w:rPr>
                <w:rFonts w:asciiTheme="majorBidi" w:hAnsiTheme="majorBidi" w:cstheme="majorBidi"/>
                <w:sz w:val="16"/>
                <w:szCs w:val="16"/>
                <w:lang w:val="fr-FR"/>
              </w:rPr>
              <w:br/>
            </w:r>
            <w:r w:rsidRPr="00950D73">
              <w:rPr>
                <w:rFonts w:asciiTheme="majorBidi" w:hAnsiTheme="majorBidi" w:cstheme="majorBidi"/>
                <w:sz w:val="16"/>
                <w:szCs w:val="16"/>
                <w:lang w:val="fr-FR"/>
              </w:rPr>
              <w:t>&gt;</w:t>
            </w:r>
            <w:r w:rsidR="008D05B9" w:rsidRPr="00950D73">
              <w:rPr>
                <w:rFonts w:asciiTheme="majorBidi" w:hAnsiTheme="majorBidi" w:cstheme="majorBidi"/>
                <w:sz w:val="16"/>
                <w:szCs w:val="16"/>
                <w:lang w:val="fr-FR"/>
              </w:rPr>
              <w:t> </w:t>
            </w:r>
            <w:r w:rsidRPr="00950D73">
              <w:rPr>
                <w:rFonts w:asciiTheme="majorBidi" w:hAnsiTheme="majorBidi" w:cstheme="majorBidi"/>
                <w:sz w:val="16"/>
                <w:szCs w:val="16"/>
                <w:lang w:val="fr-FR"/>
              </w:rPr>
              <w:t xml:space="preserve">6,38 % </w:t>
            </w:r>
            <w:r w:rsidRPr="00950D73">
              <w:rPr>
                <w:rFonts w:asciiTheme="majorBidi" w:hAnsiTheme="majorBidi" w:cstheme="majorBidi"/>
                <w:sz w:val="16"/>
                <w:szCs w:val="16"/>
                <w:lang w:val="fr-FR"/>
              </w:rPr>
              <w:br/>
              <w:t>ou</w:t>
            </w:r>
            <w:r w:rsidRPr="00950D73">
              <w:rPr>
                <w:rFonts w:asciiTheme="majorBidi" w:hAnsiTheme="majorBidi" w:cstheme="majorBidi"/>
                <w:sz w:val="16"/>
                <w:szCs w:val="16"/>
                <w:lang w:val="fr-FR"/>
              </w:rPr>
              <w:br/>
              <w:t xml:space="preserve">Déplétion moyenne </w:t>
            </w:r>
            <w:r w:rsidRPr="00950D73">
              <w:rPr>
                <w:rFonts w:asciiTheme="majorBidi" w:hAnsiTheme="majorBidi" w:cstheme="majorBidi"/>
                <w:sz w:val="16"/>
                <w:szCs w:val="16"/>
              </w:rPr>
              <w:t>en cystéine &gt;13,89 %</w:t>
            </w:r>
          </w:p>
        </w:tc>
        <w:tc>
          <w:tcPr>
            <w:tcW w:w="1325" w:type="dxa"/>
            <w:tcBorders>
              <w:top w:val="single" w:sz="4" w:space="0" w:color="auto"/>
              <w:left w:val="single" w:sz="4" w:space="0" w:color="auto"/>
              <w:bottom w:val="single" w:sz="4" w:space="0" w:color="auto"/>
              <w:right w:val="single" w:sz="4" w:space="0" w:color="auto"/>
            </w:tcBorders>
          </w:tcPr>
          <w:p w14:paraId="339A3BD6" w14:textId="77777777" w:rsidR="00560CB5" w:rsidRPr="00950D73" w:rsidRDefault="00560CB5" w:rsidP="008D05B9">
            <w:pPr>
              <w:keepNext/>
              <w:keepLines/>
              <w:spacing w:before="20" w:after="20" w:line="240" w:lineRule="auto"/>
              <w:ind w:left="57"/>
              <w:rPr>
                <w:rFonts w:asciiTheme="majorBidi" w:hAnsiTheme="majorBidi" w:cstheme="majorBidi"/>
                <w:sz w:val="16"/>
                <w:szCs w:val="16"/>
              </w:rPr>
            </w:pPr>
            <w:r w:rsidRPr="00950D73">
              <w:rPr>
                <w:rFonts w:asciiTheme="majorBidi" w:hAnsiTheme="majorBidi" w:cstheme="majorBidi"/>
                <w:sz w:val="16"/>
                <w:szCs w:val="16"/>
                <w:lang w:val="fr-FR"/>
              </w:rPr>
              <w:t>Déplétion moyenne en NAC et en NAL ≥4,9 %</w:t>
            </w:r>
            <w:r w:rsidRPr="00950D73">
              <w:rPr>
                <w:rFonts w:asciiTheme="majorBidi" w:hAnsiTheme="majorBidi" w:cstheme="majorBidi"/>
                <w:sz w:val="16"/>
                <w:szCs w:val="16"/>
                <w:lang w:val="fr-FR"/>
              </w:rPr>
              <w:br/>
              <w:t>ou</w:t>
            </w:r>
            <w:r w:rsidRPr="00950D73">
              <w:rPr>
                <w:rFonts w:asciiTheme="majorBidi" w:hAnsiTheme="majorBidi" w:cstheme="majorBidi"/>
                <w:sz w:val="16"/>
                <w:szCs w:val="16"/>
                <w:lang w:val="fr-FR"/>
              </w:rPr>
              <w:br/>
            </w:r>
            <w:r w:rsidRPr="00950D73">
              <w:rPr>
                <w:rFonts w:asciiTheme="majorBidi" w:hAnsiTheme="majorBidi" w:cstheme="majorBidi"/>
                <w:sz w:val="16"/>
                <w:szCs w:val="16"/>
              </w:rPr>
              <w:t>Déplétion moyenne en NAC ≥5,6 %</w:t>
            </w:r>
          </w:p>
        </w:tc>
        <w:tc>
          <w:tcPr>
            <w:tcW w:w="1149" w:type="dxa"/>
            <w:tcBorders>
              <w:top w:val="single" w:sz="4" w:space="0" w:color="auto"/>
              <w:left w:val="single" w:sz="4" w:space="0" w:color="auto"/>
              <w:bottom w:val="single" w:sz="4" w:space="0" w:color="auto"/>
              <w:right w:val="single" w:sz="4" w:space="0" w:color="auto"/>
            </w:tcBorders>
          </w:tcPr>
          <w:p w14:paraId="3EF65A95" w14:textId="77777777" w:rsidR="00560CB5" w:rsidRPr="00950D73" w:rsidRDefault="00560CB5" w:rsidP="000A46F2">
            <w:pPr>
              <w:keepNext/>
              <w:keepLines/>
              <w:tabs>
                <w:tab w:val="left" w:pos="294"/>
              </w:tabs>
              <w:spacing w:before="20" w:after="20" w:line="240" w:lineRule="auto"/>
              <w:ind w:left="57" w:right="57"/>
              <w:jc w:val="center"/>
              <w:rPr>
                <w:rFonts w:asciiTheme="majorBidi" w:hAnsiTheme="majorBidi" w:cstheme="majorBidi"/>
                <w:sz w:val="16"/>
                <w:szCs w:val="16"/>
              </w:rPr>
            </w:pPr>
            <w:r w:rsidRPr="00950D73">
              <w:rPr>
                <w:rFonts w:asciiTheme="majorBidi" w:hAnsiTheme="majorBidi" w:cstheme="majorBidi"/>
                <w:sz w:val="16"/>
                <w:szCs w:val="16"/>
              </w:rPr>
              <w:t>Sans objet</w:t>
            </w:r>
          </w:p>
        </w:tc>
        <w:tc>
          <w:tcPr>
            <w:tcW w:w="2029" w:type="dxa"/>
            <w:tcBorders>
              <w:top w:val="single" w:sz="4" w:space="0" w:color="auto"/>
              <w:left w:val="single" w:sz="4" w:space="0" w:color="auto"/>
              <w:bottom w:val="single" w:sz="4" w:space="0" w:color="auto"/>
              <w:right w:val="single" w:sz="4" w:space="0" w:color="auto"/>
            </w:tcBorders>
          </w:tcPr>
          <w:p w14:paraId="0BFDD7CE" w14:textId="77777777" w:rsidR="00560CB5" w:rsidRPr="00950D73" w:rsidRDefault="00560CB5" w:rsidP="008D05B9">
            <w:pPr>
              <w:keepNext/>
              <w:keepLines/>
              <w:spacing w:before="20" w:after="20" w:line="240" w:lineRule="auto"/>
              <w:ind w:left="80" w:right="4" w:hanging="22"/>
              <w:rPr>
                <w:rFonts w:asciiTheme="majorBidi" w:hAnsiTheme="majorBidi" w:cstheme="majorBidi"/>
                <w:sz w:val="16"/>
                <w:szCs w:val="16"/>
                <w:lang w:val="fr-FR"/>
              </w:rPr>
            </w:pPr>
            <w:r w:rsidRPr="00950D73">
              <w:rPr>
                <w:rFonts w:asciiTheme="majorBidi" w:hAnsiTheme="majorBidi" w:cstheme="majorBidi"/>
                <w:sz w:val="16"/>
                <w:szCs w:val="16"/>
                <w:lang w:val="fr-FR"/>
              </w:rPr>
              <w:t>Les quatre conditions suivantes sont toutes remplies dans 2 répétitions sur 2 ou dans les mêmes 2 répétitions sur 3 :</w:t>
            </w:r>
          </w:p>
          <w:p w14:paraId="244CACDD" w14:textId="77777777" w:rsidR="00560CB5" w:rsidRPr="00950D73" w:rsidRDefault="00560CB5" w:rsidP="008D05B9">
            <w:pPr>
              <w:tabs>
                <w:tab w:val="left" w:pos="204"/>
              </w:tabs>
              <w:spacing w:before="20" w:after="20" w:line="240" w:lineRule="auto"/>
              <w:ind w:left="222" w:hanging="164"/>
              <w:rPr>
                <w:rFonts w:asciiTheme="majorBidi" w:hAnsiTheme="majorBidi" w:cstheme="majorBidi"/>
                <w:sz w:val="16"/>
                <w:szCs w:val="16"/>
              </w:rPr>
            </w:pPr>
            <w:r w:rsidRPr="00950D73">
              <w:rPr>
                <w:rFonts w:asciiTheme="majorBidi" w:hAnsiTheme="majorBidi" w:cstheme="majorBidi"/>
                <w:sz w:val="16"/>
                <w:szCs w:val="16"/>
              </w:rPr>
              <w:t>1.</w:t>
            </w:r>
            <w:r w:rsidRPr="00950D73">
              <w:rPr>
                <w:rFonts w:asciiTheme="majorBidi" w:hAnsiTheme="majorBidi" w:cstheme="majorBidi"/>
                <w:sz w:val="16"/>
                <w:szCs w:val="16"/>
              </w:rPr>
              <w:tab/>
              <w:t xml:space="preserve">Imax </w:t>
            </w:r>
            <w:r w:rsidRPr="00950D73">
              <w:rPr>
                <w:rFonts w:asciiTheme="majorBidi" w:hAnsiTheme="majorBidi" w:cstheme="majorBidi"/>
                <w:sz w:val="16"/>
                <w:szCs w:val="16"/>
                <w:lang w:val="fr-FR"/>
              </w:rPr>
              <w:t>≥</w:t>
            </w:r>
            <w:r w:rsidRPr="00950D73">
              <w:rPr>
                <w:rFonts w:asciiTheme="majorBidi" w:hAnsiTheme="majorBidi" w:cstheme="majorBidi"/>
                <w:sz w:val="16"/>
                <w:szCs w:val="16"/>
              </w:rPr>
              <w:t>1,5 fois et statistiquement significativement différent du témoin solvant</w:t>
            </w:r>
          </w:p>
          <w:p w14:paraId="2C906883" w14:textId="77777777" w:rsidR="00560CB5" w:rsidRPr="00950D73" w:rsidRDefault="00560CB5" w:rsidP="008D05B9">
            <w:pPr>
              <w:tabs>
                <w:tab w:val="left" w:pos="204"/>
              </w:tabs>
              <w:spacing w:before="20" w:after="20" w:line="240" w:lineRule="auto"/>
              <w:ind w:left="222" w:hanging="164"/>
              <w:rPr>
                <w:rFonts w:asciiTheme="majorBidi" w:hAnsiTheme="majorBidi" w:cstheme="majorBidi"/>
                <w:sz w:val="16"/>
                <w:szCs w:val="16"/>
              </w:rPr>
            </w:pPr>
            <w:r w:rsidRPr="00950D73">
              <w:rPr>
                <w:rFonts w:asciiTheme="majorBidi" w:hAnsiTheme="majorBidi" w:cstheme="majorBidi"/>
                <w:sz w:val="16"/>
                <w:szCs w:val="16"/>
              </w:rPr>
              <w:t>2.</w:t>
            </w:r>
            <w:r w:rsidRPr="00950D73">
              <w:rPr>
                <w:rFonts w:asciiTheme="majorBidi" w:hAnsiTheme="majorBidi" w:cstheme="majorBidi"/>
                <w:sz w:val="16"/>
                <w:szCs w:val="16"/>
              </w:rPr>
              <w:tab/>
              <w:t xml:space="preserve">Viabilité cellulaire &gt;70 % à la concentration la plus faible, accompagnée d’une induction de l’activité de la luciférase </w:t>
            </w:r>
            <w:r w:rsidRPr="00950D73">
              <w:rPr>
                <w:rFonts w:asciiTheme="majorBidi" w:hAnsiTheme="majorBidi" w:cstheme="majorBidi"/>
                <w:sz w:val="16"/>
                <w:szCs w:val="16"/>
                <w:lang w:val="fr-FR"/>
              </w:rPr>
              <w:t>≥</w:t>
            </w:r>
            <w:r w:rsidRPr="00950D73">
              <w:rPr>
                <w:rFonts w:asciiTheme="majorBidi" w:hAnsiTheme="majorBidi" w:cstheme="majorBidi"/>
                <w:sz w:val="16"/>
                <w:szCs w:val="16"/>
              </w:rPr>
              <w:t>1,5 fois</w:t>
            </w:r>
          </w:p>
          <w:p w14:paraId="3B063558" w14:textId="77777777" w:rsidR="00560CB5" w:rsidRPr="00950D73" w:rsidRDefault="00560CB5" w:rsidP="008D05B9">
            <w:pPr>
              <w:tabs>
                <w:tab w:val="left" w:pos="204"/>
              </w:tabs>
              <w:spacing w:before="20" w:after="20" w:line="240" w:lineRule="auto"/>
              <w:ind w:left="222" w:hanging="164"/>
              <w:rPr>
                <w:rFonts w:asciiTheme="majorBidi" w:hAnsiTheme="majorBidi" w:cstheme="majorBidi"/>
                <w:sz w:val="16"/>
                <w:szCs w:val="16"/>
              </w:rPr>
            </w:pPr>
            <w:r w:rsidRPr="00950D73">
              <w:rPr>
                <w:rFonts w:asciiTheme="majorBidi" w:hAnsiTheme="majorBidi" w:cstheme="majorBidi"/>
                <w:sz w:val="16"/>
                <w:szCs w:val="16"/>
              </w:rPr>
              <w:t>3.</w:t>
            </w:r>
            <w:r w:rsidRPr="00950D73">
              <w:rPr>
                <w:rFonts w:asciiTheme="majorBidi" w:hAnsiTheme="majorBidi" w:cstheme="majorBidi"/>
                <w:sz w:val="16"/>
                <w:szCs w:val="16"/>
              </w:rPr>
              <w:tab/>
              <w:t>La valeur EC</w:t>
            </w:r>
            <w:r w:rsidRPr="00950D73">
              <w:rPr>
                <w:rFonts w:asciiTheme="majorBidi" w:hAnsiTheme="majorBidi" w:cstheme="majorBidi"/>
                <w:sz w:val="16"/>
                <w:szCs w:val="16"/>
                <w:vertAlign w:val="subscript"/>
              </w:rPr>
              <w:t>1.5</w:t>
            </w:r>
            <w:r w:rsidRPr="00950D73">
              <w:rPr>
                <w:rFonts w:asciiTheme="majorBidi" w:hAnsiTheme="majorBidi" w:cstheme="majorBidi"/>
                <w:sz w:val="16"/>
                <w:szCs w:val="16"/>
              </w:rPr>
              <w:t xml:space="preserve"> &lt;1 000 µM (ou &lt;200 µg/</w:t>
            </w:r>
            <w:proofErr w:type="spellStart"/>
            <w:r w:rsidRPr="00950D73">
              <w:rPr>
                <w:rFonts w:asciiTheme="majorBidi" w:hAnsiTheme="majorBidi" w:cstheme="majorBidi"/>
                <w:sz w:val="16"/>
                <w:szCs w:val="16"/>
              </w:rPr>
              <w:t>mL</w:t>
            </w:r>
            <w:proofErr w:type="spellEnd"/>
            <w:r w:rsidRPr="00950D73">
              <w:rPr>
                <w:rFonts w:asciiTheme="majorBidi" w:hAnsiTheme="majorBidi" w:cstheme="majorBidi"/>
                <w:sz w:val="16"/>
                <w:szCs w:val="16"/>
              </w:rPr>
              <w:t xml:space="preserve"> pour les produits chimiques d’essai dont le poids moléculaire n’est pas défini)</w:t>
            </w:r>
          </w:p>
          <w:p w14:paraId="78393CF1" w14:textId="77777777" w:rsidR="00560CB5" w:rsidRPr="00950D73" w:rsidRDefault="00560CB5" w:rsidP="008D05B9">
            <w:pPr>
              <w:tabs>
                <w:tab w:val="left" w:pos="204"/>
              </w:tabs>
              <w:spacing w:before="20" w:after="20" w:line="240" w:lineRule="auto"/>
              <w:ind w:left="222" w:hanging="164"/>
              <w:rPr>
                <w:rFonts w:asciiTheme="majorBidi" w:hAnsiTheme="majorBidi" w:cstheme="majorBidi"/>
                <w:sz w:val="16"/>
                <w:szCs w:val="16"/>
              </w:rPr>
            </w:pPr>
            <w:r w:rsidRPr="00950D73">
              <w:rPr>
                <w:rFonts w:asciiTheme="majorBidi" w:hAnsiTheme="majorBidi" w:cstheme="majorBidi"/>
                <w:sz w:val="16"/>
                <w:szCs w:val="16"/>
              </w:rPr>
              <w:t>4.</w:t>
            </w:r>
            <w:r w:rsidRPr="00950D73">
              <w:rPr>
                <w:rFonts w:asciiTheme="majorBidi" w:hAnsiTheme="majorBidi" w:cstheme="majorBidi"/>
                <w:sz w:val="16"/>
                <w:szCs w:val="16"/>
              </w:rPr>
              <w:tab/>
              <w:t>Augmentation globale apparente et dépendant de la dose de l’induction de la luciférase</w:t>
            </w:r>
          </w:p>
        </w:tc>
        <w:tc>
          <w:tcPr>
            <w:tcW w:w="1572" w:type="dxa"/>
            <w:tcBorders>
              <w:top w:val="single" w:sz="4" w:space="0" w:color="auto"/>
              <w:left w:val="single" w:sz="4" w:space="0" w:color="auto"/>
              <w:bottom w:val="single" w:sz="4" w:space="0" w:color="auto"/>
              <w:right w:val="single" w:sz="4" w:space="0" w:color="auto"/>
            </w:tcBorders>
          </w:tcPr>
          <w:p w14:paraId="46E3F0CC" w14:textId="77777777" w:rsidR="00560CB5" w:rsidRPr="00950D73" w:rsidRDefault="00560CB5" w:rsidP="008D05B9">
            <w:pPr>
              <w:keepNext/>
              <w:keepLines/>
              <w:spacing w:before="20" w:after="20" w:line="240" w:lineRule="auto"/>
              <w:ind w:left="57" w:right="57"/>
              <w:rPr>
                <w:rFonts w:asciiTheme="majorBidi" w:hAnsiTheme="majorBidi" w:cstheme="majorBidi"/>
                <w:sz w:val="16"/>
                <w:szCs w:val="16"/>
                <w:lang w:val="fr-FR"/>
              </w:rPr>
            </w:pPr>
            <w:r w:rsidRPr="00950D73">
              <w:rPr>
                <w:rFonts w:asciiTheme="majorBidi" w:hAnsiTheme="majorBidi" w:cstheme="majorBidi"/>
                <w:sz w:val="16"/>
                <w:szCs w:val="16"/>
                <w:lang w:val="fr-FR"/>
              </w:rPr>
              <w:t>Les conditions suivantes sont toutes remplies en 2 de 2 ou dans les mêmes 2 de 3 répétitions :</w:t>
            </w:r>
          </w:p>
          <w:p w14:paraId="319996B4" w14:textId="77777777" w:rsidR="00560CB5" w:rsidRPr="00950D73" w:rsidRDefault="00560CB5" w:rsidP="008D05B9">
            <w:pPr>
              <w:spacing w:before="20" w:after="20" w:line="240" w:lineRule="auto"/>
              <w:ind w:left="184" w:hanging="170"/>
              <w:rPr>
                <w:rFonts w:asciiTheme="majorBidi" w:hAnsiTheme="majorBidi" w:cstheme="majorBidi"/>
                <w:sz w:val="16"/>
                <w:szCs w:val="16"/>
              </w:rPr>
            </w:pPr>
            <w:r w:rsidRPr="00950D73">
              <w:rPr>
                <w:rFonts w:asciiTheme="majorBidi" w:hAnsiTheme="majorBidi" w:cstheme="majorBidi"/>
                <w:sz w:val="16"/>
                <w:szCs w:val="16"/>
              </w:rPr>
              <w:t>1.</w:t>
            </w:r>
            <w:r w:rsidRPr="00950D73">
              <w:rPr>
                <w:rFonts w:asciiTheme="majorBidi" w:hAnsiTheme="majorBidi" w:cstheme="majorBidi"/>
                <w:sz w:val="16"/>
                <w:szCs w:val="16"/>
              </w:rPr>
              <w:tab/>
              <w:t xml:space="preserve">Une induction de la luciférase 1,5 fois par rapport au témoin solvant est observée dans au moins 2 concentrations testées consécutives non cytotoxiques (viabilité cellulaire </w:t>
            </w:r>
            <w:r w:rsidRPr="00950D73">
              <w:rPr>
                <w:rFonts w:asciiTheme="majorBidi" w:hAnsiTheme="majorBidi" w:cstheme="majorBidi"/>
                <w:sz w:val="16"/>
                <w:szCs w:val="16"/>
                <w:lang w:val="fr-FR"/>
              </w:rPr>
              <w:t>≥</w:t>
            </w:r>
            <w:r w:rsidRPr="00950D73">
              <w:rPr>
                <w:rFonts w:asciiTheme="majorBidi" w:hAnsiTheme="majorBidi" w:cstheme="majorBidi"/>
                <w:sz w:val="16"/>
                <w:szCs w:val="16"/>
              </w:rPr>
              <w:t>70 %)</w:t>
            </w:r>
          </w:p>
          <w:p w14:paraId="6C375400" w14:textId="77777777" w:rsidR="00560CB5" w:rsidRPr="00950D73" w:rsidRDefault="00560CB5" w:rsidP="008D05B9">
            <w:pPr>
              <w:spacing w:before="20" w:after="20" w:line="240" w:lineRule="auto"/>
              <w:ind w:left="170" w:hanging="170"/>
              <w:rPr>
                <w:rFonts w:asciiTheme="majorBidi" w:hAnsiTheme="majorBidi" w:cstheme="majorBidi"/>
                <w:sz w:val="16"/>
                <w:szCs w:val="16"/>
              </w:rPr>
            </w:pPr>
            <w:r w:rsidRPr="00950D73">
              <w:rPr>
                <w:rFonts w:asciiTheme="majorBidi" w:hAnsiTheme="majorBidi" w:cstheme="majorBidi"/>
                <w:sz w:val="16"/>
                <w:szCs w:val="16"/>
              </w:rPr>
              <w:t>2.</w:t>
            </w:r>
            <w:r w:rsidRPr="00950D73">
              <w:rPr>
                <w:rFonts w:asciiTheme="majorBidi" w:hAnsiTheme="majorBidi" w:cstheme="majorBidi"/>
                <w:sz w:val="16"/>
                <w:szCs w:val="16"/>
              </w:rPr>
              <w:tab/>
              <w:t xml:space="preserve">Au moins trois concentrations testées doivent être non cytotoxiques (et viabilité cellulaire </w:t>
            </w:r>
            <w:r w:rsidRPr="00950D73">
              <w:rPr>
                <w:rFonts w:asciiTheme="majorBidi" w:hAnsiTheme="majorBidi" w:cstheme="majorBidi"/>
                <w:sz w:val="16"/>
                <w:szCs w:val="16"/>
                <w:lang w:val="fr-FR"/>
              </w:rPr>
              <w:t>≥</w:t>
            </w:r>
            <w:r w:rsidRPr="00950D73">
              <w:rPr>
                <w:rFonts w:asciiTheme="majorBidi" w:hAnsiTheme="majorBidi" w:cstheme="majorBidi"/>
                <w:sz w:val="16"/>
                <w:szCs w:val="16"/>
              </w:rPr>
              <w:t>70 %)</w:t>
            </w:r>
          </w:p>
        </w:tc>
        <w:tc>
          <w:tcPr>
            <w:tcW w:w="1296" w:type="dxa"/>
            <w:tcBorders>
              <w:top w:val="single" w:sz="4" w:space="0" w:color="auto"/>
              <w:left w:val="single" w:sz="4" w:space="0" w:color="auto"/>
              <w:bottom w:val="single" w:sz="4" w:space="0" w:color="auto"/>
              <w:right w:val="single" w:sz="4" w:space="0" w:color="auto"/>
            </w:tcBorders>
          </w:tcPr>
          <w:p w14:paraId="219E7153" w14:textId="77777777" w:rsidR="00560CB5" w:rsidRPr="00950D73" w:rsidRDefault="00560CB5" w:rsidP="008D05B9">
            <w:pPr>
              <w:keepNext/>
              <w:keepLines/>
              <w:spacing w:before="20" w:after="20" w:line="240" w:lineRule="auto"/>
              <w:ind w:left="31" w:right="15"/>
              <w:rPr>
                <w:rFonts w:asciiTheme="majorBidi" w:hAnsiTheme="majorBidi" w:cstheme="majorBidi"/>
                <w:sz w:val="16"/>
                <w:szCs w:val="16"/>
                <w:lang w:val="fr-FR"/>
              </w:rPr>
            </w:pPr>
            <w:r w:rsidRPr="00950D73">
              <w:rPr>
                <w:rFonts w:asciiTheme="majorBidi" w:hAnsiTheme="majorBidi" w:cstheme="majorBidi"/>
                <w:sz w:val="16"/>
                <w:szCs w:val="16"/>
                <w:lang w:val="fr-FR"/>
              </w:rPr>
              <w:t>Au moins une des conditions suivantes est remplie dans 2 sur 2 ou au moins 2 sur 3 séries indépendantes :</w:t>
            </w:r>
          </w:p>
          <w:p w14:paraId="566E313A" w14:textId="1CF47B15" w:rsidR="00560CB5" w:rsidRPr="00950D73" w:rsidRDefault="00560CB5" w:rsidP="008D05B9">
            <w:pPr>
              <w:keepNext/>
              <w:keepLines/>
              <w:spacing w:before="20" w:after="20" w:line="240" w:lineRule="auto"/>
              <w:ind w:left="31" w:right="15"/>
              <w:rPr>
                <w:rFonts w:asciiTheme="majorBidi" w:hAnsiTheme="majorBidi" w:cstheme="majorBidi"/>
                <w:sz w:val="16"/>
                <w:szCs w:val="16"/>
                <w:lang w:val="fr-FR"/>
              </w:rPr>
            </w:pPr>
            <w:r w:rsidRPr="00950D73">
              <w:rPr>
                <w:rFonts w:asciiTheme="majorBidi" w:hAnsiTheme="majorBidi" w:cstheme="majorBidi"/>
                <w:sz w:val="16"/>
                <w:szCs w:val="16"/>
                <w:lang w:val="fr-FR"/>
              </w:rPr>
              <w:t>L’intensité de fluorescence relative du CD86 est égale ou supérieure à 150 % à toute concentration testée (et viabilité cellulaire 50 %)</w:t>
            </w:r>
            <w:r w:rsidRPr="00950D73">
              <w:rPr>
                <w:rFonts w:asciiTheme="majorBidi" w:hAnsiTheme="majorBidi" w:cstheme="majorBidi"/>
                <w:sz w:val="16"/>
                <w:szCs w:val="16"/>
                <w:lang w:val="fr-FR"/>
              </w:rPr>
              <w:br/>
              <w:t xml:space="preserve">ou </w:t>
            </w:r>
            <w:r w:rsidRPr="00950D73">
              <w:rPr>
                <w:rFonts w:asciiTheme="majorBidi" w:hAnsiTheme="majorBidi" w:cstheme="majorBidi"/>
                <w:sz w:val="16"/>
                <w:szCs w:val="16"/>
                <w:lang w:val="fr-FR"/>
              </w:rPr>
              <w:br/>
              <w:t xml:space="preserve">l’intensité de fluorescence relative du CD54 </w:t>
            </w:r>
            <w:r w:rsidRPr="00950D73">
              <w:rPr>
                <w:rFonts w:asciiTheme="majorBidi" w:hAnsiTheme="majorBidi" w:cstheme="majorBidi"/>
                <w:sz w:val="16"/>
                <w:szCs w:val="16"/>
              </w:rPr>
              <w:t xml:space="preserve">est égale ou supérieure à </w:t>
            </w:r>
            <w:r w:rsidRPr="00950D73">
              <w:rPr>
                <w:rFonts w:asciiTheme="majorBidi" w:hAnsiTheme="majorBidi" w:cstheme="majorBidi"/>
                <w:sz w:val="16"/>
                <w:szCs w:val="16"/>
                <w:lang w:val="fr-FR"/>
              </w:rPr>
              <w:t>200 % à toute concentration testée (et viabilité cellulaire ≥</w:t>
            </w:r>
            <w:r w:rsidR="00DF4816" w:rsidRPr="00950D73">
              <w:rPr>
                <w:rFonts w:asciiTheme="majorBidi" w:hAnsiTheme="majorBidi" w:cstheme="majorBidi"/>
                <w:sz w:val="16"/>
                <w:szCs w:val="16"/>
                <w:lang w:val="fr-FR"/>
              </w:rPr>
              <w:t> </w:t>
            </w:r>
            <w:r w:rsidRPr="00950D73">
              <w:rPr>
                <w:rFonts w:asciiTheme="majorBidi" w:hAnsiTheme="majorBidi" w:cstheme="majorBidi"/>
                <w:sz w:val="16"/>
                <w:szCs w:val="16"/>
                <w:lang w:val="fr-FR"/>
              </w:rPr>
              <w:t>50 %)</w:t>
            </w:r>
          </w:p>
        </w:tc>
        <w:tc>
          <w:tcPr>
            <w:tcW w:w="1560" w:type="dxa"/>
            <w:tcBorders>
              <w:top w:val="single" w:sz="4" w:space="0" w:color="auto"/>
              <w:left w:val="single" w:sz="4" w:space="0" w:color="auto"/>
              <w:bottom w:val="single" w:sz="4" w:space="0" w:color="auto"/>
              <w:right w:val="single" w:sz="4" w:space="0" w:color="auto"/>
            </w:tcBorders>
          </w:tcPr>
          <w:p w14:paraId="5C636120" w14:textId="77777777" w:rsidR="00560CB5" w:rsidRPr="00950D73" w:rsidRDefault="00560CB5" w:rsidP="008D05B9">
            <w:pPr>
              <w:keepNext/>
              <w:keepLines/>
              <w:spacing w:before="20" w:after="20" w:line="240" w:lineRule="auto"/>
              <w:ind w:left="19" w:right="44"/>
              <w:rPr>
                <w:rFonts w:asciiTheme="majorBidi" w:hAnsiTheme="majorBidi" w:cstheme="majorBidi"/>
                <w:sz w:val="16"/>
                <w:szCs w:val="16"/>
                <w:lang w:val="fr-FR"/>
              </w:rPr>
            </w:pPr>
            <w:r w:rsidRPr="00950D73">
              <w:rPr>
                <w:rFonts w:asciiTheme="majorBidi" w:hAnsiTheme="majorBidi" w:cstheme="majorBidi"/>
                <w:sz w:val="16"/>
                <w:szCs w:val="16"/>
                <w:lang w:val="fr-FR"/>
              </w:rPr>
              <w:t>La condition suivante est remplie dans 2 de 2 ou au moins 2 de 3 séries indépendantes :</w:t>
            </w:r>
          </w:p>
          <w:p w14:paraId="6B91E768" w14:textId="77777777" w:rsidR="00560CB5" w:rsidRPr="00950D73" w:rsidRDefault="00560CB5" w:rsidP="008D05B9">
            <w:pPr>
              <w:keepNext/>
              <w:keepLines/>
              <w:spacing w:before="20" w:after="20" w:line="240" w:lineRule="auto"/>
              <w:ind w:left="57" w:right="57"/>
              <w:rPr>
                <w:rFonts w:asciiTheme="majorBidi" w:hAnsiTheme="majorBidi" w:cstheme="majorBidi"/>
                <w:sz w:val="16"/>
                <w:szCs w:val="16"/>
                <w:lang w:val="fr-FR"/>
              </w:rPr>
            </w:pPr>
            <w:r w:rsidRPr="00950D73">
              <w:rPr>
                <w:rFonts w:asciiTheme="majorBidi" w:hAnsiTheme="majorBidi" w:cstheme="majorBidi"/>
                <w:sz w:val="16"/>
                <w:szCs w:val="16"/>
                <w:lang w:val="fr-FR"/>
              </w:rPr>
              <w:t>L’indice de stimulation du CD86 est égal ou supérieur à 150 % et/ou une interférence est observée</w:t>
            </w:r>
          </w:p>
        </w:tc>
        <w:tc>
          <w:tcPr>
            <w:tcW w:w="1275" w:type="dxa"/>
            <w:tcBorders>
              <w:top w:val="single" w:sz="4" w:space="0" w:color="auto"/>
              <w:left w:val="single" w:sz="4" w:space="0" w:color="auto"/>
              <w:bottom w:val="single" w:sz="4" w:space="0" w:color="auto"/>
              <w:right w:val="single" w:sz="4" w:space="0" w:color="auto"/>
            </w:tcBorders>
          </w:tcPr>
          <w:p w14:paraId="5767785E" w14:textId="77777777" w:rsidR="00560CB5" w:rsidRPr="00950D73" w:rsidRDefault="00560CB5" w:rsidP="008D05B9">
            <w:pPr>
              <w:keepNext/>
              <w:keepLines/>
              <w:spacing w:before="20" w:after="20" w:line="240" w:lineRule="auto"/>
              <w:ind w:left="26" w:right="10"/>
              <w:rPr>
                <w:rFonts w:asciiTheme="majorBidi" w:hAnsiTheme="majorBidi" w:cstheme="majorBidi"/>
                <w:sz w:val="16"/>
                <w:szCs w:val="16"/>
                <w:lang w:val="fr-FR"/>
              </w:rPr>
            </w:pPr>
            <w:r w:rsidRPr="00950D73">
              <w:rPr>
                <w:rFonts w:asciiTheme="majorBidi" w:hAnsiTheme="majorBidi" w:cstheme="majorBidi"/>
                <w:sz w:val="16"/>
                <w:szCs w:val="16"/>
                <w:lang w:val="fr-FR"/>
              </w:rPr>
              <w:t xml:space="preserve">L’induction de l’activité normalisée de la luciférase reflétant l’activité du promoteur de l’interleukine-8 (Ind-IL8LA) est égale ou supérieure à 1,4 et la limite inférieure de </w:t>
            </w:r>
            <w:r w:rsidRPr="00950D73">
              <w:rPr>
                <w:rFonts w:asciiTheme="majorBidi" w:hAnsiTheme="majorBidi" w:cstheme="majorBidi"/>
                <w:spacing w:val="-2"/>
                <w:sz w:val="16"/>
                <w:szCs w:val="16"/>
                <w:lang w:val="fr-FR"/>
              </w:rPr>
              <w:t>l’intervalle de confiance à 95 %</w:t>
            </w:r>
            <w:r w:rsidRPr="00950D73">
              <w:rPr>
                <w:rFonts w:asciiTheme="majorBidi" w:hAnsiTheme="majorBidi" w:cstheme="majorBidi"/>
                <w:sz w:val="16"/>
                <w:szCs w:val="16"/>
                <w:lang w:val="fr-FR"/>
              </w:rPr>
              <w:t xml:space="preserve"> de Ind-IL8LA est égale ou supérieure à 1,0 dans au moins 2 des 4 séries indépendantes au maximum.</w:t>
            </w:r>
          </w:p>
        </w:tc>
        <w:tc>
          <w:tcPr>
            <w:tcW w:w="1310" w:type="dxa"/>
            <w:tcBorders>
              <w:top w:val="single" w:sz="4" w:space="0" w:color="auto"/>
              <w:left w:val="single" w:sz="4" w:space="0" w:color="auto"/>
              <w:bottom w:val="single" w:sz="4" w:space="0" w:color="auto"/>
              <w:right w:val="single" w:sz="4" w:space="0" w:color="auto"/>
            </w:tcBorders>
          </w:tcPr>
          <w:p w14:paraId="37818418" w14:textId="77777777" w:rsidR="00560CB5" w:rsidRPr="00950D73" w:rsidRDefault="00560CB5" w:rsidP="008D05B9">
            <w:pPr>
              <w:keepNext/>
              <w:keepLines/>
              <w:spacing w:before="20" w:after="20" w:line="240" w:lineRule="auto"/>
              <w:ind w:left="57" w:right="57"/>
              <w:rPr>
                <w:rFonts w:asciiTheme="majorBidi" w:hAnsiTheme="majorBidi" w:cstheme="majorBidi"/>
                <w:sz w:val="16"/>
                <w:szCs w:val="16"/>
                <w:lang w:val="fr-FR"/>
              </w:rPr>
            </w:pPr>
            <w:r w:rsidRPr="00950D73">
              <w:rPr>
                <w:rFonts w:asciiTheme="majorBidi" w:hAnsiTheme="majorBidi" w:cstheme="majorBidi"/>
                <w:sz w:val="16"/>
                <w:szCs w:val="16"/>
                <w:lang w:val="fr-FR"/>
              </w:rPr>
              <w:t>Valeur de décision moyenne ≥0</w:t>
            </w:r>
          </w:p>
        </w:tc>
      </w:tr>
    </w:tbl>
    <w:p w14:paraId="411BBC3C" w14:textId="77777777" w:rsidR="000A46F2" w:rsidRPr="00950D73" w:rsidRDefault="000A46F2">
      <w:pPr>
        <w:rPr>
          <w:rFonts w:asciiTheme="majorBidi" w:hAnsiTheme="majorBidi" w:cstheme="majorBidi"/>
        </w:rPr>
      </w:pPr>
    </w:p>
    <w:p w14:paraId="2B32A7DC" w14:textId="77777777" w:rsidR="00B13B1A" w:rsidRPr="00950D73" w:rsidRDefault="00B13B1A" w:rsidP="00542896">
      <w:pPr>
        <w:pStyle w:val="SingleTxtG"/>
        <w:keepNext/>
        <w:keepLines/>
        <w:spacing w:after="40" w:line="240" w:lineRule="auto"/>
        <w:ind w:left="2268" w:hanging="1134"/>
        <w:jc w:val="center"/>
        <w:rPr>
          <w:rFonts w:asciiTheme="majorBidi" w:hAnsiTheme="majorBidi" w:cstheme="majorBidi"/>
          <w:lang w:val="fr-FR"/>
        </w:rPr>
      </w:pPr>
      <w:r w:rsidRPr="00950D73">
        <w:rPr>
          <w:rFonts w:asciiTheme="majorBidi" w:hAnsiTheme="majorBidi" w:cstheme="majorBidi"/>
          <w:b/>
          <w:bCs/>
          <w:lang w:val="fr-FR"/>
        </w:rPr>
        <w:t xml:space="preserve">Tableau 3.4.8 : Critères pour les différentes méthodes </w:t>
      </w:r>
      <w:r w:rsidRPr="00950D73">
        <w:rPr>
          <w:rFonts w:asciiTheme="majorBidi" w:hAnsiTheme="majorBidi" w:cstheme="majorBidi"/>
          <w:b/>
          <w:bCs/>
          <w:i/>
          <w:lang w:val="fr-FR"/>
        </w:rPr>
        <w:t xml:space="preserve">in </w:t>
      </w:r>
      <w:proofErr w:type="spellStart"/>
      <w:r w:rsidRPr="00950D73">
        <w:rPr>
          <w:rFonts w:asciiTheme="majorBidi" w:hAnsiTheme="majorBidi" w:cstheme="majorBidi"/>
          <w:b/>
          <w:bCs/>
          <w:i/>
          <w:lang w:val="fr-FR"/>
        </w:rPr>
        <w:t>chemico</w:t>
      </w:r>
      <w:proofErr w:type="spellEnd"/>
      <w:r w:rsidRPr="00950D73">
        <w:rPr>
          <w:rFonts w:asciiTheme="majorBidi" w:hAnsiTheme="majorBidi" w:cstheme="majorBidi"/>
          <w:b/>
          <w:bCs/>
          <w:i/>
          <w:lang w:val="fr-FR"/>
        </w:rPr>
        <w:t>/</w:t>
      </w:r>
      <w:r w:rsidRPr="00950D73">
        <w:rPr>
          <w:rFonts w:asciiTheme="majorBidi" w:hAnsiTheme="majorBidi" w:cstheme="majorBidi"/>
          <w:b/>
          <w:bCs/>
          <w:iCs/>
          <w:lang w:val="fr-FR"/>
        </w:rPr>
        <w:t>in vitro</w:t>
      </w:r>
      <w:r w:rsidRPr="00950D73">
        <w:rPr>
          <w:rFonts w:asciiTheme="majorBidi" w:hAnsiTheme="majorBidi" w:cstheme="majorBidi"/>
          <w:b/>
          <w:bCs/>
          <w:i/>
          <w:lang w:val="fr-FR"/>
        </w:rPr>
        <w:t xml:space="preserve"> (suite)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1"/>
        <w:gridCol w:w="1442"/>
        <w:gridCol w:w="1228"/>
        <w:gridCol w:w="1291"/>
        <w:gridCol w:w="2065"/>
        <w:gridCol w:w="1600"/>
        <w:gridCol w:w="1319"/>
        <w:gridCol w:w="1588"/>
        <w:gridCol w:w="1298"/>
        <w:gridCol w:w="1333"/>
      </w:tblGrid>
      <w:tr w:rsidR="00B13B1A" w:rsidRPr="00950D73" w14:paraId="1E7E5820" w14:textId="77777777" w:rsidTr="003E3A23">
        <w:trPr>
          <w:trHeight w:val="135"/>
          <w:tblHeader/>
          <w:jc w:val="center"/>
        </w:trPr>
        <w:tc>
          <w:tcPr>
            <w:tcW w:w="1011"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515E5C51" w14:textId="77777777" w:rsidR="00B13B1A" w:rsidRPr="00950D73" w:rsidRDefault="00B13B1A" w:rsidP="00542896">
            <w:pPr>
              <w:keepNext/>
              <w:keepLines/>
              <w:spacing w:before="20" w:after="20" w:line="240" w:lineRule="auto"/>
              <w:ind w:right="-52"/>
              <w:rPr>
                <w:rFonts w:asciiTheme="majorBidi" w:hAnsiTheme="majorBidi" w:cstheme="majorBidi"/>
                <w:b/>
                <w:bCs/>
                <w:sz w:val="16"/>
                <w:szCs w:val="16"/>
              </w:rPr>
            </w:pPr>
            <w:r w:rsidRPr="00950D73">
              <w:rPr>
                <w:rFonts w:asciiTheme="majorBidi" w:hAnsiTheme="majorBidi" w:cstheme="majorBidi"/>
                <w:b/>
                <w:bCs/>
                <w:sz w:val="16"/>
                <w:szCs w:val="16"/>
              </w:rPr>
              <w:t>Catégorie</w:t>
            </w:r>
          </w:p>
        </w:tc>
        <w:tc>
          <w:tcPr>
            <w:tcW w:w="3961" w:type="dxa"/>
            <w:gridSpan w:val="3"/>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2C086E83" w14:textId="77777777" w:rsidR="00B13B1A" w:rsidRPr="00950D73" w:rsidRDefault="00B13B1A"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Ligne directrice 442C de l’OCDE </w:t>
            </w:r>
          </w:p>
        </w:tc>
        <w:tc>
          <w:tcPr>
            <w:tcW w:w="3665" w:type="dxa"/>
            <w:gridSpan w:val="2"/>
            <w:tcBorders>
              <w:top w:val="single" w:sz="4" w:space="0" w:color="auto"/>
              <w:left w:val="single" w:sz="4" w:space="0" w:color="auto"/>
              <w:bottom w:val="nil"/>
              <w:right w:val="single" w:sz="4" w:space="0" w:color="auto"/>
            </w:tcBorders>
          </w:tcPr>
          <w:p w14:paraId="5A845E52" w14:textId="77777777" w:rsidR="00B13B1A" w:rsidRPr="00950D73" w:rsidRDefault="00B13B1A"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Ligne directrice 442D de l’OCDE</w:t>
            </w:r>
          </w:p>
        </w:tc>
        <w:tc>
          <w:tcPr>
            <w:tcW w:w="5538" w:type="dxa"/>
            <w:gridSpan w:val="4"/>
            <w:tcBorders>
              <w:top w:val="single" w:sz="4" w:space="0" w:color="auto"/>
              <w:left w:val="single" w:sz="4" w:space="0" w:color="auto"/>
              <w:bottom w:val="nil"/>
              <w:right w:val="single" w:sz="4" w:space="0" w:color="auto"/>
            </w:tcBorders>
          </w:tcPr>
          <w:p w14:paraId="23235B9D" w14:textId="77777777" w:rsidR="00B13B1A" w:rsidRPr="00950D73" w:rsidRDefault="00B13B1A"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Ligne directrice 442E de l’OCDE</w:t>
            </w:r>
          </w:p>
        </w:tc>
      </w:tr>
      <w:tr w:rsidR="00B13B1A" w:rsidRPr="00950D73" w14:paraId="36312E0A" w14:textId="77777777" w:rsidTr="00541706">
        <w:trPr>
          <w:trHeight w:val="1083"/>
          <w:tblHeader/>
          <w:jc w:val="center"/>
        </w:trPr>
        <w:tc>
          <w:tcPr>
            <w:tcW w:w="1011" w:type="dxa"/>
            <w:tcBorders>
              <w:top w:val="nil"/>
              <w:left w:val="single" w:sz="4" w:space="0" w:color="auto"/>
              <w:bottom w:val="nil"/>
              <w:right w:val="single" w:sz="4" w:space="0" w:color="auto"/>
            </w:tcBorders>
            <w:tcMar>
              <w:top w:w="57" w:type="dxa"/>
              <w:left w:w="57" w:type="dxa"/>
              <w:bottom w:w="57" w:type="dxa"/>
              <w:right w:w="57" w:type="dxa"/>
            </w:tcMar>
          </w:tcPr>
          <w:p w14:paraId="70077F0A" w14:textId="77777777" w:rsidR="00B13B1A" w:rsidRPr="00950D73" w:rsidRDefault="00B13B1A" w:rsidP="00542896">
            <w:pPr>
              <w:keepNext/>
              <w:keepLines/>
              <w:spacing w:before="20" w:after="20" w:line="240" w:lineRule="auto"/>
              <w:ind w:right="-52"/>
              <w:rPr>
                <w:rFonts w:asciiTheme="majorBidi" w:hAnsiTheme="majorBidi" w:cstheme="majorBidi"/>
                <w:b/>
                <w:bCs/>
                <w:sz w:val="16"/>
                <w:szCs w:val="16"/>
              </w:rPr>
            </w:pPr>
          </w:p>
        </w:tc>
        <w:tc>
          <w:tcPr>
            <w:tcW w:w="3961"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14:paraId="6AA1A468" w14:textId="77777777" w:rsidR="00B13B1A" w:rsidRPr="00950D73" w:rsidRDefault="00B13B1A"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Ligne directrice fondée sur les événements clés pour les essais de sensibilisation cutanée </w:t>
            </w:r>
            <w:r w:rsidRPr="00950D73">
              <w:rPr>
                <w:rFonts w:asciiTheme="majorBidi" w:hAnsiTheme="majorBidi" w:cstheme="majorBidi"/>
                <w:b/>
                <w:i/>
                <w:sz w:val="16"/>
                <w:szCs w:val="16"/>
                <w:lang w:val="fr-FR"/>
              </w:rPr>
              <w:t>in </w:t>
            </w:r>
            <w:proofErr w:type="spellStart"/>
            <w:r w:rsidRPr="00950D73">
              <w:rPr>
                <w:rFonts w:asciiTheme="majorBidi" w:hAnsiTheme="majorBidi" w:cstheme="majorBidi"/>
                <w:b/>
                <w:i/>
                <w:sz w:val="16"/>
                <w:szCs w:val="16"/>
                <w:lang w:val="fr-FR"/>
              </w:rPr>
              <w:t>chemico</w:t>
            </w:r>
            <w:proofErr w:type="spellEnd"/>
            <w:r w:rsidRPr="00950D73">
              <w:rPr>
                <w:rFonts w:asciiTheme="majorBidi" w:hAnsiTheme="majorBidi" w:cstheme="majorBidi"/>
                <w:b/>
                <w:sz w:val="16"/>
                <w:szCs w:val="16"/>
                <w:lang w:val="fr-FR"/>
              </w:rPr>
              <w:t xml:space="preserve"> portant sur l’événement clé relatif </w:t>
            </w:r>
            <w:r w:rsidRPr="00950D73">
              <w:rPr>
                <w:rFonts w:asciiTheme="majorBidi" w:hAnsiTheme="majorBidi" w:cstheme="majorBidi"/>
                <w:b/>
                <w:sz w:val="16"/>
                <w:szCs w:val="16"/>
                <w:lang w:val="fr-FR"/>
              </w:rPr>
              <w:br/>
              <w:t>à l’établissement d’une liaison covalente avec les protéines, dans la voie toxicologique impliquée dans les effets indésirables</w:t>
            </w:r>
          </w:p>
        </w:tc>
        <w:tc>
          <w:tcPr>
            <w:tcW w:w="3665" w:type="dxa"/>
            <w:gridSpan w:val="2"/>
            <w:tcBorders>
              <w:top w:val="nil"/>
              <w:left w:val="single" w:sz="4" w:space="0" w:color="auto"/>
              <w:bottom w:val="single" w:sz="4" w:space="0" w:color="auto"/>
              <w:right w:val="single" w:sz="4" w:space="0" w:color="auto"/>
            </w:tcBorders>
          </w:tcPr>
          <w:p w14:paraId="562D1AB2" w14:textId="77777777" w:rsidR="00B13B1A" w:rsidRPr="00950D73" w:rsidRDefault="00B13B1A" w:rsidP="00185BEA">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Ligne directrice fondée sur les événements clés pour les essais de sensibilisation cutanée </w:t>
            </w:r>
            <w:r w:rsidRPr="00950D73">
              <w:rPr>
                <w:rFonts w:asciiTheme="majorBidi" w:hAnsiTheme="majorBidi" w:cstheme="majorBidi"/>
                <w:b/>
                <w:iCs/>
                <w:sz w:val="16"/>
                <w:szCs w:val="16"/>
                <w:lang w:val="fr-FR"/>
              </w:rPr>
              <w:t>in vitro</w:t>
            </w:r>
            <w:r w:rsidRPr="00950D73">
              <w:rPr>
                <w:rFonts w:asciiTheme="majorBidi" w:hAnsiTheme="majorBidi" w:cstheme="majorBidi"/>
                <w:b/>
                <w:i/>
                <w:sz w:val="16"/>
                <w:szCs w:val="16"/>
                <w:lang w:val="fr-FR"/>
              </w:rPr>
              <w:t xml:space="preserve"> </w:t>
            </w:r>
            <w:r w:rsidRPr="00950D73">
              <w:rPr>
                <w:rFonts w:asciiTheme="majorBidi" w:hAnsiTheme="majorBidi" w:cstheme="majorBidi"/>
                <w:b/>
                <w:sz w:val="16"/>
                <w:szCs w:val="16"/>
                <w:lang w:val="fr-FR"/>
              </w:rPr>
              <w:t xml:space="preserve">portant sur l’événement clé relatif </w:t>
            </w:r>
            <w:r w:rsidRPr="00950D73">
              <w:rPr>
                <w:rFonts w:asciiTheme="majorBidi" w:hAnsiTheme="majorBidi" w:cstheme="majorBidi"/>
                <w:b/>
                <w:sz w:val="16"/>
                <w:szCs w:val="16"/>
                <w:lang w:val="fr-FR"/>
              </w:rPr>
              <w:br/>
              <w:t xml:space="preserve">à l’activation des kératinocytes </w:t>
            </w:r>
            <w:r w:rsidRPr="00950D73">
              <w:rPr>
                <w:rFonts w:asciiTheme="majorBidi" w:hAnsiTheme="majorBidi" w:cstheme="majorBidi"/>
                <w:b/>
                <w:sz w:val="16"/>
                <w:szCs w:val="16"/>
                <w:lang w:val="fr-FR"/>
              </w:rPr>
              <w:br/>
              <w:t xml:space="preserve">dans la voie toxicologique impliquée </w:t>
            </w:r>
            <w:r w:rsidRPr="00950D73">
              <w:rPr>
                <w:rFonts w:asciiTheme="majorBidi" w:hAnsiTheme="majorBidi" w:cstheme="majorBidi"/>
                <w:b/>
                <w:sz w:val="16"/>
                <w:szCs w:val="16"/>
                <w:lang w:val="fr-FR"/>
              </w:rPr>
              <w:br/>
              <w:t>dans les effets indésirables</w:t>
            </w:r>
            <w:r w:rsidRPr="00950D73">
              <w:rPr>
                <w:rFonts w:asciiTheme="majorBidi" w:hAnsiTheme="majorBidi" w:cstheme="majorBidi"/>
                <w:b/>
                <w:sz w:val="16"/>
                <w:szCs w:val="16"/>
                <w:lang w:val="fr-FR"/>
              </w:rPr>
              <w:br/>
              <w:t xml:space="preserve">Méthodes d’essai ARE-Nrf2 luciférase </w:t>
            </w:r>
          </w:p>
        </w:tc>
        <w:tc>
          <w:tcPr>
            <w:tcW w:w="5538" w:type="dxa"/>
            <w:gridSpan w:val="4"/>
            <w:tcBorders>
              <w:top w:val="nil"/>
              <w:left w:val="single" w:sz="4" w:space="0" w:color="auto"/>
              <w:bottom w:val="single" w:sz="4" w:space="0" w:color="auto"/>
              <w:right w:val="single" w:sz="4" w:space="0" w:color="auto"/>
            </w:tcBorders>
          </w:tcPr>
          <w:p w14:paraId="1B66149B" w14:textId="77777777" w:rsidR="00B13B1A" w:rsidRPr="00950D73" w:rsidRDefault="00B13B1A" w:rsidP="00542896">
            <w:pPr>
              <w:keepNext/>
              <w:keepLines/>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Tests de sensibilisation cutanée</w:t>
            </w:r>
            <w:r w:rsidRPr="00950D73">
              <w:rPr>
                <w:rFonts w:asciiTheme="majorBidi" w:hAnsiTheme="majorBidi" w:cstheme="majorBidi"/>
                <w:b/>
                <w:i/>
                <w:iCs/>
                <w:sz w:val="16"/>
                <w:szCs w:val="16"/>
                <w:lang w:val="fr-FR"/>
              </w:rPr>
              <w:t xml:space="preserve"> </w:t>
            </w:r>
            <w:r w:rsidRPr="00950D73">
              <w:rPr>
                <w:rFonts w:asciiTheme="majorBidi" w:hAnsiTheme="majorBidi" w:cstheme="majorBidi"/>
                <w:b/>
                <w:sz w:val="16"/>
                <w:szCs w:val="16"/>
                <w:lang w:val="fr-FR"/>
              </w:rPr>
              <w:t xml:space="preserve">in vitro portant sur l’événement clé relatif à l’activation des cellules dendritiques </w:t>
            </w:r>
            <w:r w:rsidRPr="00950D73">
              <w:rPr>
                <w:rFonts w:asciiTheme="majorBidi" w:hAnsiTheme="majorBidi" w:cstheme="majorBidi"/>
                <w:b/>
                <w:sz w:val="16"/>
                <w:szCs w:val="16"/>
                <w:lang w:val="fr-FR"/>
              </w:rPr>
              <w:br/>
              <w:t>dans la voie toxicologique impliquée dans les effets indésirables</w:t>
            </w:r>
          </w:p>
        </w:tc>
      </w:tr>
      <w:tr w:rsidR="00542896" w:rsidRPr="00950D73" w14:paraId="7F409EF1" w14:textId="77777777" w:rsidTr="00541706">
        <w:trPr>
          <w:trHeight w:val="342"/>
          <w:tblHeader/>
          <w:jc w:val="center"/>
        </w:trPr>
        <w:tc>
          <w:tcPr>
            <w:tcW w:w="1011" w:type="dxa"/>
            <w:tcBorders>
              <w:top w:val="nil"/>
              <w:left w:val="single" w:sz="4" w:space="0" w:color="auto"/>
              <w:bottom w:val="nil"/>
              <w:right w:val="single" w:sz="4" w:space="0" w:color="auto"/>
            </w:tcBorders>
            <w:tcMar>
              <w:top w:w="57" w:type="dxa"/>
              <w:left w:w="57" w:type="dxa"/>
              <w:bottom w:w="57" w:type="dxa"/>
              <w:right w:w="57" w:type="dxa"/>
            </w:tcMar>
          </w:tcPr>
          <w:p w14:paraId="17C00429" w14:textId="77777777" w:rsidR="00B13B1A" w:rsidRPr="00950D73" w:rsidRDefault="00B13B1A" w:rsidP="00070AB0">
            <w:pPr>
              <w:spacing w:before="20" w:after="20" w:line="240" w:lineRule="auto"/>
              <w:ind w:left="-32" w:right="-22"/>
              <w:jc w:val="center"/>
              <w:rPr>
                <w:rFonts w:asciiTheme="majorBidi" w:hAnsiTheme="majorBidi" w:cstheme="majorBidi"/>
                <w:sz w:val="16"/>
                <w:szCs w:val="16"/>
                <w:lang w:val="fr-FR"/>
              </w:rPr>
            </w:pPr>
          </w:p>
        </w:tc>
        <w:tc>
          <w:tcPr>
            <w:tcW w:w="1442"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3C6C5A28" w14:textId="77777777" w:rsidR="00B13B1A" w:rsidRPr="00950D73" w:rsidRDefault="00B13B1A" w:rsidP="00070AB0">
            <w:pPr>
              <w:spacing w:before="20" w:after="20" w:line="240" w:lineRule="auto"/>
              <w:ind w:left="57" w:right="57"/>
              <w:jc w:val="center"/>
              <w:rPr>
                <w:rFonts w:asciiTheme="majorBidi" w:hAnsiTheme="majorBidi" w:cstheme="majorBidi"/>
                <w:sz w:val="16"/>
                <w:szCs w:val="16"/>
                <w:lang w:val="fr-FR"/>
              </w:rPr>
            </w:pPr>
            <w:r w:rsidRPr="00950D73">
              <w:rPr>
                <w:rFonts w:asciiTheme="majorBidi" w:hAnsiTheme="majorBidi" w:cstheme="majorBidi"/>
                <w:b/>
                <w:sz w:val="16"/>
                <w:szCs w:val="16"/>
                <w:lang w:val="fr-FR"/>
              </w:rPr>
              <w:t xml:space="preserve">Méthode décrite à l’annexe I </w:t>
            </w:r>
          </w:p>
        </w:tc>
        <w:tc>
          <w:tcPr>
            <w:tcW w:w="1228" w:type="dxa"/>
            <w:tcBorders>
              <w:top w:val="single" w:sz="4" w:space="0" w:color="auto"/>
              <w:left w:val="single" w:sz="4" w:space="0" w:color="auto"/>
              <w:bottom w:val="nil"/>
              <w:right w:val="single" w:sz="4" w:space="0" w:color="auto"/>
            </w:tcBorders>
          </w:tcPr>
          <w:p w14:paraId="23CB9264" w14:textId="77777777" w:rsidR="00B13B1A" w:rsidRPr="00950D73" w:rsidRDefault="00B13B1A" w:rsidP="00070AB0">
            <w:pPr>
              <w:spacing w:before="20" w:after="20" w:line="240" w:lineRule="auto"/>
              <w:ind w:left="57" w:right="57"/>
              <w:jc w:val="center"/>
              <w:rPr>
                <w:rFonts w:asciiTheme="majorBidi" w:hAnsiTheme="majorBidi" w:cstheme="majorBidi"/>
                <w:b/>
                <w:bCs/>
                <w:sz w:val="16"/>
                <w:szCs w:val="16"/>
                <w:lang w:val="fr-FR"/>
              </w:rPr>
            </w:pPr>
            <w:r w:rsidRPr="00950D73">
              <w:rPr>
                <w:rFonts w:asciiTheme="majorBidi" w:hAnsiTheme="majorBidi" w:cstheme="majorBidi"/>
                <w:b/>
                <w:sz w:val="16"/>
                <w:szCs w:val="16"/>
                <w:lang w:val="fr-FR"/>
              </w:rPr>
              <w:t xml:space="preserve">Méthode décrite à l’annexe II </w:t>
            </w:r>
          </w:p>
        </w:tc>
        <w:tc>
          <w:tcPr>
            <w:tcW w:w="1291" w:type="dxa"/>
            <w:tcBorders>
              <w:top w:val="single" w:sz="4" w:space="0" w:color="auto"/>
              <w:left w:val="single" w:sz="4" w:space="0" w:color="auto"/>
              <w:bottom w:val="nil"/>
              <w:right w:val="single" w:sz="4" w:space="0" w:color="auto"/>
            </w:tcBorders>
          </w:tcPr>
          <w:p w14:paraId="53BBC258" w14:textId="77777777" w:rsidR="00B13B1A" w:rsidRPr="00950D73" w:rsidRDefault="00B13B1A" w:rsidP="00070AB0">
            <w:pPr>
              <w:spacing w:before="20" w:after="20" w:line="240" w:lineRule="auto"/>
              <w:ind w:left="57" w:right="57"/>
              <w:jc w:val="center"/>
              <w:rPr>
                <w:rFonts w:asciiTheme="majorBidi" w:hAnsiTheme="majorBidi" w:cstheme="majorBidi"/>
                <w:sz w:val="16"/>
                <w:szCs w:val="16"/>
                <w:lang w:val="fr-FR"/>
              </w:rPr>
            </w:pPr>
            <w:r w:rsidRPr="00950D73">
              <w:rPr>
                <w:rFonts w:asciiTheme="majorBidi" w:hAnsiTheme="majorBidi" w:cstheme="majorBidi"/>
                <w:b/>
                <w:sz w:val="16"/>
                <w:szCs w:val="16"/>
                <w:lang w:val="fr-FR"/>
              </w:rPr>
              <w:t>Méthode décrite à l’annexe III</w:t>
            </w:r>
          </w:p>
        </w:tc>
        <w:tc>
          <w:tcPr>
            <w:tcW w:w="2065" w:type="dxa"/>
            <w:tcBorders>
              <w:top w:val="single" w:sz="4" w:space="0" w:color="auto"/>
              <w:left w:val="single" w:sz="4" w:space="0" w:color="auto"/>
              <w:bottom w:val="nil"/>
              <w:right w:val="single" w:sz="4" w:space="0" w:color="auto"/>
            </w:tcBorders>
          </w:tcPr>
          <w:p w14:paraId="651B96C3"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Méthode décrite à l’annexe 1A</w:t>
            </w:r>
            <w:r w:rsidRPr="00950D73">
              <w:rPr>
                <w:rFonts w:asciiTheme="majorBidi" w:hAnsiTheme="majorBidi" w:cstheme="majorBidi"/>
                <w:b/>
                <w:i/>
                <w:iCs/>
                <w:sz w:val="16"/>
                <w:szCs w:val="16"/>
                <w:vertAlign w:val="superscript"/>
                <w:lang w:val="fr-FR"/>
              </w:rPr>
              <w:t>a</w:t>
            </w:r>
          </w:p>
        </w:tc>
        <w:tc>
          <w:tcPr>
            <w:tcW w:w="1600" w:type="dxa"/>
            <w:tcBorders>
              <w:top w:val="single" w:sz="4" w:space="0" w:color="auto"/>
              <w:left w:val="single" w:sz="4" w:space="0" w:color="auto"/>
              <w:bottom w:val="nil"/>
              <w:right w:val="single" w:sz="4" w:space="0" w:color="auto"/>
            </w:tcBorders>
          </w:tcPr>
          <w:p w14:paraId="6E73AD26"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Méthode décrite à l’annexe 1B</w:t>
            </w:r>
            <w:r w:rsidRPr="00950D73">
              <w:rPr>
                <w:rFonts w:asciiTheme="majorBidi" w:hAnsiTheme="majorBidi" w:cstheme="majorBidi"/>
                <w:b/>
                <w:sz w:val="16"/>
                <w:szCs w:val="16"/>
                <w:lang w:val="fr-FR"/>
              </w:rPr>
              <w:br/>
            </w:r>
          </w:p>
        </w:tc>
        <w:tc>
          <w:tcPr>
            <w:tcW w:w="1319" w:type="dxa"/>
            <w:tcBorders>
              <w:top w:val="single" w:sz="4" w:space="0" w:color="auto"/>
              <w:left w:val="single" w:sz="4" w:space="0" w:color="auto"/>
              <w:bottom w:val="nil"/>
              <w:right w:val="single" w:sz="4" w:space="0" w:color="auto"/>
            </w:tcBorders>
          </w:tcPr>
          <w:p w14:paraId="66C683BD"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rPr>
            </w:pPr>
            <w:r w:rsidRPr="00950D73">
              <w:rPr>
                <w:rFonts w:asciiTheme="majorBidi" w:hAnsiTheme="majorBidi" w:cstheme="majorBidi"/>
                <w:b/>
                <w:sz w:val="16"/>
                <w:szCs w:val="16"/>
                <w:lang w:val="fr-FR"/>
              </w:rPr>
              <w:t>Méthode décrite à l’annexe I</w:t>
            </w:r>
          </w:p>
        </w:tc>
        <w:tc>
          <w:tcPr>
            <w:tcW w:w="1588" w:type="dxa"/>
            <w:tcBorders>
              <w:top w:val="single" w:sz="4" w:space="0" w:color="auto"/>
              <w:left w:val="single" w:sz="4" w:space="0" w:color="auto"/>
              <w:bottom w:val="nil"/>
              <w:right w:val="single" w:sz="4" w:space="0" w:color="auto"/>
            </w:tcBorders>
          </w:tcPr>
          <w:p w14:paraId="68B8CA17"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Méthode décrite à l’annexe II</w:t>
            </w:r>
            <w:r w:rsidRPr="00950D73">
              <w:rPr>
                <w:rFonts w:asciiTheme="majorBidi" w:hAnsiTheme="majorBidi" w:cstheme="majorBidi"/>
                <w:b/>
                <w:sz w:val="16"/>
                <w:szCs w:val="16"/>
                <w:lang w:val="fr-FR"/>
              </w:rPr>
              <w:br/>
            </w:r>
          </w:p>
        </w:tc>
        <w:tc>
          <w:tcPr>
            <w:tcW w:w="1298" w:type="dxa"/>
            <w:tcBorders>
              <w:top w:val="single" w:sz="4" w:space="0" w:color="auto"/>
              <w:left w:val="single" w:sz="4" w:space="0" w:color="auto"/>
              <w:bottom w:val="nil"/>
              <w:right w:val="single" w:sz="4" w:space="0" w:color="auto"/>
            </w:tcBorders>
          </w:tcPr>
          <w:p w14:paraId="142DCBCB"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rPr>
            </w:pPr>
            <w:r w:rsidRPr="00950D73">
              <w:rPr>
                <w:rFonts w:asciiTheme="majorBidi" w:hAnsiTheme="majorBidi" w:cstheme="majorBidi"/>
                <w:b/>
                <w:sz w:val="16"/>
                <w:szCs w:val="16"/>
                <w:lang w:val="fr-FR"/>
              </w:rPr>
              <w:t>Méthode décrite à l’annexe III</w:t>
            </w:r>
          </w:p>
        </w:tc>
        <w:tc>
          <w:tcPr>
            <w:tcW w:w="1333" w:type="dxa"/>
            <w:tcBorders>
              <w:top w:val="single" w:sz="4" w:space="0" w:color="auto"/>
              <w:left w:val="single" w:sz="4" w:space="0" w:color="auto"/>
              <w:bottom w:val="nil"/>
              <w:right w:val="single" w:sz="4" w:space="0" w:color="auto"/>
            </w:tcBorders>
          </w:tcPr>
          <w:p w14:paraId="3BEFF2C1"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Méthode décrite à l’annexe IV </w:t>
            </w:r>
          </w:p>
        </w:tc>
      </w:tr>
      <w:tr w:rsidR="00542896" w:rsidRPr="00950D73" w14:paraId="7BDB9D30" w14:textId="77777777" w:rsidTr="00541706">
        <w:trPr>
          <w:trHeight w:val="1047"/>
          <w:tblHeader/>
          <w:jc w:val="center"/>
        </w:trPr>
        <w:tc>
          <w:tcPr>
            <w:tcW w:w="1011"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D1E72AB" w14:textId="77777777" w:rsidR="00B13B1A" w:rsidRPr="00950D73" w:rsidRDefault="00B13B1A" w:rsidP="00070AB0">
            <w:pPr>
              <w:spacing w:before="20" w:after="20" w:line="240" w:lineRule="auto"/>
              <w:ind w:left="-32" w:right="-22"/>
              <w:jc w:val="center"/>
              <w:rPr>
                <w:rFonts w:asciiTheme="majorBidi" w:hAnsiTheme="majorBidi" w:cstheme="majorBidi"/>
                <w:sz w:val="16"/>
                <w:szCs w:val="16"/>
                <w:lang w:val="fr-FR"/>
              </w:rPr>
            </w:pPr>
          </w:p>
        </w:tc>
        <w:tc>
          <w:tcPr>
            <w:tcW w:w="1442"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4421F259" w14:textId="77777777" w:rsidR="00B13B1A" w:rsidRPr="00950D73" w:rsidRDefault="00B13B1A" w:rsidP="00070AB0">
            <w:pPr>
              <w:spacing w:before="20" w:after="20" w:line="240" w:lineRule="auto"/>
              <w:ind w:left="57" w:right="57"/>
              <w:jc w:val="center"/>
              <w:rPr>
                <w:rFonts w:asciiTheme="majorBidi" w:hAnsiTheme="majorBidi" w:cstheme="majorBidi"/>
                <w:b/>
                <w:bCs/>
                <w:sz w:val="16"/>
                <w:szCs w:val="16"/>
                <w:lang w:val="fr-FR"/>
              </w:rPr>
            </w:pPr>
            <w:r w:rsidRPr="00950D73">
              <w:rPr>
                <w:rFonts w:asciiTheme="majorBidi" w:hAnsiTheme="majorBidi" w:cstheme="majorBidi"/>
                <w:b/>
                <w:bCs/>
                <w:sz w:val="16"/>
                <w:szCs w:val="16"/>
                <w:lang w:val="fr-FR"/>
              </w:rPr>
              <w:t>Essai de liaison directe sur la réactivité peptidique</w:t>
            </w:r>
          </w:p>
          <w:p w14:paraId="655B0D48"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(DPRA)</w:t>
            </w:r>
            <w:r w:rsidRPr="00950D73">
              <w:rPr>
                <w:rFonts w:asciiTheme="majorBidi" w:hAnsiTheme="majorBidi" w:cstheme="majorBidi"/>
                <w:b/>
                <w:bCs/>
                <w:sz w:val="16"/>
                <w:szCs w:val="16"/>
                <w:vertAlign w:val="superscript"/>
                <w:lang w:val="fr-FR"/>
              </w:rPr>
              <w:t>a</w:t>
            </w:r>
          </w:p>
        </w:tc>
        <w:tc>
          <w:tcPr>
            <w:tcW w:w="1228" w:type="dxa"/>
            <w:tcBorders>
              <w:top w:val="nil"/>
              <w:left w:val="single" w:sz="4" w:space="0" w:color="auto"/>
              <w:bottom w:val="single" w:sz="4" w:space="0" w:color="auto"/>
              <w:right w:val="single" w:sz="4" w:space="0" w:color="auto"/>
            </w:tcBorders>
          </w:tcPr>
          <w:p w14:paraId="711971E6"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Essai de réactivité à des dérivés d’acides aminés (ADRA)</w:t>
            </w:r>
            <w:r w:rsidRPr="00950D73">
              <w:rPr>
                <w:rFonts w:asciiTheme="majorBidi" w:hAnsiTheme="majorBidi" w:cstheme="majorBidi"/>
                <w:b/>
                <w:bCs/>
                <w:sz w:val="16"/>
                <w:szCs w:val="16"/>
                <w:vertAlign w:val="superscript"/>
                <w:lang w:val="fr-FR"/>
              </w:rPr>
              <w:t>a</w:t>
            </w:r>
          </w:p>
        </w:tc>
        <w:tc>
          <w:tcPr>
            <w:tcW w:w="1291" w:type="dxa"/>
            <w:tcBorders>
              <w:top w:val="nil"/>
              <w:left w:val="single" w:sz="4" w:space="0" w:color="auto"/>
              <w:bottom w:val="single" w:sz="4" w:space="0" w:color="auto"/>
              <w:right w:val="single" w:sz="4" w:space="0" w:color="auto"/>
            </w:tcBorders>
          </w:tcPr>
          <w:p w14:paraId="78337039"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Essai cinétique de liaison directe sur la réactivité peptidique (</w:t>
            </w:r>
            <w:proofErr w:type="spellStart"/>
            <w:r w:rsidRPr="00950D73">
              <w:rPr>
                <w:rFonts w:asciiTheme="majorBidi" w:hAnsiTheme="majorBidi" w:cstheme="majorBidi"/>
                <w:b/>
                <w:bCs/>
                <w:sz w:val="16"/>
                <w:szCs w:val="16"/>
                <w:lang w:val="fr-FR"/>
              </w:rPr>
              <w:t>kDPRA</w:t>
            </w:r>
            <w:proofErr w:type="spellEnd"/>
            <w:r w:rsidRPr="00950D73">
              <w:rPr>
                <w:rFonts w:asciiTheme="majorBidi" w:hAnsiTheme="majorBidi" w:cstheme="majorBidi"/>
                <w:b/>
                <w:bCs/>
                <w:sz w:val="16"/>
                <w:szCs w:val="16"/>
                <w:lang w:val="fr-FR"/>
              </w:rPr>
              <w:t>)</w:t>
            </w:r>
            <w:r w:rsidRPr="00950D73">
              <w:rPr>
                <w:rFonts w:asciiTheme="majorBidi" w:hAnsiTheme="majorBidi" w:cstheme="majorBidi"/>
                <w:b/>
                <w:bCs/>
                <w:sz w:val="16"/>
                <w:szCs w:val="16"/>
                <w:vertAlign w:val="superscript"/>
                <w:lang w:val="fr-FR"/>
              </w:rPr>
              <w:t>b</w:t>
            </w:r>
          </w:p>
        </w:tc>
        <w:tc>
          <w:tcPr>
            <w:tcW w:w="2065" w:type="dxa"/>
            <w:tcBorders>
              <w:top w:val="nil"/>
              <w:left w:val="single" w:sz="4" w:space="0" w:color="auto"/>
              <w:bottom w:val="single" w:sz="4" w:space="0" w:color="auto"/>
              <w:right w:val="single" w:sz="4" w:space="0" w:color="auto"/>
            </w:tcBorders>
          </w:tcPr>
          <w:p w14:paraId="68653BA8"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p>
        </w:tc>
        <w:tc>
          <w:tcPr>
            <w:tcW w:w="1600" w:type="dxa"/>
            <w:tcBorders>
              <w:top w:val="nil"/>
              <w:left w:val="single" w:sz="4" w:space="0" w:color="auto"/>
              <w:bottom w:val="single" w:sz="4" w:space="0" w:color="auto"/>
              <w:right w:val="single" w:sz="4" w:space="0" w:color="auto"/>
            </w:tcBorders>
          </w:tcPr>
          <w:p w14:paraId="0EAE8D1A"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proofErr w:type="spellStart"/>
            <w:r w:rsidRPr="00950D73">
              <w:rPr>
                <w:rFonts w:asciiTheme="majorBidi" w:hAnsiTheme="majorBidi" w:cstheme="majorBidi"/>
                <w:b/>
                <w:sz w:val="16"/>
                <w:szCs w:val="16"/>
                <w:lang w:val="fr-FR"/>
              </w:rPr>
              <w:t>Lusens</w:t>
            </w:r>
            <w:r w:rsidRPr="00950D73">
              <w:rPr>
                <w:rFonts w:asciiTheme="majorBidi" w:hAnsiTheme="majorBidi" w:cstheme="majorBidi"/>
                <w:b/>
                <w:bCs/>
                <w:i/>
                <w:iCs/>
                <w:sz w:val="16"/>
                <w:szCs w:val="16"/>
                <w:vertAlign w:val="superscript"/>
                <w:lang w:val="fr-FR"/>
              </w:rPr>
              <w:t>a</w:t>
            </w:r>
            <w:proofErr w:type="spellEnd"/>
          </w:p>
        </w:tc>
        <w:tc>
          <w:tcPr>
            <w:tcW w:w="1319" w:type="dxa"/>
            <w:tcBorders>
              <w:top w:val="nil"/>
              <w:left w:val="single" w:sz="4" w:space="0" w:color="auto"/>
              <w:bottom w:val="single" w:sz="4" w:space="0" w:color="auto"/>
              <w:right w:val="single" w:sz="4" w:space="0" w:color="auto"/>
            </w:tcBorders>
          </w:tcPr>
          <w:p w14:paraId="5967D597"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Test d’activation de la lignée cellulaire humaine </w:t>
            </w:r>
            <w:r w:rsidRPr="00950D73">
              <w:rPr>
                <w:rFonts w:asciiTheme="majorBidi" w:hAnsiTheme="majorBidi" w:cstheme="majorBidi"/>
                <w:b/>
                <w:sz w:val="16"/>
                <w:szCs w:val="16"/>
                <w:lang w:val="fr-FR"/>
              </w:rPr>
              <w:br/>
            </w:r>
            <w:r w:rsidRPr="00950D73">
              <w:rPr>
                <w:rFonts w:asciiTheme="majorBidi" w:hAnsiTheme="majorBidi" w:cstheme="majorBidi"/>
                <w:b/>
                <w:sz w:val="16"/>
                <w:szCs w:val="16"/>
              </w:rPr>
              <w:t>(h-CLAT)</w:t>
            </w:r>
            <w:r w:rsidRPr="00950D73">
              <w:rPr>
                <w:rFonts w:asciiTheme="majorBidi" w:hAnsiTheme="majorBidi" w:cstheme="majorBidi"/>
                <w:b/>
                <w:bCs/>
                <w:i/>
                <w:iCs/>
                <w:sz w:val="16"/>
                <w:szCs w:val="16"/>
                <w:vertAlign w:val="superscript"/>
              </w:rPr>
              <w:t>a</w:t>
            </w:r>
          </w:p>
        </w:tc>
        <w:tc>
          <w:tcPr>
            <w:tcW w:w="1588" w:type="dxa"/>
            <w:tcBorders>
              <w:top w:val="nil"/>
              <w:left w:val="single" w:sz="4" w:space="0" w:color="auto"/>
              <w:bottom w:val="single" w:sz="4" w:space="0" w:color="auto"/>
              <w:right w:val="single" w:sz="4" w:space="0" w:color="auto"/>
            </w:tcBorders>
          </w:tcPr>
          <w:p w14:paraId="7F79F611"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Test d’activation de la lignée cellulaire U937</w:t>
            </w:r>
            <w:r w:rsidRPr="00950D73">
              <w:rPr>
                <w:rFonts w:asciiTheme="majorBidi" w:hAnsiTheme="majorBidi" w:cstheme="majorBidi"/>
                <w:b/>
                <w:bCs/>
                <w:i/>
                <w:iCs/>
                <w:sz w:val="16"/>
                <w:szCs w:val="16"/>
                <w:vertAlign w:val="superscript"/>
              </w:rPr>
              <w:t>a</w:t>
            </w:r>
          </w:p>
        </w:tc>
        <w:tc>
          <w:tcPr>
            <w:tcW w:w="1298" w:type="dxa"/>
            <w:tcBorders>
              <w:top w:val="nil"/>
              <w:left w:val="single" w:sz="4" w:space="0" w:color="auto"/>
              <w:bottom w:val="single" w:sz="4" w:space="0" w:color="auto"/>
              <w:right w:val="single" w:sz="4" w:space="0" w:color="auto"/>
            </w:tcBorders>
          </w:tcPr>
          <w:p w14:paraId="04E1DFD1"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bCs/>
                <w:sz w:val="16"/>
                <w:szCs w:val="16"/>
                <w:lang w:val="fr-FR"/>
              </w:rPr>
              <w:t xml:space="preserve">Interleukine-8 luciférase </w:t>
            </w:r>
            <w:r w:rsidRPr="00950D73">
              <w:rPr>
                <w:rFonts w:asciiTheme="majorBidi" w:hAnsiTheme="majorBidi" w:cstheme="majorBidi"/>
                <w:b/>
                <w:bCs/>
                <w:sz w:val="16"/>
                <w:szCs w:val="16"/>
                <w:lang w:val="fr-FR"/>
              </w:rPr>
              <w:br/>
            </w:r>
            <w:r w:rsidRPr="00950D73">
              <w:rPr>
                <w:rFonts w:asciiTheme="majorBidi" w:hAnsiTheme="majorBidi" w:cstheme="majorBidi"/>
                <w:b/>
                <w:sz w:val="16"/>
                <w:szCs w:val="16"/>
              </w:rPr>
              <w:t>(IL-8 Luc)</w:t>
            </w:r>
            <w:r w:rsidRPr="00950D73">
              <w:rPr>
                <w:rFonts w:asciiTheme="majorBidi" w:hAnsiTheme="majorBidi" w:cstheme="majorBidi"/>
                <w:b/>
                <w:i/>
                <w:iCs/>
                <w:sz w:val="16"/>
                <w:szCs w:val="16"/>
                <w:vertAlign w:val="superscript"/>
              </w:rPr>
              <w:t>a</w:t>
            </w:r>
          </w:p>
        </w:tc>
        <w:tc>
          <w:tcPr>
            <w:tcW w:w="1333" w:type="dxa"/>
            <w:tcBorders>
              <w:top w:val="nil"/>
              <w:left w:val="single" w:sz="4" w:space="0" w:color="auto"/>
              <w:bottom w:val="single" w:sz="4" w:space="0" w:color="auto"/>
              <w:right w:val="single" w:sz="4" w:space="0" w:color="auto"/>
            </w:tcBorders>
          </w:tcPr>
          <w:p w14:paraId="68540F4B" w14:textId="77777777" w:rsidR="00B13B1A" w:rsidRPr="00950D73" w:rsidRDefault="00B13B1A" w:rsidP="00070AB0">
            <w:pPr>
              <w:spacing w:before="20" w:after="20" w:line="240" w:lineRule="auto"/>
              <w:ind w:left="57" w:right="57"/>
              <w:jc w:val="center"/>
              <w:rPr>
                <w:rFonts w:asciiTheme="majorBidi" w:hAnsiTheme="majorBidi" w:cstheme="majorBidi"/>
                <w:b/>
                <w:sz w:val="16"/>
                <w:szCs w:val="16"/>
                <w:lang w:val="fr-FR"/>
              </w:rPr>
            </w:pPr>
            <w:r w:rsidRPr="00950D73">
              <w:rPr>
                <w:rFonts w:asciiTheme="majorBidi" w:hAnsiTheme="majorBidi" w:cstheme="majorBidi"/>
                <w:b/>
                <w:sz w:val="16"/>
                <w:szCs w:val="16"/>
                <w:lang w:val="fr-FR"/>
              </w:rPr>
              <w:t xml:space="preserve">Détection génomique rapide des allergènes pour l’évaluation des sensibilisants </w:t>
            </w:r>
            <w:proofErr w:type="spellStart"/>
            <w:r w:rsidRPr="00950D73">
              <w:rPr>
                <w:rFonts w:asciiTheme="majorBidi" w:hAnsiTheme="majorBidi" w:cstheme="majorBidi"/>
                <w:b/>
                <w:sz w:val="16"/>
                <w:szCs w:val="16"/>
                <w:lang w:val="fr-FR"/>
              </w:rPr>
              <w:t>cutanés</w:t>
            </w:r>
            <w:r w:rsidRPr="00950D73">
              <w:rPr>
                <w:rFonts w:asciiTheme="majorBidi" w:hAnsiTheme="majorBidi" w:cstheme="majorBidi"/>
                <w:b/>
                <w:i/>
                <w:iCs/>
                <w:sz w:val="16"/>
                <w:szCs w:val="16"/>
                <w:vertAlign w:val="superscript"/>
                <w:lang w:val="fr-FR"/>
              </w:rPr>
              <w:t>a</w:t>
            </w:r>
            <w:proofErr w:type="spellEnd"/>
            <w:r w:rsidRPr="00950D73">
              <w:rPr>
                <w:rFonts w:asciiTheme="majorBidi" w:hAnsiTheme="majorBidi" w:cstheme="majorBidi"/>
                <w:b/>
                <w:i/>
                <w:iCs/>
                <w:sz w:val="16"/>
                <w:szCs w:val="16"/>
                <w:vertAlign w:val="superscript"/>
                <w:lang w:val="fr-FR"/>
              </w:rPr>
              <w:t xml:space="preserve"> </w:t>
            </w:r>
          </w:p>
        </w:tc>
      </w:tr>
      <w:tr w:rsidR="00560CB5" w:rsidRPr="00950D73" w14:paraId="189893BB" w14:textId="77777777" w:rsidTr="003E3A23">
        <w:trPr>
          <w:trHeight w:val="20"/>
          <w:jc w:val="center"/>
        </w:trPr>
        <w:tc>
          <w:tcPr>
            <w:tcW w:w="101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0C639935" w14:textId="77777777" w:rsidR="00560CB5" w:rsidRPr="00950D73" w:rsidRDefault="00560CB5" w:rsidP="000A46F2">
            <w:pPr>
              <w:keepNext/>
              <w:keepLines/>
              <w:spacing w:before="40" w:after="40" w:line="220" w:lineRule="atLeast"/>
              <w:ind w:left="-32" w:right="-22"/>
              <w:jc w:val="center"/>
              <w:rPr>
                <w:rFonts w:asciiTheme="majorBidi" w:hAnsiTheme="majorBidi" w:cstheme="majorBidi"/>
                <w:b/>
                <w:bCs/>
                <w:sz w:val="18"/>
                <w:szCs w:val="18"/>
              </w:rPr>
            </w:pPr>
            <w:r w:rsidRPr="00950D73">
              <w:rPr>
                <w:rFonts w:asciiTheme="majorBidi" w:hAnsiTheme="majorBidi" w:cstheme="majorBidi"/>
                <w:b/>
                <w:bCs/>
                <w:sz w:val="18"/>
                <w:szCs w:val="18"/>
              </w:rPr>
              <w:t>1A</w:t>
            </w:r>
          </w:p>
        </w:tc>
        <w:tc>
          <w:tcPr>
            <w:tcW w:w="144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63F94112" w14:textId="77777777" w:rsidR="00560CB5" w:rsidRPr="00950D73" w:rsidRDefault="00560CB5" w:rsidP="003E3A23">
            <w:pPr>
              <w:keepNext/>
              <w:keepLines/>
              <w:spacing w:before="40" w:after="40" w:line="220" w:lineRule="atLeast"/>
              <w:ind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6C423FEE" w14:textId="77777777" w:rsidR="00560CB5" w:rsidRPr="00950D73" w:rsidRDefault="00560CB5" w:rsidP="003E3A23">
            <w:pPr>
              <w:keepNext/>
              <w:keepLines/>
              <w:spacing w:before="40" w:after="40" w:line="220" w:lineRule="atLeast"/>
              <w:ind w:left="-32" w:right="-22"/>
              <w:jc w:val="center"/>
              <w:rPr>
                <w:rFonts w:asciiTheme="majorBidi" w:hAnsiTheme="majorBidi" w:cstheme="majorBidi"/>
                <w:b/>
                <w:bCs/>
                <w:sz w:val="18"/>
                <w:szCs w:val="18"/>
              </w:rPr>
            </w:pPr>
          </w:p>
        </w:tc>
        <w:tc>
          <w:tcPr>
            <w:tcW w:w="1291" w:type="dxa"/>
            <w:tcBorders>
              <w:top w:val="single" w:sz="4" w:space="0" w:color="auto"/>
              <w:left w:val="single" w:sz="4" w:space="0" w:color="auto"/>
              <w:bottom w:val="single" w:sz="4" w:space="0" w:color="auto"/>
              <w:right w:val="single" w:sz="4" w:space="0" w:color="auto"/>
            </w:tcBorders>
            <w:shd w:val="clear" w:color="auto" w:fill="auto"/>
          </w:tcPr>
          <w:p w14:paraId="449B78FC" w14:textId="77777777" w:rsidR="00560CB5" w:rsidRPr="00950D73" w:rsidRDefault="00560CB5" w:rsidP="003E3A23">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 xml:space="preserve">log </w:t>
            </w:r>
            <w:proofErr w:type="spellStart"/>
            <w:r w:rsidRPr="00950D73">
              <w:rPr>
                <w:rFonts w:asciiTheme="majorBidi" w:hAnsiTheme="majorBidi" w:cstheme="majorBidi"/>
                <w:sz w:val="18"/>
                <w:szCs w:val="18"/>
              </w:rPr>
              <w:t>kmax</w:t>
            </w:r>
            <w:proofErr w:type="spellEnd"/>
            <w:r w:rsidRPr="00950D73">
              <w:rPr>
                <w:rFonts w:asciiTheme="majorBidi" w:hAnsiTheme="majorBidi" w:cstheme="majorBidi"/>
                <w:sz w:val="18"/>
                <w:szCs w:val="18"/>
              </w:rPr>
              <w:t xml:space="preserve"> ≥-2,0</w:t>
            </w:r>
          </w:p>
        </w:tc>
        <w:tc>
          <w:tcPr>
            <w:tcW w:w="2065" w:type="dxa"/>
            <w:tcBorders>
              <w:top w:val="single" w:sz="4" w:space="0" w:color="auto"/>
              <w:left w:val="single" w:sz="4" w:space="0" w:color="auto"/>
              <w:bottom w:val="single" w:sz="4" w:space="0" w:color="auto"/>
              <w:right w:val="single" w:sz="4" w:space="0" w:color="auto"/>
            </w:tcBorders>
            <w:shd w:val="clear" w:color="auto" w:fill="auto"/>
          </w:tcPr>
          <w:p w14:paraId="1B7D2833" w14:textId="77777777" w:rsidR="00560CB5" w:rsidRPr="00950D73" w:rsidRDefault="00560CB5" w:rsidP="003E3A23">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2B7BFF66" w14:textId="77777777" w:rsidR="00560CB5" w:rsidRPr="00950D73" w:rsidRDefault="00560CB5" w:rsidP="003E3A23">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4F01C1D9" w14:textId="77777777" w:rsidR="00560CB5" w:rsidRPr="00950D73" w:rsidRDefault="00560CB5" w:rsidP="003E3A23">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767ADA" w14:textId="77777777" w:rsidR="00560CB5" w:rsidRPr="00950D73" w:rsidRDefault="00560CB5" w:rsidP="003E3A23">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953A895" w14:textId="77777777" w:rsidR="00560CB5" w:rsidRPr="00950D73" w:rsidRDefault="00560CB5" w:rsidP="003E3A23">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6977161F" w14:textId="77777777" w:rsidR="00560CB5" w:rsidRPr="00950D73" w:rsidRDefault="00560CB5" w:rsidP="003E3A23">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r>
      <w:tr w:rsidR="00560CB5" w:rsidRPr="00950D73" w14:paraId="743F7ED5" w14:textId="77777777" w:rsidTr="003E3A23">
        <w:trPr>
          <w:jc w:val="center"/>
        </w:trPr>
        <w:tc>
          <w:tcPr>
            <w:tcW w:w="101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30683910" w14:textId="77777777" w:rsidR="00560CB5" w:rsidRPr="00950D73" w:rsidRDefault="00560CB5" w:rsidP="000A46F2">
            <w:pPr>
              <w:keepNext/>
              <w:keepLines/>
              <w:spacing w:before="40" w:after="40" w:line="220" w:lineRule="atLeast"/>
              <w:ind w:left="-32" w:right="-22"/>
              <w:jc w:val="center"/>
              <w:rPr>
                <w:rFonts w:asciiTheme="majorBidi" w:hAnsiTheme="majorBidi" w:cstheme="majorBidi"/>
                <w:b/>
                <w:bCs/>
                <w:sz w:val="18"/>
                <w:szCs w:val="18"/>
              </w:rPr>
            </w:pPr>
            <w:r w:rsidRPr="00950D73">
              <w:rPr>
                <w:rFonts w:asciiTheme="majorBidi" w:hAnsiTheme="majorBidi" w:cstheme="majorBidi"/>
                <w:b/>
                <w:bCs/>
                <w:sz w:val="18"/>
                <w:szCs w:val="18"/>
              </w:rPr>
              <w:t>1B</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961E345"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 xml:space="preserve">Sans objet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B589A58"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125F85D"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2065" w:type="dxa"/>
            <w:tcBorders>
              <w:top w:val="single" w:sz="4" w:space="0" w:color="auto"/>
              <w:left w:val="single" w:sz="4" w:space="0" w:color="auto"/>
              <w:bottom w:val="single" w:sz="4" w:space="0" w:color="auto"/>
              <w:right w:val="single" w:sz="4" w:space="0" w:color="auto"/>
            </w:tcBorders>
            <w:shd w:val="clear" w:color="auto" w:fill="auto"/>
          </w:tcPr>
          <w:p w14:paraId="28B5CBD2"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61590E6E"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08B80D2"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2D9B4D4"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4FB203B"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1102A9C" w14:textId="77777777" w:rsidR="00560CB5" w:rsidRPr="00950D73" w:rsidRDefault="00560CB5" w:rsidP="000A46F2">
            <w:pPr>
              <w:keepNext/>
              <w:keepLines/>
              <w:spacing w:before="40" w:after="4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r>
      <w:tr w:rsidR="00560CB5" w:rsidRPr="00950D73" w14:paraId="32E3C099" w14:textId="77777777" w:rsidTr="003E3A23">
        <w:trPr>
          <w:jc w:val="center"/>
        </w:trPr>
        <w:tc>
          <w:tcPr>
            <w:tcW w:w="101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2F19B41" w14:textId="77777777" w:rsidR="00560CB5" w:rsidRPr="00950D73" w:rsidRDefault="00560CB5" w:rsidP="000A46F2">
            <w:pPr>
              <w:keepNext/>
              <w:keepLines/>
              <w:spacing w:before="20" w:after="20" w:line="220" w:lineRule="atLeast"/>
              <w:ind w:left="-32" w:right="-22"/>
              <w:jc w:val="center"/>
              <w:rPr>
                <w:rFonts w:asciiTheme="majorBidi" w:hAnsiTheme="majorBidi" w:cstheme="majorBidi"/>
                <w:b/>
                <w:bCs/>
                <w:sz w:val="18"/>
                <w:szCs w:val="18"/>
              </w:rPr>
            </w:pPr>
            <w:r w:rsidRPr="00950D73">
              <w:rPr>
                <w:rFonts w:asciiTheme="majorBidi" w:hAnsiTheme="majorBidi" w:cstheme="majorBidi"/>
                <w:b/>
                <w:bCs/>
                <w:sz w:val="18"/>
                <w:szCs w:val="18"/>
              </w:rPr>
              <w:lastRenderedPageBreak/>
              <w:t>Substance non classée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9DDD96A" w14:textId="3A001AA2" w:rsidR="00560CB5" w:rsidRPr="00950D73" w:rsidRDefault="00560CB5" w:rsidP="000A46F2">
            <w:pPr>
              <w:keepNext/>
              <w:keepLines/>
              <w:tabs>
                <w:tab w:val="left" w:pos="294"/>
              </w:tabs>
              <w:spacing w:before="20" w:after="20" w:line="220" w:lineRule="atLeast"/>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Déplétion moyenne en cystéine/lysine ≤</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 xml:space="preserve">6,38 % </w:t>
            </w:r>
            <w:r w:rsidRPr="00950D73">
              <w:rPr>
                <w:rFonts w:asciiTheme="majorBidi" w:hAnsiTheme="majorBidi" w:cstheme="majorBidi"/>
                <w:sz w:val="18"/>
                <w:szCs w:val="18"/>
                <w:lang w:val="fr-FR"/>
              </w:rPr>
              <w:br/>
              <w:t xml:space="preserve">ou </w:t>
            </w:r>
            <w:r w:rsidRPr="00950D73">
              <w:rPr>
                <w:rFonts w:asciiTheme="majorBidi" w:hAnsiTheme="majorBidi" w:cstheme="majorBidi"/>
                <w:sz w:val="18"/>
                <w:szCs w:val="18"/>
                <w:lang w:val="fr-FR"/>
              </w:rPr>
              <w:br/>
              <w:t>Déplétion moyenne en cystéine ≤</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13,89 %</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5EEA9850" w14:textId="55F2CFC2" w:rsidR="00560CB5" w:rsidRPr="00950D73" w:rsidRDefault="00560CB5" w:rsidP="000A46F2">
            <w:pPr>
              <w:keepNext/>
              <w:keepLines/>
              <w:tabs>
                <w:tab w:val="left" w:pos="294"/>
              </w:tabs>
              <w:spacing w:before="20" w:after="20" w:line="220" w:lineRule="atLeast"/>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Déplétion moyenne en NAC et en NAL &lt;</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 xml:space="preserve">4,9 % </w:t>
            </w:r>
            <w:r w:rsidRPr="00950D73">
              <w:rPr>
                <w:rFonts w:asciiTheme="majorBidi" w:hAnsiTheme="majorBidi" w:cstheme="majorBidi"/>
                <w:sz w:val="18"/>
                <w:szCs w:val="18"/>
                <w:lang w:val="fr-FR"/>
              </w:rPr>
              <w:br/>
              <w:t>ou</w:t>
            </w:r>
            <w:r w:rsidRPr="00950D73">
              <w:rPr>
                <w:rFonts w:asciiTheme="majorBidi" w:hAnsiTheme="majorBidi" w:cstheme="majorBidi"/>
                <w:sz w:val="18"/>
                <w:szCs w:val="18"/>
                <w:lang w:val="fr-FR"/>
              </w:rPr>
              <w:br/>
              <w:t>Déplétion moyenne en NAC &lt;5,6 %</w:t>
            </w:r>
          </w:p>
        </w:tc>
        <w:tc>
          <w:tcPr>
            <w:tcW w:w="1291" w:type="dxa"/>
            <w:tcBorders>
              <w:top w:val="single" w:sz="4" w:space="0" w:color="auto"/>
              <w:left w:val="single" w:sz="4" w:space="0" w:color="auto"/>
              <w:bottom w:val="single" w:sz="4" w:space="0" w:color="auto"/>
              <w:right w:val="single" w:sz="4" w:space="0" w:color="auto"/>
            </w:tcBorders>
            <w:shd w:val="clear" w:color="auto" w:fill="auto"/>
          </w:tcPr>
          <w:p w14:paraId="68E228F9" w14:textId="77777777" w:rsidR="00560CB5" w:rsidRPr="00950D73" w:rsidRDefault="00560CB5" w:rsidP="000A46F2">
            <w:pPr>
              <w:keepNext/>
              <w:keepLines/>
              <w:spacing w:before="20" w:after="20" w:line="220" w:lineRule="atLeast"/>
              <w:ind w:left="57" w:right="57"/>
              <w:rPr>
                <w:rFonts w:asciiTheme="majorBidi" w:hAnsiTheme="majorBidi" w:cstheme="majorBidi"/>
                <w:sz w:val="18"/>
                <w:szCs w:val="18"/>
              </w:rPr>
            </w:pPr>
            <w:r w:rsidRPr="00950D73">
              <w:rPr>
                <w:rFonts w:asciiTheme="majorBidi" w:hAnsiTheme="majorBidi" w:cstheme="majorBidi"/>
                <w:sz w:val="18"/>
                <w:szCs w:val="18"/>
              </w:rPr>
              <w:t>Sans objet</w:t>
            </w:r>
          </w:p>
        </w:tc>
        <w:tc>
          <w:tcPr>
            <w:tcW w:w="2065" w:type="dxa"/>
            <w:tcBorders>
              <w:top w:val="single" w:sz="4" w:space="0" w:color="auto"/>
              <w:left w:val="single" w:sz="4" w:space="0" w:color="auto"/>
              <w:bottom w:val="single" w:sz="4" w:space="0" w:color="auto"/>
              <w:right w:val="single" w:sz="4" w:space="0" w:color="auto"/>
            </w:tcBorders>
            <w:shd w:val="clear" w:color="auto" w:fill="auto"/>
          </w:tcPr>
          <w:p w14:paraId="474AD896" w14:textId="77777777" w:rsidR="00560CB5" w:rsidRPr="00950D73" w:rsidRDefault="00560CB5" w:rsidP="000A46F2">
            <w:pPr>
              <w:keepNext/>
              <w:keepLines/>
              <w:spacing w:before="20" w:after="20" w:line="220" w:lineRule="atLeast"/>
              <w:ind w:left="20" w:right="18"/>
              <w:rPr>
                <w:rFonts w:asciiTheme="majorBidi" w:hAnsiTheme="majorBidi" w:cstheme="majorBidi"/>
                <w:sz w:val="18"/>
                <w:szCs w:val="18"/>
                <w:lang w:val="fr-FR"/>
              </w:rPr>
            </w:pPr>
            <w:r w:rsidRPr="00950D73">
              <w:rPr>
                <w:rFonts w:asciiTheme="majorBidi" w:hAnsiTheme="majorBidi" w:cstheme="majorBidi"/>
                <w:sz w:val="18"/>
                <w:szCs w:val="18"/>
                <w:lang w:val="fr-FR"/>
              </w:rPr>
              <w:t>Au moins une des conditions de la catégorie 1 n’est pas remplie</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1D63BD33" w14:textId="77777777" w:rsidR="00560CB5" w:rsidRPr="00950D73" w:rsidRDefault="00560CB5" w:rsidP="000A46F2">
            <w:pPr>
              <w:keepNext/>
              <w:keepLines/>
              <w:spacing w:before="20" w:after="20" w:line="220" w:lineRule="atLeast"/>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Au moins une des conditions de la catégorie 1 n’est pas remplie</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165E04AD" w14:textId="77777777" w:rsidR="00560CB5" w:rsidRPr="00950D73" w:rsidRDefault="00560CB5" w:rsidP="000A46F2">
            <w:pPr>
              <w:keepNext/>
              <w:keepLines/>
              <w:spacing w:before="20" w:after="20" w:line="220" w:lineRule="atLeast"/>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Aucune des conditions de la catégorie 1 n’est remplie</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FE62EB3" w14:textId="7D0FAF10" w:rsidR="00560CB5" w:rsidRPr="00950D73" w:rsidRDefault="00560CB5" w:rsidP="000A46F2">
            <w:pPr>
              <w:keepNext/>
              <w:keepLines/>
              <w:spacing w:before="20" w:after="20" w:line="220" w:lineRule="atLeast"/>
              <w:ind w:left="57" w:right="27"/>
              <w:rPr>
                <w:rFonts w:asciiTheme="majorBidi" w:hAnsiTheme="majorBidi" w:cstheme="majorBidi"/>
                <w:sz w:val="18"/>
                <w:szCs w:val="18"/>
                <w:lang w:val="fr-FR"/>
              </w:rPr>
            </w:pPr>
            <w:r w:rsidRPr="00950D73">
              <w:rPr>
                <w:rFonts w:asciiTheme="majorBidi" w:hAnsiTheme="majorBidi" w:cstheme="majorBidi"/>
                <w:sz w:val="18"/>
                <w:szCs w:val="18"/>
                <w:lang w:val="fr-FR"/>
              </w:rPr>
              <w:t>Indice de stimulation du CD86</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 xml:space="preserve"> </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&lt;150 % à toutes les concentrations non cytotoxiques (viabilité cellulaire ≥70 %) et aucune interférence n’est observée</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C9A584E" w14:textId="3B95E260" w:rsidR="00560CB5" w:rsidRPr="00950D73" w:rsidRDefault="00560CB5" w:rsidP="000A46F2">
            <w:pPr>
              <w:keepNext/>
              <w:keepLines/>
              <w:spacing w:before="20" w:after="20" w:line="220" w:lineRule="atLeast"/>
              <w:ind w:left="35"/>
              <w:rPr>
                <w:rFonts w:asciiTheme="majorBidi" w:hAnsiTheme="majorBidi" w:cstheme="majorBidi"/>
                <w:sz w:val="18"/>
                <w:szCs w:val="18"/>
                <w:lang w:val="fr-FR"/>
              </w:rPr>
            </w:pPr>
            <w:r w:rsidRPr="00950D73">
              <w:rPr>
                <w:rFonts w:asciiTheme="majorBidi" w:hAnsiTheme="majorBidi" w:cstheme="majorBidi"/>
                <w:sz w:val="18"/>
                <w:szCs w:val="18"/>
                <w:lang w:val="fr-FR"/>
              </w:rPr>
              <w:t>Ind-IL8LA &lt;</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1,4 et/ou limite inférieure de l’intervalle de confiance à 95 % de Ind-IL8LA &lt;</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1,0 dans au moins 3 sur un maximum de 4 essais indépendants</w:t>
            </w: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83A628E" w14:textId="67F3148D" w:rsidR="00560CB5" w:rsidRPr="00950D73" w:rsidRDefault="00560CB5" w:rsidP="000A46F2">
            <w:pPr>
              <w:keepNext/>
              <w:keepLines/>
              <w:spacing w:before="20" w:after="20" w:line="220" w:lineRule="atLeast"/>
              <w:ind w:left="57" w:right="57"/>
              <w:rPr>
                <w:rFonts w:asciiTheme="majorBidi" w:hAnsiTheme="majorBidi" w:cstheme="majorBidi"/>
                <w:sz w:val="18"/>
                <w:szCs w:val="18"/>
                <w:lang w:val="fr-FR"/>
              </w:rPr>
            </w:pPr>
            <w:r w:rsidRPr="00950D73">
              <w:rPr>
                <w:rFonts w:asciiTheme="majorBidi" w:hAnsiTheme="majorBidi" w:cstheme="majorBidi"/>
                <w:sz w:val="18"/>
                <w:szCs w:val="18"/>
                <w:lang w:val="fr-FR"/>
              </w:rPr>
              <w:t>Valeur de décision moyenne &lt;</w:t>
            </w:r>
            <w:r w:rsidR="00DF4816" w:rsidRPr="00950D73">
              <w:rPr>
                <w:rFonts w:asciiTheme="majorBidi" w:hAnsiTheme="majorBidi" w:cstheme="majorBidi"/>
                <w:sz w:val="18"/>
                <w:szCs w:val="18"/>
                <w:lang w:val="fr-FR"/>
              </w:rPr>
              <w:t> </w:t>
            </w:r>
            <w:r w:rsidRPr="00950D73">
              <w:rPr>
                <w:rFonts w:asciiTheme="majorBidi" w:hAnsiTheme="majorBidi" w:cstheme="majorBidi"/>
                <w:sz w:val="18"/>
                <w:szCs w:val="18"/>
                <w:lang w:val="fr-FR"/>
              </w:rPr>
              <w:t>0</w:t>
            </w:r>
          </w:p>
        </w:tc>
      </w:tr>
    </w:tbl>
    <w:p w14:paraId="66606D58" w14:textId="77777777" w:rsidR="00560CB5" w:rsidRPr="00950D73" w:rsidRDefault="00560CB5" w:rsidP="00560CB5">
      <w:pPr>
        <w:pStyle w:val="SingleTxtG"/>
        <w:ind w:right="0"/>
        <w:jc w:val="right"/>
        <w:rPr>
          <w:rFonts w:asciiTheme="majorBidi" w:hAnsiTheme="majorBidi" w:cstheme="majorBidi"/>
          <w:lang w:val="fr-FR"/>
        </w:rPr>
      </w:pPr>
      <w:r w:rsidRPr="00950D73">
        <w:rPr>
          <w:rFonts w:asciiTheme="majorBidi" w:hAnsiTheme="majorBidi" w:cstheme="majorBidi"/>
          <w:lang w:val="fr-FR"/>
        </w:rPr>
        <w:t>».</w:t>
      </w:r>
    </w:p>
    <w:p w14:paraId="3975AAB8" w14:textId="48D0FE94" w:rsidR="00560CB5" w:rsidRPr="00950D73" w:rsidRDefault="00560CB5" w:rsidP="00542896">
      <w:pPr>
        <w:spacing w:before="120" w:line="220" w:lineRule="atLeast"/>
        <w:rPr>
          <w:rFonts w:asciiTheme="majorBidi" w:hAnsiTheme="majorBidi" w:cstheme="majorBidi"/>
          <w:i/>
          <w:iCs/>
          <w:lang w:val="fr-FR"/>
        </w:rPr>
      </w:pPr>
      <w:r w:rsidRPr="00950D73">
        <w:rPr>
          <w:rFonts w:asciiTheme="majorBidi" w:hAnsiTheme="majorBidi" w:cstheme="majorBidi"/>
          <w:i/>
          <w:iCs/>
          <w:vertAlign w:val="superscript"/>
          <w:lang w:val="fr-FR"/>
        </w:rPr>
        <w:t>a</w:t>
      </w:r>
      <w:r w:rsidRPr="00950D73">
        <w:rPr>
          <w:rFonts w:asciiTheme="majorBidi" w:hAnsiTheme="majorBidi" w:cstheme="majorBidi"/>
          <w:i/>
          <w:iCs/>
          <w:lang w:val="fr-FR"/>
        </w:rPr>
        <w:t xml:space="preserve">  Les données ne peuvent pas être utilisées seules pour conclure au classement dans la catégorie 1 ou au non-classement dans la catégorie 1, mais pourraient être utilisées pour conclure au classement dans la catégorie 1 à l’étape 2 en fonction de la décision de l’autorité compétente dans son cadre réglementaire.</w:t>
      </w:r>
    </w:p>
    <w:p w14:paraId="157F9EE8" w14:textId="14C3564D" w:rsidR="00840983" w:rsidRPr="00950D73" w:rsidRDefault="00560CB5" w:rsidP="00542896">
      <w:pPr>
        <w:rPr>
          <w:rFonts w:asciiTheme="majorBidi" w:hAnsiTheme="majorBidi" w:cstheme="majorBidi"/>
          <w:i/>
          <w:iCs/>
          <w:lang w:val="fr-FR"/>
        </w:rPr>
      </w:pPr>
      <w:r w:rsidRPr="00950D73">
        <w:rPr>
          <w:rFonts w:asciiTheme="majorBidi" w:hAnsiTheme="majorBidi" w:cstheme="majorBidi"/>
          <w:i/>
          <w:iCs/>
          <w:vertAlign w:val="superscript"/>
          <w:lang w:val="fr-FR"/>
        </w:rPr>
        <w:t>b</w:t>
      </w:r>
      <w:r w:rsidRPr="00950D73">
        <w:rPr>
          <w:rFonts w:asciiTheme="majorBidi" w:hAnsiTheme="majorBidi" w:cstheme="majorBidi"/>
          <w:i/>
          <w:iCs/>
          <w:lang w:val="fr-FR"/>
        </w:rPr>
        <w:t xml:space="preserve">  Une autorité compétente peut décider que les données peuvent être utilisées de manière autonome pour conclure au classement dans la sous-catégorie 1A. </w:t>
      </w:r>
      <w:r w:rsidR="006E2664" w:rsidRPr="00950D73">
        <w:rPr>
          <w:rFonts w:asciiTheme="majorBidi" w:hAnsiTheme="majorBidi" w:cstheme="majorBidi"/>
          <w:i/>
          <w:iCs/>
          <w:lang w:val="fr-FR"/>
        </w:rPr>
        <w:t>»</w:t>
      </w:r>
    </w:p>
    <w:p w14:paraId="0235E9CA" w14:textId="77777777" w:rsidR="00560CB5" w:rsidRPr="00950D73" w:rsidRDefault="00560CB5" w:rsidP="00560CB5">
      <w:pPr>
        <w:rPr>
          <w:rFonts w:asciiTheme="majorBidi" w:hAnsiTheme="majorBidi" w:cstheme="majorBidi"/>
          <w:sz w:val="18"/>
          <w:szCs w:val="18"/>
          <w:lang w:val="fr-FR"/>
        </w:rPr>
      </w:pPr>
    </w:p>
    <w:p w14:paraId="07DE6D3B" w14:textId="5BFFDFB4" w:rsidR="00560CB5" w:rsidRPr="00950D73" w:rsidRDefault="00560CB5" w:rsidP="00560CB5">
      <w:pPr>
        <w:rPr>
          <w:rFonts w:asciiTheme="majorBidi" w:hAnsiTheme="majorBidi" w:cstheme="majorBidi"/>
        </w:rPr>
        <w:sectPr w:rsidR="00560CB5" w:rsidRPr="00950D73" w:rsidSect="001E1F03">
          <w:headerReference w:type="even" r:id="rId47"/>
          <w:headerReference w:type="default" r:id="rId48"/>
          <w:footerReference w:type="even" r:id="rId49"/>
          <w:footerReference w:type="default" r:id="rId50"/>
          <w:endnotePr>
            <w:numFmt w:val="decimal"/>
          </w:endnotePr>
          <w:pgSz w:w="16838" w:h="11906" w:orient="landscape" w:code="9"/>
          <w:pgMar w:top="1134" w:right="1417" w:bottom="1134" w:left="1134" w:header="567" w:footer="567" w:gutter="0"/>
          <w:cols w:space="708"/>
          <w:docGrid w:linePitch="360"/>
        </w:sectPr>
      </w:pPr>
    </w:p>
    <w:p w14:paraId="2C591BB1" w14:textId="77777777" w:rsidR="00F32E7A" w:rsidRPr="00950D73" w:rsidRDefault="00F32E7A" w:rsidP="00F32E7A">
      <w:pPr>
        <w:pStyle w:val="SingleTxtG"/>
        <w:rPr>
          <w:rFonts w:asciiTheme="majorBidi" w:hAnsiTheme="majorBidi" w:cstheme="majorBidi"/>
          <w:b/>
          <w:lang w:val="fr-FR"/>
        </w:rPr>
      </w:pPr>
      <w:r w:rsidRPr="00950D73">
        <w:rPr>
          <w:rFonts w:asciiTheme="majorBidi" w:hAnsiTheme="majorBidi" w:cstheme="majorBidi"/>
          <w:lang w:val="fr-FR"/>
        </w:rPr>
        <w:lastRenderedPageBreak/>
        <w:t>À la fin du chapitre 3.4, ajouter la liste de références suivante :</w:t>
      </w:r>
    </w:p>
    <w:p w14:paraId="71880D32" w14:textId="77777777" w:rsidR="00F32E7A" w:rsidRPr="00464F7A" w:rsidRDefault="00F32E7A" w:rsidP="00F51A90">
      <w:pPr>
        <w:pStyle w:val="SingleTxtG"/>
        <w:tabs>
          <w:tab w:val="clear" w:pos="1701"/>
          <w:tab w:val="clear" w:pos="2268"/>
          <w:tab w:val="clear" w:pos="2835"/>
        </w:tabs>
        <w:ind w:left="2268"/>
        <w:rPr>
          <w:rFonts w:asciiTheme="majorBidi" w:hAnsiTheme="majorBidi" w:cstheme="majorBidi"/>
          <w:b/>
          <w:lang w:val="en-US"/>
        </w:rPr>
      </w:pPr>
      <w:r w:rsidRPr="00464F7A">
        <w:rPr>
          <w:rFonts w:asciiTheme="majorBidi" w:hAnsiTheme="majorBidi" w:cstheme="majorBidi"/>
          <w:lang w:val="en-US"/>
        </w:rPr>
        <w:t>« _______________</w:t>
      </w:r>
    </w:p>
    <w:p w14:paraId="0B6F2457" w14:textId="77777777" w:rsidR="00F32E7A" w:rsidRPr="00464F7A" w:rsidRDefault="00F32E7A" w:rsidP="00F51A90">
      <w:pPr>
        <w:pStyle w:val="Notedebasdepage"/>
        <w:spacing w:after="120"/>
        <w:ind w:left="2268" w:firstLine="0"/>
        <w:rPr>
          <w:rFonts w:asciiTheme="majorBidi" w:hAnsiTheme="majorBidi" w:cstheme="majorBidi"/>
          <w:b/>
          <w:i/>
          <w:szCs w:val="18"/>
          <w:lang w:val="en-US"/>
        </w:rPr>
      </w:pPr>
      <w:r w:rsidRPr="00464F7A">
        <w:rPr>
          <w:rFonts w:asciiTheme="majorBidi" w:hAnsiTheme="majorBidi" w:cstheme="majorBidi"/>
          <w:szCs w:val="18"/>
          <w:lang w:val="en-US"/>
        </w:rPr>
        <w:tab/>
        <w:t>*</w:t>
      </w:r>
      <w:r w:rsidRPr="00464F7A">
        <w:rPr>
          <w:rFonts w:asciiTheme="majorBidi" w:hAnsiTheme="majorBidi" w:cstheme="majorBidi"/>
          <w:szCs w:val="18"/>
          <w:lang w:val="en-US"/>
        </w:rPr>
        <w:tab/>
      </w:r>
      <w:proofErr w:type="spellStart"/>
      <w:r w:rsidRPr="00464F7A">
        <w:rPr>
          <w:rFonts w:asciiTheme="majorBidi" w:hAnsiTheme="majorBidi" w:cstheme="majorBidi"/>
          <w:i/>
          <w:szCs w:val="18"/>
          <w:lang w:val="en-US"/>
        </w:rPr>
        <w:t>Références</w:t>
      </w:r>
      <w:proofErr w:type="spellEnd"/>
      <w:r w:rsidRPr="00464F7A">
        <w:rPr>
          <w:rFonts w:asciiTheme="majorBidi" w:hAnsiTheme="majorBidi" w:cstheme="majorBidi"/>
          <w:i/>
          <w:szCs w:val="18"/>
          <w:lang w:val="en-US"/>
        </w:rPr>
        <w:t> </w:t>
      </w:r>
      <w:r w:rsidRPr="00464F7A">
        <w:rPr>
          <w:rFonts w:asciiTheme="majorBidi" w:hAnsiTheme="majorBidi" w:cstheme="majorBidi"/>
          <w:iCs/>
          <w:szCs w:val="18"/>
          <w:lang w:val="en-US"/>
        </w:rPr>
        <w:t>:</w:t>
      </w:r>
    </w:p>
    <w:p w14:paraId="41D1C3BF"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proofErr w:type="spellStart"/>
      <w:r w:rsidRPr="00464F7A">
        <w:rPr>
          <w:rFonts w:asciiTheme="majorBidi" w:hAnsiTheme="majorBidi" w:cstheme="majorBidi"/>
          <w:sz w:val="18"/>
          <w:szCs w:val="18"/>
          <w:lang w:val="en-US"/>
        </w:rPr>
        <w:t>Corsini</w:t>
      </w:r>
      <w:proofErr w:type="spellEnd"/>
      <w:r w:rsidRPr="00464F7A">
        <w:rPr>
          <w:rFonts w:asciiTheme="majorBidi" w:hAnsiTheme="majorBidi" w:cstheme="majorBidi"/>
          <w:sz w:val="18"/>
          <w:szCs w:val="18"/>
          <w:lang w:val="en-US"/>
        </w:rPr>
        <w:t xml:space="preserve"> E, </w:t>
      </w:r>
      <w:proofErr w:type="spellStart"/>
      <w:r w:rsidRPr="00464F7A">
        <w:rPr>
          <w:rFonts w:asciiTheme="majorBidi" w:hAnsiTheme="majorBidi" w:cstheme="majorBidi"/>
          <w:sz w:val="18"/>
          <w:szCs w:val="18"/>
          <w:lang w:val="en-US"/>
        </w:rPr>
        <w:t>Clewell</w:t>
      </w:r>
      <w:proofErr w:type="spellEnd"/>
      <w:r w:rsidRPr="00464F7A">
        <w:rPr>
          <w:rFonts w:asciiTheme="majorBidi" w:hAnsiTheme="majorBidi" w:cstheme="majorBidi"/>
          <w:sz w:val="18"/>
          <w:szCs w:val="18"/>
          <w:lang w:val="en-US"/>
        </w:rPr>
        <w:t xml:space="preserve"> R, </w:t>
      </w:r>
      <w:proofErr w:type="spellStart"/>
      <w:r w:rsidRPr="00464F7A">
        <w:rPr>
          <w:rFonts w:asciiTheme="majorBidi" w:hAnsiTheme="majorBidi" w:cstheme="majorBidi"/>
          <w:sz w:val="18"/>
          <w:szCs w:val="18"/>
          <w:lang w:val="en-US"/>
        </w:rPr>
        <w:t>Cotgreave</w:t>
      </w:r>
      <w:proofErr w:type="spellEnd"/>
      <w:r w:rsidRPr="00464F7A">
        <w:rPr>
          <w:rFonts w:asciiTheme="majorBidi" w:hAnsiTheme="majorBidi" w:cstheme="majorBidi"/>
          <w:sz w:val="18"/>
          <w:szCs w:val="18"/>
          <w:lang w:val="en-US"/>
        </w:rPr>
        <w:t xml:space="preserve"> I, </w:t>
      </w:r>
      <w:proofErr w:type="spellStart"/>
      <w:r w:rsidRPr="00464F7A">
        <w:rPr>
          <w:rFonts w:asciiTheme="majorBidi" w:hAnsiTheme="majorBidi" w:cstheme="majorBidi"/>
          <w:sz w:val="18"/>
          <w:szCs w:val="18"/>
          <w:lang w:val="en-US"/>
        </w:rPr>
        <w:t>Eskes</w:t>
      </w:r>
      <w:proofErr w:type="spellEnd"/>
      <w:r w:rsidRPr="00464F7A">
        <w:rPr>
          <w:rFonts w:asciiTheme="majorBidi" w:hAnsiTheme="majorBidi" w:cstheme="majorBidi"/>
          <w:sz w:val="18"/>
          <w:szCs w:val="18"/>
          <w:lang w:val="en-US"/>
        </w:rPr>
        <w:t xml:space="preserve"> C, Kopp-Schneider A, Westmoreland C, Alves PM, </w:t>
      </w:r>
      <w:proofErr w:type="spellStart"/>
      <w:r w:rsidRPr="00464F7A">
        <w:rPr>
          <w:rFonts w:asciiTheme="majorBidi" w:hAnsiTheme="majorBidi" w:cstheme="majorBidi"/>
          <w:sz w:val="18"/>
          <w:szCs w:val="18"/>
          <w:lang w:val="en-US"/>
        </w:rPr>
        <w:t>Navas</w:t>
      </w:r>
      <w:proofErr w:type="spellEnd"/>
      <w:r w:rsidRPr="00464F7A">
        <w:rPr>
          <w:rFonts w:asciiTheme="majorBidi" w:hAnsiTheme="majorBidi" w:cstheme="majorBidi"/>
          <w:sz w:val="18"/>
          <w:szCs w:val="18"/>
          <w:lang w:val="en-US"/>
        </w:rPr>
        <w:t xml:space="preserve"> JM, </w:t>
      </w:r>
      <w:proofErr w:type="spellStart"/>
      <w:r w:rsidRPr="00464F7A">
        <w:rPr>
          <w:rFonts w:asciiTheme="majorBidi" w:hAnsiTheme="majorBidi" w:cstheme="majorBidi"/>
          <w:sz w:val="18"/>
          <w:szCs w:val="18"/>
          <w:lang w:val="en-US"/>
        </w:rPr>
        <w:t>Piersma</w:t>
      </w:r>
      <w:proofErr w:type="spellEnd"/>
      <w:r w:rsidRPr="00464F7A">
        <w:rPr>
          <w:rFonts w:asciiTheme="majorBidi" w:hAnsiTheme="majorBidi" w:cstheme="majorBidi"/>
          <w:sz w:val="18"/>
          <w:szCs w:val="18"/>
          <w:lang w:val="en-US"/>
        </w:rPr>
        <w:t xml:space="preserve"> A. 2021. </w:t>
      </w:r>
      <w:r w:rsidRPr="00950D73">
        <w:rPr>
          <w:rFonts w:asciiTheme="majorBidi" w:hAnsiTheme="majorBidi" w:cstheme="majorBidi"/>
          <w:sz w:val="18"/>
          <w:szCs w:val="18"/>
          <w:lang w:val="en-US"/>
        </w:rPr>
        <w:t xml:space="preserve">ESAC opinion on the scientific validity of the </w:t>
      </w:r>
      <w:proofErr w:type="spellStart"/>
      <w:r w:rsidRPr="00950D73">
        <w:rPr>
          <w:rFonts w:asciiTheme="majorBidi" w:hAnsiTheme="majorBidi" w:cstheme="majorBidi"/>
          <w:sz w:val="18"/>
          <w:szCs w:val="18"/>
          <w:lang w:val="en-US"/>
        </w:rPr>
        <w:t>GARDskin</w:t>
      </w:r>
      <w:proofErr w:type="spellEnd"/>
      <w:r w:rsidRPr="00950D73">
        <w:rPr>
          <w:rFonts w:asciiTheme="majorBidi" w:hAnsiTheme="majorBidi" w:cstheme="majorBidi"/>
          <w:sz w:val="18"/>
          <w:szCs w:val="18"/>
          <w:lang w:val="en-US"/>
        </w:rPr>
        <w:t xml:space="preserve"> and </w:t>
      </w:r>
      <w:proofErr w:type="spellStart"/>
      <w:r w:rsidRPr="00950D73">
        <w:rPr>
          <w:rFonts w:asciiTheme="majorBidi" w:hAnsiTheme="majorBidi" w:cstheme="majorBidi"/>
          <w:sz w:val="18"/>
          <w:szCs w:val="18"/>
          <w:lang w:val="en-US"/>
        </w:rPr>
        <w:t>GARDpotency</w:t>
      </w:r>
      <w:proofErr w:type="spellEnd"/>
      <w:r w:rsidRPr="00950D73">
        <w:rPr>
          <w:rFonts w:asciiTheme="majorBidi" w:hAnsiTheme="majorBidi" w:cstheme="majorBidi"/>
          <w:sz w:val="18"/>
          <w:szCs w:val="18"/>
          <w:lang w:val="en-US"/>
        </w:rPr>
        <w:t xml:space="preserve"> test methods. </w:t>
      </w:r>
      <w:proofErr w:type="spellStart"/>
      <w:r w:rsidRPr="00950D73">
        <w:rPr>
          <w:rFonts w:asciiTheme="majorBidi" w:hAnsiTheme="majorBidi" w:cstheme="majorBidi"/>
          <w:sz w:val="18"/>
          <w:szCs w:val="18"/>
          <w:lang w:val="en-US"/>
        </w:rPr>
        <w:t>Asturiol</w:t>
      </w:r>
      <w:proofErr w:type="spellEnd"/>
      <w:r w:rsidRPr="00950D73">
        <w:rPr>
          <w:rFonts w:asciiTheme="majorBidi" w:hAnsiTheme="majorBidi" w:cstheme="majorBidi"/>
          <w:sz w:val="18"/>
          <w:szCs w:val="18"/>
          <w:lang w:val="en-US"/>
        </w:rPr>
        <w:t xml:space="preserve"> </w:t>
      </w:r>
      <w:proofErr w:type="spellStart"/>
      <w:r w:rsidRPr="00950D73">
        <w:rPr>
          <w:rFonts w:asciiTheme="majorBidi" w:hAnsiTheme="majorBidi" w:cstheme="majorBidi"/>
          <w:sz w:val="18"/>
          <w:szCs w:val="18"/>
          <w:lang w:val="en-US"/>
        </w:rPr>
        <w:t>Bofill</w:t>
      </w:r>
      <w:proofErr w:type="spellEnd"/>
      <w:r w:rsidRPr="00950D73">
        <w:rPr>
          <w:rFonts w:asciiTheme="majorBidi" w:hAnsiTheme="majorBidi" w:cstheme="majorBidi"/>
          <w:sz w:val="18"/>
          <w:szCs w:val="18"/>
          <w:lang w:val="en-US"/>
        </w:rPr>
        <w:t xml:space="preserve"> D, </w:t>
      </w:r>
      <w:proofErr w:type="spellStart"/>
      <w:r w:rsidRPr="00950D73">
        <w:rPr>
          <w:rFonts w:asciiTheme="majorBidi" w:hAnsiTheme="majorBidi" w:cstheme="majorBidi"/>
          <w:sz w:val="18"/>
          <w:szCs w:val="18"/>
          <w:lang w:val="en-US"/>
        </w:rPr>
        <w:t>Casati</w:t>
      </w:r>
      <w:proofErr w:type="spellEnd"/>
      <w:r w:rsidRPr="00950D73">
        <w:rPr>
          <w:rFonts w:asciiTheme="majorBidi" w:hAnsiTheme="majorBidi" w:cstheme="majorBidi"/>
          <w:sz w:val="18"/>
          <w:szCs w:val="18"/>
          <w:lang w:val="en-US"/>
        </w:rPr>
        <w:t xml:space="preserve"> S, and </w:t>
      </w:r>
      <w:proofErr w:type="spellStart"/>
      <w:r w:rsidRPr="00950D73">
        <w:rPr>
          <w:rFonts w:asciiTheme="majorBidi" w:hAnsiTheme="majorBidi" w:cstheme="majorBidi"/>
          <w:sz w:val="18"/>
          <w:szCs w:val="18"/>
          <w:lang w:val="en-US"/>
        </w:rPr>
        <w:t>Viegas</w:t>
      </w:r>
      <w:proofErr w:type="spellEnd"/>
      <w:r w:rsidRPr="00950D73">
        <w:rPr>
          <w:rFonts w:asciiTheme="majorBidi" w:hAnsiTheme="majorBidi" w:cstheme="majorBidi"/>
          <w:sz w:val="18"/>
          <w:szCs w:val="18"/>
          <w:lang w:val="en-US"/>
        </w:rPr>
        <w:t xml:space="preserve"> Barroso JF eds, Publications Office of the European Union, Luxembourg. ISBN 978-92-76-40345-6. Doi:10.2760/626728, JRC125963.</w:t>
      </w:r>
    </w:p>
    <w:p w14:paraId="274F3B53"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proofErr w:type="spellStart"/>
      <w:r w:rsidRPr="00950D73">
        <w:rPr>
          <w:rFonts w:asciiTheme="majorBidi" w:hAnsiTheme="majorBidi" w:cstheme="majorBidi"/>
          <w:sz w:val="18"/>
          <w:szCs w:val="18"/>
          <w:lang w:val="en-US"/>
        </w:rPr>
        <w:t>Cottrez</w:t>
      </w:r>
      <w:proofErr w:type="spellEnd"/>
      <w:r w:rsidRPr="00950D73">
        <w:rPr>
          <w:rFonts w:asciiTheme="majorBidi" w:hAnsiTheme="majorBidi" w:cstheme="majorBidi"/>
          <w:sz w:val="18"/>
          <w:szCs w:val="18"/>
          <w:lang w:val="en-US"/>
        </w:rPr>
        <w:t xml:space="preserve"> F, </w:t>
      </w:r>
      <w:proofErr w:type="spellStart"/>
      <w:r w:rsidRPr="00950D73">
        <w:rPr>
          <w:rFonts w:asciiTheme="majorBidi" w:hAnsiTheme="majorBidi" w:cstheme="majorBidi"/>
          <w:sz w:val="18"/>
          <w:szCs w:val="18"/>
          <w:lang w:val="en-US"/>
        </w:rPr>
        <w:t>Boitel</w:t>
      </w:r>
      <w:proofErr w:type="spellEnd"/>
      <w:r w:rsidRPr="00950D73">
        <w:rPr>
          <w:rFonts w:asciiTheme="majorBidi" w:hAnsiTheme="majorBidi" w:cstheme="majorBidi"/>
          <w:sz w:val="18"/>
          <w:szCs w:val="18"/>
          <w:lang w:val="en-US"/>
        </w:rPr>
        <w:t xml:space="preserve"> E, </w:t>
      </w:r>
      <w:proofErr w:type="spellStart"/>
      <w:r w:rsidRPr="00950D73">
        <w:rPr>
          <w:rFonts w:asciiTheme="majorBidi" w:hAnsiTheme="majorBidi" w:cstheme="majorBidi"/>
          <w:sz w:val="18"/>
          <w:szCs w:val="18"/>
          <w:lang w:val="en-US"/>
        </w:rPr>
        <w:t>Auriault</w:t>
      </w:r>
      <w:proofErr w:type="spellEnd"/>
      <w:r w:rsidRPr="00950D73">
        <w:rPr>
          <w:rFonts w:asciiTheme="majorBidi" w:hAnsiTheme="majorBidi" w:cstheme="majorBidi"/>
          <w:sz w:val="18"/>
          <w:szCs w:val="18"/>
          <w:lang w:val="en-US"/>
        </w:rPr>
        <w:t xml:space="preserve"> C, </w:t>
      </w:r>
      <w:proofErr w:type="spellStart"/>
      <w:r w:rsidRPr="00950D73">
        <w:rPr>
          <w:rFonts w:asciiTheme="majorBidi" w:hAnsiTheme="majorBidi" w:cstheme="majorBidi"/>
          <w:sz w:val="18"/>
          <w:szCs w:val="18"/>
          <w:lang w:val="en-US"/>
        </w:rPr>
        <w:t>Aeby</w:t>
      </w:r>
      <w:proofErr w:type="spellEnd"/>
      <w:r w:rsidRPr="00950D73">
        <w:rPr>
          <w:rFonts w:asciiTheme="majorBidi" w:hAnsiTheme="majorBidi" w:cstheme="majorBidi"/>
          <w:sz w:val="18"/>
          <w:szCs w:val="18"/>
          <w:lang w:val="en-US"/>
        </w:rPr>
        <w:t xml:space="preserve"> P, </w:t>
      </w:r>
      <w:proofErr w:type="spellStart"/>
      <w:r w:rsidRPr="00950D73">
        <w:rPr>
          <w:rFonts w:asciiTheme="majorBidi" w:hAnsiTheme="majorBidi" w:cstheme="majorBidi"/>
          <w:sz w:val="18"/>
          <w:szCs w:val="18"/>
          <w:lang w:val="en-US"/>
        </w:rPr>
        <w:t>Groux</w:t>
      </w:r>
      <w:proofErr w:type="spellEnd"/>
      <w:r w:rsidRPr="00950D73">
        <w:rPr>
          <w:rFonts w:asciiTheme="majorBidi" w:hAnsiTheme="majorBidi" w:cstheme="majorBidi"/>
          <w:sz w:val="18"/>
          <w:szCs w:val="18"/>
          <w:lang w:val="en-US"/>
        </w:rPr>
        <w:t xml:space="preserve"> H. Genes specifically modulated in sensitized skins allow the detection of sensitizers in a reconstructed human skin model. Development of the SENS-IS assay. </w:t>
      </w:r>
      <w:proofErr w:type="spellStart"/>
      <w:r w:rsidRPr="00950D73">
        <w:rPr>
          <w:rFonts w:asciiTheme="majorBidi" w:hAnsiTheme="majorBidi" w:cstheme="majorBidi"/>
          <w:i/>
          <w:iCs/>
          <w:sz w:val="18"/>
          <w:szCs w:val="18"/>
          <w:lang w:val="en-US"/>
        </w:rPr>
        <w:t>Toxicol</w:t>
      </w:r>
      <w:proofErr w:type="spellEnd"/>
      <w:r w:rsidRPr="00950D73">
        <w:rPr>
          <w:rFonts w:asciiTheme="majorBidi" w:hAnsiTheme="majorBidi" w:cstheme="majorBidi"/>
          <w:i/>
          <w:iCs/>
          <w:sz w:val="18"/>
          <w:szCs w:val="18"/>
          <w:lang w:val="en-US"/>
        </w:rPr>
        <w:t xml:space="preserve"> in Vitro</w:t>
      </w:r>
      <w:r w:rsidRPr="00950D73">
        <w:rPr>
          <w:rFonts w:asciiTheme="majorBidi" w:hAnsiTheme="majorBidi" w:cstheme="majorBidi"/>
          <w:sz w:val="18"/>
          <w:szCs w:val="18"/>
          <w:lang w:val="en-US"/>
        </w:rPr>
        <w:t>. 2015 Jun; 29 (4):787-802. Doi: 10.1016/j.tiv.2015.02.012.</w:t>
      </w:r>
    </w:p>
    <w:p w14:paraId="25A396D3"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proofErr w:type="spellStart"/>
      <w:r w:rsidRPr="00950D73">
        <w:rPr>
          <w:rFonts w:asciiTheme="majorBidi" w:hAnsiTheme="majorBidi" w:cstheme="majorBidi"/>
          <w:sz w:val="18"/>
          <w:szCs w:val="18"/>
          <w:lang w:val="en-US"/>
        </w:rPr>
        <w:t>Cottrez</w:t>
      </w:r>
      <w:proofErr w:type="spellEnd"/>
      <w:r w:rsidRPr="00950D73">
        <w:rPr>
          <w:rFonts w:asciiTheme="majorBidi" w:hAnsiTheme="majorBidi" w:cstheme="majorBidi"/>
          <w:sz w:val="18"/>
          <w:szCs w:val="18"/>
          <w:lang w:val="en-US"/>
        </w:rPr>
        <w:t xml:space="preserve"> F, </w:t>
      </w:r>
      <w:proofErr w:type="spellStart"/>
      <w:r w:rsidRPr="00950D73">
        <w:rPr>
          <w:rFonts w:asciiTheme="majorBidi" w:hAnsiTheme="majorBidi" w:cstheme="majorBidi"/>
          <w:sz w:val="18"/>
          <w:szCs w:val="18"/>
          <w:lang w:val="en-US"/>
        </w:rPr>
        <w:t>Boitel</w:t>
      </w:r>
      <w:proofErr w:type="spellEnd"/>
      <w:r w:rsidRPr="00950D73">
        <w:rPr>
          <w:rFonts w:asciiTheme="majorBidi" w:hAnsiTheme="majorBidi" w:cstheme="majorBidi"/>
          <w:sz w:val="18"/>
          <w:szCs w:val="18"/>
          <w:lang w:val="en-US"/>
        </w:rPr>
        <w:t xml:space="preserve"> E, </w:t>
      </w:r>
      <w:proofErr w:type="spellStart"/>
      <w:r w:rsidRPr="00950D73">
        <w:rPr>
          <w:rFonts w:asciiTheme="majorBidi" w:hAnsiTheme="majorBidi" w:cstheme="majorBidi"/>
          <w:sz w:val="18"/>
          <w:szCs w:val="18"/>
          <w:lang w:val="en-US"/>
        </w:rPr>
        <w:t>Ourlin</w:t>
      </w:r>
      <w:proofErr w:type="spellEnd"/>
      <w:r w:rsidRPr="00950D73">
        <w:rPr>
          <w:rFonts w:asciiTheme="majorBidi" w:hAnsiTheme="majorBidi" w:cstheme="majorBidi"/>
          <w:sz w:val="18"/>
          <w:szCs w:val="18"/>
          <w:lang w:val="en-US"/>
        </w:rPr>
        <w:t xml:space="preserve"> JC, </w:t>
      </w:r>
      <w:proofErr w:type="spellStart"/>
      <w:r w:rsidRPr="00950D73">
        <w:rPr>
          <w:rFonts w:asciiTheme="majorBidi" w:hAnsiTheme="majorBidi" w:cstheme="majorBidi"/>
          <w:sz w:val="18"/>
          <w:szCs w:val="18"/>
          <w:lang w:val="en-US"/>
        </w:rPr>
        <w:t>Peiffer</w:t>
      </w:r>
      <w:proofErr w:type="spellEnd"/>
      <w:r w:rsidRPr="00950D73">
        <w:rPr>
          <w:rFonts w:asciiTheme="majorBidi" w:hAnsiTheme="majorBidi" w:cstheme="majorBidi"/>
          <w:sz w:val="18"/>
          <w:szCs w:val="18"/>
          <w:lang w:val="en-US"/>
        </w:rPr>
        <w:t xml:space="preserve"> JL, Fabre I, </w:t>
      </w:r>
      <w:proofErr w:type="spellStart"/>
      <w:r w:rsidRPr="00950D73">
        <w:rPr>
          <w:rFonts w:asciiTheme="majorBidi" w:hAnsiTheme="majorBidi" w:cstheme="majorBidi"/>
          <w:sz w:val="18"/>
          <w:szCs w:val="18"/>
          <w:lang w:val="en-US"/>
        </w:rPr>
        <w:t>Henaoui</w:t>
      </w:r>
      <w:proofErr w:type="spellEnd"/>
      <w:r w:rsidRPr="00950D73">
        <w:rPr>
          <w:rFonts w:asciiTheme="majorBidi" w:hAnsiTheme="majorBidi" w:cstheme="majorBidi"/>
          <w:sz w:val="18"/>
          <w:szCs w:val="18"/>
          <w:lang w:val="en-US"/>
        </w:rPr>
        <w:t xml:space="preserve"> IS, Mari B, </w:t>
      </w:r>
      <w:proofErr w:type="spellStart"/>
      <w:r w:rsidRPr="00950D73">
        <w:rPr>
          <w:rFonts w:asciiTheme="majorBidi" w:hAnsiTheme="majorBidi" w:cstheme="majorBidi"/>
          <w:sz w:val="18"/>
          <w:szCs w:val="18"/>
          <w:lang w:val="en-US"/>
        </w:rPr>
        <w:t>Vallauri</w:t>
      </w:r>
      <w:proofErr w:type="spellEnd"/>
      <w:r w:rsidRPr="00950D73">
        <w:rPr>
          <w:rFonts w:asciiTheme="majorBidi" w:hAnsiTheme="majorBidi" w:cstheme="majorBidi"/>
          <w:sz w:val="18"/>
          <w:szCs w:val="18"/>
          <w:lang w:val="en-US"/>
        </w:rPr>
        <w:t xml:space="preserve"> A, Paquet A, </w:t>
      </w:r>
      <w:proofErr w:type="spellStart"/>
      <w:r w:rsidRPr="00950D73">
        <w:rPr>
          <w:rFonts w:asciiTheme="majorBidi" w:hAnsiTheme="majorBidi" w:cstheme="majorBidi"/>
          <w:sz w:val="18"/>
          <w:szCs w:val="18"/>
          <w:lang w:val="en-US"/>
        </w:rPr>
        <w:t>Barbry</w:t>
      </w:r>
      <w:proofErr w:type="spellEnd"/>
      <w:r w:rsidRPr="00950D73">
        <w:rPr>
          <w:rFonts w:asciiTheme="majorBidi" w:hAnsiTheme="majorBidi" w:cstheme="majorBidi"/>
          <w:sz w:val="18"/>
          <w:szCs w:val="18"/>
          <w:lang w:val="en-US"/>
        </w:rPr>
        <w:t xml:space="preserve"> P, </w:t>
      </w:r>
      <w:proofErr w:type="spellStart"/>
      <w:r w:rsidRPr="00950D73">
        <w:rPr>
          <w:rFonts w:asciiTheme="majorBidi" w:hAnsiTheme="majorBidi" w:cstheme="majorBidi"/>
          <w:sz w:val="18"/>
          <w:szCs w:val="18"/>
          <w:lang w:val="en-US"/>
        </w:rPr>
        <w:t>Auriault</w:t>
      </w:r>
      <w:proofErr w:type="spellEnd"/>
      <w:r w:rsidRPr="00950D73">
        <w:rPr>
          <w:rFonts w:asciiTheme="majorBidi" w:hAnsiTheme="majorBidi" w:cstheme="majorBidi"/>
          <w:sz w:val="18"/>
          <w:szCs w:val="18"/>
          <w:lang w:val="en-US"/>
        </w:rPr>
        <w:t xml:space="preserve"> C, </w:t>
      </w:r>
      <w:proofErr w:type="spellStart"/>
      <w:r w:rsidRPr="00950D73">
        <w:rPr>
          <w:rFonts w:asciiTheme="majorBidi" w:hAnsiTheme="majorBidi" w:cstheme="majorBidi"/>
          <w:sz w:val="18"/>
          <w:szCs w:val="18"/>
          <w:lang w:val="en-US"/>
        </w:rPr>
        <w:t>Aeby</w:t>
      </w:r>
      <w:proofErr w:type="spellEnd"/>
      <w:r w:rsidRPr="00950D73">
        <w:rPr>
          <w:rFonts w:asciiTheme="majorBidi" w:hAnsiTheme="majorBidi" w:cstheme="majorBidi"/>
          <w:sz w:val="18"/>
          <w:szCs w:val="18"/>
          <w:lang w:val="en-US"/>
        </w:rPr>
        <w:t xml:space="preserve"> P, </w:t>
      </w:r>
      <w:proofErr w:type="spellStart"/>
      <w:r w:rsidRPr="00950D73">
        <w:rPr>
          <w:rFonts w:asciiTheme="majorBidi" w:hAnsiTheme="majorBidi" w:cstheme="majorBidi"/>
          <w:sz w:val="18"/>
          <w:szCs w:val="18"/>
          <w:lang w:val="en-US"/>
        </w:rPr>
        <w:t>Groux</w:t>
      </w:r>
      <w:proofErr w:type="spellEnd"/>
      <w:r w:rsidRPr="00950D73">
        <w:rPr>
          <w:rFonts w:asciiTheme="majorBidi" w:hAnsiTheme="majorBidi" w:cstheme="majorBidi"/>
          <w:sz w:val="18"/>
          <w:szCs w:val="18"/>
          <w:lang w:val="en-US"/>
        </w:rPr>
        <w:t xml:space="preserve"> H. SENS-IS, a 3D reconstituted epidermis based model for quantifying chemical sensitization potency: Reproducibility and predictivity results from an inter-laboratory study. </w:t>
      </w:r>
      <w:proofErr w:type="spellStart"/>
      <w:r w:rsidRPr="00950D73">
        <w:rPr>
          <w:rFonts w:asciiTheme="majorBidi" w:hAnsiTheme="majorBidi" w:cstheme="majorBidi"/>
          <w:i/>
          <w:iCs/>
          <w:sz w:val="18"/>
          <w:szCs w:val="18"/>
          <w:lang w:val="en-US"/>
        </w:rPr>
        <w:t>Toxicol</w:t>
      </w:r>
      <w:proofErr w:type="spellEnd"/>
      <w:r w:rsidRPr="00950D73">
        <w:rPr>
          <w:rFonts w:asciiTheme="majorBidi" w:hAnsiTheme="majorBidi" w:cstheme="majorBidi"/>
          <w:i/>
          <w:iCs/>
          <w:sz w:val="18"/>
          <w:szCs w:val="18"/>
          <w:lang w:val="en-US"/>
        </w:rPr>
        <w:t xml:space="preserve"> in Vitro </w:t>
      </w:r>
      <w:r w:rsidRPr="00950D73">
        <w:rPr>
          <w:rFonts w:asciiTheme="majorBidi" w:hAnsiTheme="majorBidi" w:cstheme="majorBidi"/>
          <w:sz w:val="18"/>
          <w:szCs w:val="18"/>
          <w:lang w:val="en-US"/>
        </w:rPr>
        <w:t>2016 Apr, 32:248-60. Doi: 10.1016/j.tiv.2016.01.007.</w:t>
      </w:r>
    </w:p>
    <w:p w14:paraId="0FDDF4EC"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ECHA.2017. Guidance on the application of the CLP criteria – Guidance to regulation (EC) No 1272/2008 on classification, labelling and packaging (CLP) of substances and mixtures. Version 5.0, July 2017.</w:t>
      </w:r>
    </w:p>
    <w:p w14:paraId="5109B429"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proofErr w:type="spellStart"/>
      <w:r w:rsidRPr="00950D73">
        <w:rPr>
          <w:rFonts w:asciiTheme="majorBidi" w:hAnsiTheme="majorBidi" w:cstheme="majorBidi"/>
          <w:sz w:val="18"/>
          <w:szCs w:val="18"/>
          <w:lang w:val="en-US"/>
        </w:rPr>
        <w:t>Gradin</w:t>
      </w:r>
      <w:proofErr w:type="spellEnd"/>
      <w:r w:rsidRPr="00950D73">
        <w:rPr>
          <w:rFonts w:asciiTheme="majorBidi" w:hAnsiTheme="majorBidi" w:cstheme="majorBidi"/>
          <w:sz w:val="18"/>
          <w:szCs w:val="18"/>
          <w:lang w:val="en-US"/>
        </w:rPr>
        <w:t xml:space="preserve"> R, Johansson A, </w:t>
      </w:r>
      <w:proofErr w:type="spellStart"/>
      <w:r w:rsidRPr="00950D73">
        <w:rPr>
          <w:rFonts w:asciiTheme="majorBidi" w:hAnsiTheme="majorBidi" w:cstheme="majorBidi"/>
          <w:sz w:val="18"/>
          <w:szCs w:val="18"/>
          <w:lang w:val="en-US"/>
        </w:rPr>
        <w:t>Forreryd</w:t>
      </w:r>
      <w:proofErr w:type="spellEnd"/>
      <w:r w:rsidRPr="00950D73">
        <w:rPr>
          <w:rFonts w:asciiTheme="majorBidi" w:hAnsiTheme="majorBidi" w:cstheme="majorBidi"/>
          <w:sz w:val="18"/>
          <w:szCs w:val="18"/>
          <w:lang w:val="en-US"/>
        </w:rPr>
        <w:t xml:space="preserve"> A, </w:t>
      </w:r>
      <w:proofErr w:type="spellStart"/>
      <w:r w:rsidRPr="00950D73">
        <w:rPr>
          <w:rFonts w:asciiTheme="majorBidi" w:hAnsiTheme="majorBidi" w:cstheme="majorBidi"/>
          <w:sz w:val="18"/>
          <w:szCs w:val="18"/>
          <w:lang w:val="en-US"/>
        </w:rPr>
        <w:t>Aaltonen</w:t>
      </w:r>
      <w:proofErr w:type="spellEnd"/>
      <w:r w:rsidRPr="00950D73">
        <w:rPr>
          <w:rFonts w:asciiTheme="majorBidi" w:hAnsiTheme="majorBidi" w:cstheme="majorBidi"/>
          <w:sz w:val="18"/>
          <w:szCs w:val="18"/>
          <w:lang w:val="en-US"/>
        </w:rPr>
        <w:t xml:space="preserve"> E, </w:t>
      </w:r>
      <w:proofErr w:type="spellStart"/>
      <w:r w:rsidRPr="00950D73">
        <w:rPr>
          <w:rFonts w:asciiTheme="majorBidi" w:hAnsiTheme="majorBidi" w:cstheme="majorBidi"/>
          <w:sz w:val="18"/>
          <w:szCs w:val="18"/>
          <w:lang w:val="en-US"/>
        </w:rPr>
        <w:t>Jerre</w:t>
      </w:r>
      <w:proofErr w:type="spellEnd"/>
      <w:r w:rsidRPr="00950D73">
        <w:rPr>
          <w:rFonts w:asciiTheme="majorBidi" w:hAnsiTheme="majorBidi" w:cstheme="majorBidi"/>
          <w:sz w:val="18"/>
          <w:szCs w:val="18"/>
          <w:lang w:val="en-US"/>
        </w:rPr>
        <w:t xml:space="preserve"> A, Larne O, Mattson U, Johansson H. 2020. The </w:t>
      </w:r>
      <w:proofErr w:type="spellStart"/>
      <w:r w:rsidRPr="00950D73">
        <w:rPr>
          <w:rFonts w:asciiTheme="majorBidi" w:hAnsiTheme="majorBidi" w:cstheme="majorBidi"/>
          <w:sz w:val="18"/>
          <w:szCs w:val="18"/>
          <w:lang w:val="en-US"/>
        </w:rPr>
        <w:t>GARDpotency</w:t>
      </w:r>
      <w:proofErr w:type="spellEnd"/>
      <w:r w:rsidRPr="00950D73">
        <w:rPr>
          <w:rFonts w:asciiTheme="majorBidi" w:hAnsiTheme="majorBidi" w:cstheme="majorBidi"/>
          <w:sz w:val="18"/>
          <w:szCs w:val="18"/>
          <w:lang w:val="en-US"/>
        </w:rPr>
        <w:t xml:space="preserve"> assay for potency-associated subclassification of chemical skin sensitizers – Rationale, method development, and ring trial results of predictive performance and reproducibility. </w:t>
      </w:r>
      <w:proofErr w:type="spellStart"/>
      <w:r w:rsidRPr="00950D73">
        <w:rPr>
          <w:rFonts w:asciiTheme="majorBidi" w:hAnsiTheme="majorBidi" w:cstheme="majorBidi"/>
          <w:i/>
          <w:iCs/>
          <w:sz w:val="18"/>
          <w:szCs w:val="18"/>
          <w:lang w:val="en-US"/>
        </w:rPr>
        <w:t>Toxicol</w:t>
      </w:r>
      <w:proofErr w:type="spellEnd"/>
      <w:r w:rsidRPr="00950D73">
        <w:rPr>
          <w:rFonts w:asciiTheme="majorBidi" w:hAnsiTheme="majorBidi" w:cstheme="majorBidi"/>
          <w:i/>
          <w:iCs/>
          <w:sz w:val="18"/>
          <w:szCs w:val="18"/>
          <w:lang w:val="en-US"/>
        </w:rPr>
        <w:t xml:space="preserve">. Sci. </w:t>
      </w:r>
      <w:r w:rsidRPr="00950D73">
        <w:rPr>
          <w:rFonts w:asciiTheme="majorBidi" w:hAnsiTheme="majorBidi" w:cstheme="majorBidi"/>
          <w:sz w:val="18"/>
          <w:szCs w:val="18"/>
          <w:lang w:val="en-US"/>
        </w:rPr>
        <w:t>176 (2):423-432. Doi: 10.1093/</w:t>
      </w:r>
      <w:proofErr w:type="spellStart"/>
      <w:r w:rsidRPr="00950D73">
        <w:rPr>
          <w:rFonts w:asciiTheme="majorBidi" w:hAnsiTheme="majorBidi" w:cstheme="majorBidi"/>
          <w:sz w:val="18"/>
          <w:szCs w:val="18"/>
          <w:lang w:val="en-US"/>
        </w:rPr>
        <w:t>toxsci</w:t>
      </w:r>
      <w:proofErr w:type="spellEnd"/>
      <w:r w:rsidRPr="00950D73">
        <w:rPr>
          <w:rFonts w:asciiTheme="majorBidi" w:hAnsiTheme="majorBidi" w:cstheme="majorBidi"/>
          <w:sz w:val="18"/>
          <w:szCs w:val="18"/>
          <w:lang w:val="en-US"/>
        </w:rPr>
        <w:t>/kfaa068.</w:t>
      </w:r>
    </w:p>
    <w:p w14:paraId="7C516C19"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Johansson H, </w:t>
      </w:r>
      <w:proofErr w:type="spellStart"/>
      <w:r w:rsidRPr="00950D73">
        <w:rPr>
          <w:rFonts w:asciiTheme="majorBidi" w:hAnsiTheme="majorBidi" w:cstheme="majorBidi"/>
          <w:sz w:val="18"/>
          <w:szCs w:val="18"/>
          <w:lang w:val="en-US"/>
        </w:rPr>
        <w:t>Lindstedt</w:t>
      </w:r>
      <w:proofErr w:type="spellEnd"/>
      <w:r w:rsidRPr="00950D73">
        <w:rPr>
          <w:rFonts w:asciiTheme="majorBidi" w:hAnsiTheme="majorBidi" w:cstheme="majorBidi"/>
          <w:sz w:val="18"/>
          <w:szCs w:val="18"/>
          <w:lang w:val="en-US"/>
        </w:rPr>
        <w:t xml:space="preserve"> M, </w:t>
      </w:r>
      <w:proofErr w:type="spellStart"/>
      <w:r w:rsidRPr="00950D73">
        <w:rPr>
          <w:rFonts w:asciiTheme="majorBidi" w:hAnsiTheme="majorBidi" w:cstheme="majorBidi"/>
          <w:sz w:val="18"/>
          <w:szCs w:val="18"/>
          <w:lang w:val="en-US"/>
        </w:rPr>
        <w:t>Albrekt</w:t>
      </w:r>
      <w:proofErr w:type="spellEnd"/>
      <w:r w:rsidRPr="00950D73">
        <w:rPr>
          <w:rFonts w:asciiTheme="majorBidi" w:hAnsiTheme="majorBidi" w:cstheme="majorBidi"/>
          <w:sz w:val="18"/>
          <w:szCs w:val="18"/>
          <w:lang w:val="en-US"/>
        </w:rPr>
        <w:t xml:space="preserve"> AS, </w:t>
      </w:r>
      <w:proofErr w:type="spellStart"/>
      <w:r w:rsidRPr="00950D73">
        <w:rPr>
          <w:rFonts w:asciiTheme="majorBidi" w:hAnsiTheme="majorBidi" w:cstheme="majorBidi"/>
          <w:sz w:val="18"/>
          <w:szCs w:val="18"/>
          <w:lang w:val="en-US"/>
        </w:rPr>
        <w:t>Borrebaeck</w:t>
      </w:r>
      <w:proofErr w:type="spellEnd"/>
      <w:r w:rsidRPr="00950D73">
        <w:rPr>
          <w:rFonts w:asciiTheme="majorBidi" w:hAnsiTheme="majorBidi" w:cstheme="majorBidi"/>
          <w:sz w:val="18"/>
          <w:szCs w:val="18"/>
          <w:lang w:val="en-US"/>
        </w:rPr>
        <w:t xml:space="preserve"> CA. 2011. A genomic biomarker signature can predict skin sensitizers using a cell-based in vitro alternative to animal tests. </w:t>
      </w:r>
      <w:r w:rsidRPr="00950D73">
        <w:rPr>
          <w:rFonts w:asciiTheme="majorBidi" w:hAnsiTheme="majorBidi" w:cstheme="majorBidi"/>
          <w:i/>
          <w:iCs/>
          <w:sz w:val="18"/>
          <w:szCs w:val="18"/>
          <w:lang w:val="en-US"/>
        </w:rPr>
        <w:t xml:space="preserve">BMC Genomics </w:t>
      </w:r>
      <w:r w:rsidRPr="00950D73">
        <w:rPr>
          <w:rFonts w:asciiTheme="majorBidi" w:hAnsiTheme="majorBidi" w:cstheme="majorBidi"/>
          <w:sz w:val="18"/>
          <w:szCs w:val="18"/>
          <w:lang w:val="en-US"/>
        </w:rPr>
        <w:t>12:399. Doi: 10.1186/1471-2164-12-399.</w:t>
      </w:r>
    </w:p>
    <w:p w14:paraId="5AACE7CD"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lastRenderedPageBreak/>
        <w:t xml:space="preserve">Johansson H, </w:t>
      </w:r>
      <w:proofErr w:type="spellStart"/>
      <w:r w:rsidRPr="00950D73">
        <w:rPr>
          <w:rFonts w:asciiTheme="majorBidi" w:hAnsiTheme="majorBidi" w:cstheme="majorBidi"/>
          <w:sz w:val="18"/>
          <w:szCs w:val="18"/>
          <w:lang w:val="en-US"/>
        </w:rPr>
        <w:t>Rydnert</w:t>
      </w:r>
      <w:proofErr w:type="spellEnd"/>
      <w:r w:rsidRPr="00950D73">
        <w:rPr>
          <w:rFonts w:asciiTheme="majorBidi" w:hAnsiTheme="majorBidi" w:cstheme="majorBidi"/>
          <w:sz w:val="18"/>
          <w:szCs w:val="18"/>
          <w:lang w:val="en-US"/>
        </w:rPr>
        <w:t xml:space="preserve"> F, </w:t>
      </w:r>
      <w:proofErr w:type="spellStart"/>
      <w:r w:rsidRPr="00950D73">
        <w:rPr>
          <w:rFonts w:asciiTheme="majorBidi" w:hAnsiTheme="majorBidi" w:cstheme="majorBidi"/>
          <w:sz w:val="18"/>
          <w:szCs w:val="18"/>
          <w:lang w:val="en-US"/>
        </w:rPr>
        <w:t>Kühnl</w:t>
      </w:r>
      <w:proofErr w:type="spellEnd"/>
      <w:r w:rsidRPr="00950D73">
        <w:rPr>
          <w:rFonts w:asciiTheme="majorBidi" w:hAnsiTheme="majorBidi" w:cstheme="majorBidi"/>
          <w:sz w:val="18"/>
          <w:szCs w:val="18"/>
          <w:lang w:val="en-US"/>
        </w:rPr>
        <w:t xml:space="preserve"> J, </w:t>
      </w:r>
      <w:proofErr w:type="spellStart"/>
      <w:r w:rsidRPr="00950D73">
        <w:rPr>
          <w:rFonts w:asciiTheme="majorBidi" w:hAnsiTheme="majorBidi" w:cstheme="majorBidi"/>
          <w:sz w:val="18"/>
          <w:szCs w:val="18"/>
          <w:lang w:val="en-US"/>
        </w:rPr>
        <w:t>Schepky</w:t>
      </w:r>
      <w:proofErr w:type="spellEnd"/>
      <w:r w:rsidRPr="00950D73">
        <w:rPr>
          <w:rFonts w:asciiTheme="majorBidi" w:hAnsiTheme="majorBidi" w:cstheme="majorBidi"/>
          <w:sz w:val="18"/>
          <w:szCs w:val="18"/>
          <w:lang w:val="en-US"/>
        </w:rPr>
        <w:t xml:space="preserve"> A, </w:t>
      </w:r>
      <w:proofErr w:type="spellStart"/>
      <w:r w:rsidRPr="00950D73">
        <w:rPr>
          <w:rFonts w:asciiTheme="majorBidi" w:hAnsiTheme="majorBidi" w:cstheme="majorBidi"/>
          <w:sz w:val="18"/>
          <w:szCs w:val="18"/>
          <w:lang w:val="en-US"/>
        </w:rPr>
        <w:t>Borrebaeck</w:t>
      </w:r>
      <w:proofErr w:type="spellEnd"/>
      <w:r w:rsidRPr="00950D73">
        <w:rPr>
          <w:rFonts w:asciiTheme="majorBidi" w:hAnsiTheme="majorBidi" w:cstheme="majorBidi"/>
          <w:sz w:val="18"/>
          <w:szCs w:val="18"/>
          <w:lang w:val="en-US"/>
        </w:rPr>
        <w:t xml:space="preserve"> C, </w:t>
      </w:r>
      <w:proofErr w:type="spellStart"/>
      <w:r w:rsidRPr="00950D73">
        <w:rPr>
          <w:rFonts w:asciiTheme="majorBidi" w:hAnsiTheme="majorBidi" w:cstheme="majorBidi"/>
          <w:sz w:val="18"/>
          <w:szCs w:val="18"/>
          <w:lang w:val="en-US"/>
        </w:rPr>
        <w:t>Lindstedt</w:t>
      </w:r>
      <w:proofErr w:type="spellEnd"/>
      <w:r w:rsidRPr="00950D73">
        <w:rPr>
          <w:rFonts w:asciiTheme="majorBidi" w:hAnsiTheme="majorBidi" w:cstheme="majorBidi"/>
          <w:sz w:val="18"/>
          <w:szCs w:val="18"/>
          <w:lang w:val="en-US"/>
        </w:rPr>
        <w:t xml:space="preserve"> M. 2014. Genomic allergen rapid detection in-house validation – A proof of concept. </w:t>
      </w:r>
      <w:proofErr w:type="spellStart"/>
      <w:r w:rsidRPr="00950D73">
        <w:rPr>
          <w:rFonts w:asciiTheme="majorBidi" w:hAnsiTheme="majorBidi" w:cstheme="majorBidi"/>
          <w:i/>
          <w:iCs/>
          <w:sz w:val="18"/>
          <w:szCs w:val="18"/>
          <w:lang w:val="en-US"/>
        </w:rPr>
        <w:t>Toxicol</w:t>
      </w:r>
      <w:proofErr w:type="spellEnd"/>
      <w:r w:rsidRPr="00950D73">
        <w:rPr>
          <w:rFonts w:asciiTheme="majorBidi" w:hAnsiTheme="majorBidi" w:cstheme="majorBidi"/>
          <w:i/>
          <w:iCs/>
          <w:sz w:val="18"/>
          <w:szCs w:val="18"/>
          <w:lang w:val="en-US"/>
        </w:rPr>
        <w:t>. Sci</w:t>
      </w:r>
      <w:r w:rsidRPr="00950D73">
        <w:rPr>
          <w:rFonts w:asciiTheme="majorBidi" w:hAnsiTheme="majorBidi" w:cstheme="majorBidi"/>
          <w:sz w:val="18"/>
          <w:szCs w:val="18"/>
          <w:lang w:val="en-US"/>
        </w:rPr>
        <w:t>. 139 (2): 362- 370. Doi: 10.1093/</w:t>
      </w:r>
      <w:proofErr w:type="spellStart"/>
      <w:r w:rsidRPr="00950D73">
        <w:rPr>
          <w:rFonts w:asciiTheme="majorBidi" w:hAnsiTheme="majorBidi" w:cstheme="majorBidi"/>
          <w:sz w:val="18"/>
          <w:szCs w:val="18"/>
          <w:lang w:val="en-US"/>
        </w:rPr>
        <w:t>toxsci</w:t>
      </w:r>
      <w:proofErr w:type="spellEnd"/>
      <w:r w:rsidRPr="00950D73">
        <w:rPr>
          <w:rFonts w:asciiTheme="majorBidi" w:hAnsiTheme="majorBidi" w:cstheme="majorBidi"/>
          <w:sz w:val="18"/>
          <w:szCs w:val="18"/>
          <w:lang w:val="en-US"/>
        </w:rPr>
        <w:t>/kfu046.</w:t>
      </w:r>
    </w:p>
    <w:p w14:paraId="364592E4" w14:textId="77777777" w:rsidR="00F32E7A" w:rsidRPr="00950D73" w:rsidRDefault="00F32E7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Johansson H, </w:t>
      </w:r>
      <w:proofErr w:type="spellStart"/>
      <w:r w:rsidRPr="00950D73">
        <w:rPr>
          <w:rFonts w:asciiTheme="majorBidi" w:hAnsiTheme="majorBidi" w:cstheme="majorBidi"/>
          <w:sz w:val="18"/>
          <w:szCs w:val="18"/>
          <w:lang w:val="en-US"/>
        </w:rPr>
        <w:t>Gradin</w:t>
      </w:r>
      <w:proofErr w:type="spellEnd"/>
      <w:r w:rsidRPr="00950D73">
        <w:rPr>
          <w:rFonts w:asciiTheme="majorBidi" w:hAnsiTheme="majorBidi" w:cstheme="majorBidi"/>
          <w:sz w:val="18"/>
          <w:szCs w:val="18"/>
          <w:lang w:val="en-US"/>
        </w:rPr>
        <w:t xml:space="preserve"> R, </w:t>
      </w:r>
      <w:proofErr w:type="spellStart"/>
      <w:r w:rsidRPr="00950D73">
        <w:rPr>
          <w:rFonts w:asciiTheme="majorBidi" w:hAnsiTheme="majorBidi" w:cstheme="majorBidi"/>
          <w:sz w:val="18"/>
          <w:szCs w:val="18"/>
          <w:lang w:val="en-US"/>
        </w:rPr>
        <w:t>Forreryd</w:t>
      </w:r>
      <w:proofErr w:type="spellEnd"/>
      <w:r w:rsidRPr="00950D73">
        <w:rPr>
          <w:rFonts w:asciiTheme="majorBidi" w:hAnsiTheme="majorBidi" w:cstheme="majorBidi"/>
          <w:sz w:val="18"/>
          <w:szCs w:val="18"/>
          <w:lang w:val="en-US"/>
        </w:rPr>
        <w:t xml:space="preserve"> A, </w:t>
      </w:r>
      <w:proofErr w:type="spellStart"/>
      <w:r w:rsidRPr="00950D73">
        <w:rPr>
          <w:rFonts w:asciiTheme="majorBidi" w:hAnsiTheme="majorBidi" w:cstheme="majorBidi"/>
          <w:sz w:val="18"/>
          <w:szCs w:val="18"/>
          <w:lang w:val="en-US"/>
        </w:rPr>
        <w:t>Agemark</w:t>
      </w:r>
      <w:proofErr w:type="spellEnd"/>
      <w:r w:rsidRPr="00950D73">
        <w:rPr>
          <w:rFonts w:asciiTheme="majorBidi" w:hAnsiTheme="majorBidi" w:cstheme="majorBidi"/>
          <w:sz w:val="18"/>
          <w:szCs w:val="18"/>
          <w:lang w:val="en-US"/>
        </w:rPr>
        <w:t xml:space="preserve"> M, Zeller K, Johansson A, Larne O, van Vliet E, </w:t>
      </w:r>
      <w:proofErr w:type="spellStart"/>
      <w:r w:rsidRPr="00950D73">
        <w:rPr>
          <w:rFonts w:asciiTheme="majorBidi" w:hAnsiTheme="majorBidi" w:cstheme="majorBidi"/>
          <w:sz w:val="18"/>
          <w:szCs w:val="18"/>
          <w:lang w:val="en-US"/>
        </w:rPr>
        <w:t>Borrebaeck</w:t>
      </w:r>
      <w:proofErr w:type="spellEnd"/>
      <w:r w:rsidRPr="00950D73">
        <w:rPr>
          <w:rFonts w:asciiTheme="majorBidi" w:hAnsiTheme="majorBidi" w:cstheme="majorBidi"/>
          <w:sz w:val="18"/>
          <w:szCs w:val="18"/>
          <w:lang w:val="en-US"/>
        </w:rPr>
        <w:t xml:space="preserve"> C, </w:t>
      </w:r>
      <w:proofErr w:type="spellStart"/>
      <w:r w:rsidRPr="00950D73">
        <w:rPr>
          <w:rFonts w:asciiTheme="majorBidi" w:hAnsiTheme="majorBidi" w:cstheme="majorBidi"/>
          <w:sz w:val="18"/>
          <w:szCs w:val="18"/>
          <w:lang w:val="en-US"/>
        </w:rPr>
        <w:t>Lindstedt</w:t>
      </w:r>
      <w:proofErr w:type="spellEnd"/>
      <w:r w:rsidRPr="00950D73">
        <w:rPr>
          <w:rFonts w:asciiTheme="majorBidi" w:hAnsiTheme="majorBidi" w:cstheme="majorBidi"/>
          <w:sz w:val="18"/>
          <w:szCs w:val="18"/>
          <w:lang w:val="en-US"/>
        </w:rPr>
        <w:t xml:space="preserve"> M. 2017. Evaluation of the GARD assay in a blind Cosmetics Europe study. </w:t>
      </w:r>
      <w:r w:rsidRPr="00950D73">
        <w:rPr>
          <w:rFonts w:asciiTheme="majorBidi" w:hAnsiTheme="majorBidi" w:cstheme="majorBidi"/>
          <w:i/>
          <w:iCs/>
          <w:sz w:val="18"/>
          <w:szCs w:val="18"/>
          <w:lang w:val="en-US"/>
        </w:rPr>
        <w:t>ALTEX</w:t>
      </w:r>
      <w:r w:rsidRPr="00950D73">
        <w:rPr>
          <w:rFonts w:asciiTheme="majorBidi" w:hAnsiTheme="majorBidi" w:cstheme="majorBidi"/>
          <w:sz w:val="18"/>
          <w:szCs w:val="18"/>
          <w:lang w:val="en-US"/>
        </w:rPr>
        <w:t xml:space="preserve"> 34(4):515-523. Doi: 10.14573/altex.1701121.</w:t>
      </w:r>
    </w:p>
    <w:p w14:paraId="6EBCAB31" w14:textId="1E6E7EFE" w:rsidR="002C4F37" w:rsidRPr="00950D73" w:rsidRDefault="002C4F37" w:rsidP="00F51A90">
      <w:pPr>
        <w:pStyle w:val="SingleTxtG"/>
        <w:spacing w:line="220" w:lineRule="atLeast"/>
        <w:ind w:left="2268"/>
        <w:rPr>
          <w:rFonts w:asciiTheme="majorBidi" w:hAnsiTheme="majorBidi" w:cstheme="majorBidi"/>
          <w:sz w:val="18"/>
          <w:szCs w:val="18"/>
          <w:lang w:val="en-US"/>
        </w:rPr>
      </w:pPr>
      <w:proofErr w:type="spellStart"/>
      <w:r w:rsidRPr="00950D73">
        <w:rPr>
          <w:rFonts w:asciiTheme="majorBidi" w:hAnsiTheme="majorBidi" w:cstheme="majorBidi"/>
          <w:sz w:val="18"/>
          <w:szCs w:val="18"/>
          <w:lang w:val="en-US"/>
        </w:rPr>
        <w:t>Jowsey</w:t>
      </w:r>
      <w:proofErr w:type="spellEnd"/>
      <w:r w:rsidRPr="00950D73">
        <w:rPr>
          <w:rFonts w:asciiTheme="majorBidi" w:hAnsiTheme="majorBidi" w:cstheme="majorBidi"/>
          <w:sz w:val="18"/>
          <w:szCs w:val="18"/>
          <w:lang w:val="en-US"/>
        </w:rPr>
        <w:t xml:space="preserve"> IR, Clapp CJ, Safford B, Gibbons BT, </w:t>
      </w:r>
      <w:proofErr w:type="spellStart"/>
      <w:r w:rsidRPr="00950D73">
        <w:rPr>
          <w:rFonts w:asciiTheme="majorBidi" w:hAnsiTheme="majorBidi" w:cstheme="majorBidi"/>
          <w:sz w:val="18"/>
          <w:szCs w:val="18"/>
          <w:lang w:val="en-US"/>
        </w:rPr>
        <w:t>Basketter</w:t>
      </w:r>
      <w:proofErr w:type="spellEnd"/>
      <w:r w:rsidRPr="00950D73">
        <w:rPr>
          <w:rFonts w:asciiTheme="majorBidi" w:hAnsiTheme="majorBidi" w:cstheme="majorBidi"/>
          <w:sz w:val="18"/>
          <w:szCs w:val="18"/>
          <w:lang w:val="en-US"/>
        </w:rPr>
        <w:t xml:space="preserve"> DA. (2008). The impact of vehicle on the relative potency of skin-sensitizing chemicals in the local lymph node assay. </w:t>
      </w:r>
      <w:proofErr w:type="spellStart"/>
      <w:r w:rsidRPr="00950D73">
        <w:rPr>
          <w:rFonts w:asciiTheme="majorBidi" w:hAnsiTheme="majorBidi" w:cstheme="majorBidi"/>
          <w:sz w:val="18"/>
          <w:szCs w:val="18"/>
          <w:lang w:val="en-US"/>
        </w:rPr>
        <w:t>Cutan</w:t>
      </w:r>
      <w:proofErr w:type="spellEnd"/>
      <w:r w:rsidRPr="00950D73">
        <w:rPr>
          <w:rFonts w:asciiTheme="majorBidi" w:hAnsiTheme="majorBidi" w:cstheme="majorBidi"/>
          <w:sz w:val="18"/>
          <w:szCs w:val="18"/>
          <w:lang w:val="en-US"/>
        </w:rPr>
        <w:t xml:space="preserve"> </w:t>
      </w:r>
      <w:proofErr w:type="spellStart"/>
      <w:r w:rsidRPr="00950D73">
        <w:rPr>
          <w:rFonts w:asciiTheme="majorBidi" w:hAnsiTheme="majorBidi" w:cstheme="majorBidi"/>
          <w:sz w:val="18"/>
          <w:szCs w:val="18"/>
          <w:lang w:val="en-US"/>
        </w:rPr>
        <w:t>Ocul</w:t>
      </w:r>
      <w:proofErr w:type="spellEnd"/>
      <w:r w:rsidRPr="00950D73">
        <w:rPr>
          <w:rFonts w:asciiTheme="majorBidi" w:hAnsiTheme="majorBidi" w:cstheme="majorBidi"/>
          <w:sz w:val="18"/>
          <w:szCs w:val="18"/>
          <w:lang w:val="en-US"/>
        </w:rPr>
        <w:t xml:space="preserve"> </w:t>
      </w:r>
      <w:proofErr w:type="spellStart"/>
      <w:r w:rsidRPr="00950D73">
        <w:rPr>
          <w:rFonts w:asciiTheme="majorBidi" w:hAnsiTheme="majorBidi" w:cstheme="majorBidi"/>
          <w:sz w:val="18"/>
          <w:szCs w:val="18"/>
          <w:lang w:val="en-US"/>
        </w:rPr>
        <w:t>Toxicol</w:t>
      </w:r>
      <w:proofErr w:type="spellEnd"/>
      <w:r w:rsidRPr="00950D73">
        <w:rPr>
          <w:rFonts w:asciiTheme="majorBidi" w:hAnsiTheme="majorBidi" w:cstheme="majorBidi"/>
          <w:sz w:val="18"/>
          <w:szCs w:val="18"/>
          <w:lang w:val="en-US"/>
        </w:rPr>
        <w:t xml:space="preserve">: 27 (2) ; 67-75. Doi: 10.1080/15569520801904655. </w:t>
      </w:r>
    </w:p>
    <w:p w14:paraId="5DCF2132" w14:textId="7CE19E4C" w:rsidR="00F32E7A" w:rsidRPr="00950D73" w:rsidRDefault="00F32E7A" w:rsidP="00F51A90">
      <w:pPr>
        <w:pStyle w:val="SingleTxtG"/>
        <w:spacing w:line="220" w:lineRule="atLeast"/>
        <w:ind w:left="2268"/>
        <w:rPr>
          <w:rFonts w:asciiTheme="majorBidi" w:hAnsiTheme="majorBidi" w:cstheme="majorBidi"/>
          <w:sz w:val="18"/>
          <w:szCs w:val="18"/>
          <w:lang w:val="en-US"/>
        </w:rPr>
      </w:pPr>
      <w:proofErr w:type="spellStart"/>
      <w:r w:rsidRPr="00950D73">
        <w:rPr>
          <w:rFonts w:asciiTheme="majorBidi" w:hAnsiTheme="majorBidi" w:cstheme="majorBidi"/>
          <w:sz w:val="18"/>
          <w:szCs w:val="18"/>
          <w:lang w:val="en-US"/>
        </w:rPr>
        <w:t>Kligman</w:t>
      </w:r>
      <w:proofErr w:type="spellEnd"/>
      <w:r w:rsidRPr="00950D73">
        <w:rPr>
          <w:rFonts w:asciiTheme="majorBidi" w:hAnsiTheme="majorBidi" w:cstheme="majorBidi"/>
          <w:sz w:val="18"/>
          <w:szCs w:val="18"/>
          <w:lang w:val="en-US"/>
        </w:rPr>
        <w:t xml:space="preserve"> AM. 1966. The identification of contact allergens by human assay: II. Factors influencing the induction and measurement of allergic contact dermatitis. </w:t>
      </w:r>
      <w:r w:rsidRPr="00950D73">
        <w:rPr>
          <w:rFonts w:asciiTheme="majorBidi" w:hAnsiTheme="majorBidi" w:cstheme="majorBidi"/>
          <w:i/>
          <w:iCs/>
          <w:sz w:val="18"/>
          <w:szCs w:val="18"/>
          <w:lang w:val="en-US"/>
        </w:rPr>
        <w:t xml:space="preserve">Journal of Investigative Dermatology </w:t>
      </w:r>
      <w:r w:rsidRPr="00950D73">
        <w:rPr>
          <w:rFonts w:asciiTheme="majorBidi" w:hAnsiTheme="majorBidi" w:cstheme="majorBidi"/>
          <w:sz w:val="18"/>
          <w:szCs w:val="18"/>
          <w:lang w:val="en-US"/>
        </w:rPr>
        <w:t xml:space="preserve">47 (5), 375-392. </w:t>
      </w:r>
      <w:r w:rsidR="00143ED4" w:rsidRPr="00950D73">
        <w:rPr>
          <w:rFonts w:asciiTheme="majorBidi" w:hAnsiTheme="majorBidi" w:cstheme="majorBidi"/>
          <w:sz w:val="18"/>
          <w:szCs w:val="18"/>
          <w:lang w:val="en-US"/>
        </w:rPr>
        <w:t>Doi</w:t>
      </w:r>
      <w:r w:rsidRPr="00950D73">
        <w:rPr>
          <w:rFonts w:asciiTheme="majorBidi" w:hAnsiTheme="majorBidi" w:cstheme="majorBidi"/>
          <w:sz w:val="18"/>
          <w:szCs w:val="18"/>
          <w:lang w:val="en-US"/>
        </w:rPr>
        <w:t>: 10.1038/jid.1966.159.</w:t>
      </w:r>
    </w:p>
    <w:p w14:paraId="555E6EE8" w14:textId="51451BB5" w:rsidR="00FD268B" w:rsidRPr="00950D73" w:rsidRDefault="00976004"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Kobayashi T., Maeda Y., Kondo H., Takeyoshi M. (2020) Applicability of the proposed GHS subcategorization criterion for </w:t>
      </w:r>
      <w:proofErr w:type="spellStart"/>
      <w:r w:rsidRPr="00950D73">
        <w:rPr>
          <w:rFonts w:asciiTheme="majorBidi" w:hAnsiTheme="majorBidi" w:cstheme="majorBidi"/>
          <w:sz w:val="18"/>
          <w:szCs w:val="18"/>
          <w:lang w:val="en-US"/>
        </w:rPr>
        <w:t>LLNA:BrdU-ELISA</w:t>
      </w:r>
      <w:proofErr w:type="spellEnd"/>
      <w:r w:rsidRPr="00950D73">
        <w:rPr>
          <w:rFonts w:asciiTheme="majorBidi" w:hAnsiTheme="majorBidi" w:cstheme="majorBidi"/>
          <w:sz w:val="18"/>
          <w:szCs w:val="18"/>
          <w:lang w:val="en-US"/>
        </w:rPr>
        <w:t xml:space="preserve"> (OECD TG442B) to the CBA/J strain mouse. Journal of Applied Toxicology. 40(10):1435-1439.</w:t>
      </w:r>
    </w:p>
    <w:p w14:paraId="6B222ED5" w14:textId="3FC047B1" w:rsidR="006E1D17" w:rsidRPr="00950D73" w:rsidRDefault="006E1D17"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Maeda Y., Takeyoshi M. (2019) Proposal of GHS sub-categorization criteria for LLNA: </w:t>
      </w:r>
      <w:proofErr w:type="spellStart"/>
      <w:r w:rsidRPr="00950D73">
        <w:rPr>
          <w:rFonts w:asciiTheme="majorBidi" w:hAnsiTheme="majorBidi" w:cstheme="majorBidi"/>
          <w:sz w:val="18"/>
          <w:szCs w:val="18"/>
          <w:lang w:val="en-US"/>
        </w:rPr>
        <w:t>BrdU</w:t>
      </w:r>
      <w:proofErr w:type="spellEnd"/>
      <w:r w:rsidRPr="00950D73">
        <w:rPr>
          <w:rFonts w:asciiTheme="majorBidi" w:hAnsiTheme="majorBidi" w:cstheme="majorBidi"/>
          <w:sz w:val="18"/>
          <w:szCs w:val="18"/>
          <w:lang w:val="en-US"/>
        </w:rPr>
        <w:t>-ELISA (OECD TG442B). Regulatory Toxicology and Pharmacology. 107:104409.</w:t>
      </w:r>
    </w:p>
    <w:p w14:paraId="6E39688F" w14:textId="7682BB46" w:rsidR="00F32E7A" w:rsidRPr="00950D73" w:rsidRDefault="00F32E7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OECD. 2014. The adverse outcome pathway for skin </w:t>
      </w:r>
      <w:proofErr w:type="spellStart"/>
      <w:r w:rsidRPr="00950D73">
        <w:rPr>
          <w:rFonts w:asciiTheme="majorBidi" w:hAnsiTheme="majorBidi" w:cstheme="majorBidi"/>
          <w:sz w:val="18"/>
          <w:szCs w:val="18"/>
          <w:lang w:val="en-US"/>
        </w:rPr>
        <w:t>sensitisation</w:t>
      </w:r>
      <w:proofErr w:type="spellEnd"/>
      <w:r w:rsidRPr="00950D73">
        <w:rPr>
          <w:rFonts w:asciiTheme="majorBidi" w:hAnsiTheme="majorBidi" w:cstheme="majorBidi"/>
          <w:sz w:val="18"/>
          <w:szCs w:val="18"/>
          <w:lang w:val="en-US"/>
        </w:rPr>
        <w:t xml:space="preserve"> initiated by covalent binding to proteins, OECD Series on Testing and Assessment No. 168. OECD Publishing, Paris. </w:t>
      </w:r>
      <w:hyperlink r:id="rId51" w:history="1">
        <w:r w:rsidRPr="00950D73">
          <w:rPr>
            <w:rStyle w:val="Lienhypertexte"/>
            <w:rFonts w:asciiTheme="majorBidi" w:hAnsiTheme="majorBidi" w:cstheme="majorBidi"/>
            <w:color w:val="auto"/>
            <w:sz w:val="18"/>
            <w:szCs w:val="18"/>
            <w:lang w:val="en-US"/>
          </w:rPr>
          <w:t>https//</w:t>
        </w:r>
        <w:r w:rsidR="00ED1B4E" w:rsidRPr="00950D73">
          <w:rPr>
            <w:rStyle w:val="Lienhypertexte"/>
            <w:rFonts w:asciiTheme="majorBidi" w:hAnsiTheme="majorBidi" w:cstheme="majorBidi"/>
            <w:color w:val="auto"/>
            <w:sz w:val="18"/>
            <w:szCs w:val="18"/>
            <w:lang w:val="en-US"/>
          </w:rPr>
          <w:t>Doi</w:t>
        </w:r>
        <w:r w:rsidRPr="00950D73">
          <w:rPr>
            <w:rStyle w:val="Lienhypertexte"/>
            <w:rFonts w:asciiTheme="majorBidi" w:hAnsiTheme="majorBidi" w:cstheme="majorBidi"/>
            <w:color w:val="auto"/>
            <w:sz w:val="18"/>
            <w:szCs w:val="18"/>
            <w:lang w:val="en-US"/>
          </w:rPr>
          <w:t>.org/10.1787/9789264221444-en</w:t>
        </w:r>
      </w:hyperlink>
      <w:r w:rsidRPr="00950D73">
        <w:rPr>
          <w:rFonts w:asciiTheme="majorBidi" w:hAnsiTheme="majorBidi" w:cstheme="majorBidi"/>
          <w:sz w:val="18"/>
          <w:szCs w:val="18"/>
          <w:lang w:val="en-US"/>
        </w:rPr>
        <w:t>.</w:t>
      </w:r>
    </w:p>
    <w:p w14:paraId="1D2E3798" w14:textId="2E4CB59B" w:rsidR="00073D0A" w:rsidRPr="00950D73" w:rsidRDefault="00073D0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OECD (2017), Guidance Document on the Reporting of Defined Approaches and Individual Information Sources to be Used within Integrated Approaches to Testing and Assessment (IATA) for Skin </w:t>
      </w:r>
      <w:proofErr w:type="spellStart"/>
      <w:r w:rsidRPr="00950D73">
        <w:rPr>
          <w:rFonts w:asciiTheme="majorBidi" w:hAnsiTheme="majorBidi" w:cstheme="majorBidi"/>
          <w:sz w:val="18"/>
          <w:szCs w:val="18"/>
          <w:lang w:val="en-US"/>
        </w:rPr>
        <w:t>Sensitisation</w:t>
      </w:r>
      <w:proofErr w:type="spellEnd"/>
      <w:r w:rsidRPr="00950D73">
        <w:rPr>
          <w:rFonts w:asciiTheme="majorBidi" w:hAnsiTheme="majorBidi" w:cstheme="majorBidi"/>
          <w:sz w:val="18"/>
          <w:szCs w:val="18"/>
          <w:lang w:val="en-US"/>
        </w:rPr>
        <w:t xml:space="preserve">, OECD Series on Testing and Assessment, No. 256, OECD Publishing, Paris. Doi.org/10.1787/9789264279285 </w:t>
      </w:r>
      <w:proofErr w:type="spellStart"/>
      <w:r w:rsidRPr="00950D73">
        <w:rPr>
          <w:rFonts w:asciiTheme="majorBidi" w:hAnsiTheme="majorBidi" w:cstheme="majorBidi"/>
          <w:sz w:val="18"/>
          <w:szCs w:val="18"/>
          <w:lang w:val="en-US"/>
        </w:rPr>
        <w:t>en</w:t>
      </w:r>
      <w:proofErr w:type="spellEnd"/>
      <w:r w:rsidRPr="00950D73">
        <w:rPr>
          <w:rFonts w:asciiTheme="majorBidi" w:hAnsiTheme="majorBidi" w:cstheme="majorBidi"/>
          <w:sz w:val="18"/>
          <w:szCs w:val="18"/>
          <w:lang w:val="en-US"/>
        </w:rPr>
        <w:t>.</w:t>
      </w:r>
    </w:p>
    <w:p w14:paraId="33595714" w14:textId="3BCE09B1" w:rsidR="0075407E" w:rsidRPr="00950D73" w:rsidRDefault="00073D0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Ryan CA et al. (2007): Extrapolating local lymph node assay EC3 values to estimate relative sensitizing potency. </w:t>
      </w:r>
      <w:proofErr w:type="spellStart"/>
      <w:r w:rsidRPr="00950D73">
        <w:rPr>
          <w:rFonts w:asciiTheme="majorBidi" w:hAnsiTheme="majorBidi" w:cstheme="majorBidi"/>
          <w:sz w:val="18"/>
          <w:szCs w:val="18"/>
          <w:lang w:val="en-US"/>
        </w:rPr>
        <w:t>Cutan</w:t>
      </w:r>
      <w:proofErr w:type="spellEnd"/>
      <w:r w:rsidRPr="00950D73">
        <w:rPr>
          <w:rFonts w:asciiTheme="majorBidi" w:hAnsiTheme="majorBidi" w:cstheme="majorBidi"/>
          <w:sz w:val="18"/>
          <w:szCs w:val="18"/>
          <w:lang w:val="en-US"/>
        </w:rPr>
        <w:t xml:space="preserve"> </w:t>
      </w:r>
      <w:proofErr w:type="spellStart"/>
      <w:r w:rsidRPr="00950D73">
        <w:rPr>
          <w:rFonts w:asciiTheme="majorBidi" w:hAnsiTheme="majorBidi" w:cstheme="majorBidi"/>
          <w:sz w:val="18"/>
          <w:szCs w:val="18"/>
          <w:lang w:val="en-US"/>
        </w:rPr>
        <w:t>Ocul</w:t>
      </w:r>
      <w:proofErr w:type="spellEnd"/>
      <w:r w:rsidRPr="00950D73">
        <w:rPr>
          <w:rFonts w:asciiTheme="majorBidi" w:hAnsiTheme="majorBidi" w:cstheme="majorBidi"/>
          <w:sz w:val="18"/>
          <w:szCs w:val="18"/>
          <w:lang w:val="en-US"/>
        </w:rPr>
        <w:t xml:space="preserve"> </w:t>
      </w:r>
      <w:proofErr w:type="spellStart"/>
      <w:r w:rsidRPr="00950D73">
        <w:rPr>
          <w:rFonts w:asciiTheme="majorBidi" w:hAnsiTheme="majorBidi" w:cstheme="majorBidi"/>
          <w:sz w:val="18"/>
          <w:szCs w:val="18"/>
          <w:lang w:val="en-US"/>
        </w:rPr>
        <w:t>Toxicol</w:t>
      </w:r>
      <w:proofErr w:type="spellEnd"/>
      <w:r w:rsidRPr="00950D73">
        <w:rPr>
          <w:rFonts w:asciiTheme="majorBidi" w:hAnsiTheme="majorBidi" w:cstheme="majorBidi"/>
          <w:sz w:val="18"/>
          <w:szCs w:val="18"/>
          <w:lang w:val="en-US"/>
        </w:rPr>
        <w:t xml:space="preserve"> 26(2), 135-45. </w:t>
      </w:r>
    </w:p>
    <w:p w14:paraId="4058516A" w14:textId="3C39047D" w:rsidR="00F32E7A" w:rsidRPr="00950D73" w:rsidRDefault="00F32E7A" w:rsidP="00F51A90">
      <w:pPr>
        <w:pStyle w:val="SingleTxtG"/>
        <w:spacing w:line="220" w:lineRule="atLeast"/>
        <w:ind w:left="2268"/>
        <w:rPr>
          <w:rFonts w:asciiTheme="majorBidi" w:hAnsiTheme="majorBidi" w:cstheme="majorBidi"/>
          <w:sz w:val="18"/>
          <w:szCs w:val="18"/>
          <w:lang w:val="en-US"/>
        </w:rPr>
      </w:pPr>
      <w:r w:rsidRPr="00464F7A">
        <w:rPr>
          <w:rFonts w:asciiTheme="majorBidi" w:hAnsiTheme="majorBidi" w:cstheme="majorBidi"/>
          <w:sz w:val="18"/>
          <w:szCs w:val="18"/>
          <w:lang w:val="en-US"/>
        </w:rPr>
        <w:lastRenderedPageBreak/>
        <w:t xml:space="preserve">Saito K, </w:t>
      </w:r>
      <w:proofErr w:type="spellStart"/>
      <w:r w:rsidRPr="00464F7A">
        <w:rPr>
          <w:rFonts w:asciiTheme="majorBidi" w:hAnsiTheme="majorBidi" w:cstheme="majorBidi"/>
          <w:sz w:val="18"/>
          <w:szCs w:val="18"/>
          <w:lang w:val="en-US"/>
        </w:rPr>
        <w:t>Takenouchi</w:t>
      </w:r>
      <w:proofErr w:type="spellEnd"/>
      <w:r w:rsidRPr="00464F7A">
        <w:rPr>
          <w:rFonts w:asciiTheme="majorBidi" w:hAnsiTheme="majorBidi" w:cstheme="majorBidi"/>
          <w:sz w:val="18"/>
          <w:szCs w:val="18"/>
          <w:lang w:val="en-US"/>
        </w:rPr>
        <w:t xml:space="preserve"> O, </w:t>
      </w:r>
      <w:proofErr w:type="spellStart"/>
      <w:r w:rsidRPr="00464F7A">
        <w:rPr>
          <w:rFonts w:asciiTheme="majorBidi" w:hAnsiTheme="majorBidi" w:cstheme="majorBidi"/>
          <w:sz w:val="18"/>
          <w:szCs w:val="18"/>
          <w:lang w:val="en-US"/>
        </w:rPr>
        <w:t>Nukada</w:t>
      </w:r>
      <w:proofErr w:type="spellEnd"/>
      <w:r w:rsidRPr="00464F7A">
        <w:rPr>
          <w:rFonts w:asciiTheme="majorBidi" w:hAnsiTheme="majorBidi" w:cstheme="majorBidi"/>
          <w:sz w:val="18"/>
          <w:szCs w:val="18"/>
          <w:lang w:val="en-US"/>
        </w:rPr>
        <w:t xml:space="preserve"> Y, Miyazawa M, </w:t>
      </w:r>
      <w:proofErr w:type="spellStart"/>
      <w:r w:rsidRPr="00464F7A">
        <w:rPr>
          <w:rFonts w:asciiTheme="majorBidi" w:hAnsiTheme="majorBidi" w:cstheme="majorBidi"/>
          <w:sz w:val="18"/>
          <w:szCs w:val="18"/>
          <w:lang w:val="en-US"/>
        </w:rPr>
        <w:t>Sakaguchi</w:t>
      </w:r>
      <w:proofErr w:type="spellEnd"/>
      <w:r w:rsidRPr="00464F7A">
        <w:rPr>
          <w:rFonts w:asciiTheme="majorBidi" w:hAnsiTheme="majorBidi" w:cstheme="majorBidi"/>
          <w:sz w:val="18"/>
          <w:szCs w:val="18"/>
          <w:lang w:val="en-US"/>
        </w:rPr>
        <w:t xml:space="preserve"> H. 2017. </w:t>
      </w:r>
      <w:hyperlink r:id="rId52" w:history="1">
        <w:r w:rsidRPr="00950D73">
          <w:rPr>
            <w:rStyle w:val="Lienhypertexte"/>
            <w:rFonts w:asciiTheme="majorBidi" w:hAnsiTheme="majorBidi" w:cstheme="majorBidi"/>
            <w:color w:val="auto"/>
            <w:sz w:val="18"/>
            <w:szCs w:val="18"/>
            <w:lang w:val="en-US"/>
          </w:rPr>
          <w:t xml:space="preserve">An in vitro skin sensitization assay termed </w:t>
        </w:r>
        <w:proofErr w:type="spellStart"/>
        <w:r w:rsidRPr="00950D73">
          <w:rPr>
            <w:rStyle w:val="Lienhypertexte"/>
            <w:rFonts w:asciiTheme="majorBidi" w:hAnsiTheme="majorBidi" w:cstheme="majorBidi"/>
            <w:color w:val="auto"/>
            <w:sz w:val="18"/>
            <w:szCs w:val="18"/>
            <w:lang w:val="en-US"/>
          </w:rPr>
          <w:t>EpiSensA</w:t>
        </w:r>
        <w:proofErr w:type="spellEnd"/>
        <w:r w:rsidRPr="00950D73">
          <w:rPr>
            <w:rStyle w:val="Lienhypertexte"/>
            <w:rFonts w:asciiTheme="majorBidi" w:hAnsiTheme="majorBidi" w:cstheme="majorBidi"/>
            <w:color w:val="auto"/>
            <w:sz w:val="18"/>
            <w:szCs w:val="18"/>
            <w:lang w:val="en-US"/>
          </w:rPr>
          <w:t xml:space="preserve"> for broad sets of chemicals including lipophilic chemicals and pre/pro-</w:t>
        </w:r>
        <w:proofErr w:type="spellStart"/>
        <w:r w:rsidRPr="00950D73">
          <w:rPr>
            <w:rStyle w:val="Lienhypertexte"/>
            <w:rFonts w:asciiTheme="majorBidi" w:hAnsiTheme="majorBidi" w:cstheme="majorBidi"/>
            <w:color w:val="auto"/>
            <w:sz w:val="18"/>
            <w:szCs w:val="18"/>
            <w:lang w:val="en-US"/>
          </w:rPr>
          <w:t>haptens</w:t>
        </w:r>
        <w:proofErr w:type="spellEnd"/>
        <w:r w:rsidRPr="00950D73">
          <w:rPr>
            <w:rStyle w:val="Lienhypertexte"/>
            <w:rFonts w:asciiTheme="majorBidi" w:hAnsiTheme="majorBidi" w:cstheme="majorBidi"/>
            <w:color w:val="auto"/>
            <w:sz w:val="18"/>
            <w:szCs w:val="18"/>
            <w:lang w:val="en-US"/>
          </w:rPr>
          <w:t>.</w:t>
        </w:r>
      </w:hyperlink>
      <w:r w:rsidRPr="00950D73">
        <w:rPr>
          <w:rFonts w:asciiTheme="majorBidi" w:hAnsiTheme="majorBidi" w:cstheme="majorBidi"/>
          <w:sz w:val="18"/>
          <w:szCs w:val="18"/>
          <w:lang w:val="en-US"/>
        </w:rPr>
        <w:t xml:space="preserve"> </w:t>
      </w:r>
      <w:proofErr w:type="spellStart"/>
      <w:r w:rsidRPr="00950D73">
        <w:rPr>
          <w:rFonts w:asciiTheme="majorBidi" w:hAnsiTheme="majorBidi" w:cstheme="majorBidi"/>
          <w:i/>
          <w:iCs/>
          <w:sz w:val="18"/>
          <w:szCs w:val="18"/>
          <w:lang w:val="en-US"/>
        </w:rPr>
        <w:t>Toxicol</w:t>
      </w:r>
      <w:proofErr w:type="spellEnd"/>
      <w:r w:rsidRPr="00950D73">
        <w:rPr>
          <w:rFonts w:asciiTheme="majorBidi" w:hAnsiTheme="majorBidi" w:cstheme="majorBidi"/>
          <w:i/>
          <w:iCs/>
          <w:sz w:val="18"/>
          <w:szCs w:val="18"/>
          <w:lang w:val="en-US"/>
        </w:rPr>
        <w:t xml:space="preserve"> in Vitro</w:t>
      </w:r>
      <w:r w:rsidRPr="00950D73">
        <w:rPr>
          <w:rFonts w:asciiTheme="majorBidi" w:hAnsiTheme="majorBidi" w:cstheme="majorBidi"/>
          <w:sz w:val="18"/>
          <w:szCs w:val="18"/>
          <w:lang w:val="en-US"/>
        </w:rPr>
        <w:t>. 2017 Apr, 40:11-25. Doi: 10.1016/j.tiv.2016.12.005.</w:t>
      </w:r>
    </w:p>
    <w:p w14:paraId="173818B7" w14:textId="022670C5" w:rsidR="00F32E7A" w:rsidRPr="00950D73" w:rsidRDefault="00F32E7A" w:rsidP="00F51A90">
      <w:pPr>
        <w:pStyle w:val="SingleTxtG"/>
        <w:spacing w:line="220" w:lineRule="atLeast"/>
        <w:ind w:left="2268"/>
        <w:rPr>
          <w:rFonts w:asciiTheme="majorBidi" w:hAnsiTheme="majorBidi" w:cstheme="majorBidi"/>
          <w:sz w:val="18"/>
          <w:szCs w:val="18"/>
          <w:lang w:val="en-US"/>
        </w:rPr>
      </w:pPr>
      <w:r w:rsidRPr="00950D73">
        <w:rPr>
          <w:rFonts w:asciiTheme="majorBidi" w:hAnsiTheme="majorBidi" w:cstheme="majorBidi"/>
          <w:sz w:val="18"/>
          <w:szCs w:val="18"/>
          <w:lang w:val="en-US"/>
        </w:rPr>
        <w:t xml:space="preserve">Wright ZM, </w:t>
      </w:r>
      <w:proofErr w:type="spellStart"/>
      <w:r w:rsidRPr="00950D73">
        <w:rPr>
          <w:rFonts w:asciiTheme="majorBidi" w:hAnsiTheme="majorBidi" w:cstheme="majorBidi"/>
          <w:sz w:val="18"/>
          <w:szCs w:val="18"/>
          <w:lang w:val="en-US"/>
        </w:rPr>
        <w:t>Basketter</w:t>
      </w:r>
      <w:proofErr w:type="spellEnd"/>
      <w:r w:rsidRPr="00950D73">
        <w:rPr>
          <w:rFonts w:asciiTheme="majorBidi" w:hAnsiTheme="majorBidi" w:cstheme="majorBidi"/>
          <w:sz w:val="18"/>
          <w:szCs w:val="18"/>
          <w:lang w:val="en-US"/>
        </w:rPr>
        <w:t xml:space="preserve"> PA, Blaikie L, Cooper KJ, </w:t>
      </w:r>
      <w:proofErr w:type="spellStart"/>
      <w:r w:rsidRPr="00950D73">
        <w:rPr>
          <w:rFonts w:asciiTheme="majorBidi" w:hAnsiTheme="majorBidi" w:cstheme="majorBidi"/>
          <w:sz w:val="18"/>
          <w:szCs w:val="18"/>
          <w:lang w:val="en-US"/>
        </w:rPr>
        <w:t>Warbrick</w:t>
      </w:r>
      <w:proofErr w:type="spellEnd"/>
      <w:r w:rsidRPr="00950D73">
        <w:rPr>
          <w:rFonts w:asciiTheme="majorBidi" w:hAnsiTheme="majorBidi" w:cstheme="majorBidi"/>
          <w:sz w:val="18"/>
          <w:szCs w:val="18"/>
          <w:lang w:val="en-US"/>
        </w:rPr>
        <w:t xml:space="preserve"> EV, Dearman RJ, Kimber I. 2001. Vehicle effects on skin sensitizing potency of four chemicals: Assessment using the local lymph node assay. </w:t>
      </w:r>
      <w:r w:rsidRPr="00950D73">
        <w:rPr>
          <w:rFonts w:asciiTheme="majorBidi" w:hAnsiTheme="majorBidi" w:cstheme="majorBidi"/>
          <w:i/>
          <w:iCs/>
          <w:sz w:val="18"/>
          <w:szCs w:val="18"/>
          <w:lang w:val="en-US"/>
        </w:rPr>
        <w:t xml:space="preserve">Int J </w:t>
      </w:r>
      <w:proofErr w:type="spellStart"/>
      <w:r w:rsidRPr="00950D73">
        <w:rPr>
          <w:rFonts w:asciiTheme="majorBidi" w:hAnsiTheme="majorBidi" w:cstheme="majorBidi"/>
          <w:i/>
          <w:iCs/>
          <w:sz w:val="18"/>
          <w:szCs w:val="18"/>
          <w:lang w:val="en-US"/>
        </w:rPr>
        <w:t>Cosmet</w:t>
      </w:r>
      <w:proofErr w:type="spellEnd"/>
      <w:r w:rsidRPr="00950D73">
        <w:rPr>
          <w:rFonts w:asciiTheme="majorBidi" w:hAnsiTheme="majorBidi" w:cstheme="majorBidi"/>
          <w:i/>
          <w:iCs/>
          <w:sz w:val="18"/>
          <w:szCs w:val="18"/>
          <w:lang w:val="en-US"/>
        </w:rPr>
        <w:t xml:space="preserve"> Sci</w:t>
      </w:r>
      <w:r w:rsidRPr="00950D73">
        <w:rPr>
          <w:rFonts w:asciiTheme="majorBidi" w:hAnsiTheme="majorBidi" w:cstheme="majorBidi"/>
          <w:sz w:val="18"/>
          <w:szCs w:val="18"/>
          <w:lang w:val="en-US"/>
        </w:rPr>
        <w:t>. 2001 Apr. 23 (2):75-83. Doi: 10.1046/j.1467-2494.2001.00066.x.</w:t>
      </w:r>
    </w:p>
    <w:p w14:paraId="5E18E9B6" w14:textId="77777777" w:rsidR="00F32E7A" w:rsidRPr="00950D73" w:rsidRDefault="00F32E7A" w:rsidP="00F51A90">
      <w:pPr>
        <w:pStyle w:val="SingleTxtG"/>
        <w:spacing w:line="220" w:lineRule="atLeast"/>
        <w:ind w:left="2268"/>
        <w:rPr>
          <w:rFonts w:asciiTheme="majorBidi" w:hAnsiTheme="majorBidi" w:cstheme="majorBidi"/>
        </w:rPr>
      </w:pPr>
      <w:r w:rsidRPr="00950D73">
        <w:rPr>
          <w:rFonts w:asciiTheme="majorBidi" w:hAnsiTheme="majorBidi" w:cstheme="majorBidi"/>
          <w:sz w:val="18"/>
          <w:szCs w:val="18"/>
          <w:lang w:val="en-US"/>
        </w:rPr>
        <w:t xml:space="preserve">Zeller KS, </w:t>
      </w:r>
      <w:proofErr w:type="spellStart"/>
      <w:r w:rsidRPr="00950D73">
        <w:rPr>
          <w:rFonts w:asciiTheme="majorBidi" w:hAnsiTheme="majorBidi" w:cstheme="majorBidi"/>
          <w:sz w:val="18"/>
          <w:szCs w:val="18"/>
          <w:lang w:val="en-US"/>
        </w:rPr>
        <w:t>Forreryd</w:t>
      </w:r>
      <w:proofErr w:type="spellEnd"/>
      <w:r w:rsidRPr="00950D73">
        <w:rPr>
          <w:rFonts w:asciiTheme="majorBidi" w:hAnsiTheme="majorBidi" w:cstheme="majorBidi"/>
          <w:sz w:val="18"/>
          <w:szCs w:val="18"/>
          <w:lang w:val="en-US"/>
        </w:rPr>
        <w:t xml:space="preserve"> A, Lindberg T, </w:t>
      </w:r>
      <w:proofErr w:type="spellStart"/>
      <w:r w:rsidRPr="00950D73">
        <w:rPr>
          <w:rFonts w:asciiTheme="majorBidi" w:hAnsiTheme="majorBidi" w:cstheme="majorBidi"/>
          <w:sz w:val="18"/>
          <w:szCs w:val="18"/>
          <w:lang w:val="en-US"/>
        </w:rPr>
        <w:t>Gradin</w:t>
      </w:r>
      <w:proofErr w:type="spellEnd"/>
      <w:r w:rsidRPr="00950D73">
        <w:rPr>
          <w:rFonts w:asciiTheme="majorBidi" w:hAnsiTheme="majorBidi" w:cstheme="majorBidi"/>
          <w:sz w:val="18"/>
          <w:szCs w:val="18"/>
          <w:lang w:val="en-US"/>
        </w:rPr>
        <w:t xml:space="preserve"> R, </w:t>
      </w:r>
      <w:proofErr w:type="spellStart"/>
      <w:r w:rsidRPr="00950D73">
        <w:rPr>
          <w:rFonts w:asciiTheme="majorBidi" w:hAnsiTheme="majorBidi" w:cstheme="majorBidi"/>
          <w:sz w:val="18"/>
          <w:szCs w:val="18"/>
          <w:lang w:val="en-US"/>
        </w:rPr>
        <w:t>Chawade</w:t>
      </w:r>
      <w:proofErr w:type="spellEnd"/>
      <w:r w:rsidRPr="00950D73">
        <w:rPr>
          <w:rFonts w:asciiTheme="majorBidi" w:hAnsiTheme="majorBidi" w:cstheme="majorBidi"/>
          <w:sz w:val="18"/>
          <w:szCs w:val="18"/>
          <w:lang w:val="en-US"/>
        </w:rPr>
        <w:t xml:space="preserve"> A, </w:t>
      </w:r>
      <w:proofErr w:type="spellStart"/>
      <w:r w:rsidRPr="00950D73">
        <w:rPr>
          <w:rFonts w:asciiTheme="majorBidi" w:hAnsiTheme="majorBidi" w:cstheme="majorBidi"/>
          <w:sz w:val="18"/>
          <w:szCs w:val="18"/>
          <w:lang w:val="en-US"/>
        </w:rPr>
        <w:t>Lindstedt</w:t>
      </w:r>
      <w:proofErr w:type="spellEnd"/>
      <w:r w:rsidRPr="00950D73">
        <w:rPr>
          <w:rFonts w:asciiTheme="majorBidi" w:hAnsiTheme="majorBidi" w:cstheme="majorBidi"/>
          <w:sz w:val="18"/>
          <w:szCs w:val="18"/>
          <w:lang w:val="en-US"/>
        </w:rPr>
        <w:t xml:space="preserve"> M. 2017. The GARD platform for potency assessment of skin sensitizing chemicals. </w:t>
      </w:r>
      <w:r w:rsidRPr="00950D73">
        <w:rPr>
          <w:rFonts w:asciiTheme="majorBidi" w:hAnsiTheme="majorBidi" w:cstheme="majorBidi"/>
          <w:i/>
          <w:iCs/>
          <w:sz w:val="18"/>
          <w:szCs w:val="18"/>
        </w:rPr>
        <w:t>ALTEX</w:t>
      </w:r>
      <w:r w:rsidRPr="00950D73">
        <w:rPr>
          <w:rFonts w:asciiTheme="majorBidi" w:hAnsiTheme="majorBidi" w:cstheme="majorBidi"/>
          <w:sz w:val="18"/>
          <w:szCs w:val="18"/>
        </w:rPr>
        <w:t xml:space="preserve"> 34 (4):539-559. </w:t>
      </w:r>
      <w:proofErr w:type="spellStart"/>
      <w:r w:rsidRPr="00950D73">
        <w:rPr>
          <w:rFonts w:asciiTheme="majorBidi" w:hAnsiTheme="majorBidi" w:cstheme="majorBidi"/>
          <w:sz w:val="18"/>
          <w:szCs w:val="18"/>
        </w:rPr>
        <w:t>Doi</w:t>
      </w:r>
      <w:proofErr w:type="spellEnd"/>
      <w:r w:rsidRPr="00950D73">
        <w:rPr>
          <w:rFonts w:asciiTheme="majorBidi" w:hAnsiTheme="majorBidi" w:cstheme="majorBidi"/>
          <w:sz w:val="18"/>
          <w:szCs w:val="18"/>
        </w:rPr>
        <w:t>: 10.14573/altex.1701101.</w:t>
      </w:r>
      <w:r w:rsidRPr="00950D73">
        <w:rPr>
          <w:rFonts w:asciiTheme="majorBidi" w:hAnsiTheme="majorBidi" w:cstheme="majorBidi"/>
        </w:rPr>
        <w:t> ».</w:t>
      </w:r>
    </w:p>
    <w:p w14:paraId="1433E0BF" w14:textId="3C89E74D" w:rsidR="00447962" w:rsidRPr="00950D73" w:rsidRDefault="00447962" w:rsidP="00447962">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3.5</w:t>
      </w:r>
    </w:p>
    <w:p w14:paraId="4A8EAB8C" w14:textId="644E4704" w:rsidR="001241F8" w:rsidRPr="00950D73" w:rsidRDefault="001241F8" w:rsidP="00F51A90">
      <w:pPr>
        <w:pStyle w:val="SingleTxtG"/>
        <w:ind w:left="2268" w:hanging="1134"/>
        <w:rPr>
          <w:rFonts w:asciiTheme="majorBidi" w:hAnsiTheme="majorBidi" w:cstheme="majorBidi"/>
          <w:b/>
        </w:rPr>
      </w:pPr>
      <w:r w:rsidRPr="00950D73">
        <w:rPr>
          <w:rFonts w:asciiTheme="majorBidi" w:hAnsiTheme="majorBidi" w:cstheme="majorBidi"/>
        </w:rPr>
        <w:t>3.5.3.2.4</w:t>
      </w:r>
      <w:r w:rsidRPr="00950D73">
        <w:rPr>
          <w:rFonts w:asciiTheme="majorBidi" w:hAnsiTheme="majorBidi" w:cstheme="majorBidi"/>
        </w:rPr>
        <w:tab/>
        <w:t>Modification sans objet en français.</w:t>
      </w:r>
    </w:p>
    <w:p w14:paraId="3C77ABE6" w14:textId="3DCC8AC4" w:rsidR="007339DF" w:rsidRPr="00950D73" w:rsidRDefault="007339DF" w:rsidP="00F51A90">
      <w:pPr>
        <w:pStyle w:val="SingleTxtG"/>
        <w:ind w:left="2268" w:hanging="1134"/>
        <w:rPr>
          <w:rFonts w:asciiTheme="majorBidi" w:hAnsiTheme="majorBidi" w:cstheme="majorBidi"/>
        </w:rPr>
      </w:pPr>
      <w:r w:rsidRPr="00950D73">
        <w:rPr>
          <w:rFonts w:asciiTheme="majorBidi" w:hAnsiTheme="majorBidi" w:cstheme="majorBidi"/>
        </w:rPr>
        <w:t>3.5.4</w:t>
      </w:r>
      <w:r w:rsidRPr="00950D73">
        <w:rPr>
          <w:rFonts w:asciiTheme="majorBidi" w:hAnsiTheme="majorBidi" w:cstheme="majorBidi"/>
        </w:rPr>
        <w:tab/>
      </w:r>
      <w:r w:rsidRPr="00950D73">
        <w:rPr>
          <w:rFonts w:asciiTheme="majorBidi" w:hAnsiTheme="majorBidi" w:cstheme="majorBidi"/>
        </w:rPr>
        <w:tab/>
      </w:r>
      <w:r w:rsidR="00044558" w:rsidRPr="00950D73">
        <w:rPr>
          <w:rFonts w:asciiTheme="majorBidi" w:hAnsiTheme="majorBidi" w:cstheme="majorBidi"/>
        </w:rPr>
        <w:t xml:space="preserve">Modifier </w:t>
      </w:r>
      <w:r w:rsidRPr="00950D73">
        <w:rPr>
          <w:rFonts w:asciiTheme="majorBidi" w:hAnsiTheme="majorBidi" w:cstheme="majorBidi"/>
        </w:rPr>
        <w:t>la dernière phrase du paragraphe</w:t>
      </w:r>
      <w:r w:rsidR="00044558" w:rsidRPr="00950D73">
        <w:rPr>
          <w:rFonts w:asciiTheme="majorBidi" w:hAnsiTheme="majorBidi" w:cstheme="majorBidi"/>
        </w:rPr>
        <w:t xml:space="preserve"> pour lire comme suit :</w:t>
      </w:r>
      <w:r w:rsidR="009160A0" w:rsidRPr="00950D73">
        <w:rPr>
          <w:rFonts w:asciiTheme="majorBidi" w:hAnsiTheme="majorBidi" w:cstheme="majorBidi"/>
        </w:rPr>
        <w:t xml:space="preserve"> </w:t>
      </w:r>
      <w:r w:rsidRPr="00950D73">
        <w:rPr>
          <w:rFonts w:asciiTheme="majorBidi" w:hAnsiTheme="majorBidi" w:cstheme="majorBidi"/>
        </w:rPr>
        <w:t>« Le tableau 3.5.2 présente les éléments d’étiquetage attribués aux substances et mélanges classés dans cette classe de danger d’après les critères exposés dans le présent chapitre. ».</w:t>
      </w:r>
    </w:p>
    <w:p w14:paraId="780ECCC4" w14:textId="3E9E3FC7" w:rsidR="00632E24" w:rsidRPr="00950D73" w:rsidRDefault="0038422F" w:rsidP="00F51A90">
      <w:pPr>
        <w:pStyle w:val="SingleTxtG"/>
        <w:ind w:left="2268" w:hanging="1134"/>
        <w:rPr>
          <w:rFonts w:asciiTheme="majorBidi" w:hAnsiTheme="majorBidi" w:cstheme="majorBidi"/>
        </w:rPr>
      </w:pPr>
      <w:r w:rsidRPr="00950D73">
        <w:rPr>
          <w:rFonts w:asciiTheme="majorBidi" w:hAnsiTheme="majorBidi" w:cstheme="majorBidi"/>
        </w:rPr>
        <w:t>3.5.5.1.1</w:t>
      </w:r>
      <w:r w:rsidRPr="00950D73">
        <w:rPr>
          <w:rFonts w:asciiTheme="majorBidi" w:hAnsiTheme="majorBidi" w:cstheme="majorBidi"/>
        </w:rPr>
        <w:tab/>
      </w:r>
      <w:r w:rsidR="000115FC" w:rsidRPr="00950D73">
        <w:rPr>
          <w:rFonts w:asciiTheme="majorBidi" w:hAnsiTheme="majorBidi" w:cstheme="majorBidi"/>
        </w:rPr>
        <w:t>Dans le d</w:t>
      </w:r>
      <w:r w:rsidRPr="00950D73">
        <w:rPr>
          <w:rFonts w:asciiTheme="majorBidi" w:hAnsiTheme="majorBidi" w:cstheme="majorBidi"/>
        </w:rPr>
        <w:t>iagramme de décision 3.5.1, dans les deuxième et troisième zones de texte, remplacer « sur le poids respectif de toutes les données disponibles » par « sur une évaluation de la force probante des données ».</w:t>
      </w:r>
    </w:p>
    <w:p w14:paraId="3C00C50F" w14:textId="5D8BA848" w:rsidR="00A269BF" w:rsidRPr="00950D73" w:rsidRDefault="00A269BF" w:rsidP="00A269BF">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3.6</w:t>
      </w:r>
    </w:p>
    <w:p w14:paraId="4BBFA9F9" w14:textId="4132AB95" w:rsidR="001241F8" w:rsidRPr="00950D73" w:rsidRDefault="001241F8" w:rsidP="00F51A90">
      <w:pPr>
        <w:pStyle w:val="SingleTxtG"/>
        <w:ind w:left="2268" w:hanging="1134"/>
        <w:rPr>
          <w:rFonts w:asciiTheme="majorBidi" w:hAnsiTheme="majorBidi" w:cstheme="majorBidi"/>
          <w:b/>
        </w:rPr>
      </w:pPr>
      <w:r w:rsidRPr="00950D73">
        <w:rPr>
          <w:rFonts w:asciiTheme="majorBidi" w:hAnsiTheme="majorBidi" w:cstheme="majorBidi"/>
        </w:rPr>
        <w:t>3.6.3.2.4</w:t>
      </w:r>
      <w:r w:rsidRPr="00950D73">
        <w:rPr>
          <w:rFonts w:asciiTheme="majorBidi" w:hAnsiTheme="majorBidi" w:cstheme="majorBidi"/>
        </w:rPr>
        <w:tab/>
        <w:t>Modification sans objet en français.</w:t>
      </w:r>
    </w:p>
    <w:p w14:paraId="2110B5F9" w14:textId="2BA2D784" w:rsidR="00D54AA2" w:rsidRPr="00950D73" w:rsidRDefault="00F91CA1" w:rsidP="00F51A90">
      <w:pPr>
        <w:pStyle w:val="SingleTxtG"/>
        <w:tabs>
          <w:tab w:val="clear" w:pos="1701"/>
        </w:tabs>
        <w:ind w:left="2268" w:hanging="1134"/>
        <w:rPr>
          <w:rFonts w:asciiTheme="majorBidi" w:hAnsiTheme="majorBidi" w:cstheme="majorBidi"/>
        </w:rPr>
      </w:pPr>
      <w:r w:rsidRPr="00950D73">
        <w:rPr>
          <w:rFonts w:asciiTheme="majorBidi" w:hAnsiTheme="majorBidi" w:cstheme="majorBidi"/>
        </w:rPr>
        <w:t>3.6.4</w:t>
      </w:r>
      <w:r w:rsidRPr="00950D73">
        <w:rPr>
          <w:rFonts w:asciiTheme="majorBidi" w:hAnsiTheme="majorBidi" w:cstheme="majorBidi"/>
        </w:rPr>
        <w:tab/>
      </w:r>
      <w:r w:rsidR="009104C4" w:rsidRPr="00950D73">
        <w:rPr>
          <w:rFonts w:asciiTheme="majorBidi" w:hAnsiTheme="majorBidi" w:cstheme="majorBidi"/>
        </w:rPr>
        <w:t xml:space="preserve">Modifier </w:t>
      </w:r>
      <w:r w:rsidRPr="00950D73">
        <w:rPr>
          <w:rFonts w:asciiTheme="majorBidi" w:hAnsiTheme="majorBidi" w:cstheme="majorBidi"/>
        </w:rPr>
        <w:t>la dernière phrase du paragraphe</w:t>
      </w:r>
      <w:r w:rsidR="009104C4" w:rsidRPr="00950D73">
        <w:rPr>
          <w:rFonts w:asciiTheme="majorBidi" w:hAnsiTheme="majorBidi" w:cstheme="majorBidi"/>
        </w:rPr>
        <w:t xml:space="preserve"> pour lire comme suit :</w:t>
      </w:r>
      <w:r w:rsidRPr="00950D73">
        <w:rPr>
          <w:rFonts w:asciiTheme="majorBidi" w:hAnsiTheme="majorBidi" w:cstheme="majorBidi"/>
        </w:rPr>
        <w:t xml:space="preserve"> « Le tableau 3.6.2 présente les éléments d’étiquetage attribués aux substances et mélanges classés dans cette classe de danger d’après les critères exposés dans le présent chapitre.</w:t>
      </w:r>
      <w:r w:rsidR="005879F3" w:rsidRPr="00950D73">
        <w:rPr>
          <w:rFonts w:asciiTheme="majorBidi" w:hAnsiTheme="majorBidi" w:cstheme="majorBidi"/>
        </w:rPr>
        <w:t> </w:t>
      </w:r>
      <w:r w:rsidRPr="00950D73">
        <w:rPr>
          <w:rFonts w:asciiTheme="majorBidi" w:hAnsiTheme="majorBidi" w:cstheme="majorBidi"/>
        </w:rPr>
        <w:t>».</w:t>
      </w:r>
    </w:p>
    <w:p w14:paraId="24A4ADE5" w14:textId="77777777" w:rsidR="004D6DC3" w:rsidRPr="00950D73" w:rsidRDefault="004D6DC3" w:rsidP="004D6DC3">
      <w:pPr>
        <w:pStyle w:val="SingleTxtG"/>
        <w:ind w:left="2268" w:hanging="1134"/>
        <w:rPr>
          <w:rFonts w:asciiTheme="majorBidi" w:hAnsiTheme="majorBidi" w:cstheme="majorBidi"/>
        </w:rPr>
      </w:pPr>
      <w:r w:rsidRPr="00950D73">
        <w:rPr>
          <w:rFonts w:asciiTheme="majorBidi" w:hAnsiTheme="majorBidi" w:cstheme="majorBidi"/>
        </w:rPr>
        <w:lastRenderedPageBreak/>
        <w:t>3.6.5.1</w:t>
      </w:r>
      <w:r w:rsidRPr="00950D73">
        <w:rPr>
          <w:rFonts w:asciiTheme="majorBidi" w:hAnsiTheme="majorBidi" w:cstheme="majorBidi"/>
        </w:rPr>
        <w:tab/>
      </w:r>
      <w:r w:rsidRPr="00950D73">
        <w:rPr>
          <w:rFonts w:asciiTheme="majorBidi" w:hAnsiTheme="majorBidi" w:cstheme="majorBidi"/>
        </w:rPr>
        <w:tab/>
        <w:t>Dans le diagramme de décision 3.6.1 , dans les deuxième et troisième zones de texte du diagramme, remplacer « sur le poids respectif de toutes les données disponibles » par « sur une évaluation de la force probante des données ».</w:t>
      </w:r>
    </w:p>
    <w:p w14:paraId="68400DC6" w14:textId="1ED25A4C" w:rsidR="0061593E" w:rsidRPr="00950D73" w:rsidRDefault="0061593E" w:rsidP="00F51A90">
      <w:pPr>
        <w:pStyle w:val="SingleTxtG"/>
        <w:ind w:left="2268" w:hanging="1134"/>
        <w:rPr>
          <w:rFonts w:asciiTheme="majorBidi" w:hAnsiTheme="majorBidi" w:cstheme="majorBidi"/>
        </w:rPr>
      </w:pPr>
      <w:r w:rsidRPr="00950D73">
        <w:rPr>
          <w:rFonts w:asciiTheme="majorBidi" w:hAnsiTheme="majorBidi" w:cstheme="majorBidi"/>
        </w:rPr>
        <w:t>3.6.5.3.2</w:t>
      </w:r>
      <w:r w:rsidRPr="00950D73">
        <w:rPr>
          <w:rFonts w:asciiTheme="majorBidi" w:hAnsiTheme="majorBidi" w:cstheme="majorBidi"/>
        </w:rPr>
        <w:tab/>
      </w:r>
      <w:r w:rsidR="00CB0482" w:rsidRPr="00950D73">
        <w:rPr>
          <w:rFonts w:asciiTheme="majorBidi" w:hAnsiTheme="majorBidi" w:cstheme="majorBidi"/>
        </w:rPr>
        <w:t xml:space="preserve">Dans la </w:t>
      </w:r>
      <w:r w:rsidR="00DC41F5" w:rsidRPr="00950D73">
        <w:rPr>
          <w:rFonts w:asciiTheme="majorBidi" w:hAnsiTheme="majorBidi" w:cstheme="majorBidi"/>
        </w:rPr>
        <w:t xml:space="preserve">troisième </w:t>
      </w:r>
      <w:r w:rsidR="00CB0482" w:rsidRPr="00950D73">
        <w:rPr>
          <w:rFonts w:asciiTheme="majorBidi" w:hAnsiTheme="majorBidi" w:cstheme="majorBidi"/>
        </w:rPr>
        <w:t xml:space="preserve">phrase remplacer </w:t>
      </w:r>
      <w:r w:rsidRPr="00950D73">
        <w:rPr>
          <w:rFonts w:asciiTheme="majorBidi" w:hAnsiTheme="majorBidi" w:cstheme="majorBidi"/>
        </w:rPr>
        <w:t>« L’analyse reposant sur le poids de la preuve » par « L’évaluation de la force probante des données ».</w:t>
      </w:r>
    </w:p>
    <w:p w14:paraId="7C5D54F2" w14:textId="2F820BF3" w:rsidR="0061593E" w:rsidRPr="00950D73" w:rsidRDefault="0061593E" w:rsidP="00F51A90">
      <w:pPr>
        <w:pStyle w:val="SingleTxtG"/>
        <w:ind w:left="2268" w:hanging="1134"/>
        <w:rPr>
          <w:rFonts w:asciiTheme="majorBidi" w:hAnsiTheme="majorBidi" w:cstheme="majorBidi"/>
        </w:rPr>
      </w:pPr>
      <w:r w:rsidRPr="00950D73">
        <w:rPr>
          <w:rFonts w:asciiTheme="majorBidi" w:hAnsiTheme="majorBidi" w:cstheme="majorBidi"/>
        </w:rPr>
        <w:t>3.6.5.3.2.1</w:t>
      </w:r>
      <w:r w:rsidRPr="00950D73">
        <w:rPr>
          <w:rFonts w:asciiTheme="majorBidi" w:hAnsiTheme="majorBidi" w:cstheme="majorBidi"/>
        </w:rPr>
        <w:tab/>
      </w:r>
      <w:r w:rsidR="00CB0482" w:rsidRPr="00950D73">
        <w:rPr>
          <w:rFonts w:asciiTheme="majorBidi" w:hAnsiTheme="majorBidi" w:cstheme="majorBidi"/>
        </w:rPr>
        <w:t xml:space="preserve">Dans la dernière phrase </w:t>
      </w:r>
      <w:r w:rsidR="00942D31" w:rsidRPr="00950D73">
        <w:rPr>
          <w:rFonts w:asciiTheme="majorBidi" w:hAnsiTheme="majorBidi" w:cstheme="majorBidi"/>
        </w:rPr>
        <w:t>r</w:t>
      </w:r>
      <w:r w:rsidRPr="00950D73">
        <w:rPr>
          <w:rFonts w:asciiTheme="majorBidi" w:hAnsiTheme="majorBidi" w:cstheme="majorBidi"/>
        </w:rPr>
        <w:t>emplacer « l’évaluation du poids de la preuve » par « l’évaluation de la force probante des données ».</w:t>
      </w:r>
    </w:p>
    <w:p w14:paraId="0FD6F8DD" w14:textId="7085C1BD" w:rsidR="00035505" w:rsidRPr="00950D73" w:rsidRDefault="00035505" w:rsidP="00035505">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3.7</w:t>
      </w:r>
    </w:p>
    <w:p w14:paraId="23542BEB" w14:textId="2AF9F10E" w:rsidR="00035505" w:rsidRPr="00950D73" w:rsidRDefault="00035505" w:rsidP="00035505">
      <w:pPr>
        <w:pStyle w:val="SingleTxtG"/>
        <w:ind w:left="2268" w:hanging="1134"/>
        <w:rPr>
          <w:rFonts w:asciiTheme="majorBidi" w:hAnsiTheme="majorBidi" w:cstheme="majorBidi"/>
        </w:rPr>
      </w:pPr>
      <w:r w:rsidRPr="00950D73">
        <w:rPr>
          <w:rFonts w:asciiTheme="majorBidi" w:hAnsiTheme="majorBidi" w:cstheme="majorBidi"/>
        </w:rPr>
        <w:t>3.7.2.2.1</w:t>
      </w:r>
      <w:r w:rsidRPr="00950D73">
        <w:rPr>
          <w:rFonts w:asciiTheme="majorBidi" w:hAnsiTheme="majorBidi" w:cstheme="majorBidi"/>
        </w:rPr>
        <w:tab/>
        <w:t>Modification sans objet en français.</w:t>
      </w:r>
    </w:p>
    <w:p w14:paraId="6F259562" w14:textId="3D3C4195" w:rsidR="00035505" w:rsidRPr="00950D73" w:rsidRDefault="00035505" w:rsidP="00035505">
      <w:pPr>
        <w:pStyle w:val="SingleTxtG"/>
        <w:ind w:left="2268" w:hanging="1134"/>
        <w:rPr>
          <w:rFonts w:asciiTheme="majorBidi" w:hAnsiTheme="majorBidi" w:cstheme="majorBidi"/>
        </w:rPr>
      </w:pPr>
      <w:r w:rsidRPr="00950D73">
        <w:rPr>
          <w:rFonts w:asciiTheme="majorBidi" w:hAnsiTheme="majorBidi" w:cstheme="majorBidi"/>
        </w:rPr>
        <w:t>3.7.2.3.1</w:t>
      </w:r>
      <w:r w:rsidRPr="00950D73">
        <w:rPr>
          <w:rFonts w:asciiTheme="majorBidi" w:hAnsiTheme="majorBidi" w:cstheme="majorBidi"/>
        </w:rPr>
        <w:tab/>
        <w:t>Modification sans objet en français.</w:t>
      </w:r>
    </w:p>
    <w:p w14:paraId="0FE0C797" w14:textId="7D455449" w:rsidR="00035505" w:rsidRPr="00950D73" w:rsidRDefault="00035505" w:rsidP="00035505">
      <w:pPr>
        <w:pStyle w:val="SingleTxtG"/>
        <w:ind w:left="2268" w:hanging="1134"/>
        <w:rPr>
          <w:rFonts w:asciiTheme="majorBidi" w:hAnsiTheme="majorBidi" w:cstheme="majorBidi"/>
        </w:rPr>
      </w:pPr>
      <w:r w:rsidRPr="00950D73">
        <w:rPr>
          <w:rFonts w:asciiTheme="majorBidi" w:hAnsiTheme="majorBidi" w:cstheme="majorBidi"/>
        </w:rPr>
        <w:t>3.7.2.4.1</w:t>
      </w:r>
      <w:r w:rsidRPr="00950D73">
        <w:rPr>
          <w:rFonts w:asciiTheme="majorBidi" w:hAnsiTheme="majorBidi" w:cstheme="majorBidi"/>
        </w:rPr>
        <w:tab/>
      </w:r>
      <w:r w:rsidR="007C463A" w:rsidRPr="00950D73">
        <w:rPr>
          <w:rFonts w:asciiTheme="majorBidi" w:hAnsiTheme="majorBidi" w:cstheme="majorBidi"/>
        </w:rPr>
        <w:t>Dans la quatrième phrase, r</w:t>
      </w:r>
      <w:r w:rsidRPr="00950D73">
        <w:rPr>
          <w:rFonts w:asciiTheme="majorBidi" w:hAnsiTheme="majorBidi" w:cstheme="majorBidi"/>
        </w:rPr>
        <w:t xml:space="preserve">emplacer « qui pondérera les résultats en utilisant » par « et une évaluation de la force probante des données fondés sur ». </w:t>
      </w:r>
    </w:p>
    <w:p w14:paraId="29F5E5C2" w14:textId="1E49DA8E" w:rsidR="001241F8" w:rsidRPr="00950D73" w:rsidRDefault="001241F8" w:rsidP="001241F8">
      <w:pPr>
        <w:pStyle w:val="SingleTxtG"/>
        <w:rPr>
          <w:rFonts w:asciiTheme="majorBidi" w:hAnsiTheme="majorBidi" w:cstheme="majorBidi"/>
          <w:b/>
        </w:rPr>
      </w:pPr>
      <w:r w:rsidRPr="00950D73">
        <w:rPr>
          <w:rFonts w:asciiTheme="majorBidi" w:hAnsiTheme="majorBidi" w:cstheme="majorBidi"/>
        </w:rPr>
        <w:t>3.7.3.2.4</w:t>
      </w:r>
      <w:r w:rsidRPr="00950D73">
        <w:rPr>
          <w:rFonts w:asciiTheme="majorBidi" w:hAnsiTheme="majorBidi" w:cstheme="majorBidi"/>
        </w:rPr>
        <w:tab/>
        <w:t>Modification sans objet en français.</w:t>
      </w:r>
    </w:p>
    <w:p w14:paraId="21E26FAC" w14:textId="34474D7A" w:rsidR="00E066DB" w:rsidRPr="00950D73" w:rsidRDefault="00022DBC" w:rsidP="00022DBC">
      <w:pPr>
        <w:pStyle w:val="SingleTxtG"/>
        <w:tabs>
          <w:tab w:val="clear" w:pos="1701"/>
          <w:tab w:val="center" w:pos="4819"/>
        </w:tabs>
        <w:ind w:left="2268" w:hanging="1134"/>
        <w:rPr>
          <w:rFonts w:asciiTheme="majorBidi" w:hAnsiTheme="majorBidi" w:cstheme="majorBidi"/>
        </w:rPr>
      </w:pPr>
      <w:r w:rsidRPr="00950D73">
        <w:rPr>
          <w:rFonts w:asciiTheme="majorBidi" w:hAnsiTheme="majorBidi" w:cstheme="majorBidi"/>
        </w:rPr>
        <w:t>3.7.4</w:t>
      </w:r>
      <w:r w:rsidRPr="00950D73">
        <w:rPr>
          <w:rFonts w:asciiTheme="majorBidi" w:hAnsiTheme="majorBidi" w:cstheme="majorBidi"/>
        </w:rPr>
        <w:tab/>
      </w:r>
      <w:r w:rsidR="007C463A"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7C463A" w:rsidRPr="00950D73">
        <w:rPr>
          <w:rFonts w:asciiTheme="majorBidi" w:hAnsiTheme="majorBidi" w:cstheme="majorBidi"/>
        </w:rPr>
        <w:t> :</w:t>
      </w:r>
      <w:r w:rsidRPr="00950D73">
        <w:rPr>
          <w:rFonts w:asciiTheme="majorBidi" w:hAnsiTheme="majorBidi" w:cstheme="majorBidi"/>
        </w:rPr>
        <w:t xml:space="preserve"> « Le tableau 3.7.2 présente les éléments d’étiquetage attribués aux substances et mélanges classés dans cette classe de danger d’après les critères exposés dans le présent chapitre. ».</w:t>
      </w:r>
    </w:p>
    <w:p w14:paraId="3D55B06A" w14:textId="34828541" w:rsidR="00035505" w:rsidRPr="00950D73" w:rsidRDefault="00035505" w:rsidP="00035505">
      <w:pPr>
        <w:pStyle w:val="SingleTxtG"/>
        <w:ind w:left="2268" w:hanging="1134"/>
        <w:rPr>
          <w:rFonts w:asciiTheme="majorBidi" w:hAnsiTheme="majorBidi" w:cstheme="majorBidi"/>
        </w:rPr>
      </w:pPr>
      <w:r w:rsidRPr="00950D73">
        <w:rPr>
          <w:rFonts w:asciiTheme="majorBidi" w:hAnsiTheme="majorBidi" w:cstheme="majorBidi"/>
        </w:rPr>
        <w:t>3.7.5.1.1</w:t>
      </w:r>
      <w:r w:rsidRPr="00950D73">
        <w:rPr>
          <w:rFonts w:asciiTheme="majorBidi" w:hAnsiTheme="majorBidi" w:cstheme="majorBidi"/>
        </w:rPr>
        <w:tab/>
      </w:r>
      <w:r w:rsidR="00802FB7" w:rsidRPr="00950D73">
        <w:rPr>
          <w:rFonts w:asciiTheme="majorBidi" w:hAnsiTheme="majorBidi" w:cstheme="majorBidi"/>
        </w:rPr>
        <w:t>Dans le d</w:t>
      </w:r>
      <w:r w:rsidRPr="00950D73">
        <w:rPr>
          <w:rFonts w:asciiTheme="majorBidi" w:hAnsiTheme="majorBidi" w:cstheme="majorBidi"/>
        </w:rPr>
        <w:t>iagramme de décision 3.7.1, dans les deuxième et troisième zones de texte du diagramme, remplacer « sur le poids respectif de toutes les données disponibles » par « sur une évaluation de la force probante des données ».</w:t>
      </w:r>
    </w:p>
    <w:p w14:paraId="4FCA7385" w14:textId="307F26BD" w:rsidR="00124EF5" w:rsidRPr="00950D73" w:rsidRDefault="00124EF5" w:rsidP="00124EF5">
      <w:pPr>
        <w:pStyle w:val="H1G"/>
        <w:rPr>
          <w:rFonts w:asciiTheme="majorBidi" w:hAnsiTheme="majorBidi" w:cstheme="majorBidi"/>
        </w:rPr>
      </w:pPr>
      <w:r w:rsidRPr="00950D73">
        <w:rPr>
          <w:rFonts w:asciiTheme="majorBidi" w:hAnsiTheme="majorBidi" w:cstheme="majorBidi"/>
        </w:rPr>
        <w:lastRenderedPageBreak/>
        <w:tab/>
      </w:r>
      <w:r w:rsidRPr="00950D73">
        <w:rPr>
          <w:rFonts w:asciiTheme="majorBidi" w:hAnsiTheme="majorBidi" w:cstheme="majorBidi"/>
        </w:rPr>
        <w:tab/>
        <w:t>Chapitre 3.8</w:t>
      </w:r>
    </w:p>
    <w:p w14:paraId="26CA27E8" w14:textId="0CA98937" w:rsidR="00260C99" w:rsidRPr="00950D73" w:rsidRDefault="00260C99" w:rsidP="00A14F40">
      <w:pPr>
        <w:pStyle w:val="SingleTxtG"/>
        <w:ind w:left="2268" w:hanging="1134"/>
        <w:rPr>
          <w:rFonts w:asciiTheme="majorBidi" w:hAnsiTheme="majorBidi" w:cstheme="majorBidi"/>
        </w:rPr>
      </w:pPr>
      <w:r w:rsidRPr="00950D73">
        <w:rPr>
          <w:rFonts w:asciiTheme="majorBidi" w:hAnsiTheme="majorBidi" w:cstheme="majorBidi"/>
        </w:rPr>
        <w:t>Tableau 3.8.1</w:t>
      </w:r>
      <w:r w:rsidR="00F45E2E">
        <w:rPr>
          <w:rFonts w:asciiTheme="majorBidi" w:hAnsiTheme="majorBidi" w:cstheme="majorBidi"/>
        </w:rPr>
        <w:t xml:space="preserve">, </w:t>
      </w:r>
      <w:r w:rsidR="00C95AD1" w:rsidRPr="00950D73">
        <w:rPr>
          <w:rFonts w:asciiTheme="majorBidi" w:hAnsiTheme="majorBidi" w:cstheme="majorBidi"/>
        </w:rPr>
        <w:t>N</w:t>
      </w:r>
      <w:r w:rsidRPr="00950D73">
        <w:rPr>
          <w:rFonts w:asciiTheme="majorBidi" w:hAnsiTheme="majorBidi" w:cstheme="majorBidi"/>
        </w:rPr>
        <w:t>ote a</w:t>
      </w:r>
      <w:r w:rsidR="00F45E2E">
        <w:rPr>
          <w:rFonts w:asciiTheme="majorBidi" w:hAnsiTheme="majorBidi" w:cstheme="majorBidi"/>
        </w:rPr>
        <w:tab/>
      </w:r>
      <w:r w:rsidRPr="00950D73">
        <w:rPr>
          <w:rFonts w:asciiTheme="majorBidi" w:hAnsiTheme="majorBidi" w:cstheme="majorBidi"/>
        </w:rPr>
        <w:t xml:space="preserve">Remplacer « la démarche fondée sur le poids respectif des </w:t>
      </w:r>
      <w:r w:rsidR="00A14F40" w:rsidRPr="00950D73">
        <w:rPr>
          <w:rFonts w:asciiTheme="majorBidi" w:hAnsiTheme="majorBidi" w:cstheme="majorBidi"/>
        </w:rPr>
        <w:t>d</w:t>
      </w:r>
      <w:r w:rsidRPr="00950D73">
        <w:rPr>
          <w:rFonts w:asciiTheme="majorBidi" w:hAnsiTheme="majorBidi" w:cstheme="majorBidi"/>
        </w:rPr>
        <w:t>onnées » par « l’évaluation de la force probante des données » dans la deuxième phrase.</w:t>
      </w:r>
      <w:r w:rsidR="00620BDD" w:rsidRPr="00950D73">
        <w:rPr>
          <w:rFonts w:asciiTheme="majorBidi" w:hAnsiTheme="majorBidi" w:cstheme="majorBidi"/>
        </w:rPr>
        <w:t xml:space="preserve"> </w:t>
      </w:r>
    </w:p>
    <w:p w14:paraId="3469C813" w14:textId="4FDE9BA8" w:rsidR="00260C99" w:rsidRPr="00950D73" w:rsidRDefault="00C95AD1" w:rsidP="00C95AD1">
      <w:pPr>
        <w:pStyle w:val="SingleTxtG"/>
        <w:tabs>
          <w:tab w:val="clear" w:pos="1701"/>
          <w:tab w:val="clear" w:pos="2268"/>
        </w:tabs>
        <w:ind w:left="2268" w:hanging="1134"/>
        <w:rPr>
          <w:rFonts w:asciiTheme="majorBidi" w:hAnsiTheme="majorBidi" w:cstheme="majorBidi"/>
        </w:rPr>
      </w:pPr>
      <w:r w:rsidRPr="00950D73">
        <w:rPr>
          <w:rFonts w:asciiTheme="majorBidi" w:hAnsiTheme="majorBidi" w:cstheme="majorBidi"/>
        </w:rPr>
        <w:tab/>
      </w:r>
      <w:r w:rsidR="00620BDD" w:rsidRPr="00950D73">
        <w:rPr>
          <w:rFonts w:asciiTheme="majorBidi" w:hAnsiTheme="majorBidi" w:cstheme="majorBidi"/>
        </w:rPr>
        <w:t xml:space="preserve">La modification à la note b du tableau est sans objet en français. </w:t>
      </w:r>
    </w:p>
    <w:p w14:paraId="592D3DBE" w14:textId="0694F699" w:rsidR="00260C99" w:rsidRPr="00950D73" w:rsidRDefault="00260C99" w:rsidP="00A14F40">
      <w:pPr>
        <w:pStyle w:val="SingleTxtG"/>
        <w:ind w:left="2268" w:hanging="1134"/>
        <w:rPr>
          <w:rFonts w:asciiTheme="majorBidi" w:hAnsiTheme="majorBidi" w:cstheme="majorBidi"/>
        </w:rPr>
      </w:pPr>
      <w:r w:rsidRPr="00950D73">
        <w:rPr>
          <w:rFonts w:asciiTheme="majorBidi" w:hAnsiTheme="majorBidi" w:cstheme="majorBidi"/>
        </w:rPr>
        <w:t>3.8.2.1.10.1</w:t>
      </w:r>
      <w:r w:rsidR="00620BDD" w:rsidRPr="00950D73">
        <w:rPr>
          <w:rFonts w:asciiTheme="majorBidi" w:hAnsiTheme="majorBidi" w:cstheme="majorBidi"/>
        </w:rPr>
        <w:tab/>
        <w:t>R</w:t>
      </w:r>
      <w:r w:rsidRPr="00950D73">
        <w:rPr>
          <w:rFonts w:asciiTheme="majorBidi" w:hAnsiTheme="majorBidi" w:cstheme="majorBidi"/>
        </w:rPr>
        <w:t>emplacer « la pondération des données » par « l’évaluation de la force probante des données ».</w:t>
      </w:r>
    </w:p>
    <w:p w14:paraId="37A68EBF" w14:textId="43A8EB62" w:rsidR="00260C99" w:rsidRPr="00950D73" w:rsidRDefault="00260C99" w:rsidP="00A14F40">
      <w:pPr>
        <w:pStyle w:val="SingleTxtG"/>
        <w:ind w:left="2268" w:hanging="1134"/>
        <w:rPr>
          <w:rFonts w:asciiTheme="majorBidi" w:hAnsiTheme="majorBidi" w:cstheme="majorBidi"/>
        </w:rPr>
      </w:pPr>
      <w:r w:rsidRPr="00950D73">
        <w:rPr>
          <w:rFonts w:asciiTheme="majorBidi" w:hAnsiTheme="majorBidi" w:cstheme="majorBidi"/>
        </w:rPr>
        <w:t>3.8.2.2.1 d)</w:t>
      </w:r>
      <w:r w:rsidR="00620BDD" w:rsidRPr="00950D73">
        <w:rPr>
          <w:rFonts w:asciiTheme="majorBidi" w:hAnsiTheme="majorBidi" w:cstheme="majorBidi"/>
        </w:rPr>
        <w:tab/>
        <w:t>M</w:t>
      </w:r>
      <w:r w:rsidRPr="00950D73">
        <w:rPr>
          <w:rFonts w:asciiTheme="majorBidi" w:hAnsiTheme="majorBidi" w:cstheme="majorBidi"/>
        </w:rPr>
        <w:t>odification sans objet en français.</w:t>
      </w:r>
    </w:p>
    <w:p w14:paraId="0BBEFE5F" w14:textId="386C5495" w:rsidR="00260C99" w:rsidRPr="00950D73" w:rsidRDefault="00260C99" w:rsidP="00260C99">
      <w:pPr>
        <w:pStyle w:val="SingleTxtG"/>
        <w:rPr>
          <w:rFonts w:asciiTheme="majorBidi" w:hAnsiTheme="majorBidi" w:cstheme="majorBidi"/>
        </w:rPr>
      </w:pPr>
      <w:r w:rsidRPr="00950D73">
        <w:rPr>
          <w:rFonts w:asciiTheme="majorBidi" w:hAnsiTheme="majorBidi" w:cstheme="majorBidi"/>
        </w:rPr>
        <w:t>3.8.3.2</w:t>
      </w:r>
      <w:r w:rsidR="00620BDD" w:rsidRPr="00950D73">
        <w:rPr>
          <w:rFonts w:asciiTheme="majorBidi" w:hAnsiTheme="majorBidi" w:cstheme="majorBidi"/>
        </w:rPr>
        <w:tab/>
      </w:r>
      <w:r w:rsidR="00620BDD" w:rsidRPr="00950D73">
        <w:rPr>
          <w:rFonts w:asciiTheme="majorBidi" w:hAnsiTheme="majorBidi" w:cstheme="majorBidi"/>
        </w:rPr>
        <w:tab/>
        <w:t>M</w:t>
      </w:r>
      <w:r w:rsidRPr="00950D73">
        <w:rPr>
          <w:rFonts w:asciiTheme="majorBidi" w:hAnsiTheme="majorBidi" w:cstheme="majorBidi"/>
        </w:rPr>
        <w:t>odification sans objet en français.</w:t>
      </w:r>
    </w:p>
    <w:p w14:paraId="42014D49" w14:textId="22442EBC" w:rsidR="001241F8" w:rsidRPr="00950D73" w:rsidRDefault="001241F8" w:rsidP="001241F8">
      <w:pPr>
        <w:pStyle w:val="SingleTxtG"/>
        <w:rPr>
          <w:rFonts w:asciiTheme="majorBidi" w:hAnsiTheme="majorBidi" w:cstheme="majorBidi"/>
          <w:b/>
        </w:rPr>
      </w:pPr>
      <w:r w:rsidRPr="00950D73">
        <w:rPr>
          <w:rFonts w:asciiTheme="majorBidi" w:hAnsiTheme="majorBidi" w:cstheme="majorBidi"/>
        </w:rPr>
        <w:t>3.8.3.3.6</w:t>
      </w:r>
      <w:r w:rsidRPr="00950D73">
        <w:rPr>
          <w:rFonts w:asciiTheme="majorBidi" w:hAnsiTheme="majorBidi" w:cstheme="majorBidi"/>
        </w:rPr>
        <w:tab/>
        <w:t>Modification</w:t>
      </w:r>
      <w:r w:rsidR="002373CC" w:rsidRPr="00950D73">
        <w:rPr>
          <w:rFonts w:asciiTheme="majorBidi" w:hAnsiTheme="majorBidi" w:cstheme="majorBidi"/>
        </w:rPr>
        <w:t>(s)</w:t>
      </w:r>
      <w:r w:rsidRPr="00950D73">
        <w:rPr>
          <w:rFonts w:asciiTheme="majorBidi" w:hAnsiTheme="majorBidi" w:cstheme="majorBidi"/>
        </w:rPr>
        <w:t xml:space="preserve"> sans objet en français.</w:t>
      </w:r>
    </w:p>
    <w:p w14:paraId="18B9E427" w14:textId="341B6640" w:rsidR="00545947" w:rsidRPr="00950D73" w:rsidRDefault="00545947" w:rsidP="00545947">
      <w:pPr>
        <w:pStyle w:val="SingleTxtG"/>
        <w:rPr>
          <w:rFonts w:asciiTheme="majorBidi" w:hAnsiTheme="majorBidi" w:cstheme="majorBidi"/>
          <w:b/>
        </w:rPr>
      </w:pPr>
      <w:r w:rsidRPr="00950D73">
        <w:rPr>
          <w:rFonts w:asciiTheme="majorBidi" w:hAnsiTheme="majorBidi" w:cstheme="majorBidi"/>
        </w:rPr>
        <w:t>3.8.3.3.7</w:t>
      </w:r>
      <w:r w:rsidRPr="00950D73">
        <w:rPr>
          <w:rFonts w:asciiTheme="majorBidi" w:hAnsiTheme="majorBidi" w:cstheme="majorBidi"/>
        </w:rPr>
        <w:tab/>
        <w:t>Modification</w:t>
      </w:r>
      <w:r w:rsidR="002373CC" w:rsidRPr="00950D73">
        <w:rPr>
          <w:rFonts w:asciiTheme="majorBidi" w:hAnsiTheme="majorBidi" w:cstheme="majorBidi"/>
        </w:rPr>
        <w:t>(s)</w:t>
      </w:r>
      <w:r w:rsidRPr="00950D73">
        <w:rPr>
          <w:rFonts w:asciiTheme="majorBidi" w:hAnsiTheme="majorBidi" w:cstheme="majorBidi"/>
        </w:rPr>
        <w:t xml:space="preserve"> sans objet en français.</w:t>
      </w:r>
    </w:p>
    <w:p w14:paraId="5EEB9747" w14:textId="4E62DD6D" w:rsidR="00861FFD" w:rsidRPr="00950D73" w:rsidRDefault="00861FFD" w:rsidP="00AC4914">
      <w:pPr>
        <w:pStyle w:val="SingleTxtG"/>
        <w:ind w:left="2268" w:hanging="1134"/>
        <w:rPr>
          <w:rFonts w:asciiTheme="majorBidi" w:hAnsiTheme="majorBidi" w:cstheme="majorBidi"/>
        </w:rPr>
      </w:pPr>
      <w:r w:rsidRPr="00950D73">
        <w:rPr>
          <w:rFonts w:asciiTheme="majorBidi" w:hAnsiTheme="majorBidi" w:cstheme="majorBidi"/>
        </w:rPr>
        <w:t>3.8.4.1</w:t>
      </w:r>
      <w:r w:rsidR="00AC4914" w:rsidRPr="00950D73">
        <w:rPr>
          <w:rFonts w:asciiTheme="majorBidi" w:hAnsiTheme="majorBidi" w:cstheme="majorBidi"/>
        </w:rPr>
        <w:tab/>
      </w:r>
      <w:r w:rsidR="00AC4914" w:rsidRPr="00950D73">
        <w:rPr>
          <w:rFonts w:asciiTheme="majorBidi" w:hAnsiTheme="majorBidi" w:cstheme="majorBidi"/>
        </w:rPr>
        <w:tab/>
      </w:r>
      <w:r w:rsidR="00F112B1" w:rsidRPr="00950D73">
        <w:rPr>
          <w:rFonts w:asciiTheme="majorBidi" w:hAnsiTheme="majorBidi" w:cstheme="majorBidi"/>
        </w:rPr>
        <w:t>Ajouter la phrase suivante à</w:t>
      </w:r>
      <w:r w:rsidR="00AC4914" w:rsidRPr="00950D73">
        <w:rPr>
          <w:rFonts w:asciiTheme="majorBidi" w:hAnsiTheme="majorBidi" w:cstheme="majorBidi"/>
        </w:rPr>
        <w:t xml:space="preserve"> la fin du paragraphe</w:t>
      </w:r>
      <w:r w:rsidR="00F112B1" w:rsidRPr="00950D73">
        <w:rPr>
          <w:rFonts w:asciiTheme="majorBidi" w:hAnsiTheme="majorBidi" w:cstheme="majorBidi"/>
        </w:rPr>
        <w:t> :</w:t>
      </w:r>
      <w:r w:rsidR="00AC4914" w:rsidRPr="00950D73">
        <w:rPr>
          <w:rFonts w:asciiTheme="majorBidi" w:hAnsiTheme="majorBidi" w:cstheme="majorBidi"/>
        </w:rPr>
        <w:t xml:space="preserve"> «</w:t>
      </w:r>
      <w:r w:rsidR="00B24916" w:rsidRPr="00950D73">
        <w:rPr>
          <w:rFonts w:asciiTheme="majorBidi" w:hAnsiTheme="majorBidi" w:cstheme="majorBidi"/>
        </w:rPr>
        <w:t> </w:t>
      </w:r>
      <w:r w:rsidR="00AC4914" w:rsidRPr="00950D73">
        <w:rPr>
          <w:rFonts w:asciiTheme="majorBidi" w:hAnsiTheme="majorBidi" w:cstheme="majorBidi"/>
        </w:rPr>
        <w:t>Le tableau 3.8.3 présente les éléments d’étiquetage attribués aux substances et mélanges classés dans cette classe de danger d’après les critères exposés dans le présent chapitre.</w:t>
      </w:r>
      <w:r w:rsidR="00B24916" w:rsidRPr="00950D73">
        <w:rPr>
          <w:rFonts w:asciiTheme="majorBidi" w:hAnsiTheme="majorBidi" w:cstheme="majorBidi"/>
        </w:rPr>
        <w:t> </w:t>
      </w:r>
      <w:r w:rsidR="00AC4914" w:rsidRPr="00950D73">
        <w:rPr>
          <w:rFonts w:asciiTheme="majorBidi" w:hAnsiTheme="majorBidi" w:cstheme="majorBidi"/>
        </w:rPr>
        <w:t>».</w:t>
      </w:r>
    </w:p>
    <w:p w14:paraId="393132D7" w14:textId="37CB2DE2" w:rsidR="00260C99" w:rsidRPr="00950D73" w:rsidRDefault="00260C99" w:rsidP="00620BDD">
      <w:pPr>
        <w:pStyle w:val="SingleTxtG"/>
        <w:ind w:left="2268" w:hanging="1134"/>
        <w:rPr>
          <w:rFonts w:asciiTheme="majorBidi" w:hAnsiTheme="majorBidi" w:cstheme="majorBidi"/>
        </w:rPr>
      </w:pPr>
      <w:r w:rsidRPr="00950D73">
        <w:rPr>
          <w:rFonts w:asciiTheme="majorBidi" w:hAnsiTheme="majorBidi" w:cstheme="majorBidi"/>
        </w:rPr>
        <w:t>3.8.5.1</w:t>
      </w:r>
      <w:r w:rsidR="00620BDD" w:rsidRPr="00950D73">
        <w:rPr>
          <w:rFonts w:asciiTheme="majorBidi" w:hAnsiTheme="majorBidi" w:cstheme="majorBidi"/>
        </w:rPr>
        <w:tab/>
      </w:r>
      <w:r w:rsidR="00620BDD" w:rsidRPr="00950D73">
        <w:rPr>
          <w:rFonts w:asciiTheme="majorBidi" w:hAnsiTheme="majorBidi" w:cstheme="majorBidi"/>
        </w:rPr>
        <w:tab/>
      </w:r>
      <w:r w:rsidR="00F112B1" w:rsidRPr="00950D73">
        <w:rPr>
          <w:rFonts w:asciiTheme="majorBidi" w:hAnsiTheme="majorBidi" w:cstheme="majorBidi"/>
        </w:rPr>
        <w:t>Dans le d</w:t>
      </w:r>
      <w:r w:rsidRPr="00950D73">
        <w:rPr>
          <w:rFonts w:asciiTheme="majorBidi" w:hAnsiTheme="majorBidi" w:cstheme="majorBidi"/>
        </w:rPr>
        <w:t>iagramme de décision 3.8.1, dans les quatrième et cinquième zones de texte du diagramme, remplacer « sur le poids respectif de toutes les données disponibles » par « sur une évaluation de la force probante des données » et, dans la sixième zone de texte, remplacer « sur le poids respectif des données disponibles » par « sur une évaluation de la force probante des données ».</w:t>
      </w:r>
    </w:p>
    <w:p w14:paraId="32C5CC8F" w14:textId="737AD575" w:rsidR="00CF54CA" w:rsidRPr="00950D73" w:rsidRDefault="00CF54CA" w:rsidP="00CF54CA">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3.9</w:t>
      </w:r>
    </w:p>
    <w:p w14:paraId="40904015" w14:textId="5A82F497" w:rsidR="002F50F9" w:rsidRPr="00950D73" w:rsidRDefault="002F50F9" w:rsidP="00F51A90">
      <w:pPr>
        <w:pStyle w:val="SingleTxtG"/>
        <w:ind w:left="2268" w:hanging="1134"/>
        <w:rPr>
          <w:rFonts w:asciiTheme="majorBidi" w:hAnsiTheme="majorBidi" w:cstheme="majorBidi"/>
        </w:rPr>
      </w:pPr>
      <w:r w:rsidRPr="00950D73">
        <w:rPr>
          <w:rFonts w:asciiTheme="majorBidi" w:hAnsiTheme="majorBidi" w:cstheme="majorBidi"/>
        </w:rPr>
        <w:t>3.9.2.9.8</w:t>
      </w:r>
      <w:r w:rsidRPr="00950D73">
        <w:rPr>
          <w:rFonts w:asciiTheme="majorBidi" w:hAnsiTheme="majorBidi" w:cstheme="majorBidi"/>
        </w:rPr>
        <w:tab/>
      </w:r>
      <w:r w:rsidR="002528CA" w:rsidRPr="00950D73">
        <w:rPr>
          <w:rFonts w:asciiTheme="majorBidi" w:hAnsiTheme="majorBidi" w:cstheme="majorBidi"/>
        </w:rPr>
        <w:t>Dans la deuxième phrase r</w:t>
      </w:r>
      <w:r w:rsidRPr="00950D73">
        <w:rPr>
          <w:rFonts w:asciiTheme="majorBidi" w:hAnsiTheme="majorBidi" w:cstheme="majorBidi"/>
        </w:rPr>
        <w:t>emplacer «</w:t>
      </w:r>
      <w:r w:rsidR="00471BD2" w:rsidRPr="00950D73">
        <w:rPr>
          <w:rFonts w:asciiTheme="majorBidi" w:hAnsiTheme="majorBidi" w:cstheme="majorBidi"/>
        </w:rPr>
        <w:t> </w:t>
      </w:r>
      <w:r w:rsidRPr="00950D73">
        <w:rPr>
          <w:rFonts w:asciiTheme="majorBidi" w:hAnsiTheme="majorBidi" w:cstheme="majorBidi"/>
        </w:rPr>
        <w:t>la démarche fondée sur le poids respectif des données</w:t>
      </w:r>
      <w:r w:rsidR="00471BD2" w:rsidRPr="00950D73">
        <w:rPr>
          <w:rFonts w:asciiTheme="majorBidi" w:hAnsiTheme="majorBidi" w:cstheme="majorBidi"/>
        </w:rPr>
        <w:t> </w:t>
      </w:r>
      <w:r w:rsidRPr="00950D73">
        <w:rPr>
          <w:rFonts w:asciiTheme="majorBidi" w:hAnsiTheme="majorBidi" w:cstheme="majorBidi"/>
        </w:rPr>
        <w:t>» par «</w:t>
      </w:r>
      <w:r w:rsidR="00471BD2" w:rsidRPr="00950D73">
        <w:rPr>
          <w:rFonts w:asciiTheme="majorBidi" w:hAnsiTheme="majorBidi" w:cstheme="majorBidi"/>
        </w:rPr>
        <w:t> </w:t>
      </w:r>
      <w:r w:rsidRPr="00950D73">
        <w:rPr>
          <w:rFonts w:asciiTheme="majorBidi" w:hAnsiTheme="majorBidi" w:cstheme="majorBidi"/>
        </w:rPr>
        <w:t>l’évaluation de la force probante des données</w:t>
      </w:r>
      <w:r w:rsidR="00471BD2" w:rsidRPr="00950D73">
        <w:rPr>
          <w:rFonts w:asciiTheme="majorBidi" w:hAnsiTheme="majorBidi" w:cstheme="majorBidi"/>
        </w:rPr>
        <w:t> </w:t>
      </w:r>
      <w:r w:rsidRPr="00950D73">
        <w:rPr>
          <w:rFonts w:asciiTheme="majorBidi" w:hAnsiTheme="majorBidi" w:cstheme="majorBidi"/>
        </w:rPr>
        <w:t>».</w:t>
      </w:r>
    </w:p>
    <w:p w14:paraId="78F740AA" w14:textId="6CEE1C12" w:rsidR="002F50F9" w:rsidRPr="00950D73" w:rsidRDefault="002F50F9" w:rsidP="00F51A90">
      <w:pPr>
        <w:pStyle w:val="SingleTxtG"/>
        <w:ind w:left="2268" w:hanging="1134"/>
        <w:rPr>
          <w:rFonts w:asciiTheme="majorBidi" w:hAnsiTheme="majorBidi" w:cstheme="majorBidi"/>
        </w:rPr>
      </w:pPr>
      <w:r w:rsidRPr="00950D73">
        <w:rPr>
          <w:rFonts w:asciiTheme="majorBidi" w:hAnsiTheme="majorBidi" w:cstheme="majorBidi"/>
        </w:rPr>
        <w:lastRenderedPageBreak/>
        <w:t>3.9.2.10.1</w:t>
      </w:r>
      <w:r w:rsidRPr="00950D73">
        <w:rPr>
          <w:rFonts w:asciiTheme="majorBidi" w:hAnsiTheme="majorBidi" w:cstheme="majorBidi"/>
        </w:rPr>
        <w:tab/>
      </w:r>
      <w:r w:rsidR="000B7F5F" w:rsidRPr="00950D73">
        <w:rPr>
          <w:rFonts w:asciiTheme="majorBidi" w:hAnsiTheme="majorBidi" w:cstheme="majorBidi"/>
        </w:rPr>
        <w:t>À la fin du paragraphe, r</w:t>
      </w:r>
      <w:r w:rsidRPr="00950D73">
        <w:rPr>
          <w:rFonts w:asciiTheme="majorBidi" w:hAnsiTheme="majorBidi" w:cstheme="majorBidi"/>
        </w:rPr>
        <w:t>emplacer « la pondération des données » par «</w:t>
      </w:r>
      <w:r w:rsidR="008B227F" w:rsidRPr="00950D73">
        <w:rPr>
          <w:rFonts w:asciiTheme="majorBidi" w:hAnsiTheme="majorBidi" w:cstheme="majorBidi"/>
        </w:rPr>
        <w:t> </w:t>
      </w:r>
      <w:r w:rsidRPr="00950D73">
        <w:rPr>
          <w:rFonts w:asciiTheme="majorBidi" w:hAnsiTheme="majorBidi" w:cstheme="majorBidi"/>
        </w:rPr>
        <w:t>l’évaluation de la force probante des données ».</w:t>
      </w:r>
    </w:p>
    <w:p w14:paraId="4078AE32" w14:textId="0913296A" w:rsidR="002F50F9" w:rsidRPr="00950D73" w:rsidRDefault="002F50F9" w:rsidP="00F51A90">
      <w:pPr>
        <w:pStyle w:val="SingleTxtG"/>
        <w:ind w:left="2268" w:hanging="1134"/>
        <w:rPr>
          <w:rFonts w:asciiTheme="majorBidi" w:hAnsiTheme="majorBidi" w:cstheme="majorBidi"/>
        </w:rPr>
      </w:pPr>
      <w:r w:rsidRPr="00950D73">
        <w:rPr>
          <w:rFonts w:asciiTheme="majorBidi" w:hAnsiTheme="majorBidi" w:cstheme="majorBidi"/>
        </w:rPr>
        <w:t>3.9.3.2</w:t>
      </w:r>
      <w:r w:rsidRPr="00950D73">
        <w:rPr>
          <w:rFonts w:asciiTheme="majorBidi" w:hAnsiTheme="majorBidi" w:cstheme="majorBidi"/>
        </w:rPr>
        <w:tab/>
      </w:r>
      <w:r w:rsidRPr="00950D73">
        <w:rPr>
          <w:rFonts w:asciiTheme="majorBidi" w:hAnsiTheme="majorBidi" w:cstheme="majorBidi"/>
        </w:rPr>
        <w:tab/>
        <w:t>Modification sans objet en français.</w:t>
      </w:r>
    </w:p>
    <w:p w14:paraId="3BBCBAA1" w14:textId="4BD6A590" w:rsidR="001241F8" w:rsidRPr="00950D73" w:rsidRDefault="001241F8" w:rsidP="00F51A90">
      <w:pPr>
        <w:pStyle w:val="SingleTxtG"/>
        <w:ind w:left="2268" w:hanging="1134"/>
        <w:rPr>
          <w:rFonts w:asciiTheme="majorBidi" w:hAnsiTheme="majorBidi" w:cstheme="majorBidi"/>
          <w:b/>
        </w:rPr>
      </w:pPr>
      <w:r w:rsidRPr="00950D73">
        <w:rPr>
          <w:rFonts w:asciiTheme="majorBidi" w:hAnsiTheme="majorBidi" w:cstheme="majorBidi"/>
        </w:rPr>
        <w:t>3.9.3.3.6</w:t>
      </w:r>
      <w:r w:rsidRPr="00950D73">
        <w:rPr>
          <w:rFonts w:asciiTheme="majorBidi" w:hAnsiTheme="majorBidi" w:cstheme="majorBidi"/>
        </w:rPr>
        <w:tab/>
        <w:t>Modification sans objet en français.</w:t>
      </w:r>
    </w:p>
    <w:p w14:paraId="0270F18A" w14:textId="5D8252FA" w:rsidR="00134FEF" w:rsidRPr="00950D73" w:rsidRDefault="00134FEF" w:rsidP="00F51A90">
      <w:pPr>
        <w:pStyle w:val="SingleTxtG"/>
        <w:ind w:left="2268" w:hanging="1134"/>
        <w:rPr>
          <w:rFonts w:asciiTheme="majorBidi" w:hAnsiTheme="majorBidi" w:cstheme="majorBidi"/>
          <w:b/>
        </w:rPr>
      </w:pPr>
      <w:r w:rsidRPr="00950D73">
        <w:rPr>
          <w:rFonts w:asciiTheme="majorBidi" w:hAnsiTheme="majorBidi" w:cstheme="majorBidi"/>
        </w:rPr>
        <w:t>3.9.3.3.7</w:t>
      </w:r>
      <w:r w:rsidRPr="00950D73">
        <w:rPr>
          <w:rFonts w:asciiTheme="majorBidi" w:hAnsiTheme="majorBidi" w:cstheme="majorBidi"/>
        </w:rPr>
        <w:tab/>
        <w:t>Modification sans objet en français.</w:t>
      </w:r>
    </w:p>
    <w:p w14:paraId="6CAB3D7D" w14:textId="0B3E2B27" w:rsidR="0035084C" w:rsidRPr="00950D73" w:rsidRDefault="0035084C" w:rsidP="00F51A90">
      <w:pPr>
        <w:pStyle w:val="SingleTxtG"/>
        <w:ind w:left="2268" w:hanging="1134"/>
        <w:rPr>
          <w:rFonts w:asciiTheme="majorBidi" w:hAnsiTheme="majorBidi" w:cstheme="majorBidi"/>
        </w:rPr>
      </w:pPr>
      <w:r w:rsidRPr="00950D73">
        <w:rPr>
          <w:rFonts w:asciiTheme="majorBidi" w:hAnsiTheme="majorBidi" w:cstheme="majorBidi"/>
        </w:rPr>
        <w:t>3.9.4</w:t>
      </w:r>
      <w:r w:rsidRPr="00950D73">
        <w:rPr>
          <w:rFonts w:asciiTheme="majorBidi" w:hAnsiTheme="majorBidi" w:cstheme="majorBidi"/>
        </w:rPr>
        <w:tab/>
        <w:t xml:space="preserve"> </w:t>
      </w:r>
      <w:r w:rsidRPr="00950D73">
        <w:rPr>
          <w:rFonts w:asciiTheme="majorBidi" w:hAnsiTheme="majorBidi" w:cstheme="majorBidi"/>
        </w:rPr>
        <w:tab/>
      </w:r>
      <w:r w:rsidR="000B7F5F"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0B7F5F" w:rsidRPr="00950D73">
        <w:rPr>
          <w:rFonts w:asciiTheme="majorBidi" w:hAnsiTheme="majorBidi" w:cstheme="majorBidi"/>
        </w:rPr>
        <w:t> :</w:t>
      </w:r>
      <w:r w:rsidRPr="00950D73">
        <w:rPr>
          <w:rFonts w:asciiTheme="majorBidi" w:hAnsiTheme="majorBidi" w:cstheme="majorBidi"/>
        </w:rPr>
        <w:t xml:space="preserve"> « Le tableau 3.9.4 présente les éléments d’étiquetage attribués aux substances et mélanges classés dans cette classe de danger d’après les critères exposés dans le présent chapitre. ».</w:t>
      </w:r>
    </w:p>
    <w:p w14:paraId="189B9E85" w14:textId="6B0A288B" w:rsidR="00035505" w:rsidRPr="00950D73" w:rsidRDefault="002F50F9" w:rsidP="002F50F9">
      <w:pPr>
        <w:pStyle w:val="SingleTxtG"/>
        <w:ind w:left="2268" w:hanging="1134"/>
        <w:rPr>
          <w:rFonts w:asciiTheme="majorBidi" w:hAnsiTheme="majorBidi" w:cstheme="majorBidi"/>
        </w:rPr>
      </w:pPr>
      <w:r w:rsidRPr="00950D73">
        <w:rPr>
          <w:rFonts w:asciiTheme="majorBidi" w:hAnsiTheme="majorBidi" w:cstheme="majorBidi"/>
        </w:rPr>
        <w:t>3.9.5.1</w:t>
      </w:r>
      <w:r w:rsidRPr="00950D73">
        <w:rPr>
          <w:rFonts w:asciiTheme="majorBidi" w:hAnsiTheme="majorBidi" w:cstheme="majorBidi"/>
        </w:rPr>
        <w:tab/>
      </w:r>
      <w:r w:rsidRPr="00950D73">
        <w:rPr>
          <w:rFonts w:asciiTheme="majorBidi" w:hAnsiTheme="majorBidi" w:cstheme="majorBidi"/>
        </w:rPr>
        <w:tab/>
      </w:r>
      <w:r w:rsidR="000B7F5F" w:rsidRPr="00950D73">
        <w:rPr>
          <w:rFonts w:asciiTheme="majorBidi" w:hAnsiTheme="majorBidi" w:cstheme="majorBidi"/>
        </w:rPr>
        <w:t>Dans le d</w:t>
      </w:r>
      <w:r w:rsidRPr="00950D73">
        <w:rPr>
          <w:rFonts w:asciiTheme="majorBidi" w:hAnsiTheme="majorBidi" w:cstheme="majorBidi"/>
        </w:rPr>
        <w:t>iagramme de décision 3.9.1, dans les quatrième et cinquième zones de texte du diagramme, remplacer « sur le poids respectif de toutes les données disponibles » par « sur une évaluation de la force probante des données ».</w:t>
      </w:r>
    </w:p>
    <w:p w14:paraId="5675D8D5" w14:textId="65D5F2A7" w:rsidR="00172AA0" w:rsidRPr="00950D73" w:rsidRDefault="00172AA0" w:rsidP="00172AA0">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3.10</w:t>
      </w:r>
    </w:p>
    <w:p w14:paraId="45227881" w14:textId="32A874A7" w:rsidR="00172AA0" w:rsidRPr="00950D73" w:rsidRDefault="001E64EA" w:rsidP="00F51A90">
      <w:pPr>
        <w:pStyle w:val="SingleTxtG"/>
        <w:ind w:left="2268" w:hanging="1134"/>
        <w:rPr>
          <w:rFonts w:asciiTheme="majorBidi" w:hAnsiTheme="majorBidi" w:cstheme="majorBidi"/>
        </w:rPr>
      </w:pPr>
      <w:r w:rsidRPr="00950D73">
        <w:rPr>
          <w:rFonts w:asciiTheme="majorBidi" w:hAnsiTheme="majorBidi" w:cstheme="majorBidi"/>
        </w:rPr>
        <w:t xml:space="preserve">3.10.3.2.6 </w:t>
      </w:r>
      <w:r w:rsidRPr="00950D73">
        <w:rPr>
          <w:rFonts w:asciiTheme="majorBidi" w:hAnsiTheme="majorBidi" w:cstheme="majorBidi"/>
        </w:rPr>
        <w:tab/>
        <w:t>Modification sans objet en français.</w:t>
      </w:r>
    </w:p>
    <w:p w14:paraId="5743EE60" w14:textId="76A19688" w:rsidR="004F1128" w:rsidRPr="00950D73" w:rsidRDefault="00785B12" w:rsidP="000143C4">
      <w:pPr>
        <w:pStyle w:val="SingleTxtG"/>
        <w:ind w:left="2268" w:hanging="1134"/>
        <w:rPr>
          <w:rFonts w:asciiTheme="majorBidi" w:hAnsiTheme="majorBidi" w:cstheme="majorBidi"/>
        </w:rPr>
      </w:pPr>
      <w:r w:rsidRPr="00950D73">
        <w:rPr>
          <w:rFonts w:asciiTheme="majorBidi" w:hAnsiTheme="majorBidi" w:cstheme="majorBidi"/>
        </w:rPr>
        <w:t>3.10.4.1</w:t>
      </w:r>
      <w:r w:rsidRPr="00950D73">
        <w:rPr>
          <w:rFonts w:asciiTheme="majorBidi" w:hAnsiTheme="majorBidi" w:cstheme="majorBidi"/>
        </w:rPr>
        <w:tab/>
      </w:r>
      <w:r w:rsidR="001C46DD" w:rsidRPr="00950D73">
        <w:rPr>
          <w:rFonts w:asciiTheme="majorBidi" w:hAnsiTheme="majorBidi" w:cstheme="majorBidi"/>
        </w:rPr>
        <w:t xml:space="preserve">Modifier </w:t>
      </w:r>
      <w:r w:rsidRPr="00950D73">
        <w:rPr>
          <w:rFonts w:asciiTheme="majorBidi" w:hAnsiTheme="majorBidi" w:cstheme="majorBidi"/>
        </w:rPr>
        <w:t>la dernière phrase du paragraphe</w:t>
      </w:r>
      <w:r w:rsidR="001C46DD" w:rsidRPr="00950D73">
        <w:rPr>
          <w:rFonts w:asciiTheme="majorBidi" w:hAnsiTheme="majorBidi" w:cstheme="majorBidi"/>
        </w:rPr>
        <w:t xml:space="preserve"> pour lire comme suit :</w:t>
      </w:r>
      <w:r w:rsidRPr="00950D73">
        <w:rPr>
          <w:rFonts w:asciiTheme="majorBidi" w:hAnsiTheme="majorBidi" w:cstheme="majorBidi"/>
        </w:rPr>
        <w:t xml:space="preserve"> «</w:t>
      </w:r>
      <w:r w:rsidR="000143C4" w:rsidRPr="00950D73">
        <w:rPr>
          <w:rFonts w:asciiTheme="majorBidi" w:hAnsiTheme="majorBidi" w:cstheme="majorBidi"/>
        </w:rPr>
        <w:t> </w:t>
      </w:r>
      <w:r w:rsidRPr="00950D73">
        <w:rPr>
          <w:rFonts w:asciiTheme="majorBidi" w:hAnsiTheme="majorBidi" w:cstheme="majorBidi"/>
        </w:rPr>
        <w:t>Le tableau</w:t>
      </w:r>
      <w:r w:rsidR="00F51A90" w:rsidRPr="00950D73">
        <w:rPr>
          <w:rFonts w:asciiTheme="majorBidi" w:hAnsiTheme="majorBidi" w:cstheme="majorBidi"/>
        </w:rPr>
        <w:t> </w:t>
      </w:r>
      <w:r w:rsidRPr="00950D73">
        <w:rPr>
          <w:rFonts w:asciiTheme="majorBidi" w:hAnsiTheme="majorBidi" w:cstheme="majorBidi"/>
        </w:rPr>
        <w:t>3.10.2 présente les éléments d’étiquetage attribués aux substances et mélanges classés dans cette classe de danger d’après les critères exposés dans le présent chapitre.</w:t>
      </w:r>
      <w:r w:rsidR="000143C4" w:rsidRPr="00950D73">
        <w:rPr>
          <w:rFonts w:asciiTheme="majorBidi" w:hAnsiTheme="majorBidi" w:cstheme="majorBidi"/>
        </w:rPr>
        <w:t> </w:t>
      </w:r>
      <w:r w:rsidRPr="00950D73">
        <w:rPr>
          <w:rFonts w:asciiTheme="majorBidi" w:hAnsiTheme="majorBidi" w:cstheme="majorBidi"/>
        </w:rPr>
        <w:t>».</w:t>
      </w:r>
    </w:p>
    <w:p w14:paraId="538A1108" w14:textId="3CF4E688" w:rsidR="00B764CB" w:rsidRPr="00950D73" w:rsidRDefault="00B764CB" w:rsidP="00B764CB">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4.1</w:t>
      </w:r>
    </w:p>
    <w:p w14:paraId="3F01D9E4" w14:textId="3018CDDA" w:rsidR="00431EC5" w:rsidRPr="00950D73" w:rsidRDefault="00431EC5" w:rsidP="00431EC5">
      <w:pPr>
        <w:pStyle w:val="SingleTxtG"/>
        <w:ind w:left="2268" w:hanging="1134"/>
        <w:rPr>
          <w:rFonts w:asciiTheme="majorBidi" w:hAnsiTheme="majorBidi" w:cstheme="majorBidi"/>
        </w:rPr>
      </w:pPr>
      <w:r w:rsidRPr="00950D73">
        <w:rPr>
          <w:rFonts w:asciiTheme="majorBidi" w:hAnsiTheme="majorBidi" w:cstheme="majorBidi"/>
        </w:rPr>
        <w:t>4.1.2.5</w:t>
      </w:r>
      <w:r w:rsidRPr="00950D73">
        <w:rPr>
          <w:rFonts w:asciiTheme="majorBidi" w:hAnsiTheme="majorBidi" w:cstheme="majorBidi"/>
        </w:rPr>
        <w:tab/>
      </w:r>
      <w:r w:rsidRPr="00950D73">
        <w:rPr>
          <w:rFonts w:asciiTheme="majorBidi" w:hAnsiTheme="majorBidi" w:cstheme="majorBidi"/>
        </w:rPr>
        <w:tab/>
      </w:r>
      <w:r w:rsidR="001C46DD" w:rsidRPr="00950D73">
        <w:rPr>
          <w:rFonts w:asciiTheme="majorBidi" w:hAnsiTheme="majorBidi" w:cstheme="majorBidi"/>
        </w:rPr>
        <w:t xml:space="preserve">Dans </w:t>
      </w:r>
      <w:r w:rsidR="00421EF6" w:rsidRPr="00950D73">
        <w:rPr>
          <w:rFonts w:asciiTheme="majorBidi" w:hAnsiTheme="majorBidi" w:cstheme="majorBidi"/>
        </w:rPr>
        <w:t>l’avant dernière</w:t>
      </w:r>
      <w:r w:rsidR="001C46DD" w:rsidRPr="00950D73">
        <w:rPr>
          <w:rFonts w:asciiTheme="majorBidi" w:hAnsiTheme="majorBidi" w:cstheme="majorBidi"/>
        </w:rPr>
        <w:t xml:space="preserve"> phrase, r</w:t>
      </w:r>
      <w:r w:rsidRPr="00950D73">
        <w:rPr>
          <w:rFonts w:asciiTheme="majorBidi" w:hAnsiTheme="majorBidi" w:cstheme="majorBidi"/>
        </w:rPr>
        <w:t xml:space="preserve">emplacer « appliquer une démarche fondée sur le poids de l’évidence » par « procéder à une évaluation de la force probante des données » </w:t>
      </w:r>
    </w:p>
    <w:p w14:paraId="1794288E" w14:textId="098546A8" w:rsidR="003175D2" w:rsidRPr="00950D73" w:rsidRDefault="003175D2" w:rsidP="00431EC5">
      <w:pPr>
        <w:pStyle w:val="SingleTxtG"/>
        <w:rPr>
          <w:rFonts w:asciiTheme="majorBidi" w:hAnsiTheme="majorBidi" w:cstheme="majorBidi"/>
        </w:rPr>
      </w:pPr>
      <w:r w:rsidRPr="00950D73">
        <w:rPr>
          <w:rFonts w:asciiTheme="majorBidi" w:hAnsiTheme="majorBidi" w:cstheme="majorBidi"/>
        </w:rPr>
        <w:t>4.1.3.4.6</w:t>
      </w:r>
      <w:r w:rsidRPr="00950D73">
        <w:rPr>
          <w:rFonts w:asciiTheme="majorBidi" w:hAnsiTheme="majorBidi" w:cstheme="majorBidi"/>
        </w:rPr>
        <w:tab/>
        <w:t>Modification sans objet en français.</w:t>
      </w:r>
    </w:p>
    <w:p w14:paraId="7934A92C" w14:textId="429DF425" w:rsidR="00CB2921" w:rsidRPr="00950D73" w:rsidRDefault="00CB2921" w:rsidP="00CB2921">
      <w:pPr>
        <w:pStyle w:val="SingleTxtG"/>
        <w:ind w:left="2268" w:hanging="1134"/>
        <w:rPr>
          <w:rFonts w:asciiTheme="majorBidi" w:hAnsiTheme="majorBidi" w:cstheme="majorBidi"/>
        </w:rPr>
      </w:pPr>
      <w:r w:rsidRPr="00950D73">
        <w:rPr>
          <w:rFonts w:asciiTheme="majorBidi" w:hAnsiTheme="majorBidi" w:cstheme="majorBidi"/>
        </w:rPr>
        <w:lastRenderedPageBreak/>
        <w:t>4.1.4</w:t>
      </w:r>
      <w:r w:rsidRPr="00950D73">
        <w:rPr>
          <w:rFonts w:asciiTheme="majorBidi" w:hAnsiTheme="majorBidi" w:cstheme="majorBidi"/>
        </w:rPr>
        <w:tab/>
      </w:r>
      <w:r w:rsidRPr="00950D73">
        <w:rPr>
          <w:rFonts w:asciiTheme="majorBidi" w:hAnsiTheme="majorBidi" w:cstheme="majorBidi"/>
        </w:rPr>
        <w:tab/>
      </w:r>
      <w:r w:rsidR="00820A8B"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820A8B" w:rsidRPr="00950D73">
        <w:rPr>
          <w:rFonts w:asciiTheme="majorBidi" w:hAnsiTheme="majorBidi" w:cstheme="majorBidi"/>
        </w:rPr>
        <w:t> :</w:t>
      </w:r>
      <w:r w:rsidRPr="00950D73">
        <w:rPr>
          <w:rFonts w:asciiTheme="majorBidi" w:hAnsiTheme="majorBidi" w:cstheme="majorBidi"/>
        </w:rPr>
        <w:t xml:space="preserve"> «</w:t>
      </w:r>
      <w:r w:rsidR="00C260EB" w:rsidRPr="00950D73">
        <w:rPr>
          <w:rFonts w:asciiTheme="majorBidi" w:hAnsiTheme="majorBidi" w:cstheme="majorBidi"/>
        </w:rPr>
        <w:t> </w:t>
      </w:r>
      <w:r w:rsidRPr="00950D73">
        <w:rPr>
          <w:rFonts w:asciiTheme="majorBidi" w:hAnsiTheme="majorBidi" w:cstheme="majorBidi"/>
        </w:rPr>
        <w:t>Le tableau 4.1.6 présente les éléments d’étiquetage attribués aux substances et mélanges classés dans cette classe de danger d’après les critères exposés dans le présent chapitre. ».</w:t>
      </w:r>
    </w:p>
    <w:p w14:paraId="27E574E3" w14:textId="7060B217" w:rsidR="001E549B" w:rsidRPr="00950D73" w:rsidRDefault="001E549B" w:rsidP="001E549B">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Chapitre 4.2</w:t>
      </w:r>
    </w:p>
    <w:p w14:paraId="2B1A3810" w14:textId="40AC0203" w:rsidR="001E549B" w:rsidRPr="00950D73" w:rsidRDefault="00AE60A9" w:rsidP="00AE60A9">
      <w:pPr>
        <w:pStyle w:val="SingleTxtG"/>
        <w:ind w:left="2268" w:hanging="1134"/>
        <w:rPr>
          <w:rFonts w:asciiTheme="majorBidi" w:hAnsiTheme="majorBidi" w:cstheme="majorBidi"/>
        </w:rPr>
      </w:pPr>
      <w:r w:rsidRPr="00950D73">
        <w:rPr>
          <w:rFonts w:asciiTheme="majorBidi" w:hAnsiTheme="majorBidi" w:cstheme="majorBidi"/>
        </w:rPr>
        <w:t>4.2.3</w:t>
      </w:r>
      <w:r w:rsidRPr="00950D73">
        <w:rPr>
          <w:rFonts w:asciiTheme="majorBidi" w:hAnsiTheme="majorBidi" w:cstheme="majorBidi"/>
        </w:rPr>
        <w:tab/>
      </w:r>
      <w:r w:rsidRPr="00950D73">
        <w:rPr>
          <w:rFonts w:asciiTheme="majorBidi" w:hAnsiTheme="majorBidi" w:cstheme="majorBidi"/>
        </w:rPr>
        <w:tab/>
      </w:r>
      <w:r w:rsidR="00135D7E" w:rsidRPr="00950D73">
        <w:rPr>
          <w:rFonts w:asciiTheme="majorBidi" w:hAnsiTheme="majorBidi" w:cstheme="majorBidi"/>
        </w:rPr>
        <w:t>Ajouter la phrase suivante à</w:t>
      </w:r>
      <w:r w:rsidRPr="00950D73">
        <w:rPr>
          <w:rFonts w:asciiTheme="majorBidi" w:hAnsiTheme="majorBidi" w:cstheme="majorBidi"/>
        </w:rPr>
        <w:t xml:space="preserve"> la fin du paragraphe</w:t>
      </w:r>
      <w:r w:rsidR="00135D7E" w:rsidRPr="00950D73">
        <w:rPr>
          <w:rFonts w:asciiTheme="majorBidi" w:hAnsiTheme="majorBidi" w:cstheme="majorBidi"/>
        </w:rPr>
        <w:t> :</w:t>
      </w:r>
      <w:r w:rsidRPr="00950D73">
        <w:rPr>
          <w:rFonts w:asciiTheme="majorBidi" w:hAnsiTheme="majorBidi" w:cstheme="majorBidi"/>
        </w:rPr>
        <w:t xml:space="preserve"> «</w:t>
      </w:r>
      <w:r w:rsidR="00E1776E" w:rsidRPr="00950D73">
        <w:rPr>
          <w:rFonts w:asciiTheme="majorBidi" w:hAnsiTheme="majorBidi" w:cstheme="majorBidi"/>
        </w:rPr>
        <w:t> </w:t>
      </w:r>
      <w:r w:rsidRPr="00950D73">
        <w:rPr>
          <w:rFonts w:asciiTheme="majorBidi" w:hAnsiTheme="majorBidi" w:cstheme="majorBidi"/>
        </w:rPr>
        <w:t>Le tableau 4.2.2 présente les éléments d’étiquetage attribués aux substances et mélanges classés dans cette classe de danger d’après les critères exposés dans le présent chapitre. ».</w:t>
      </w:r>
    </w:p>
    <w:p w14:paraId="44C5FE67" w14:textId="41D261E1" w:rsidR="00C94ECF" w:rsidRPr="00950D73" w:rsidRDefault="00C94ECF" w:rsidP="00C26055">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Annexe 3</w:t>
      </w:r>
    </w:p>
    <w:p w14:paraId="7ABD81FE" w14:textId="77777777" w:rsidR="00C94ECF" w:rsidRPr="00950D73" w:rsidRDefault="00C94ECF" w:rsidP="00C26055">
      <w:pPr>
        <w:pStyle w:val="H23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Section 1</w:t>
      </w:r>
    </w:p>
    <w:p w14:paraId="5330DF8A" w14:textId="5524017C" w:rsidR="00C94ECF" w:rsidRPr="00950D73" w:rsidRDefault="00C94ECF" w:rsidP="00F51A90">
      <w:pPr>
        <w:pStyle w:val="SingleTxtG"/>
        <w:spacing w:before="120"/>
        <w:ind w:left="2268" w:hanging="1134"/>
        <w:rPr>
          <w:rFonts w:asciiTheme="majorBidi" w:hAnsiTheme="majorBidi" w:cstheme="majorBidi"/>
        </w:rPr>
      </w:pPr>
      <w:r w:rsidRPr="00950D73">
        <w:rPr>
          <w:rFonts w:asciiTheme="majorBidi" w:hAnsiTheme="majorBidi" w:cstheme="majorBidi"/>
        </w:rPr>
        <w:t>A3.1.2.3</w:t>
      </w:r>
      <w:r w:rsidRPr="00950D73">
        <w:rPr>
          <w:rFonts w:asciiTheme="majorBidi" w:hAnsiTheme="majorBidi" w:cstheme="majorBidi"/>
        </w:rPr>
        <w:tab/>
      </w:r>
      <w:r w:rsidR="000244C6" w:rsidRPr="00950D73">
        <w:rPr>
          <w:rFonts w:asciiTheme="majorBidi" w:hAnsiTheme="majorBidi" w:cstheme="majorBidi"/>
        </w:rPr>
        <w:t xml:space="preserve">Modifier </w:t>
      </w:r>
      <w:r w:rsidRPr="00950D73">
        <w:rPr>
          <w:rFonts w:asciiTheme="majorBidi" w:hAnsiTheme="majorBidi" w:cstheme="majorBidi"/>
        </w:rPr>
        <w:t xml:space="preserve">la dernière phrase </w:t>
      </w:r>
      <w:r w:rsidR="000244C6" w:rsidRPr="00950D73">
        <w:rPr>
          <w:rFonts w:asciiTheme="majorBidi" w:hAnsiTheme="majorBidi" w:cstheme="majorBidi"/>
        </w:rPr>
        <w:t>pour lire comme suit :</w:t>
      </w:r>
    </w:p>
    <w:p w14:paraId="14FC8B20" w14:textId="77777777" w:rsidR="00C94ECF" w:rsidRPr="00950D73" w:rsidRDefault="00C94ECF" w:rsidP="00F51A90">
      <w:pPr>
        <w:pStyle w:val="SingleTxtG"/>
        <w:ind w:left="2268"/>
        <w:rPr>
          <w:rFonts w:asciiTheme="majorBidi" w:hAnsiTheme="majorBidi" w:cstheme="majorBidi"/>
        </w:rPr>
      </w:pPr>
      <w:r w:rsidRPr="00950D73">
        <w:rPr>
          <w:rFonts w:asciiTheme="majorBidi" w:hAnsiTheme="majorBidi" w:cstheme="majorBidi"/>
        </w:rPr>
        <w:t>« Ainsi, par exemple, H300 + H310 + H330 indique que le texte qui doit figurer sur l’étiquette est “</w:t>
      </w:r>
      <w:r w:rsidRPr="00950D73">
        <w:rPr>
          <w:rFonts w:asciiTheme="majorBidi" w:hAnsiTheme="majorBidi" w:cstheme="majorBidi"/>
          <w:b/>
          <w:bCs/>
        </w:rPr>
        <w:t>Mortel en cas d’ingestion, par contact cutané ou par inhalation</w:t>
      </w:r>
      <w:r w:rsidRPr="00950D73">
        <w:rPr>
          <w:rFonts w:asciiTheme="majorBidi" w:hAnsiTheme="majorBidi" w:cstheme="majorBidi"/>
        </w:rPr>
        <w:t>”. ».</w:t>
      </w:r>
    </w:p>
    <w:p w14:paraId="377203DF" w14:textId="4C2C1DEE" w:rsidR="00C94ECF" w:rsidRPr="00950D73" w:rsidRDefault="00C94ECF" w:rsidP="00F51A90">
      <w:pPr>
        <w:pStyle w:val="SingleTxtG"/>
        <w:spacing w:before="120"/>
        <w:ind w:left="2268" w:hanging="1134"/>
        <w:rPr>
          <w:rFonts w:asciiTheme="majorBidi" w:hAnsiTheme="majorBidi" w:cstheme="majorBidi"/>
        </w:rPr>
      </w:pPr>
      <w:r w:rsidRPr="00950D73">
        <w:rPr>
          <w:rFonts w:asciiTheme="majorBidi" w:hAnsiTheme="majorBidi" w:cstheme="majorBidi"/>
        </w:rPr>
        <w:t>A3.1.2.4</w:t>
      </w:r>
      <w:r w:rsidRPr="00950D73">
        <w:rPr>
          <w:rFonts w:asciiTheme="majorBidi" w:hAnsiTheme="majorBidi" w:cstheme="majorBidi"/>
        </w:rPr>
        <w:tab/>
      </w:r>
      <w:r w:rsidR="00265D25" w:rsidRPr="00950D73">
        <w:rPr>
          <w:rFonts w:asciiTheme="majorBidi" w:hAnsiTheme="majorBidi" w:cstheme="majorBidi"/>
        </w:rPr>
        <w:t xml:space="preserve">Modifier </w:t>
      </w:r>
      <w:r w:rsidRPr="00950D73">
        <w:rPr>
          <w:rFonts w:asciiTheme="majorBidi" w:hAnsiTheme="majorBidi" w:cstheme="majorBidi"/>
        </w:rPr>
        <w:t xml:space="preserve">la dernière phrase </w:t>
      </w:r>
      <w:r w:rsidR="00265D25" w:rsidRPr="00950D73">
        <w:rPr>
          <w:rFonts w:asciiTheme="majorBidi" w:hAnsiTheme="majorBidi" w:cstheme="majorBidi"/>
        </w:rPr>
        <w:t>pour lire comme suit :</w:t>
      </w:r>
    </w:p>
    <w:p w14:paraId="2C0B5329" w14:textId="77777777" w:rsidR="00C94ECF" w:rsidRPr="00950D73" w:rsidRDefault="00C94ECF" w:rsidP="00F51A90">
      <w:pPr>
        <w:pStyle w:val="SingleTxtG"/>
        <w:ind w:left="2268"/>
        <w:rPr>
          <w:rFonts w:asciiTheme="majorBidi" w:hAnsiTheme="majorBidi" w:cstheme="majorBidi"/>
        </w:rPr>
      </w:pPr>
      <w:r w:rsidRPr="00950D73">
        <w:rPr>
          <w:rFonts w:asciiTheme="majorBidi" w:hAnsiTheme="majorBidi" w:cstheme="majorBidi"/>
        </w:rPr>
        <w:t>« De même, lorsqu’une mention de danger combinée est autorisée pour deux ou plus de deux mentions de danger (voir A3.1.2.5), l’autorité compétente peut prescrire si la mention de danger combinée ou les mentions individuelles correspondantes doivent figurer sur l’étiquette, ou laisser le choix sur ce point au fabricant/fournisseur. ».</w:t>
      </w:r>
    </w:p>
    <w:p w14:paraId="49821ADE" w14:textId="1D86F7E7" w:rsidR="00C94ECF" w:rsidRPr="00950D73" w:rsidRDefault="00C94ECF" w:rsidP="00F51A90">
      <w:pPr>
        <w:pStyle w:val="SingleTxtG"/>
        <w:spacing w:before="120"/>
        <w:ind w:left="2268" w:hanging="1134"/>
        <w:rPr>
          <w:rFonts w:asciiTheme="majorBidi" w:hAnsiTheme="majorBidi" w:cstheme="majorBidi"/>
        </w:rPr>
      </w:pPr>
      <w:r w:rsidRPr="00950D73">
        <w:rPr>
          <w:rFonts w:asciiTheme="majorBidi" w:hAnsiTheme="majorBidi" w:cstheme="majorBidi"/>
        </w:rPr>
        <w:t>A3.1.2.5</w:t>
      </w:r>
      <w:r w:rsidR="00D90C6C" w:rsidRPr="00950D73">
        <w:rPr>
          <w:rFonts w:asciiTheme="majorBidi" w:hAnsiTheme="majorBidi" w:cstheme="majorBidi"/>
        </w:rPr>
        <w:t xml:space="preserve"> (nouveau)</w:t>
      </w:r>
      <w:r w:rsidRPr="00950D73">
        <w:rPr>
          <w:rFonts w:asciiTheme="majorBidi" w:hAnsiTheme="majorBidi" w:cstheme="majorBidi"/>
        </w:rPr>
        <w:tab/>
        <w:t xml:space="preserve">Ajouter </w:t>
      </w:r>
      <w:r w:rsidR="00D90C6C" w:rsidRPr="00950D73">
        <w:rPr>
          <w:rFonts w:asciiTheme="majorBidi" w:hAnsiTheme="majorBidi" w:cstheme="majorBidi"/>
        </w:rPr>
        <w:t xml:space="preserve">le </w:t>
      </w:r>
      <w:r w:rsidRPr="00950D73">
        <w:rPr>
          <w:rFonts w:asciiTheme="majorBidi" w:hAnsiTheme="majorBidi" w:cstheme="majorBidi"/>
        </w:rPr>
        <w:t xml:space="preserve">nouveau paragraphe </w:t>
      </w:r>
      <w:r w:rsidR="00D90C6C" w:rsidRPr="00950D73">
        <w:rPr>
          <w:rFonts w:asciiTheme="majorBidi" w:hAnsiTheme="majorBidi" w:cstheme="majorBidi"/>
        </w:rPr>
        <w:t>ci-après</w:t>
      </w:r>
      <w:r w:rsidR="00D21C44" w:rsidRPr="00950D73">
        <w:rPr>
          <w:rFonts w:asciiTheme="majorBidi" w:hAnsiTheme="majorBidi" w:cstheme="majorBidi"/>
        </w:rPr>
        <w:t xml:space="preserve"> avant le tableau A3.1.1 actuel</w:t>
      </w:r>
      <w:r w:rsidRPr="00950D73">
        <w:rPr>
          <w:rFonts w:asciiTheme="majorBidi" w:hAnsiTheme="majorBidi" w:cstheme="majorBidi"/>
        </w:rPr>
        <w:t> :</w:t>
      </w:r>
    </w:p>
    <w:p w14:paraId="1F4DA1B9" w14:textId="77777777" w:rsidR="00C94ECF" w:rsidRPr="00950D73" w:rsidRDefault="00C94ECF" w:rsidP="00F51A90">
      <w:pPr>
        <w:pStyle w:val="SingleTxtG"/>
        <w:spacing w:after="240"/>
        <w:ind w:left="2268"/>
        <w:rPr>
          <w:rFonts w:asciiTheme="majorBidi" w:hAnsiTheme="majorBidi" w:cstheme="majorBidi"/>
        </w:rPr>
      </w:pPr>
      <w:r w:rsidRPr="00950D73">
        <w:rPr>
          <w:rFonts w:asciiTheme="majorBidi" w:hAnsiTheme="majorBidi" w:cstheme="majorBidi"/>
        </w:rPr>
        <w:t>« A3.1.2.5</w:t>
      </w:r>
      <w:r w:rsidRPr="00950D73">
        <w:rPr>
          <w:rFonts w:asciiTheme="majorBidi" w:hAnsiTheme="majorBidi" w:cstheme="majorBidi"/>
        </w:rPr>
        <w:tab/>
        <w:t xml:space="preserve">En complément de l’utilisation des combinaisons figurant dans le tableau A3.1.2, il est également permis de combiner </w:t>
      </w:r>
      <w:r w:rsidRPr="00950D73">
        <w:rPr>
          <w:rFonts w:asciiTheme="majorBidi" w:hAnsiTheme="majorBidi" w:cstheme="majorBidi"/>
        </w:rPr>
        <w:lastRenderedPageBreak/>
        <w:t>plusieurs mentions de danger pour la santé de gravité équivalente si, par exemple, l’espace sur l’étiquette est insuffisant. Les mentions de danger combinées doivent indiquer clairement tous les dangers, seules les répétitions peuvent être supprimées. Les mentions peuvent être combinées en utilisant la conjonction “et”, des signes de ponctuation supplémentaires et en changeant la casse de la première lettre du mot au début d’une mention. Par exemple, les mentions H317 “Peut provoquer une allergie cutanée” + H340 “Peut induire des anomalies génétiques” + H350 “Peut provoquer le cancer” peuvent être combinées, car elles concernent toutes des dangers pour la santé de catégorie 1 (et constituent donc bien des mentions de danger pour la santé de gravité équivalente) et comportent des répétitions (elles commencent par “peut provoquer” ou “peut induire”, qui ont le même sens). Ces déclarations peuvent être combinées sous la forme “Peut provoquer une allergie cutanée, des anomalies génétiques et le cancer”. L’autorité compétente peut restreindre les types de combinaisons autorisées afin de garantir la compréhensibilité des mentions combinées (par exemple, limiter le nombre de mentions de danger qui peuvent être combinées). ».</w:t>
      </w:r>
    </w:p>
    <w:p w14:paraId="6451349F" w14:textId="77777777" w:rsidR="00F96544" w:rsidRPr="00950D73" w:rsidRDefault="00F51A90" w:rsidP="00F51A90">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r>
      <w:r w:rsidR="00C94ECF" w:rsidRPr="00950D73">
        <w:rPr>
          <w:rFonts w:asciiTheme="majorBidi" w:hAnsiTheme="majorBidi" w:cstheme="majorBidi"/>
        </w:rPr>
        <w:t>Tableau A3.1.2</w:t>
      </w:r>
    </w:p>
    <w:p w14:paraId="44CEC83E" w14:textId="77777777" w:rsidR="00241A8A" w:rsidRDefault="00F96544" w:rsidP="00241A8A">
      <w:pPr>
        <w:pStyle w:val="Bullet1G"/>
        <w:numPr>
          <w:ilvl w:val="0"/>
          <w:numId w:val="0"/>
        </w:numPr>
        <w:suppressAutoHyphens/>
        <w:kinsoku w:val="0"/>
        <w:overflowPunct w:val="0"/>
        <w:autoSpaceDE w:val="0"/>
        <w:autoSpaceDN w:val="0"/>
        <w:adjustRightInd w:val="0"/>
        <w:snapToGrid w:val="0"/>
        <w:spacing w:after="200"/>
        <w:ind w:left="1134"/>
        <w:rPr>
          <w:rFonts w:asciiTheme="majorBidi" w:hAnsiTheme="majorBidi" w:cstheme="majorBidi"/>
        </w:rPr>
      </w:pPr>
      <w:r w:rsidRPr="00950D73">
        <w:rPr>
          <w:rFonts w:asciiTheme="majorBidi" w:hAnsiTheme="majorBidi" w:cstheme="majorBidi"/>
        </w:rPr>
        <w:t xml:space="preserve">Ajouter la note « a » suivante sous le tableau A3.1.2 : </w:t>
      </w:r>
    </w:p>
    <w:p w14:paraId="5D023D41" w14:textId="408EE407" w:rsidR="00C2486B" w:rsidRPr="00950D73" w:rsidRDefault="00F96544" w:rsidP="00241A8A">
      <w:pPr>
        <w:pStyle w:val="Bullet1G"/>
        <w:numPr>
          <w:ilvl w:val="0"/>
          <w:numId w:val="0"/>
        </w:numPr>
        <w:suppressAutoHyphens/>
        <w:kinsoku w:val="0"/>
        <w:overflowPunct w:val="0"/>
        <w:autoSpaceDE w:val="0"/>
        <w:autoSpaceDN w:val="0"/>
        <w:adjustRightInd w:val="0"/>
        <w:snapToGrid w:val="0"/>
        <w:spacing w:after="0"/>
        <w:ind w:left="1134"/>
        <w:rPr>
          <w:rFonts w:asciiTheme="majorBidi" w:hAnsiTheme="majorBidi" w:cstheme="majorBidi"/>
          <w:iCs/>
        </w:rPr>
      </w:pPr>
      <w:r w:rsidRPr="00950D73">
        <w:rPr>
          <w:rFonts w:asciiTheme="majorBidi" w:hAnsiTheme="majorBidi" w:cstheme="majorBidi"/>
          <w:iCs/>
        </w:rPr>
        <w:t>«</w:t>
      </w:r>
      <w:r w:rsidRPr="00950D73">
        <w:rPr>
          <w:rFonts w:asciiTheme="majorBidi" w:hAnsiTheme="majorBidi" w:cstheme="majorBidi"/>
          <w:i/>
        </w:rPr>
        <w:t> </w:t>
      </w:r>
      <w:r w:rsidRPr="00950D73">
        <w:rPr>
          <w:rFonts w:asciiTheme="majorBidi" w:hAnsiTheme="majorBidi" w:cstheme="majorBidi"/>
          <w:i/>
          <w:sz w:val="18"/>
          <w:szCs w:val="18"/>
          <w:vertAlign w:val="superscript"/>
        </w:rPr>
        <w:t>a</w:t>
      </w:r>
      <w:r w:rsidRPr="00950D73">
        <w:rPr>
          <w:rFonts w:asciiTheme="majorBidi" w:hAnsiTheme="majorBidi" w:cstheme="majorBidi"/>
          <w:b/>
          <w:bCs/>
          <w:i/>
        </w:rPr>
        <w:t xml:space="preserve"> </w:t>
      </w:r>
      <w:r w:rsidRPr="00950D73">
        <w:rPr>
          <w:rFonts w:asciiTheme="majorBidi" w:hAnsiTheme="majorBidi" w:cstheme="majorBidi"/>
          <w:i/>
        </w:rPr>
        <w:tab/>
        <w:t>Les autorités compétentes peuvent choisir la ou les mentions de danger applicables en fonction des catégories de danger (2/2A ou 2A/2B) qu’elles ont adoptées pour la classe de danger lésions oculaires graves/irritation oculaire. </w:t>
      </w:r>
      <w:r w:rsidRPr="00950D73">
        <w:rPr>
          <w:rFonts w:asciiTheme="majorBidi" w:hAnsiTheme="majorBidi" w:cstheme="majorBidi"/>
          <w:iCs/>
        </w:rPr>
        <w:t>».</w:t>
      </w:r>
    </w:p>
    <w:p w14:paraId="53B6F15D" w14:textId="0BF8A5ED" w:rsidR="000101E8" w:rsidRPr="00950D73" w:rsidRDefault="00C94ECF" w:rsidP="00C2486B">
      <w:pPr>
        <w:pStyle w:val="SingleTxtG"/>
        <w:keepNext/>
        <w:keepLines/>
        <w:spacing w:before="240"/>
        <w:rPr>
          <w:rFonts w:asciiTheme="majorBidi" w:hAnsiTheme="majorBidi" w:cstheme="majorBidi"/>
          <w:b/>
          <w:bCs/>
        </w:rPr>
      </w:pPr>
      <w:r w:rsidRPr="00950D73">
        <w:rPr>
          <w:rFonts w:asciiTheme="majorBidi" w:hAnsiTheme="majorBidi" w:cstheme="majorBidi"/>
          <w:b/>
          <w:bCs/>
        </w:rPr>
        <w:lastRenderedPageBreak/>
        <w:t>H317, colonne (3) </w:t>
      </w:r>
    </w:p>
    <w:p w14:paraId="7EED6ADE" w14:textId="0433D675" w:rsidR="00C94ECF" w:rsidRPr="00950D73" w:rsidRDefault="00C94ECF" w:rsidP="00C2486B">
      <w:pPr>
        <w:pStyle w:val="Bullet1G"/>
        <w:keepNext/>
        <w:keepLines/>
        <w:numPr>
          <w:ilvl w:val="0"/>
          <w:numId w:val="0"/>
        </w:numPr>
        <w:suppressAutoHyphens/>
        <w:kinsoku w:val="0"/>
        <w:overflowPunct w:val="0"/>
        <w:autoSpaceDE w:val="0"/>
        <w:autoSpaceDN w:val="0"/>
        <w:adjustRightInd w:val="0"/>
        <w:snapToGrid w:val="0"/>
        <w:ind w:left="1701"/>
        <w:rPr>
          <w:rFonts w:asciiTheme="majorBidi" w:hAnsiTheme="majorBidi" w:cstheme="majorBidi"/>
        </w:rPr>
      </w:pPr>
      <w:r w:rsidRPr="00950D73">
        <w:rPr>
          <w:rFonts w:asciiTheme="majorBidi" w:hAnsiTheme="majorBidi" w:cstheme="majorBidi"/>
        </w:rPr>
        <w:t>Modification sans objet en français.</w:t>
      </w:r>
    </w:p>
    <w:p w14:paraId="76EABE3C" w14:textId="025B8084" w:rsidR="000101E8" w:rsidRPr="00950D73" w:rsidRDefault="00C94ECF" w:rsidP="007D0004">
      <w:pPr>
        <w:pStyle w:val="SingleTxtG"/>
        <w:spacing w:before="240"/>
        <w:rPr>
          <w:rFonts w:asciiTheme="majorBidi" w:hAnsiTheme="majorBidi" w:cstheme="majorBidi"/>
          <w:b/>
          <w:bCs/>
        </w:rPr>
      </w:pPr>
      <w:r w:rsidRPr="00950D73">
        <w:rPr>
          <w:rFonts w:asciiTheme="majorBidi" w:hAnsiTheme="majorBidi" w:cstheme="majorBidi"/>
          <w:b/>
          <w:bCs/>
        </w:rPr>
        <w:t>H334, colonne (3)</w:t>
      </w:r>
    </w:p>
    <w:p w14:paraId="64FCB03D" w14:textId="5B07473F" w:rsidR="00E74683" w:rsidRPr="00950D73" w:rsidRDefault="00C94ECF" w:rsidP="0001645A">
      <w:pPr>
        <w:pStyle w:val="Bullet1G"/>
        <w:numPr>
          <w:ilvl w:val="0"/>
          <w:numId w:val="0"/>
        </w:numPr>
        <w:suppressAutoHyphens/>
        <w:kinsoku w:val="0"/>
        <w:overflowPunct w:val="0"/>
        <w:autoSpaceDE w:val="0"/>
        <w:autoSpaceDN w:val="0"/>
        <w:adjustRightInd w:val="0"/>
        <w:snapToGrid w:val="0"/>
        <w:ind w:left="1701" w:firstLine="28"/>
        <w:rPr>
          <w:rFonts w:asciiTheme="majorBidi" w:hAnsiTheme="majorBidi" w:cstheme="majorBidi"/>
        </w:rPr>
      </w:pPr>
      <w:r w:rsidRPr="00950D73">
        <w:rPr>
          <w:rFonts w:asciiTheme="majorBidi" w:hAnsiTheme="majorBidi" w:cstheme="majorBidi"/>
        </w:rPr>
        <w:t>Modification sans objet en français.</w:t>
      </w:r>
    </w:p>
    <w:p w14:paraId="3180C5E5" w14:textId="1164EF7B" w:rsidR="000101E8" w:rsidRPr="00950D73" w:rsidRDefault="000101E8" w:rsidP="007D0004">
      <w:pPr>
        <w:pStyle w:val="SingleTxtG"/>
        <w:spacing w:before="240"/>
        <w:rPr>
          <w:rFonts w:asciiTheme="majorBidi" w:hAnsiTheme="majorBidi" w:cstheme="majorBidi"/>
          <w:b/>
          <w:bCs/>
        </w:rPr>
      </w:pPr>
      <w:r w:rsidRPr="00950D73">
        <w:rPr>
          <w:rFonts w:asciiTheme="majorBidi" w:hAnsiTheme="majorBidi" w:cstheme="majorBidi"/>
          <w:b/>
          <w:bCs/>
        </w:rPr>
        <w:t>H315</w:t>
      </w:r>
      <w:r w:rsidR="008911D8" w:rsidRPr="00950D73">
        <w:rPr>
          <w:rFonts w:asciiTheme="majorBidi" w:hAnsiTheme="majorBidi" w:cstheme="majorBidi"/>
          <w:b/>
          <w:bCs/>
        </w:rPr>
        <w:t> </w:t>
      </w:r>
      <w:r w:rsidRPr="00950D73">
        <w:rPr>
          <w:rFonts w:asciiTheme="majorBidi" w:hAnsiTheme="majorBidi" w:cstheme="majorBidi"/>
          <w:b/>
          <w:bCs/>
        </w:rPr>
        <w:t>+</w:t>
      </w:r>
      <w:r w:rsidR="008911D8" w:rsidRPr="00950D73">
        <w:rPr>
          <w:rFonts w:asciiTheme="majorBidi" w:hAnsiTheme="majorBidi" w:cstheme="majorBidi"/>
          <w:b/>
          <w:bCs/>
        </w:rPr>
        <w:t> H333 (</w:t>
      </w:r>
      <w:r w:rsidR="00F81DCD" w:rsidRPr="00950D73">
        <w:rPr>
          <w:rFonts w:asciiTheme="majorBidi" w:hAnsiTheme="majorBidi" w:cstheme="majorBidi"/>
          <w:b/>
          <w:bCs/>
        </w:rPr>
        <w:t>nouveau</w:t>
      </w:r>
      <w:r w:rsidR="008911D8" w:rsidRPr="00950D73">
        <w:rPr>
          <w:rFonts w:asciiTheme="majorBidi" w:hAnsiTheme="majorBidi" w:cstheme="majorBidi"/>
          <w:b/>
          <w:bCs/>
        </w:rPr>
        <w:t>)</w:t>
      </w:r>
    </w:p>
    <w:p w14:paraId="5E6B1D01" w14:textId="74710FB9" w:rsidR="00C94ECF" w:rsidRPr="00950D73" w:rsidRDefault="000101E8" w:rsidP="0001645A">
      <w:pPr>
        <w:pStyle w:val="Bullet1G"/>
        <w:numPr>
          <w:ilvl w:val="0"/>
          <w:numId w:val="0"/>
        </w:numPr>
        <w:suppressAutoHyphens/>
        <w:kinsoku w:val="0"/>
        <w:overflowPunct w:val="0"/>
        <w:autoSpaceDE w:val="0"/>
        <w:autoSpaceDN w:val="0"/>
        <w:adjustRightInd w:val="0"/>
        <w:snapToGrid w:val="0"/>
        <w:ind w:left="1701"/>
        <w:rPr>
          <w:rFonts w:asciiTheme="majorBidi" w:hAnsiTheme="majorBidi" w:cstheme="majorBidi"/>
        </w:rPr>
      </w:pPr>
      <w:r w:rsidRPr="00950D73">
        <w:rPr>
          <w:rFonts w:asciiTheme="majorBidi" w:hAnsiTheme="majorBidi" w:cstheme="majorBidi"/>
        </w:rPr>
        <w:t>I</w:t>
      </w:r>
      <w:r w:rsidR="00C94ECF" w:rsidRPr="00950D73">
        <w:rPr>
          <w:rFonts w:asciiTheme="majorBidi" w:hAnsiTheme="majorBidi" w:cstheme="majorBidi"/>
        </w:rPr>
        <w:t>nsérer la nouvelle rubrique suivante </w:t>
      </w:r>
      <w:r w:rsidRPr="00950D73">
        <w:rPr>
          <w:rFonts w:asciiTheme="majorBidi" w:hAnsiTheme="majorBidi" w:cstheme="majorBidi"/>
        </w:rPr>
        <w:t>après « H303 + H313 + H333 » </w:t>
      </w:r>
      <w:r w:rsidR="00C94ECF" w:rsidRPr="00950D73">
        <w:rPr>
          <w:rFonts w:asciiTheme="majorBidi" w:hAnsiTheme="majorBidi" w:cstheme="majorBidi"/>
        </w:rPr>
        <w:t>:</w:t>
      </w:r>
    </w:p>
    <w:tbl>
      <w:tblPr>
        <w:tblStyle w:val="Grilledutableau"/>
        <w:tblW w:w="0" w:type="auto"/>
        <w:tblInd w:w="1134" w:type="dxa"/>
        <w:tblLook w:val="04A0" w:firstRow="1" w:lastRow="0" w:firstColumn="1" w:lastColumn="0" w:noHBand="0" w:noVBand="1"/>
      </w:tblPr>
      <w:tblGrid>
        <w:gridCol w:w="703"/>
        <w:gridCol w:w="2268"/>
        <w:gridCol w:w="3120"/>
        <w:gridCol w:w="1417"/>
      </w:tblGrid>
      <w:tr w:rsidR="00C94ECF" w:rsidRPr="00950D73" w14:paraId="77B3D49C" w14:textId="77777777" w:rsidTr="00A96F1F">
        <w:trPr>
          <w:trHeight w:val="311"/>
        </w:trPr>
        <w:tc>
          <w:tcPr>
            <w:tcW w:w="703" w:type="dxa"/>
            <w:tcBorders>
              <w:top w:val="single" w:sz="4" w:space="0" w:color="auto"/>
              <w:left w:val="single" w:sz="4" w:space="0" w:color="auto"/>
              <w:bottom w:val="single" w:sz="4" w:space="0" w:color="auto"/>
              <w:right w:val="single" w:sz="4" w:space="0" w:color="auto"/>
            </w:tcBorders>
            <w:hideMark/>
          </w:tcPr>
          <w:p w14:paraId="4E448874" w14:textId="77777777" w:rsidR="00C94ECF" w:rsidRPr="00950D73" w:rsidRDefault="00C94ECF" w:rsidP="00A96F1F">
            <w:pPr>
              <w:pStyle w:val="SingleTxtG"/>
              <w:spacing w:before="40" w:after="40"/>
              <w:ind w:left="0" w:right="0"/>
              <w:jc w:val="center"/>
              <w:rPr>
                <w:rFonts w:asciiTheme="majorBidi" w:hAnsiTheme="majorBidi" w:cstheme="majorBidi"/>
              </w:rPr>
            </w:pPr>
            <w:r w:rsidRPr="00950D73">
              <w:rPr>
                <w:rFonts w:asciiTheme="majorBidi" w:hAnsiTheme="majorBidi" w:cstheme="majorBidi"/>
              </w:rPr>
              <w:t xml:space="preserve">H315 </w:t>
            </w:r>
            <w:r w:rsidRPr="00950D73">
              <w:rPr>
                <w:rFonts w:asciiTheme="majorBidi" w:hAnsiTheme="majorBidi" w:cstheme="majorBidi"/>
              </w:rPr>
              <w:br/>
              <w:t>+</w:t>
            </w:r>
            <w:r w:rsidRPr="00950D73">
              <w:rPr>
                <w:rFonts w:asciiTheme="majorBidi" w:hAnsiTheme="majorBidi" w:cstheme="majorBidi"/>
              </w:rPr>
              <w:br/>
              <w:t>H319</w:t>
            </w:r>
          </w:p>
        </w:tc>
        <w:tc>
          <w:tcPr>
            <w:tcW w:w="2268" w:type="dxa"/>
            <w:tcBorders>
              <w:top w:val="single" w:sz="4" w:space="0" w:color="auto"/>
              <w:left w:val="single" w:sz="4" w:space="0" w:color="auto"/>
              <w:bottom w:val="single" w:sz="4" w:space="0" w:color="auto"/>
              <w:right w:val="single" w:sz="4" w:space="0" w:color="auto"/>
            </w:tcBorders>
            <w:hideMark/>
          </w:tcPr>
          <w:p w14:paraId="3633A2DB" w14:textId="4AF01247" w:rsidR="00C94ECF" w:rsidRPr="00950D73" w:rsidRDefault="00C94ECF" w:rsidP="00A96F1F">
            <w:pPr>
              <w:pStyle w:val="SingleTxtG"/>
              <w:spacing w:before="40" w:after="40"/>
              <w:ind w:left="142" w:right="0"/>
              <w:jc w:val="left"/>
              <w:rPr>
                <w:rFonts w:asciiTheme="majorBidi" w:hAnsiTheme="majorBidi" w:cstheme="majorBidi"/>
                <w:b/>
                <w:bCs/>
              </w:rPr>
            </w:pPr>
            <w:r w:rsidRPr="00950D73">
              <w:rPr>
                <w:rFonts w:asciiTheme="majorBidi" w:hAnsiTheme="majorBidi" w:cstheme="majorBidi"/>
                <w:b/>
                <w:bCs/>
              </w:rPr>
              <w:t>Provoque une irritation de la peau et une sévère irritation des yeux</w:t>
            </w:r>
            <w:r w:rsidR="00246371" w:rsidRPr="00950D73">
              <w:rPr>
                <w:rFonts w:asciiTheme="majorBidi" w:hAnsiTheme="majorBidi" w:cstheme="majorBidi"/>
                <w:b/>
                <w:bCs/>
              </w:rPr>
              <w:t> </w:t>
            </w:r>
            <w:r w:rsidRPr="00950D73">
              <w:rPr>
                <w:rFonts w:asciiTheme="majorBidi" w:hAnsiTheme="majorBidi" w:cstheme="majorBidi"/>
                <w:b/>
                <w:bCs/>
                <w:vertAlign w:val="superscript"/>
              </w:rPr>
              <w:t>a</w:t>
            </w:r>
          </w:p>
        </w:tc>
        <w:tc>
          <w:tcPr>
            <w:tcW w:w="3120" w:type="dxa"/>
            <w:tcBorders>
              <w:top w:val="single" w:sz="4" w:space="0" w:color="auto"/>
              <w:left w:val="single" w:sz="4" w:space="0" w:color="auto"/>
              <w:bottom w:val="single" w:sz="4" w:space="0" w:color="auto"/>
              <w:right w:val="single" w:sz="4" w:space="0" w:color="auto"/>
            </w:tcBorders>
            <w:hideMark/>
          </w:tcPr>
          <w:p w14:paraId="75FB87CB" w14:textId="1E0E33F1" w:rsidR="00C94ECF" w:rsidRPr="00950D73" w:rsidRDefault="00C94ECF" w:rsidP="00A96F1F">
            <w:pPr>
              <w:pStyle w:val="SingleTxtG"/>
              <w:spacing w:before="40" w:after="40"/>
              <w:ind w:left="137" w:right="0"/>
              <w:jc w:val="left"/>
              <w:rPr>
                <w:rFonts w:asciiTheme="majorBidi" w:hAnsiTheme="majorBidi" w:cstheme="majorBidi"/>
              </w:rPr>
            </w:pPr>
            <w:r w:rsidRPr="00950D73">
              <w:rPr>
                <w:rFonts w:asciiTheme="majorBidi" w:hAnsiTheme="majorBidi" w:cstheme="majorBidi"/>
              </w:rPr>
              <w:t>Corrosion cutanée/irritation cutanée (chap</w:t>
            </w:r>
            <w:r w:rsidR="00C03BB5" w:rsidRPr="00950D73">
              <w:rPr>
                <w:rFonts w:asciiTheme="majorBidi" w:hAnsiTheme="majorBidi" w:cstheme="majorBidi"/>
              </w:rPr>
              <w:t>itre</w:t>
            </w:r>
            <w:r w:rsidRPr="00950D73">
              <w:rPr>
                <w:rFonts w:asciiTheme="majorBidi" w:hAnsiTheme="majorBidi" w:cstheme="majorBidi"/>
              </w:rPr>
              <w:t> 3.2) et lésions oculaires graves/irritation oculaire (chap</w:t>
            </w:r>
            <w:r w:rsidR="00C03BB5" w:rsidRPr="00950D73">
              <w:rPr>
                <w:rFonts w:asciiTheme="majorBidi" w:hAnsiTheme="majorBidi" w:cstheme="majorBidi"/>
              </w:rPr>
              <w:t>itre</w:t>
            </w:r>
            <w:r w:rsidRPr="00950D73">
              <w:rPr>
                <w:rFonts w:asciiTheme="majorBidi" w:hAnsiTheme="majorBidi" w:cstheme="majorBidi"/>
              </w:rPr>
              <w:t> 3.3)</w:t>
            </w:r>
          </w:p>
        </w:tc>
        <w:tc>
          <w:tcPr>
            <w:tcW w:w="1417" w:type="dxa"/>
            <w:tcBorders>
              <w:top w:val="single" w:sz="4" w:space="0" w:color="auto"/>
              <w:left w:val="single" w:sz="4" w:space="0" w:color="auto"/>
              <w:bottom w:val="single" w:sz="4" w:space="0" w:color="auto"/>
              <w:right w:val="single" w:sz="4" w:space="0" w:color="auto"/>
            </w:tcBorders>
            <w:hideMark/>
          </w:tcPr>
          <w:p w14:paraId="4D956796" w14:textId="77777777" w:rsidR="00C94ECF" w:rsidRPr="00950D73" w:rsidRDefault="00C94ECF" w:rsidP="00A96F1F">
            <w:pPr>
              <w:pStyle w:val="SingleTxtG"/>
              <w:spacing w:before="40" w:after="40"/>
              <w:ind w:left="0" w:right="0"/>
              <w:jc w:val="center"/>
              <w:rPr>
                <w:rFonts w:asciiTheme="majorBidi" w:hAnsiTheme="majorBidi" w:cstheme="majorBidi"/>
              </w:rPr>
            </w:pPr>
            <w:r w:rsidRPr="00950D73">
              <w:rPr>
                <w:rFonts w:asciiTheme="majorBidi" w:hAnsiTheme="majorBidi" w:cstheme="majorBidi"/>
              </w:rPr>
              <w:t>2 (peau) +</w:t>
            </w:r>
            <w:r w:rsidRPr="00950D73">
              <w:rPr>
                <w:rFonts w:asciiTheme="majorBidi" w:hAnsiTheme="majorBidi" w:cstheme="majorBidi"/>
              </w:rPr>
              <w:br/>
              <w:t>2/2A (yeux)</w:t>
            </w:r>
          </w:p>
        </w:tc>
      </w:tr>
    </w:tbl>
    <w:p w14:paraId="48F04CD2" w14:textId="5BCB483D" w:rsidR="00C94ECF" w:rsidRPr="00950D73" w:rsidRDefault="00C94ECF" w:rsidP="007D0004">
      <w:pPr>
        <w:pStyle w:val="SingleTxtG"/>
        <w:spacing w:before="240"/>
        <w:rPr>
          <w:rFonts w:asciiTheme="majorBidi" w:hAnsiTheme="majorBidi" w:cstheme="majorBidi"/>
          <w:b/>
          <w:bCs/>
        </w:rPr>
      </w:pPr>
      <w:bookmarkStart w:id="37" w:name="_Hlk103081688"/>
      <w:r w:rsidRPr="00950D73">
        <w:rPr>
          <w:rFonts w:asciiTheme="majorBidi" w:hAnsiTheme="majorBidi" w:cstheme="majorBidi"/>
          <w:b/>
          <w:bCs/>
        </w:rPr>
        <w:t>H315 + H320</w:t>
      </w:r>
    </w:p>
    <w:p w14:paraId="45C000B6" w14:textId="77777777" w:rsidR="00C94ECF" w:rsidRPr="00950D73" w:rsidRDefault="00C94ECF" w:rsidP="0001645A">
      <w:pPr>
        <w:pStyle w:val="SingleTxtG"/>
        <w:ind w:left="1701"/>
        <w:rPr>
          <w:rFonts w:asciiTheme="majorBidi" w:hAnsiTheme="majorBidi" w:cstheme="majorBidi"/>
        </w:rPr>
      </w:pPr>
      <w:r w:rsidRPr="00950D73">
        <w:rPr>
          <w:rFonts w:asciiTheme="majorBidi" w:hAnsiTheme="majorBidi" w:cstheme="majorBidi"/>
        </w:rPr>
        <w:t xml:space="preserve">Dans la colonne (2) ajouter une référence à la note </w:t>
      </w:r>
      <w:r w:rsidRPr="00241A8A">
        <w:rPr>
          <w:rFonts w:asciiTheme="majorBidi" w:hAnsiTheme="majorBidi" w:cstheme="majorBidi"/>
        </w:rPr>
        <w:t>« </w:t>
      </w:r>
      <w:r w:rsidRPr="00241A8A">
        <w:rPr>
          <w:rFonts w:asciiTheme="majorBidi" w:hAnsiTheme="majorBidi" w:cstheme="majorBidi"/>
          <w:vertAlign w:val="superscript"/>
        </w:rPr>
        <w:t>a</w:t>
      </w:r>
      <w:r w:rsidRPr="00241A8A">
        <w:rPr>
          <w:rFonts w:asciiTheme="majorBidi" w:hAnsiTheme="majorBidi" w:cstheme="majorBidi"/>
        </w:rPr>
        <w:t> »</w:t>
      </w:r>
      <w:r w:rsidRPr="00950D73">
        <w:rPr>
          <w:rFonts w:asciiTheme="majorBidi" w:hAnsiTheme="majorBidi" w:cstheme="majorBidi"/>
        </w:rPr>
        <w:t xml:space="preserve"> à la fin de la mention de danger comme suit: « Provoque une irritation de la peau et des yeux </w:t>
      </w:r>
      <w:r w:rsidRPr="00241A8A">
        <w:rPr>
          <w:rFonts w:asciiTheme="majorBidi" w:hAnsiTheme="majorBidi" w:cstheme="majorBidi"/>
          <w:vertAlign w:val="superscript"/>
        </w:rPr>
        <w:t>a</w:t>
      </w:r>
      <w:r w:rsidRPr="00950D73">
        <w:rPr>
          <w:rFonts w:asciiTheme="majorBidi" w:hAnsiTheme="majorBidi" w:cstheme="majorBidi"/>
        </w:rPr>
        <w:t> ».</w:t>
      </w:r>
    </w:p>
    <w:p w14:paraId="71E81996" w14:textId="77777777" w:rsidR="00C94ECF" w:rsidRPr="00950D73" w:rsidRDefault="00C94ECF" w:rsidP="0001645A">
      <w:pPr>
        <w:pStyle w:val="SingleTxtG"/>
        <w:ind w:left="1701"/>
        <w:rPr>
          <w:rFonts w:asciiTheme="majorBidi" w:hAnsiTheme="majorBidi" w:cstheme="majorBidi"/>
        </w:rPr>
      </w:pPr>
      <w:r w:rsidRPr="00950D73">
        <w:rPr>
          <w:rFonts w:asciiTheme="majorBidi" w:hAnsiTheme="majorBidi" w:cstheme="majorBidi"/>
        </w:rPr>
        <w:t>Dans la colonne (4), remplacer « 2 (peau)/2B (yeux) » par « 2 (peau) + 2B (yeux) ».</w:t>
      </w:r>
    </w:p>
    <w:bookmarkEnd w:id="37"/>
    <w:p w14:paraId="23488219" w14:textId="77777777" w:rsidR="00C94ECF" w:rsidRPr="00950D73" w:rsidRDefault="00C94ECF" w:rsidP="0001645A">
      <w:pPr>
        <w:pStyle w:val="H23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Section 2</w:t>
      </w:r>
    </w:p>
    <w:p w14:paraId="42AC8406" w14:textId="77777777" w:rsidR="00D11C19" w:rsidRPr="00950D73" w:rsidRDefault="00D11C19" w:rsidP="00D11C19">
      <w:pPr>
        <w:pStyle w:val="SingleTxtG"/>
        <w:rPr>
          <w:rFonts w:asciiTheme="majorBidi" w:hAnsiTheme="majorBidi" w:cstheme="majorBidi"/>
        </w:rPr>
      </w:pPr>
      <w:r w:rsidRPr="00950D73">
        <w:rPr>
          <w:rFonts w:asciiTheme="majorBidi" w:hAnsiTheme="majorBidi" w:cstheme="majorBidi"/>
        </w:rPr>
        <w:t>A3.2.2.4</w:t>
      </w:r>
      <w:r w:rsidRPr="00950D73">
        <w:rPr>
          <w:rFonts w:asciiTheme="majorBidi" w:hAnsiTheme="majorBidi" w:cstheme="majorBidi"/>
        </w:rPr>
        <w:tab/>
        <w:t>Ajouter un nouveau paragraphe ainsi libellé :</w:t>
      </w:r>
    </w:p>
    <w:p w14:paraId="6F51A8ED" w14:textId="77777777" w:rsidR="00D11C19" w:rsidRPr="00950D73" w:rsidRDefault="00D11C19" w:rsidP="003229BF">
      <w:pPr>
        <w:pStyle w:val="SingleTxtG"/>
        <w:tabs>
          <w:tab w:val="clear" w:pos="1701"/>
        </w:tabs>
        <w:spacing w:after="240"/>
        <w:ind w:left="2268"/>
        <w:rPr>
          <w:rFonts w:asciiTheme="majorBidi" w:hAnsiTheme="majorBidi" w:cstheme="majorBidi"/>
        </w:rPr>
      </w:pPr>
      <w:r w:rsidRPr="00950D73">
        <w:rPr>
          <w:rFonts w:asciiTheme="majorBidi" w:hAnsiTheme="majorBidi" w:cstheme="majorBidi"/>
        </w:rPr>
        <w:t>« A3.2.2.4</w:t>
      </w:r>
      <w:r w:rsidRPr="00950D73">
        <w:rPr>
          <w:rFonts w:asciiTheme="majorBidi" w:hAnsiTheme="majorBidi" w:cstheme="majorBidi"/>
        </w:rPr>
        <w:tab/>
        <w:t>Lorsqu’un code de conseil de prudence est placé entre crochets […], cela veut dire que le conseil de prudence ne convient pas toujours et ne doit être utilisé que dans certains cas. Les conditions de son utilisation, qui précisent quand le texte doit être appliqué, sont données dans la colonne (5) des tableaux. ».</w:t>
      </w:r>
    </w:p>
    <w:p w14:paraId="784C263B" w14:textId="77777777" w:rsidR="00020FB9" w:rsidRPr="00950D73" w:rsidRDefault="00020FB9" w:rsidP="00020FB9">
      <w:pPr>
        <w:pStyle w:val="SingleTxtG"/>
        <w:rPr>
          <w:rFonts w:asciiTheme="majorBidi" w:hAnsiTheme="majorBidi" w:cstheme="majorBidi"/>
        </w:rPr>
      </w:pPr>
      <w:r w:rsidRPr="00950D73">
        <w:rPr>
          <w:rFonts w:asciiTheme="majorBidi" w:hAnsiTheme="majorBidi" w:cstheme="majorBidi"/>
        </w:rPr>
        <w:t>A3.2.4.4</w:t>
      </w:r>
      <w:r w:rsidRPr="00950D73">
        <w:rPr>
          <w:rFonts w:asciiTheme="majorBidi" w:hAnsiTheme="majorBidi" w:cstheme="majorBidi"/>
        </w:rPr>
        <w:tab/>
        <w:t>Modifier pour lire comme suit :</w:t>
      </w:r>
    </w:p>
    <w:p w14:paraId="1C63941B" w14:textId="77777777" w:rsidR="00020FB9" w:rsidRPr="00950D73" w:rsidRDefault="00020FB9" w:rsidP="003229BF">
      <w:pPr>
        <w:pStyle w:val="Bullet1G"/>
        <w:numPr>
          <w:ilvl w:val="0"/>
          <w:numId w:val="0"/>
        </w:numPr>
        <w:ind w:left="2268"/>
        <w:rPr>
          <w:rFonts w:asciiTheme="majorBidi" w:hAnsiTheme="majorBidi" w:cstheme="majorBidi"/>
        </w:rPr>
      </w:pPr>
      <w:r w:rsidRPr="00950D73">
        <w:rPr>
          <w:rFonts w:asciiTheme="majorBidi" w:hAnsiTheme="majorBidi" w:cstheme="majorBidi"/>
        </w:rPr>
        <w:t xml:space="preserve">« Lorsqu’un certain texte est placé entre crochets […] dans un conseil de prudence, cela veut dire qu’il ne convient pas toujours et ne devrait être utilisé que dans certains cas. Les conditions de son utilisation, qui précisent </w:t>
      </w:r>
      <w:r w:rsidRPr="00950D73">
        <w:rPr>
          <w:rFonts w:asciiTheme="majorBidi" w:hAnsiTheme="majorBidi" w:cstheme="majorBidi"/>
        </w:rPr>
        <w:lastRenderedPageBreak/>
        <w:t>quand le texte devrait être employé, sont données dans la colonne (5) des tableaux. Par exemple, le conseil P264 se lit comme suit : “</w:t>
      </w:r>
      <w:r w:rsidRPr="00950D73">
        <w:rPr>
          <w:rFonts w:asciiTheme="majorBidi" w:hAnsiTheme="majorBidi" w:cstheme="majorBidi"/>
          <w:b/>
          <w:bCs/>
        </w:rPr>
        <w:t>Se laver les mains [et ...] soigneusement après manipulation</w:t>
      </w:r>
      <w:r w:rsidRPr="00950D73">
        <w:rPr>
          <w:rFonts w:asciiTheme="majorBidi" w:hAnsiTheme="majorBidi" w:cstheme="majorBidi"/>
        </w:rPr>
        <w:t xml:space="preserve">.”. Ce conseil est assorti de la condition d’utilisation suivante : “− </w:t>
      </w:r>
      <w:r w:rsidRPr="00950D73">
        <w:rPr>
          <w:rFonts w:asciiTheme="majorBidi" w:hAnsiTheme="majorBidi" w:cstheme="majorBidi"/>
          <w:i/>
          <w:iCs/>
        </w:rPr>
        <w:t>Le texte entre crochets doit être utilisé lorsque le fabriquant/fournisseur ou l’autorité compétente précise que d’autres parties du corps doivent être lavées après manipulation</w:t>
      </w:r>
      <w:r w:rsidRPr="00950D73">
        <w:rPr>
          <w:rFonts w:asciiTheme="majorBidi" w:hAnsiTheme="majorBidi" w:cstheme="majorBidi"/>
        </w:rPr>
        <w:t xml:space="preserve">.”. L’application de la condition relative à l’utilisation devrait être interprétée comme suit : si des informations supplémentaires sont fournies, précisant quelle(s) autre(s) partie(s) du corps </w:t>
      </w:r>
      <w:proofErr w:type="spellStart"/>
      <w:r w:rsidRPr="00950D73">
        <w:rPr>
          <w:rFonts w:asciiTheme="majorBidi" w:hAnsiTheme="majorBidi" w:cstheme="majorBidi"/>
        </w:rPr>
        <w:t>doi</w:t>
      </w:r>
      <w:proofErr w:type="spellEnd"/>
      <w:r w:rsidRPr="00950D73">
        <w:rPr>
          <w:rFonts w:asciiTheme="majorBidi" w:hAnsiTheme="majorBidi" w:cstheme="majorBidi"/>
        </w:rPr>
        <w:t>(</w:t>
      </w:r>
      <w:proofErr w:type="spellStart"/>
      <w:r w:rsidRPr="00950D73">
        <w:rPr>
          <w:rFonts w:asciiTheme="majorBidi" w:hAnsiTheme="majorBidi" w:cstheme="majorBidi"/>
        </w:rPr>
        <w:t>ven</w:t>
      </w:r>
      <w:proofErr w:type="spellEnd"/>
      <w:r w:rsidRPr="00950D73">
        <w:rPr>
          <w:rFonts w:asciiTheme="majorBidi" w:hAnsiTheme="majorBidi" w:cstheme="majorBidi"/>
        </w:rPr>
        <w:t>)t être lavée(s) après manipulation, le texte entre crochets doit alors être utilisé, suivi du nom de la ou des partie(s) du corps concernée(s). Toutefois, s’il n’est pas nécessaire de préciser les autres parties du corps, le texte entre crochets ne devrait pas être employé et le conseil de prudence devrait se lire comme suit : “</w:t>
      </w:r>
      <w:r w:rsidRPr="00950D73">
        <w:rPr>
          <w:rFonts w:asciiTheme="majorBidi" w:hAnsiTheme="majorBidi" w:cstheme="majorBidi"/>
          <w:b/>
          <w:bCs/>
        </w:rPr>
        <w:t>Se laver les mains soigneusement après manipulation</w:t>
      </w:r>
      <w:r w:rsidRPr="00950D73">
        <w:rPr>
          <w:rFonts w:asciiTheme="majorBidi" w:hAnsiTheme="majorBidi" w:cstheme="majorBidi"/>
        </w:rPr>
        <w:t>.”. ».</w:t>
      </w:r>
    </w:p>
    <w:p w14:paraId="2FB3C01E" w14:textId="77777777" w:rsidR="00C94ECF" w:rsidRPr="00950D73" w:rsidRDefault="00C94ECF" w:rsidP="00C94ECF">
      <w:pPr>
        <w:pStyle w:val="SingleTxtG"/>
        <w:rPr>
          <w:rFonts w:asciiTheme="majorBidi" w:hAnsiTheme="majorBidi" w:cstheme="majorBidi"/>
        </w:rPr>
      </w:pPr>
      <w:r w:rsidRPr="00950D73">
        <w:rPr>
          <w:rFonts w:asciiTheme="majorBidi" w:hAnsiTheme="majorBidi" w:cstheme="majorBidi"/>
        </w:rPr>
        <w:t>A3.2.5.2.2 </w:t>
      </w:r>
      <w:r w:rsidRPr="00950D73">
        <w:rPr>
          <w:rFonts w:asciiTheme="majorBidi" w:hAnsiTheme="majorBidi" w:cstheme="majorBidi"/>
        </w:rPr>
        <w:tab/>
        <w:t>Ajouter le texte suivant après la première phrase :</w:t>
      </w:r>
    </w:p>
    <w:p w14:paraId="1DDDF9DF" w14:textId="77777777" w:rsidR="00C94ECF" w:rsidRPr="00950D73" w:rsidRDefault="00C94ECF" w:rsidP="003229BF">
      <w:pPr>
        <w:pStyle w:val="SingleTxtG"/>
        <w:ind w:left="2268"/>
        <w:rPr>
          <w:rFonts w:asciiTheme="majorBidi" w:hAnsiTheme="majorBidi" w:cstheme="majorBidi"/>
        </w:rPr>
      </w:pPr>
      <w:r w:rsidRPr="00950D73">
        <w:rPr>
          <w:rFonts w:asciiTheme="majorBidi" w:hAnsiTheme="majorBidi" w:cstheme="majorBidi"/>
        </w:rPr>
        <w:t>« Les conseils de prudence peuvent être combinés en utilisant la conjonction “et”, des signes de ponctuation supplémentaires et en changeant la casse de la première lettre du mot au début d’une mention. Par exemple : P302 + P335 + P334 “</w:t>
      </w:r>
      <w:r w:rsidRPr="00950D73">
        <w:rPr>
          <w:rFonts w:asciiTheme="majorBidi" w:hAnsiTheme="majorBidi" w:cstheme="majorBidi"/>
          <w:b/>
          <w:bCs/>
        </w:rPr>
        <w:t>EN CAS DE CONTACT AVEC LA PEAU : Enlever avec précaution les particules déposées sur la peau et rincer à l’eau fraîche [ou poser une compresse humide]</w:t>
      </w:r>
      <w:r w:rsidRPr="00950D73">
        <w:rPr>
          <w:rFonts w:asciiTheme="majorBidi" w:hAnsiTheme="majorBidi" w:cstheme="majorBidi"/>
        </w:rPr>
        <w:t>” ».</w:t>
      </w:r>
    </w:p>
    <w:p w14:paraId="5FCD4BC0" w14:textId="6397E493" w:rsidR="00C94ECF" w:rsidRPr="00950D73" w:rsidRDefault="00B8354C" w:rsidP="0001645A">
      <w:pPr>
        <w:pStyle w:val="H23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r>
      <w:r w:rsidR="00C94ECF" w:rsidRPr="00950D73">
        <w:rPr>
          <w:rFonts w:asciiTheme="majorBidi" w:hAnsiTheme="majorBidi" w:cstheme="majorBidi"/>
        </w:rPr>
        <w:t>Tableau A3.2.2</w:t>
      </w:r>
    </w:p>
    <w:p w14:paraId="27C07E9B" w14:textId="4F45E496" w:rsidR="00BC241D" w:rsidRPr="00950D73" w:rsidRDefault="00BC241D" w:rsidP="00EE12D9">
      <w:pPr>
        <w:pStyle w:val="SingleTxtG"/>
        <w:spacing w:before="240" w:line="240" w:lineRule="auto"/>
        <w:rPr>
          <w:rFonts w:asciiTheme="majorBidi" w:hAnsiTheme="majorBidi" w:cstheme="majorBidi"/>
          <w:b/>
          <w:bCs/>
        </w:rPr>
      </w:pPr>
      <w:r w:rsidRPr="00950D73">
        <w:rPr>
          <w:rFonts w:asciiTheme="majorBidi" w:hAnsiTheme="majorBidi" w:cstheme="majorBidi"/>
          <w:b/>
          <w:bCs/>
        </w:rPr>
        <w:t>P233</w:t>
      </w:r>
    </w:p>
    <w:p w14:paraId="25B5EBE4" w14:textId="47086D67" w:rsidR="00663FC0" w:rsidRPr="00950D73" w:rsidRDefault="00825D95" w:rsidP="003229BF">
      <w:pPr>
        <w:pStyle w:val="SingleTxtG"/>
        <w:rPr>
          <w:rFonts w:asciiTheme="majorBidi" w:hAnsiTheme="majorBidi" w:cstheme="majorBidi"/>
        </w:rPr>
      </w:pPr>
      <w:r w:rsidRPr="00950D73">
        <w:rPr>
          <w:rFonts w:asciiTheme="majorBidi" w:hAnsiTheme="majorBidi" w:cstheme="majorBidi"/>
        </w:rPr>
        <w:t>Insérer la ligne suivante sous celle applicable à « </w:t>
      </w:r>
      <w:r w:rsidR="004073F1" w:rsidRPr="00950D73">
        <w:rPr>
          <w:rFonts w:asciiTheme="majorBidi" w:hAnsiTheme="majorBidi" w:cstheme="majorBidi"/>
        </w:rPr>
        <w:t>Toxicité aiguë, inhalation (chapitre</w:t>
      </w:r>
      <w:r w:rsidR="00343E9D" w:rsidRPr="00950D73">
        <w:rPr>
          <w:rFonts w:asciiTheme="majorBidi" w:hAnsiTheme="majorBidi" w:cstheme="majorBidi"/>
        </w:rPr>
        <w:t> </w:t>
      </w:r>
      <w:r w:rsidR="004073F1" w:rsidRPr="00950D73">
        <w:rPr>
          <w:rFonts w:asciiTheme="majorBidi" w:hAnsiTheme="majorBidi" w:cstheme="majorBidi"/>
        </w:rPr>
        <w:t>3.1)</w:t>
      </w:r>
      <w:r w:rsidR="00663FC0" w:rsidRPr="00950D73">
        <w:rPr>
          <w:rFonts w:asciiTheme="majorBidi" w:hAnsiTheme="majorBidi" w:cstheme="majorBidi"/>
        </w:rPr>
        <w:t> » :</w:t>
      </w:r>
    </w:p>
    <w:tbl>
      <w:tblPr>
        <w:tblStyle w:val="Grilledutableau"/>
        <w:tblW w:w="0" w:type="auto"/>
        <w:tblInd w:w="1696" w:type="dxa"/>
        <w:tblLook w:val="04A0" w:firstRow="1" w:lastRow="0" w:firstColumn="1" w:lastColumn="0" w:noHBand="0" w:noVBand="1"/>
      </w:tblPr>
      <w:tblGrid>
        <w:gridCol w:w="724"/>
        <w:gridCol w:w="709"/>
        <w:gridCol w:w="3245"/>
        <w:gridCol w:w="1246"/>
        <w:gridCol w:w="1022"/>
      </w:tblGrid>
      <w:tr w:rsidR="00663FC0" w:rsidRPr="00950D73" w14:paraId="7E6B7E85" w14:textId="77777777" w:rsidTr="003229BF">
        <w:tc>
          <w:tcPr>
            <w:tcW w:w="724" w:type="dxa"/>
            <w:tcBorders>
              <w:top w:val="single" w:sz="4" w:space="0" w:color="auto"/>
              <w:left w:val="single" w:sz="4" w:space="0" w:color="auto"/>
              <w:bottom w:val="single" w:sz="4" w:space="0" w:color="auto"/>
              <w:right w:val="single" w:sz="4" w:space="0" w:color="auto"/>
            </w:tcBorders>
          </w:tcPr>
          <w:p w14:paraId="06413C0E" w14:textId="77777777" w:rsidR="00663FC0" w:rsidRPr="00950D73" w:rsidRDefault="00663FC0">
            <w:pPr>
              <w:pStyle w:val="Bullet2G"/>
              <w:numPr>
                <w:ilvl w:val="0"/>
                <w:numId w:val="0"/>
              </w:numPr>
              <w:tabs>
                <w:tab w:val="left" w:pos="720"/>
              </w:tabs>
              <w:ind w:left="1701" w:right="112"/>
              <w:rPr>
                <w:rFonts w:asciiTheme="majorBidi" w:eastAsia="SimSun" w:hAnsiTheme="majorBidi" w:cstheme="majorBidi"/>
                <w:sz w:val="18"/>
                <w:szCs w:val="18"/>
              </w:rPr>
            </w:pPr>
          </w:p>
        </w:tc>
        <w:tc>
          <w:tcPr>
            <w:tcW w:w="709" w:type="dxa"/>
            <w:tcBorders>
              <w:top w:val="single" w:sz="4" w:space="0" w:color="auto"/>
              <w:left w:val="single" w:sz="4" w:space="0" w:color="auto"/>
              <w:bottom w:val="single" w:sz="4" w:space="0" w:color="auto"/>
              <w:right w:val="single" w:sz="4" w:space="0" w:color="auto"/>
            </w:tcBorders>
          </w:tcPr>
          <w:p w14:paraId="0FA9872E" w14:textId="77777777" w:rsidR="00663FC0" w:rsidRPr="00950D73" w:rsidRDefault="00663FC0">
            <w:pPr>
              <w:pStyle w:val="Bullet2G"/>
              <w:numPr>
                <w:ilvl w:val="0"/>
                <w:numId w:val="0"/>
              </w:numPr>
              <w:tabs>
                <w:tab w:val="left" w:pos="720"/>
              </w:tabs>
              <w:ind w:left="1701" w:right="112"/>
              <w:rPr>
                <w:rFonts w:asciiTheme="majorBidi" w:eastAsia="SimSun" w:hAnsiTheme="majorBidi" w:cstheme="majorBidi"/>
                <w:sz w:val="18"/>
                <w:szCs w:val="18"/>
              </w:rPr>
            </w:pPr>
          </w:p>
        </w:tc>
        <w:tc>
          <w:tcPr>
            <w:tcW w:w="3245" w:type="dxa"/>
            <w:tcBorders>
              <w:top w:val="single" w:sz="4" w:space="0" w:color="auto"/>
              <w:left w:val="single" w:sz="4" w:space="0" w:color="auto"/>
              <w:bottom w:val="single" w:sz="4" w:space="0" w:color="auto"/>
              <w:right w:val="single" w:sz="4" w:space="0" w:color="auto"/>
            </w:tcBorders>
            <w:hideMark/>
          </w:tcPr>
          <w:p w14:paraId="75B3BBFC" w14:textId="5E5ED94E" w:rsidR="00663FC0" w:rsidRPr="00950D73" w:rsidRDefault="00663FC0">
            <w:pPr>
              <w:pStyle w:val="Bullet2G"/>
              <w:numPr>
                <w:ilvl w:val="0"/>
                <w:numId w:val="0"/>
              </w:numPr>
              <w:tabs>
                <w:tab w:val="left" w:pos="720"/>
              </w:tabs>
              <w:ind w:left="9" w:right="112"/>
              <w:jc w:val="left"/>
              <w:rPr>
                <w:rFonts w:asciiTheme="majorBidi" w:eastAsia="SimSun" w:hAnsiTheme="majorBidi" w:cstheme="majorBidi"/>
                <w:sz w:val="18"/>
                <w:szCs w:val="18"/>
              </w:rPr>
            </w:pPr>
            <w:r w:rsidRPr="00950D73">
              <w:rPr>
                <w:rFonts w:asciiTheme="majorBidi" w:hAnsiTheme="majorBidi" w:cstheme="majorBidi"/>
                <w:sz w:val="18"/>
                <w:szCs w:val="18"/>
              </w:rPr>
              <w:t>Sensibilisation respiratoire (chapitre 3.4)</w:t>
            </w:r>
          </w:p>
        </w:tc>
        <w:tc>
          <w:tcPr>
            <w:tcW w:w="1246" w:type="dxa"/>
            <w:tcBorders>
              <w:top w:val="single" w:sz="4" w:space="0" w:color="auto"/>
              <w:left w:val="single" w:sz="4" w:space="0" w:color="auto"/>
              <w:bottom w:val="single" w:sz="4" w:space="0" w:color="auto"/>
              <w:right w:val="single" w:sz="4" w:space="0" w:color="auto"/>
            </w:tcBorders>
            <w:hideMark/>
          </w:tcPr>
          <w:p w14:paraId="0B3FAF4E" w14:textId="77777777" w:rsidR="00663FC0" w:rsidRPr="00950D73" w:rsidRDefault="00663FC0">
            <w:pPr>
              <w:pStyle w:val="Bullet2G"/>
              <w:numPr>
                <w:ilvl w:val="0"/>
                <w:numId w:val="0"/>
              </w:numPr>
              <w:tabs>
                <w:tab w:val="left" w:pos="720"/>
              </w:tabs>
              <w:ind w:left="9" w:right="0"/>
              <w:jc w:val="center"/>
              <w:rPr>
                <w:rFonts w:asciiTheme="majorBidi" w:eastAsia="SimSun" w:hAnsiTheme="majorBidi" w:cstheme="majorBidi"/>
                <w:sz w:val="18"/>
                <w:szCs w:val="18"/>
              </w:rPr>
            </w:pPr>
            <w:r w:rsidRPr="00950D73">
              <w:rPr>
                <w:rFonts w:asciiTheme="majorBidi" w:hAnsiTheme="majorBidi" w:cstheme="majorBidi"/>
                <w:sz w:val="18"/>
                <w:szCs w:val="18"/>
              </w:rPr>
              <w:t>1, 1A, 1B</w:t>
            </w:r>
          </w:p>
        </w:tc>
        <w:tc>
          <w:tcPr>
            <w:tcW w:w="1022" w:type="dxa"/>
            <w:tcBorders>
              <w:top w:val="single" w:sz="4" w:space="0" w:color="auto"/>
              <w:left w:val="single" w:sz="4" w:space="0" w:color="auto"/>
              <w:bottom w:val="single" w:sz="4" w:space="0" w:color="auto"/>
              <w:right w:val="single" w:sz="4" w:space="0" w:color="auto"/>
            </w:tcBorders>
          </w:tcPr>
          <w:p w14:paraId="25350773" w14:textId="77777777" w:rsidR="00663FC0" w:rsidRPr="00950D73" w:rsidRDefault="00663FC0">
            <w:pPr>
              <w:pStyle w:val="Bullet2G"/>
              <w:numPr>
                <w:ilvl w:val="0"/>
                <w:numId w:val="0"/>
              </w:numPr>
              <w:tabs>
                <w:tab w:val="left" w:pos="720"/>
              </w:tabs>
              <w:ind w:left="1701" w:right="112"/>
              <w:rPr>
                <w:rFonts w:asciiTheme="majorBidi" w:eastAsia="SimSun" w:hAnsiTheme="majorBidi" w:cstheme="majorBidi"/>
                <w:sz w:val="18"/>
                <w:szCs w:val="18"/>
              </w:rPr>
            </w:pPr>
          </w:p>
        </w:tc>
      </w:tr>
    </w:tbl>
    <w:p w14:paraId="206F0565" w14:textId="3C02C2E4" w:rsidR="00663FC0" w:rsidRPr="00950D73" w:rsidRDefault="00663FC0" w:rsidP="00EE12D9">
      <w:pPr>
        <w:pStyle w:val="SingleTxtG"/>
        <w:spacing w:before="120"/>
        <w:rPr>
          <w:rFonts w:asciiTheme="majorBidi" w:hAnsiTheme="majorBidi" w:cstheme="majorBidi"/>
          <w:i/>
          <w:iCs/>
          <w:lang w:val="fr-FR"/>
        </w:rPr>
      </w:pPr>
      <w:r w:rsidRPr="00950D73">
        <w:rPr>
          <w:rFonts w:asciiTheme="majorBidi" w:hAnsiTheme="majorBidi" w:cstheme="majorBidi"/>
          <w:lang w:val="fr-FR"/>
        </w:rPr>
        <w:lastRenderedPageBreak/>
        <w:t>(</w:t>
      </w:r>
      <w:r w:rsidRPr="00950D73">
        <w:rPr>
          <w:rFonts w:asciiTheme="majorBidi" w:hAnsiTheme="majorBidi" w:cstheme="majorBidi"/>
          <w:b/>
          <w:bCs/>
          <w:i/>
          <w:iCs/>
          <w:lang w:val="fr-FR"/>
        </w:rPr>
        <w:t>No</w:t>
      </w:r>
      <w:r w:rsidR="00F5448D" w:rsidRPr="00950D73">
        <w:rPr>
          <w:rFonts w:asciiTheme="majorBidi" w:hAnsiTheme="majorBidi" w:cstheme="majorBidi"/>
          <w:b/>
          <w:bCs/>
          <w:i/>
          <w:iCs/>
          <w:lang w:val="fr-FR"/>
        </w:rPr>
        <w:t>te du secrétariat</w:t>
      </w:r>
      <w:r w:rsidR="00F5448D" w:rsidRPr="00950D73">
        <w:rPr>
          <w:rFonts w:asciiTheme="majorBidi" w:hAnsiTheme="majorBidi" w:cstheme="majorBidi"/>
          <w:lang w:val="fr-FR"/>
        </w:rPr>
        <w:t xml:space="preserve"> : </w:t>
      </w:r>
      <w:r w:rsidR="00F5448D" w:rsidRPr="00950D73">
        <w:rPr>
          <w:rFonts w:asciiTheme="majorBidi" w:hAnsiTheme="majorBidi" w:cstheme="majorBidi"/>
          <w:i/>
          <w:iCs/>
          <w:lang w:val="fr-FR"/>
        </w:rPr>
        <w:t xml:space="preserve">la condition relative à l’utilisation (colonne 5) actuelle </w:t>
      </w:r>
      <w:r w:rsidR="009572B9" w:rsidRPr="00950D73">
        <w:rPr>
          <w:rFonts w:asciiTheme="majorBidi" w:hAnsiTheme="majorBidi" w:cstheme="majorBidi"/>
          <w:i/>
          <w:iCs/>
          <w:lang w:val="fr-FR"/>
        </w:rPr>
        <w:t>reste applicable et inchangée par rapport à la toxicité aig</w:t>
      </w:r>
      <w:r w:rsidR="00122D0D" w:rsidRPr="00950D73">
        <w:rPr>
          <w:rFonts w:asciiTheme="majorBidi" w:hAnsiTheme="majorBidi" w:cstheme="majorBidi"/>
          <w:i/>
          <w:iCs/>
          <w:lang w:val="fr-FR"/>
        </w:rPr>
        <w:t>uë par inhalation, mais ne s’applique pas à la nouvelle ligne</w:t>
      </w:r>
      <w:r w:rsidR="00BC63AF" w:rsidRPr="00950D73">
        <w:rPr>
          <w:rFonts w:asciiTheme="majorBidi" w:hAnsiTheme="majorBidi" w:cstheme="majorBidi"/>
          <w:i/>
          <w:iCs/>
          <w:lang w:val="fr-FR"/>
        </w:rPr>
        <w:t xml:space="preserve"> relative à la sensibilisation respiratoire</w:t>
      </w:r>
      <w:r w:rsidR="00122D0D" w:rsidRPr="00950D73">
        <w:rPr>
          <w:rFonts w:asciiTheme="majorBidi" w:hAnsiTheme="majorBidi" w:cstheme="majorBidi"/>
          <w:i/>
          <w:iCs/>
          <w:lang w:val="fr-FR"/>
        </w:rPr>
        <w:t>)</w:t>
      </w:r>
    </w:p>
    <w:p w14:paraId="27B7D27C" w14:textId="284B59F5" w:rsidR="00BC241D" w:rsidRPr="00950D73" w:rsidRDefault="00BC241D" w:rsidP="003229BF">
      <w:pPr>
        <w:pStyle w:val="SingleTxtG"/>
        <w:rPr>
          <w:rFonts w:asciiTheme="majorBidi" w:hAnsiTheme="majorBidi" w:cstheme="majorBidi"/>
          <w:lang w:val="fr-FR"/>
        </w:rPr>
      </w:pPr>
      <w:r w:rsidRPr="00950D73">
        <w:rPr>
          <w:rFonts w:asciiTheme="majorBidi" w:hAnsiTheme="majorBidi" w:cstheme="majorBidi"/>
          <w:lang w:val="fr-FR"/>
        </w:rPr>
        <w:t xml:space="preserve">Dans la colonne </w:t>
      </w:r>
      <w:r w:rsidR="00B06CD8" w:rsidRPr="00950D73">
        <w:rPr>
          <w:rFonts w:asciiTheme="majorBidi" w:hAnsiTheme="majorBidi" w:cstheme="majorBidi"/>
          <w:lang w:val="fr-FR"/>
        </w:rPr>
        <w:t>(</w:t>
      </w:r>
      <w:r w:rsidRPr="00950D73">
        <w:rPr>
          <w:rFonts w:asciiTheme="majorBidi" w:hAnsiTheme="majorBidi" w:cstheme="majorBidi"/>
          <w:lang w:val="fr-FR"/>
        </w:rPr>
        <w:t>5</w:t>
      </w:r>
      <w:r w:rsidR="00B06CD8" w:rsidRPr="00950D73">
        <w:rPr>
          <w:rFonts w:asciiTheme="majorBidi" w:hAnsiTheme="majorBidi" w:cstheme="majorBidi"/>
          <w:lang w:val="fr-FR"/>
        </w:rPr>
        <w:t>)</w:t>
      </w:r>
      <w:r w:rsidRPr="00950D73">
        <w:rPr>
          <w:rFonts w:asciiTheme="majorBidi" w:hAnsiTheme="majorBidi" w:cstheme="majorBidi"/>
          <w:lang w:val="fr-FR"/>
        </w:rPr>
        <w:t xml:space="preserve">, pour les classes de danger </w:t>
      </w:r>
      <w:r w:rsidR="004618CB" w:rsidRPr="00950D73">
        <w:rPr>
          <w:rFonts w:asciiTheme="majorBidi" w:hAnsiTheme="majorBidi" w:cstheme="majorBidi"/>
          <w:lang w:val="fr-FR"/>
        </w:rPr>
        <w:t>« Toxicité pour certains organes cibles, exposition unique ; Irritation des voies respiratoires</w:t>
      </w:r>
      <w:r w:rsidR="00DF7B76" w:rsidRPr="00950D73">
        <w:rPr>
          <w:rFonts w:asciiTheme="majorBidi" w:hAnsiTheme="majorBidi" w:cstheme="majorBidi"/>
          <w:lang w:val="fr-FR"/>
        </w:rPr>
        <w:t> »</w:t>
      </w:r>
      <w:r w:rsidR="004618CB" w:rsidRPr="00950D73">
        <w:rPr>
          <w:rFonts w:asciiTheme="majorBidi" w:hAnsiTheme="majorBidi" w:cstheme="majorBidi"/>
          <w:lang w:val="fr-FR"/>
        </w:rPr>
        <w:t xml:space="preserve">, et </w:t>
      </w:r>
      <w:r w:rsidR="00DF7B76" w:rsidRPr="00950D73">
        <w:rPr>
          <w:rFonts w:asciiTheme="majorBidi" w:hAnsiTheme="majorBidi" w:cstheme="majorBidi"/>
          <w:lang w:val="fr-FR"/>
        </w:rPr>
        <w:t>« </w:t>
      </w:r>
      <w:r w:rsidR="004618CB" w:rsidRPr="00950D73">
        <w:rPr>
          <w:rFonts w:asciiTheme="majorBidi" w:hAnsiTheme="majorBidi" w:cstheme="majorBidi"/>
          <w:lang w:val="fr-FR"/>
        </w:rPr>
        <w:t>Toxicité pour certains organes cibles, exposition unique ; Effets narcotiques »</w:t>
      </w:r>
      <w:r w:rsidR="00B06CD8" w:rsidRPr="00950D73">
        <w:rPr>
          <w:rFonts w:asciiTheme="majorBidi" w:hAnsiTheme="majorBidi" w:cstheme="majorBidi"/>
          <w:lang w:val="fr-FR"/>
        </w:rPr>
        <w:t xml:space="preserve">, ajouter la condition suivante relative à l’utilisation : </w:t>
      </w:r>
    </w:p>
    <w:p w14:paraId="7D9305D2" w14:textId="55D12253" w:rsidR="00BC241D" w:rsidRPr="00950D73" w:rsidRDefault="00BC241D" w:rsidP="00F81DCD">
      <w:pPr>
        <w:pStyle w:val="Bullet2G"/>
        <w:numPr>
          <w:ilvl w:val="0"/>
          <w:numId w:val="0"/>
        </w:numPr>
        <w:tabs>
          <w:tab w:val="left" w:pos="2268"/>
        </w:tabs>
        <w:ind w:left="1701"/>
        <w:rPr>
          <w:rFonts w:asciiTheme="majorBidi" w:hAnsiTheme="majorBidi" w:cstheme="majorBidi"/>
          <w:i/>
          <w:iCs/>
          <w:lang w:val="fr-FR"/>
        </w:rPr>
      </w:pPr>
      <w:r w:rsidRPr="00950D73">
        <w:rPr>
          <w:rFonts w:asciiTheme="majorBidi" w:hAnsiTheme="majorBidi" w:cstheme="majorBidi"/>
          <w:i/>
          <w:iCs/>
          <w:lang w:val="fr-FR"/>
        </w:rPr>
        <w:t>« − Si le produit chimique est volatile et risque de créer une atmosphère dangereuse. ».</w:t>
      </w:r>
    </w:p>
    <w:p w14:paraId="1AABA80F" w14:textId="62F5E9E6" w:rsidR="005B24CE" w:rsidRPr="00950D73" w:rsidRDefault="005B24CE" w:rsidP="00ED026C">
      <w:pPr>
        <w:pStyle w:val="SingleTxtG"/>
        <w:spacing w:before="240"/>
        <w:rPr>
          <w:rFonts w:asciiTheme="majorBidi" w:hAnsiTheme="majorBidi" w:cstheme="majorBidi"/>
          <w:b/>
          <w:bCs/>
          <w:lang w:val="fr-FR"/>
        </w:rPr>
      </w:pPr>
      <w:r w:rsidRPr="00950D73">
        <w:rPr>
          <w:rFonts w:asciiTheme="majorBidi" w:hAnsiTheme="majorBidi" w:cstheme="majorBidi"/>
          <w:b/>
          <w:bCs/>
          <w:lang w:val="fr-FR"/>
        </w:rPr>
        <w:t>P260</w:t>
      </w:r>
    </w:p>
    <w:p w14:paraId="017F1888" w14:textId="4CC49D58" w:rsidR="003631B2" w:rsidRPr="00950D73" w:rsidRDefault="003631B2" w:rsidP="005B24CE">
      <w:pPr>
        <w:pStyle w:val="SingleTxtG"/>
        <w:rPr>
          <w:rFonts w:asciiTheme="majorBidi" w:hAnsiTheme="majorBidi" w:cstheme="majorBidi"/>
          <w:lang w:val="fr-FR"/>
        </w:rPr>
      </w:pPr>
      <w:r w:rsidRPr="00950D73">
        <w:rPr>
          <w:rFonts w:asciiTheme="majorBidi" w:hAnsiTheme="majorBidi" w:cstheme="majorBidi"/>
          <w:lang w:val="fr-FR"/>
        </w:rPr>
        <w:t>Insérer la ligne suivante sous celle applicable à la toxicité aiguë par inhalation</w:t>
      </w:r>
      <w:r w:rsidR="00DC6286" w:rsidRPr="00950D73">
        <w:rPr>
          <w:rFonts w:asciiTheme="majorBidi" w:hAnsiTheme="majorBidi" w:cstheme="majorBidi"/>
          <w:lang w:val="fr-FR"/>
        </w:rPr>
        <w:t> </w:t>
      </w:r>
      <w:r w:rsidR="00343E9D" w:rsidRPr="00950D73">
        <w:rPr>
          <w:rFonts w:asciiTheme="majorBidi" w:hAnsiTheme="majorBidi" w:cstheme="majorBidi"/>
          <w:lang w:val="fr-FR"/>
        </w:rPr>
        <w:t>(chapitre 3.1)</w:t>
      </w:r>
      <w:r w:rsidR="00B8354C" w:rsidRPr="00950D73">
        <w:rPr>
          <w:rFonts w:asciiTheme="majorBidi" w:hAnsiTheme="majorBidi" w:cstheme="majorBidi"/>
          <w:lang w:val="fr-FR"/>
        </w:rPr>
        <w:t> </w:t>
      </w:r>
      <w:r w:rsidR="00DC6286" w:rsidRPr="00950D73">
        <w:rPr>
          <w:rFonts w:asciiTheme="majorBidi" w:hAnsiTheme="majorBidi" w:cstheme="majorBidi"/>
          <w:lang w:val="fr-FR"/>
        </w:rPr>
        <w:t>:</w:t>
      </w:r>
      <w:r w:rsidRPr="00950D73">
        <w:rPr>
          <w:rFonts w:asciiTheme="majorBidi" w:hAnsiTheme="majorBidi" w:cstheme="majorBidi"/>
          <w:lang w:val="fr-FR"/>
        </w:rPr>
        <w:t xml:space="preserve"> </w:t>
      </w:r>
    </w:p>
    <w:tbl>
      <w:tblPr>
        <w:tblStyle w:val="Grilledutableau"/>
        <w:tblW w:w="0" w:type="auto"/>
        <w:tblInd w:w="1696" w:type="dxa"/>
        <w:tblLook w:val="04A0" w:firstRow="1" w:lastRow="0" w:firstColumn="1" w:lastColumn="0" w:noHBand="0" w:noVBand="1"/>
      </w:tblPr>
      <w:tblGrid>
        <w:gridCol w:w="426"/>
        <w:gridCol w:w="567"/>
        <w:gridCol w:w="3118"/>
        <w:gridCol w:w="1418"/>
        <w:gridCol w:w="1417"/>
      </w:tblGrid>
      <w:tr w:rsidR="00DC6286" w:rsidRPr="00950D73" w14:paraId="02BB805D" w14:textId="77777777" w:rsidTr="003229BF">
        <w:tc>
          <w:tcPr>
            <w:tcW w:w="426" w:type="dxa"/>
            <w:tcBorders>
              <w:top w:val="single" w:sz="4" w:space="0" w:color="auto"/>
              <w:left w:val="single" w:sz="4" w:space="0" w:color="auto"/>
              <w:bottom w:val="single" w:sz="4" w:space="0" w:color="auto"/>
              <w:right w:val="single" w:sz="4" w:space="0" w:color="auto"/>
            </w:tcBorders>
          </w:tcPr>
          <w:p w14:paraId="5B52B74A" w14:textId="77777777" w:rsidR="00DC6286" w:rsidRPr="00950D73" w:rsidRDefault="00DC6286"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tcPr>
          <w:p w14:paraId="0F4E8640" w14:textId="77777777" w:rsidR="00DC6286" w:rsidRPr="00950D73" w:rsidRDefault="00DC6286"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3118" w:type="dxa"/>
            <w:tcBorders>
              <w:top w:val="single" w:sz="4" w:space="0" w:color="auto"/>
              <w:left w:val="single" w:sz="4" w:space="0" w:color="auto"/>
              <w:bottom w:val="single" w:sz="4" w:space="0" w:color="auto"/>
              <w:right w:val="single" w:sz="4" w:space="0" w:color="auto"/>
            </w:tcBorders>
            <w:hideMark/>
          </w:tcPr>
          <w:p w14:paraId="5280FC19" w14:textId="77777777" w:rsidR="00DC6286" w:rsidRPr="00950D73" w:rsidRDefault="00DC6286" w:rsidP="00E5162A">
            <w:pPr>
              <w:pStyle w:val="Bullet2G"/>
              <w:numPr>
                <w:ilvl w:val="0"/>
                <w:numId w:val="0"/>
              </w:numPr>
              <w:tabs>
                <w:tab w:val="left" w:pos="720"/>
              </w:tabs>
              <w:ind w:left="9" w:right="112"/>
              <w:jc w:val="left"/>
              <w:rPr>
                <w:rFonts w:asciiTheme="majorBidi" w:eastAsia="SimSun" w:hAnsiTheme="majorBidi" w:cstheme="majorBidi"/>
                <w:sz w:val="18"/>
                <w:szCs w:val="18"/>
              </w:rPr>
            </w:pPr>
            <w:r w:rsidRPr="00950D73">
              <w:rPr>
                <w:rFonts w:asciiTheme="majorBidi" w:hAnsiTheme="majorBidi" w:cstheme="majorBidi"/>
                <w:sz w:val="18"/>
                <w:szCs w:val="18"/>
              </w:rPr>
              <w:t>Sensibilisation respiratoire (chapitre 3.4)</w:t>
            </w:r>
          </w:p>
        </w:tc>
        <w:tc>
          <w:tcPr>
            <w:tcW w:w="1418" w:type="dxa"/>
            <w:tcBorders>
              <w:top w:val="single" w:sz="4" w:space="0" w:color="auto"/>
              <w:left w:val="single" w:sz="4" w:space="0" w:color="auto"/>
              <w:bottom w:val="single" w:sz="4" w:space="0" w:color="auto"/>
              <w:right w:val="single" w:sz="4" w:space="0" w:color="auto"/>
            </w:tcBorders>
            <w:hideMark/>
          </w:tcPr>
          <w:p w14:paraId="3954236C" w14:textId="77777777" w:rsidR="00DC6286" w:rsidRPr="00950D73" w:rsidRDefault="00DC6286" w:rsidP="00E5162A">
            <w:pPr>
              <w:pStyle w:val="Bullet2G"/>
              <w:numPr>
                <w:ilvl w:val="0"/>
                <w:numId w:val="0"/>
              </w:numPr>
              <w:tabs>
                <w:tab w:val="left" w:pos="720"/>
              </w:tabs>
              <w:ind w:left="9" w:right="0"/>
              <w:jc w:val="center"/>
              <w:rPr>
                <w:rFonts w:asciiTheme="majorBidi" w:eastAsia="SimSun" w:hAnsiTheme="majorBidi" w:cstheme="majorBidi"/>
                <w:sz w:val="18"/>
                <w:szCs w:val="18"/>
              </w:rPr>
            </w:pPr>
            <w:r w:rsidRPr="00950D73">
              <w:rPr>
                <w:rFonts w:asciiTheme="majorBidi" w:hAnsiTheme="majorBidi" w:cstheme="majorBidi"/>
                <w:sz w:val="18"/>
                <w:szCs w:val="18"/>
              </w:rPr>
              <w:t>1, 1A, 1B</w:t>
            </w:r>
          </w:p>
        </w:tc>
        <w:tc>
          <w:tcPr>
            <w:tcW w:w="1417" w:type="dxa"/>
            <w:tcBorders>
              <w:top w:val="single" w:sz="4" w:space="0" w:color="auto"/>
              <w:left w:val="single" w:sz="4" w:space="0" w:color="auto"/>
              <w:bottom w:val="single" w:sz="4" w:space="0" w:color="auto"/>
              <w:right w:val="single" w:sz="4" w:space="0" w:color="auto"/>
            </w:tcBorders>
          </w:tcPr>
          <w:p w14:paraId="6BDFC5FE" w14:textId="57CC7EA4" w:rsidR="00DC6286" w:rsidRPr="00950D73" w:rsidRDefault="00DC6286" w:rsidP="003229BF">
            <w:pPr>
              <w:pStyle w:val="Bullet2G"/>
              <w:numPr>
                <w:ilvl w:val="0"/>
                <w:numId w:val="0"/>
              </w:numPr>
              <w:ind w:left="65" w:right="112"/>
              <w:rPr>
                <w:rFonts w:asciiTheme="majorBidi" w:eastAsia="SimSun" w:hAnsiTheme="majorBidi" w:cstheme="majorBidi"/>
                <w:sz w:val="18"/>
                <w:szCs w:val="18"/>
              </w:rPr>
            </w:pPr>
          </w:p>
        </w:tc>
      </w:tr>
    </w:tbl>
    <w:p w14:paraId="68A73AC6" w14:textId="30C608C8" w:rsidR="005B24CE" w:rsidRPr="00950D73" w:rsidRDefault="002E1029" w:rsidP="003F2AF7">
      <w:pPr>
        <w:pStyle w:val="SingleTxtG"/>
        <w:spacing w:before="240"/>
        <w:rPr>
          <w:rFonts w:asciiTheme="majorBidi" w:hAnsiTheme="majorBidi" w:cstheme="majorBidi"/>
          <w:lang w:val="fr-FR"/>
        </w:rPr>
      </w:pPr>
      <w:r w:rsidRPr="00950D73">
        <w:rPr>
          <w:rFonts w:asciiTheme="majorBidi" w:hAnsiTheme="majorBidi" w:cstheme="majorBidi"/>
          <w:lang w:val="fr-FR"/>
        </w:rPr>
        <w:t>Dans la colonne (5), appliquer l</w:t>
      </w:r>
      <w:r w:rsidR="00743331" w:rsidRPr="00950D73">
        <w:rPr>
          <w:rFonts w:asciiTheme="majorBidi" w:hAnsiTheme="majorBidi" w:cstheme="majorBidi"/>
          <w:lang w:val="fr-FR"/>
        </w:rPr>
        <w:t xml:space="preserve">a condition d’utilisation </w:t>
      </w:r>
      <w:r w:rsidR="00F66CD6" w:rsidRPr="00950D73">
        <w:rPr>
          <w:rFonts w:asciiTheme="majorBidi" w:hAnsiTheme="majorBidi" w:cstheme="majorBidi"/>
          <w:lang w:val="fr-FR"/>
        </w:rPr>
        <w:t xml:space="preserve">suivante </w:t>
      </w:r>
      <w:r w:rsidR="00743331" w:rsidRPr="00950D73">
        <w:rPr>
          <w:rFonts w:asciiTheme="majorBidi" w:hAnsiTheme="majorBidi" w:cstheme="majorBidi"/>
          <w:lang w:val="fr-FR"/>
        </w:rPr>
        <w:t>aux classes de danger</w:t>
      </w:r>
      <w:r w:rsidR="00B8354C" w:rsidRPr="00950D73">
        <w:rPr>
          <w:rFonts w:asciiTheme="majorBidi" w:hAnsiTheme="majorBidi" w:cstheme="majorBidi"/>
          <w:lang w:val="fr-FR"/>
        </w:rPr>
        <w:t> </w:t>
      </w:r>
      <w:r w:rsidR="009A030B" w:rsidRPr="00950D73">
        <w:rPr>
          <w:rFonts w:asciiTheme="majorBidi" w:hAnsiTheme="majorBidi" w:cstheme="majorBidi"/>
          <w:lang w:val="fr-FR"/>
        </w:rPr>
        <w:t xml:space="preserve">: </w:t>
      </w:r>
      <w:r w:rsidR="00A81BA9" w:rsidRPr="00950D73">
        <w:rPr>
          <w:rFonts w:asciiTheme="majorBidi" w:hAnsiTheme="majorBidi" w:cstheme="majorBidi"/>
          <w:lang w:val="fr-FR"/>
        </w:rPr>
        <w:t>« </w:t>
      </w:r>
      <w:r w:rsidR="005B24CE" w:rsidRPr="00950D73">
        <w:rPr>
          <w:rFonts w:asciiTheme="majorBidi" w:hAnsiTheme="majorBidi" w:cstheme="majorBidi"/>
          <w:lang w:val="fr-FR"/>
        </w:rPr>
        <w:t>Toxicité aiguë, inhalation</w:t>
      </w:r>
      <w:r w:rsidR="00A81BA9" w:rsidRPr="00950D73">
        <w:rPr>
          <w:rFonts w:asciiTheme="majorBidi" w:hAnsiTheme="majorBidi" w:cstheme="majorBidi"/>
          <w:lang w:val="fr-FR"/>
        </w:rPr>
        <w:t> »,</w:t>
      </w:r>
      <w:r w:rsidR="00F66CD6" w:rsidRPr="00950D73">
        <w:rPr>
          <w:rFonts w:asciiTheme="majorBidi" w:hAnsiTheme="majorBidi" w:cstheme="majorBidi"/>
          <w:lang w:val="fr-FR"/>
        </w:rPr>
        <w:t xml:space="preserve"> « sensibilisation respiratoire »,</w:t>
      </w:r>
      <w:r w:rsidR="00A81BA9" w:rsidRPr="00950D73">
        <w:rPr>
          <w:rFonts w:asciiTheme="majorBidi" w:hAnsiTheme="majorBidi" w:cstheme="majorBidi"/>
          <w:lang w:val="fr-FR"/>
        </w:rPr>
        <w:t xml:space="preserve"> « </w:t>
      </w:r>
      <w:r w:rsidR="005B24CE" w:rsidRPr="00950D73">
        <w:rPr>
          <w:rFonts w:asciiTheme="majorBidi" w:hAnsiTheme="majorBidi" w:cstheme="majorBidi"/>
          <w:lang w:val="fr-FR"/>
        </w:rPr>
        <w:t>Toxicité pour certains organes cibles, exposition unique</w:t>
      </w:r>
      <w:r w:rsidR="00A81BA9" w:rsidRPr="00950D73">
        <w:rPr>
          <w:rFonts w:asciiTheme="majorBidi" w:hAnsiTheme="majorBidi" w:cstheme="majorBidi"/>
          <w:lang w:val="fr-FR"/>
        </w:rPr>
        <w:t> »</w:t>
      </w:r>
      <w:r w:rsidR="005B24CE" w:rsidRPr="00950D73">
        <w:rPr>
          <w:rFonts w:asciiTheme="majorBidi" w:hAnsiTheme="majorBidi" w:cstheme="majorBidi"/>
          <w:lang w:val="fr-FR"/>
        </w:rPr>
        <w:t>,</w:t>
      </w:r>
      <w:r w:rsidR="009A030B" w:rsidRPr="00950D73">
        <w:rPr>
          <w:rFonts w:asciiTheme="majorBidi" w:hAnsiTheme="majorBidi" w:cstheme="majorBidi"/>
          <w:lang w:val="fr-FR"/>
        </w:rPr>
        <w:t xml:space="preserve"> et </w:t>
      </w:r>
      <w:r w:rsidR="00A81BA9" w:rsidRPr="00950D73">
        <w:rPr>
          <w:rFonts w:asciiTheme="majorBidi" w:hAnsiTheme="majorBidi" w:cstheme="majorBidi"/>
          <w:lang w:val="fr-FR"/>
        </w:rPr>
        <w:t>« </w:t>
      </w:r>
      <w:r w:rsidR="005B24CE" w:rsidRPr="00950D73">
        <w:rPr>
          <w:rFonts w:asciiTheme="majorBidi" w:hAnsiTheme="majorBidi" w:cstheme="majorBidi"/>
          <w:lang w:val="fr-FR"/>
        </w:rPr>
        <w:t>Toxicité pour certains organes cibles, exposition répétée</w:t>
      </w:r>
      <w:r w:rsidR="00A81BA9" w:rsidRPr="00950D73">
        <w:rPr>
          <w:rFonts w:asciiTheme="majorBidi" w:hAnsiTheme="majorBidi" w:cstheme="majorBidi"/>
          <w:lang w:val="fr-FR"/>
        </w:rPr>
        <w:t> »</w:t>
      </w:r>
      <w:r w:rsidR="00B8354C" w:rsidRPr="00950D73">
        <w:rPr>
          <w:rFonts w:asciiTheme="majorBidi" w:hAnsiTheme="majorBidi" w:cstheme="majorBidi"/>
          <w:lang w:val="fr-FR"/>
        </w:rPr>
        <w:t> </w:t>
      </w:r>
      <w:r w:rsidR="00C70D5A" w:rsidRPr="00950D73">
        <w:rPr>
          <w:rFonts w:asciiTheme="majorBidi" w:hAnsiTheme="majorBidi" w:cstheme="majorBidi"/>
          <w:lang w:val="fr-FR"/>
        </w:rPr>
        <w:t>:</w:t>
      </w:r>
    </w:p>
    <w:p w14:paraId="1AD3B696" w14:textId="161DC3CC" w:rsidR="00C70D5A" w:rsidRPr="00950D73" w:rsidRDefault="00C70D5A" w:rsidP="00F81DCD">
      <w:pPr>
        <w:pStyle w:val="SingleTxtG"/>
        <w:spacing w:before="240"/>
        <w:ind w:left="1701"/>
        <w:rPr>
          <w:rFonts w:asciiTheme="majorBidi" w:hAnsiTheme="majorBidi" w:cstheme="majorBidi"/>
          <w:lang w:val="fr-FR"/>
        </w:rPr>
      </w:pPr>
      <w:r w:rsidRPr="00950D73">
        <w:rPr>
          <w:rFonts w:asciiTheme="majorBidi" w:hAnsiTheme="majorBidi" w:cstheme="majorBidi"/>
          <w:lang w:val="fr-FR"/>
        </w:rPr>
        <w:t>« Il revient au fabricant/fournisseur ou à l’autorité compétente de préciser l’état physique ou les états physiques applicable(s). »</w:t>
      </w:r>
    </w:p>
    <w:p w14:paraId="3F46B2D4" w14:textId="592D6E3F" w:rsidR="004043CA" w:rsidRPr="00950D73" w:rsidRDefault="004043CA" w:rsidP="00ED026C">
      <w:pPr>
        <w:pStyle w:val="SingleTxtG"/>
        <w:spacing w:before="240"/>
        <w:rPr>
          <w:rFonts w:asciiTheme="majorBidi" w:hAnsiTheme="majorBidi" w:cstheme="majorBidi"/>
          <w:b/>
          <w:bCs/>
          <w:lang w:val="fr-FR"/>
        </w:rPr>
      </w:pPr>
      <w:r w:rsidRPr="00950D73">
        <w:rPr>
          <w:rFonts w:asciiTheme="majorBidi" w:hAnsiTheme="majorBidi" w:cstheme="majorBidi"/>
          <w:b/>
          <w:bCs/>
          <w:lang w:val="fr-FR"/>
        </w:rPr>
        <w:t>P261</w:t>
      </w:r>
    </w:p>
    <w:p w14:paraId="474450EC" w14:textId="59B603E1" w:rsidR="004043CA" w:rsidRPr="00950D73" w:rsidRDefault="003C561F" w:rsidP="003229BF">
      <w:pPr>
        <w:pStyle w:val="SingleTxtG"/>
        <w:rPr>
          <w:rFonts w:asciiTheme="majorBidi" w:hAnsiTheme="majorBidi" w:cstheme="majorBidi"/>
          <w:lang w:val="fr-FR"/>
        </w:rPr>
      </w:pPr>
      <w:r w:rsidRPr="00950D73">
        <w:rPr>
          <w:rFonts w:asciiTheme="majorBidi" w:hAnsiTheme="majorBidi" w:cstheme="majorBidi"/>
          <w:lang w:val="fr-FR"/>
        </w:rPr>
        <w:t>Supprimer la ligne applicable à la s</w:t>
      </w:r>
      <w:r w:rsidR="004043CA" w:rsidRPr="00950D73">
        <w:rPr>
          <w:rFonts w:asciiTheme="majorBidi" w:hAnsiTheme="majorBidi" w:cstheme="majorBidi"/>
          <w:lang w:val="fr-FR"/>
        </w:rPr>
        <w:t>ensibilisation respiratoire</w:t>
      </w:r>
      <w:r w:rsidR="009967E8" w:rsidRPr="00950D73">
        <w:rPr>
          <w:rFonts w:asciiTheme="majorBidi" w:hAnsiTheme="majorBidi" w:cstheme="majorBidi"/>
          <w:lang w:val="fr-FR"/>
        </w:rPr>
        <w:t xml:space="preserve">, catégories </w:t>
      </w:r>
      <w:r w:rsidR="004043CA" w:rsidRPr="00950D73">
        <w:rPr>
          <w:rFonts w:asciiTheme="majorBidi" w:hAnsiTheme="majorBidi" w:cstheme="majorBidi"/>
          <w:lang w:val="fr-FR"/>
        </w:rPr>
        <w:t>1, 1A, 1B</w:t>
      </w:r>
      <w:r w:rsidR="009967E8" w:rsidRPr="00950D73">
        <w:rPr>
          <w:rFonts w:asciiTheme="majorBidi" w:hAnsiTheme="majorBidi" w:cstheme="majorBidi"/>
          <w:lang w:val="fr-FR"/>
        </w:rPr>
        <w:t>.</w:t>
      </w:r>
    </w:p>
    <w:p w14:paraId="7300DFBD" w14:textId="27A13A7C" w:rsidR="001C428D" w:rsidRPr="00950D73" w:rsidRDefault="001C428D" w:rsidP="00ED026C">
      <w:pPr>
        <w:pStyle w:val="SingleTxtG"/>
        <w:spacing w:before="240"/>
        <w:rPr>
          <w:rFonts w:asciiTheme="majorBidi" w:hAnsiTheme="majorBidi" w:cstheme="majorBidi"/>
          <w:b/>
          <w:bCs/>
          <w:lang w:val="fr-FR"/>
        </w:rPr>
      </w:pPr>
      <w:r w:rsidRPr="00950D73">
        <w:rPr>
          <w:rFonts w:asciiTheme="majorBidi" w:hAnsiTheme="majorBidi" w:cstheme="majorBidi"/>
          <w:b/>
          <w:bCs/>
          <w:lang w:val="fr-FR"/>
        </w:rPr>
        <w:lastRenderedPageBreak/>
        <w:t>P262</w:t>
      </w:r>
      <w:r w:rsidR="00B9296E" w:rsidRPr="00950D73">
        <w:rPr>
          <w:rFonts w:asciiTheme="majorBidi" w:hAnsiTheme="majorBidi" w:cstheme="majorBidi"/>
          <w:b/>
          <w:bCs/>
          <w:lang w:val="fr-FR"/>
        </w:rPr>
        <w:t>, colonne (4)</w:t>
      </w:r>
    </w:p>
    <w:p w14:paraId="039448FB" w14:textId="07420D10" w:rsidR="001C428D" w:rsidRPr="00950D73" w:rsidRDefault="001C428D" w:rsidP="003229BF">
      <w:pPr>
        <w:pStyle w:val="Bullet1G"/>
        <w:numPr>
          <w:ilvl w:val="0"/>
          <w:numId w:val="0"/>
        </w:numPr>
        <w:tabs>
          <w:tab w:val="num" w:pos="1701"/>
        </w:tabs>
        <w:suppressAutoHyphens/>
        <w:kinsoku w:val="0"/>
        <w:overflowPunct w:val="0"/>
        <w:autoSpaceDE w:val="0"/>
        <w:autoSpaceDN w:val="0"/>
        <w:adjustRightInd w:val="0"/>
        <w:snapToGrid w:val="0"/>
        <w:ind w:left="1134"/>
        <w:rPr>
          <w:rFonts w:asciiTheme="majorBidi" w:hAnsiTheme="majorBidi" w:cstheme="majorBidi"/>
        </w:rPr>
      </w:pPr>
      <w:r w:rsidRPr="00950D73">
        <w:rPr>
          <w:rFonts w:asciiTheme="majorBidi" w:hAnsiTheme="majorBidi" w:cstheme="majorBidi"/>
        </w:rPr>
        <w:t>Ajouter «</w:t>
      </w:r>
      <w:r w:rsidR="00A03F7D" w:rsidRPr="00950D73">
        <w:rPr>
          <w:rFonts w:asciiTheme="majorBidi" w:hAnsiTheme="majorBidi" w:cstheme="majorBidi"/>
        </w:rPr>
        <w:t xml:space="preserve">, </w:t>
      </w:r>
      <w:r w:rsidRPr="00950D73">
        <w:rPr>
          <w:rFonts w:asciiTheme="majorBidi" w:hAnsiTheme="majorBidi" w:cstheme="majorBidi"/>
        </w:rPr>
        <w:t xml:space="preserve">3 » après « 1, 2 » </w:t>
      </w:r>
    </w:p>
    <w:p w14:paraId="7246DB11" w14:textId="4B9B1FD7" w:rsidR="001C428D" w:rsidRPr="00950D73" w:rsidRDefault="001C428D" w:rsidP="00ED026C">
      <w:pPr>
        <w:pStyle w:val="SingleTxtG"/>
        <w:spacing w:before="240"/>
        <w:rPr>
          <w:rFonts w:asciiTheme="majorBidi" w:hAnsiTheme="majorBidi" w:cstheme="majorBidi"/>
          <w:b/>
          <w:bCs/>
          <w:lang w:val="fr-FR"/>
        </w:rPr>
      </w:pPr>
      <w:r w:rsidRPr="00950D73">
        <w:rPr>
          <w:rFonts w:asciiTheme="majorBidi" w:hAnsiTheme="majorBidi" w:cstheme="majorBidi"/>
          <w:b/>
          <w:bCs/>
          <w:lang w:val="fr-FR"/>
        </w:rPr>
        <w:t>P264 et P270, colonne (4) </w:t>
      </w:r>
    </w:p>
    <w:p w14:paraId="234F17EF" w14:textId="77B02CA6" w:rsidR="001C428D" w:rsidRPr="00950D73" w:rsidRDefault="001C428D" w:rsidP="003229BF">
      <w:pPr>
        <w:pStyle w:val="Bullet1G"/>
        <w:numPr>
          <w:ilvl w:val="0"/>
          <w:numId w:val="0"/>
        </w:numPr>
        <w:tabs>
          <w:tab w:val="num" w:pos="1701"/>
        </w:tabs>
        <w:suppressAutoHyphens/>
        <w:kinsoku w:val="0"/>
        <w:overflowPunct w:val="0"/>
        <w:autoSpaceDE w:val="0"/>
        <w:autoSpaceDN w:val="0"/>
        <w:adjustRightInd w:val="0"/>
        <w:snapToGrid w:val="0"/>
        <w:ind w:left="1134"/>
        <w:rPr>
          <w:rFonts w:asciiTheme="majorBidi" w:hAnsiTheme="majorBidi" w:cstheme="majorBidi"/>
        </w:rPr>
      </w:pPr>
      <w:r w:rsidRPr="00950D73">
        <w:rPr>
          <w:rFonts w:asciiTheme="majorBidi" w:hAnsiTheme="majorBidi" w:cstheme="majorBidi"/>
        </w:rPr>
        <w:t>Pour la classe de danger « Toxicité aiguë, cutanée » ajouter «</w:t>
      </w:r>
      <w:r w:rsidR="00B9296E" w:rsidRPr="00950D73">
        <w:rPr>
          <w:rFonts w:asciiTheme="majorBidi" w:hAnsiTheme="majorBidi" w:cstheme="majorBidi"/>
        </w:rPr>
        <w:t>,</w:t>
      </w:r>
      <w:r w:rsidRPr="00950D73">
        <w:rPr>
          <w:rFonts w:asciiTheme="majorBidi" w:hAnsiTheme="majorBidi" w:cstheme="majorBidi"/>
        </w:rPr>
        <w:t xml:space="preserve"> 3 » après « 1, 2 » </w:t>
      </w:r>
    </w:p>
    <w:p w14:paraId="00CDE31A" w14:textId="440A6814" w:rsidR="002306A2" w:rsidRPr="00950D73" w:rsidRDefault="002306A2" w:rsidP="00ED026C">
      <w:pPr>
        <w:pStyle w:val="SingleTxtG"/>
        <w:spacing w:before="240"/>
        <w:rPr>
          <w:rFonts w:asciiTheme="majorBidi" w:hAnsiTheme="majorBidi" w:cstheme="majorBidi"/>
          <w:b/>
          <w:bCs/>
          <w:lang w:val="fr-FR"/>
        </w:rPr>
      </w:pPr>
      <w:r w:rsidRPr="00950D73">
        <w:rPr>
          <w:rFonts w:asciiTheme="majorBidi" w:hAnsiTheme="majorBidi" w:cstheme="majorBidi"/>
          <w:b/>
          <w:bCs/>
          <w:lang w:val="fr-FR"/>
        </w:rPr>
        <w:t>P271</w:t>
      </w:r>
    </w:p>
    <w:p w14:paraId="61CD2AD5" w14:textId="1B729CBB" w:rsidR="002306A2" w:rsidRPr="00950D73" w:rsidRDefault="002306A2" w:rsidP="003229BF">
      <w:pPr>
        <w:pStyle w:val="SingleTxtG"/>
        <w:rPr>
          <w:rFonts w:asciiTheme="majorBidi" w:hAnsiTheme="majorBidi" w:cstheme="majorBidi"/>
          <w:lang w:val="fr-FR"/>
        </w:rPr>
      </w:pPr>
      <w:r w:rsidRPr="00950D73">
        <w:rPr>
          <w:rFonts w:asciiTheme="majorBidi" w:hAnsiTheme="majorBidi" w:cstheme="majorBidi"/>
          <w:lang w:val="fr-FR"/>
        </w:rPr>
        <w:t>Dans la colonne</w:t>
      </w:r>
      <w:r w:rsidR="00B9296E" w:rsidRPr="00950D73">
        <w:rPr>
          <w:rFonts w:asciiTheme="majorBidi" w:hAnsiTheme="majorBidi" w:cstheme="majorBidi"/>
          <w:lang w:val="fr-FR"/>
        </w:rPr>
        <w:t xml:space="preserve"> (</w:t>
      </w:r>
      <w:r w:rsidRPr="00950D73">
        <w:rPr>
          <w:rFonts w:asciiTheme="majorBidi" w:hAnsiTheme="majorBidi" w:cstheme="majorBidi"/>
          <w:lang w:val="fr-FR"/>
        </w:rPr>
        <w:t>2</w:t>
      </w:r>
      <w:r w:rsidR="00B9296E" w:rsidRPr="00950D73">
        <w:rPr>
          <w:rFonts w:asciiTheme="majorBidi" w:hAnsiTheme="majorBidi" w:cstheme="majorBidi"/>
          <w:lang w:val="fr-FR"/>
        </w:rPr>
        <w:t xml:space="preserve">). Modifier le conseil de prudence pour lire comme suit : </w:t>
      </w:r>
      <w:r w:rsidRPr="00950D73">
        <w:rPr>
          <w:rFonts w:asciiTheme="majorBidi" w:hAnsiTheme="majorBidi" w:cstheme="majorBidi"/>
          <w:lang w:val="fr-FR"/>
        </w:rPr>
        <w:t>« </w:t>
      </w:r>
      <w:r w:rsidRPr="00950D73">
        <w:rPr>
          <w:rFonts w:asciiTheme="majorBidi" w:hAnsiTheme="majorBidi" w:cstheme="majorBidi"/>
          <w:b/>
          <w:bCs/>
          <w:lang w:val="fr-FR"/>
        </w:rPr>
        <w:t>Utiliser seulement en plein air ou avec une ventilation suffisante.</w:t>
      </w:r>
      <w:r w:rsidRPr="00950D73">
        <w:rPr>
          <w:rFonts w:asciiTheme="majorBidi" w:hAnsiTheme="majorBidi" w:cstheme="majorBidi"/>
          <w:lang w:val="fr-FR"/>
        </w:rPr>
        <w:t> » ;</w:t>
      </w:r>
    </w:p>
    <w:p w14:paraId="16D0F435" w14:textId="338B2F5B" w:rsidR="00437F2D" w:rsidRPr="00950D73" w:rsidRDefault="00437F2D" w:rsidP="003229BF">
      <w:pPr>
        <w:pStyle w:val="SingleTxtG"/>
        <w:rPr>
          <w:rFonts w:asciiTheme="majorBidi" w:hAnsiTheme="majorBidi" w:cstheme="majorBidi"/>
          <w:lang w:val="fr-FR"/>
        </w:rPr>
      </w:pPr>
      <w:r w:rsidRPr="00950D73">
        <w:rPr>
          <w:rFonts w:asciiTheme="majorBidi" w:hAnsiTheme="majorBidi" w:cstheme="majorBidi"/>
          <w:lang w:val="fr-FR"/>
        </w:rPr>
        <w:t>Insérer la ligne suivante sous celle applicable à la toxicité aiguë par inhalation</w:t>
      </w:r>
      <w:r w:rsidR="00BD3B50" w:rsidRPr="00950D73">
        <w:rPr>
          <w:rFonts w:asciiTheme="majorBidi" w:hAnsiTheme="majorBidi" w:cstheme="majorBidi"/>
          <w:lang w:val="fr-FR"/>
        </w:rPr>
        <w:t xml:space="preserve"> (chapitre 3.1)</w:t>
      </w:r>
      <w:r w:rsidRPr="00950D73">
        <w:rPr>
          <w:rFonts w:asciiTheme="majorBidi" w:hAnsiTheme="majorBidi" w:cstheme="majorBidi"/>
          <w:lang w:val="fr-FR"/>
        </w:rPr>
        <w:t> :</w:t>
      </w:r>
    </w:p>
    <w:tbl>
      <w:tblPr>
        <w:tblStyle w:val="Grilledutableau"/>
        <w:tblW w:w="0" w:type="auto"/>
        <w:tblInd w:w="1696" w:type="dxa"/>
        <w:tblLook w:val="04A0" w:firstRow="1" w:lastRow="0" w:firstColumn="1" w:lastColumn="0" w:noHBand="0" w:noVBand="1"/>
      </w:tblPr>
      <w:tblGrid>
        <w:gridCol w:w="426"/>
        <w:gridCol w:w="567"/>
        <w:gridCol w:w="3118"/>
        <w:gridCol w:w="1418"/>
        <w:gridCol w:w="1417"/>
      </w:tblGrid>
      <w:tr w:rsidR="00A10EEF" w:rsidRPr="00950D73" w14:paraId="5B2E3FBC" w14:textId="77777777" w:rsidTr="003229BF">
        <w:tc>
          <w:tcPr>
            <w:tcW w:w="426" w:type="dxa"/>
            <w:tcBorders>
              <w:top w:val="single" w:sz="4" w:space="0" w:color="auto"/>
              <w:left w:val="single" w:sz="4" w:space="0" w:color="auto"/>
              <w:bottom w:val="single" w:sz="4" w:space="0" w:color="auto"/>
              <w:right w:val="single" w:sz="4" w:space="0" w:color="auto"/>
            </w:tcBorders>
          </w:tcPr>
          <w:p w14:paraId="189307B1" w14:textId="77777777" w:rsidR="00A10EEF" w:rsidRPr="00950D73" w:rsidRDefault="00A10EEF"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tcPr>
          <w:p w14:paraId="5B9AD1E3" w14:textId="77777777" w:rsidR="00A10EEF" w:rsidRPr="00950D73" w:rsidRDefault="00A10EEF"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3118" w:type="dxa"/>
            <w:tcBorders>
              <w:top w:val="single" w:sz="4" w:space="0" w:color="auto"/>
              <w:left w:val="single" w:sz="4" w:space="0" w:color="auto"/>
              <w:bottom w:val="single" w:sz="4" w:space="0" w:color="auto"/>
              <w:right w:val="single" w:sz="4" w:space="0" w:color="auto"/>
            </w:tcBorders>
            <w:hideMark/>
          </w:tcPr>
          <w:p w14:paraId="5D72E155" w14:textId="77777777" w:rsidR="00A10EEF" w:rsidRPr="00950D73" w:rsidRDefault="00A10EEF" w:rsidP="00E5162A">
            <w:pPr>
              <w:pStyle w:val="Bullet2G"/>
              <w:numPr>
                <w:ilvl w:val="0"/>
                <w:numId w:val="0"/>
              </w:numPr>
              <w:tabs>
                <w:tab w:val="left" w:pos="720"/>
              </w:tabs>
              <w:ind w:left="9" w:right="112"/>
              <w:jc w:val="left"/>
              <w:rPr>
                <w:rFonts w:asciiTheme="majorBidi" w:eastAsia="SimSun" w:hAnsiTheme="majorBidi" w:cstheme="majorBidi"/>
                <w:sz w:val="18"/>
                <w:szCs w:val="18"/>
              </w:rPr>
            </w:pPr>
            <w:r w:rsidRPr="00950D73">
              <w:rPr>
                <w:rFonts w:asciiTheme="majorBidi" w:hAnsiTheme="majorBidi" w:cstheme="majorBidi"/>
                <w:sz w:val="18"/>
                <w:szCs w:val="18"/>
              </w:rPr>
              <w:t>Sensibilisation respiratoire (chapitre 3.4)</w:t>
            </w:r>
          </w:p>
        </w:tc>
        <w:tc>
          <w:tcPr>
            <w:tcW w:w="1418" w:type="dxa"/>
            <w:tcBorders>
              <w:top w:val="single" w:sz="4" w:space="0" w:color="auto"/>
              <w:left w:val="single" w:sz="4" w:space="0" w:color="auto"/>
              <w:bottom w:val="single" w:sz="4" w:space="0" w:color="auto"/>
              <w:right w:val="single" w:sz="4" w:space="0" w:color="auto"/>
            </w:tcBorders>
            <w:hideMark/>
          </w:tcPr>
          <w:p w14:paraId="1B3B5AFD" w14:textId="77777777" w:rsidR="00A10EEF" w:rsidRPr="00950D73" w:rsidRDefault="00A10EEF" w:rsidP="00E5162A">
            <w:pPr>
              <w:pStyle w:val="Bullet2G"/>
              <w:numPr>
                <w:ilvl w:val="0"/>
                <w:numId w:val="0"/>
              </w:numPr>
              <w:tabs>
                <w:tab w:val="left" w:pos="720"/>
              </w:tabs>
              <w:ind w:left="9" w:right="0"/>
              <w:jc w:val="center"/>
              <w:rPr>
                <w:rFonts w:asciiTheme="majorBidi" w:eastAsia="SimSun" w:hAnsiTheme="majorBidi" w:cstheme="majorBidi"/>
                <w:sz w:val="18"/>
                <w:szCs w:val="18"/>
              </w:rPr>
            </w:pPr>
            <w:r w:rsidRPr="00950D73">
              <w:rPr>
                <w:rFonts w:asciiTheme="majorBidi" w:hAnsiTheme="majorBidi" w:cstheme="majorBidi"/>
                <w:sz w:val="18"/>
                <w:szCs w:val="18"/>
              </w:rPr>
              <w:t>1, 1A, 1B</w:t>
            </w:r>
          </w:p>
        </w:tc>
        <w:tc>
          <w:tcPr>
            <w:tcW w:w="1417" w:type="dxa"/>
            <w:tcBorders>
              <w:top w:val="single" w:sz="4" w:space="0" w:color="auto"/>
              <w:left w:val="single" w:sz="4" w:space="0" w:color="auto"/>
              <w:bottom w:val="single" w:sz="4" w:space="0" w:color="auto"/>
              <w:right w:val="single" w:sz="4" w:space="0" w:color="auto"/>
            </w:tcBorders>
          </w:tcPr>
          <w:p w14:paraId="4F1E5EF8" w14:textId="77777777" w:rsidR="00A10EEF" w:rsidRPr="00950D73" w:rsidRDefault="00A10EEF" w:rsidP="003229BF">
            <w:pPr>
              <w:pStyle w:val="Bullet2G"/>
              <w:numPr>
                <w:ilvl w:val="0"/>
                <w:numId w:val="0"/>
              </w:numPr>
              <w:ind w:left="65" w:right="112"/>
              <w:rPr>
                <w:rFonts w:asciiTheme="majorBidi" w:eastAsia="SimSun" w:hAnsiTheme="majorBidi" w:cstheme="majorBidi"/>
                <w:sz w:val="18"/>
                <w:szCs w:val="18"/>
              </w:rPr>
            </w:pPr>
          </w:p>
        </w:tc>
      </w:tr>
    </w:tbl>
    <w:p w14:paraId="0A708A48" w14:textId="762AD695" w:rsidR="00764567" w:rsidRPr="00950D73" w:rsidRDefault="002306A2" w:rsidP="00F81DCD">
      <w:pPr>
        <w:pStyle w:val="SingleTxtG"/>
        <w:spacing w:before="240" w:after="0"/>
        <w:rPr>
          <w:rFonts w:asciiTheme="majorBidi" w:hAnsiTheme="majorBidi" w:cstheme="majorBidi"/>
          <w:lang w:val="fr-FR"/>
        </w:rPr>
      </w:pPr>
      <w:r w:rsidRPr="00950D73">
        <w:rPr>
          <w:rFonts w:asciiTheme="majorBidi" w:hAnsiTheme="majorBidi" w:cstheme="majorBidi"/>
          <w:lang w:val="fr-FR"/>
        </w:rPr>
        <w:t xml:space="preserve">Dans la colonne </w:t>
      </w:r>
      <w:r w:rsidR="00A3440A" w:rsidRPr="00950D73">
        <w:rPr>
          <w:rFonts w:asciiTheme="majorBidi" w:hAnsiTheme="majorBidi" w:cstheme="majorBidi"/>
          <w:lang w:val="fr-FR"/>
        </w:rPr>
        <w:t>(</w:t>
      </w:r>
      <w:r w:rsidRPr="00950D73">
        <w:rPr>
          <w:rFonts w:asciiTheme="majorBidi" w:hAnsiTheme="majorBidi" w:cstheme="majorBidi"/>
          <w:lang w:val="fr-FR"/>
        </w:rPr>
        <w:t>5</w:t>
      </w:r>
      <w:r w:rsidR="00A3440A" w:rsidRPr="00950D73">
        <w:rPr>
          <w:rFonts w:asciiTheme="majorBidi" w:hAnsiTheme="majorBidi" w:cstheme="majorBidi"/>
          <w:lang w:val="fr-FR"/>
        </w:rPr>
        <w:t>)</w:t>
      </w:r>
      <w:r w:rsidRPr="00950D73">
        <w:rPr>
          <w:rFonts w:asciiTheme="majorBidi" w:hAnsiTheme="majorBidi" w:cstheme="majorBidi"/>
          <w:lang w:val="fr-FR"/>
        </w:rPr>
        <w:t xml:space="preserve"> </w:t>
      </w:r>
      <w:r w:rsidR="00A3440A" w:rsidRPr="00950D73">
        <w:rPr>
          <w:rFonts w:asciiTheme="majorBidi" w:hAnsiTheme="majorBidi" w:cstheme="majorBidi"/>
          <w:lang w:val="fr-FR"/>
        </w:rPr>
        <w:t>ajouter la condition d’utilisation suivante pour toutes les classes de danger (y compris celle relative à la sensibilisation respiratoire)</w:t>
      </w:r>
      <w:r w:rsidR="00764567" w:rsidRPr="00950D73">
        <w:rPr>
          <w:rFonts w:asciiTheme="majorBidi" w:hAnsiTheme="majorBidi" w:cstheme="majorBidi"/>
          <w:lang w:val="fr-FR"/>
        </w:rPr>
        <w:t xml:space="preserve"> : </w:t>
      </w:r>
    </w:p>
    <w:p w14:paraId="7975DC77" w14:textId="6476FDA6" w:rsidR="002306A2" w:rsidRPr="00950D73" w:rsidRDefault="002306A2" w:rsidP="00F81DCD">
      <w:pPr>
        <w:pStyle w:val="SingleTxtG"/>
        <w:spacing w:before="240"/>
        <w:ind w:left="1701"/>
        <w:rPr>
          <w:rFonts w:asciiTheme="majorBidi" w:hAnsiTheme="majorBidi" w:cstheme="majorBidi"/>
          <w:lang w:val="fr-FR"/>
        </w:rPr>
      </w:pPr>
      <w:r w:rsidRPr="00950D73">
        <w:rPr>
          <w:rFonts w:asciiTheme="majorBidi" w:hAnsiTheme="majorBidi" w:cstheme="majorBidi"/>
          <w:lang w:val="fr-FR"/>
        </w:rPr>
        <w:t>« Il revient au fabricant/fournisseur de préciser, sur la fiche de données de sécurité et dans toutes les instructions de sécurité supplémentaires fournies aux consommateurs, quel type de ventilation conviendrait à une utilisation sûre.</w:t>
      </w:r>
      <w:bookmarkStart w:id="38" w:name="_Hlk113621787"/>
      <w:bookmarkEnd w:id="38"/>
      <w:r w:rsidRPr="00950D73">
        <w:rPr>
          <w:rFonts w:asciiTheme="majorBidi" w:hAnsiTheme="majorBidi" w:cstheme="majorBidi"/>
          <w:lang w:val="fr-FR"/>
        </w:rPr>
        <w:t> ».</w:t>
      </w:r>
    </w:p>
    <w:p w14:paraId="6FAB4164" w14:textId="1DBBE5F9" w:rsidR="00460402" w:rsidRPr="00950D73" w:rsidRDefault="00460402" w:rsidP="00803C7A">
      <w:pPr>
        <w:pStyle w:val="SingleTxtG"/>
        <w:keepNext/>
        <w:keepLines/>
        <w:spacing w:before="240"/>
        <w:rPr>
          <w:rFonts w:asciiTheme="majorBidi" w:hAnsiTheme="majorBidi" w:cstheme="majorBidi"/>
          <w:b/>
          <w:bCs/>
          <w:lang w:val="fr-FR"/>
        </w:rPr>
      </w:pPr>
      <w:r w:rsidRPr="00950D73">
        <w:rPr>
          <w:rFonts w:asciiTheme="majorBidi" w:hAnsiTheme="majorBidi" w:cstheme="majorBidi"/>
          <w:b/>
          <w:bCs/>
          <w:lang w:val="fr-FR"/>
        </w:rPr>
        <w:t>P280</w:t>
      </w:r>
    </w:p>
    <w:p w14:paraId="5F829900" w14:textId="2D4113E3" w:rsidR="00764567" w:rsidRPr="00950D73" w:rsidRDefault="00764567" w:rsidP="003229BF">
      <w:pPr>
        <w:pStyle w:val="SingleTxtG"/>
        <w:rPr>
          <w:rFonts w:asciiTheme="majorBidi" w:hAnsiTheme="majorBidi" w:cstheme="majorBidi"/>
          <w:lang w:val="fr-FR"/>
        </w:rPr>
      </w:pPr>
      <w:r w:rsidRPr="00950D73">
        <w:rPr>
          <w:rFonts w:asciiTheme="majorBidi" w:hAnsiTheme="majorBidi" w:cstheme="majorBidi"/>
          <w:lang w:val="fr-FR"/>
        </w:rPr>
        <w:t xml:space="preserve">Insérer la ligne suivante sous celle applicable à </w:t>
      </w:r>
      <w:r w:rsidR="006B715E" w:rsidRPr="00950D73">
        <w:rPr>
          <w:rFonts w:asciiTheme="majorBidi" w:hAnsiTheme="majorBidi" w:cstheme="majorBidi"/>
          <w:lang w:val="fr-FR"/>
        </w:rPr>
        <w:t>l’irritation oculaire</w:t>
      </w:r>
      <w:r w:rsidR="00BD3B50" w:rsidRPr="00950D73">
        <w:rPr>
          <w:rFonts w:asciiTheme="majorBidi" w:hAnsiTheme="majorBidi" w:cstheme="majorBidi"/>
          <w:lang w:val="fr-FR"/>
        </w:rPr>
        <w:t xml:space="preserve"> (chapitre 3.3)</w:t>
      </w:r>
      <w:r w:rsidRPr="00950D73">
        <w:rPr>
          <w:rFonts w:asciiTheme="majorBidi" w:hAnsiTheme="majorBidi" w:cstheme="majorBidi"/>
          <w:lang w:val="fr-FR"/>
        </w:rPr>
        <w:t>:</w:t>
      </w:r>
    </w:p>
    <w:tbl>
      <w:tblPr>
        <w:tblStyle w:val="Grilledutableau"/>
        <w:tblW w:w="0" w:type="auto"/>
        <w:tblInd w:w="1696" w:type="dxa"/>
        <w:tblLook w:val="04A0" w:firstRow="1" w:lastRow="0" w:firstColumn="1" w:lastColumn="0" w:noHBand="0" w:noVBand="1"/>
      </w:tblPr>
      <w:tblGrid>
        <w:gridCol w:w="426"/>
        <w:gridCol w:w="567"/>
        <w:gridCol w:w="1417"/>
        <w:gridCol w:w="992"/>
        <w:gridCol w:w="3544"/>
      </w:tblGrid>
      <w:tr w:rsidR="00764567" w:rsidRPr="00950D73" w14:paraId="3118528C" w14:textId="77777777" w:rsidTr="003229BF">
        <w:tc>
          <w:tcPr>
            <w:tcW w:w="426" w:type="dxa"/>
            <w:tcBorders>
              <w:top w:val="single" w:sz="4" w:space="0" w:color="auto"/>
              <w:left w:val="single" w:sz="4" w:space="0" w:color="auto"/>
              <w:bottom w:val="single" w:sz="4" w:space="0" w:color="auto"/>
              <w:right w:val="single" w:sz="4" w:space="0" w:color="auto"/>
            </w:tcBorders>
          </w:tcPr>
          <w:p w14:paraId="303481B9" w14:textId="77777777" w:rsidR="00764567" w:rsidRPr="00950D73" w:rsidRDefault="00764567"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tcPr>
          <w:p w14:paraId="69615F2F" w14:textId="77777777" w:rsidR="00764567" w:rsidRPr="00950D73" w:rsidRDefault="00764567"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14:paraId="578D8B21" w14:textId="77777777" w:rsidR="00764567" w:rsidRPr="00950D73" w:rsidRDefault="00764567" w:rsidP="00E5162A">
            <w:pPr>
              <w:pStyle w:val="Bullet2G"/>
              <w:numPr>
                <w:ilvl w:val="0"/>
                <w:numId w:val="0"/>
              </w:numPr>
              <w:tabs>
                <w:tab w:val="left" w:pos="720"/>
              </w:tabs>
              <w:ind w:left="9" w:right="112"/>
              <w:jc w:val="left"/>
              <w:rPr>
                <w:rFonts w:asciiTheme="majorBidi" w:eastAsia="SimSun" w:hAnsiTheme="majorBidi" w:cstheme="majorBidi"/>
                <w:sz w:val="18"/>
                <w:szCs w:val="18"/>
              </w:rPr>
            </w:pPr>
            <w:r w:rsidRPr="00950D73">
              <w:rPr>
                <w:rFonts w:asciiTheme="majorBidi" w:hAnsiTheme="majorBidi" w:cstheme="majorBidi"/>
                <w:sz w:val="18"/>
                <w:szCs w:val="18"/>
              </w:rPr>
              <w:t>Sensibilisation respiratoire (chapitre 3.4)</w:t>
            </w:r>
          </w:p>
        </w:tc>
        <w:tc>
          <w:tcPr>
            <w:tcW w:w="992" w:type="dxa"/>
            <w:tcBorders>
              <w:top w:val="single" w:sz="4" w:space="0" w:color="auto"/>
              <w:left w:val="single" w:sz="4" w:space="0" w:color="auto"/>
              <w:bottom w:val="single" w:sz="4" w:space="0" w:color="auto"/>
              <w:right w:val="single" w:sz="4" w:space="0" w:color="auto"/>
            </w:tcBorders>
            <w:hideMark/>
          </w:tcPr>
          <w:p w14:paraId="6C1F50E5" w14:textId="77777777" w:rsidR="00764567" w:rsidRPr="00950D73" w:rsidRDefault="00764567" w:rsidP="00E5162A">
            <w:pPr>
              <w:pStyle w:val="Bullet2G"/>
              <w:numPr>
                <w:ilvl w:val="0"/>
                <w:numId w:val="0"/>
              </w:numPr>
              <w:tabs>
                <w:tab w:val="left" w:pos="720"/>
              </w:tabs>
              <w:ind w:left="9" w:right="0"/>
              <w:jc w:val="center"/>
              <w:rPr>
                <w:rFonts w:asciiTheme="majorBidi" w:eastAsia="SimSun" w:hAnsiTheme="majorBidi" w:cstheme="majorBidi"/>
                <w:sz w:val="18"/>
                <w:szCs w:val="18"/>
              </w:rPr>
            </w:pPr>
            <w:r w:rsidRPr="00950D73">
              <w:rPr>
                <w:rFonts w:asciiTheme="majorBidi" w:hAnsiTheme="majorBidi" w:cstheme="majorBidi"/>
                <w:sz w:val="18"/>
                <w:szCs w:val="18"/>
              </w:rPr>
              <w:t>1, 1A, 1B</w:t>
            </w:r>
          </w:p>
        </w:tc>
        <w:tc>
          <w:tcPr>
            <w:tcW w:w="3544" w:type="dxa"/>
            <w:tcBorders>
              <w:top w:val="single" w:sz="4" w:space="0" w:color="auto"/>
              <w:left w:val="single" w:sz="4" w:space="0" w:color="auto"/>
              <w:bottom w:val="single" w:sz="4" w:space="0" w:color="auto"/>
              <w:right w:val="single" w:sz="4" w:space="0" w:color="auto"/>
            </w:tcBorders>
          </w:tcPr>
          <w:p w14:paraId="63C7385C" w14:textId="77777777" w:rsidR="00EC18CC" w:rsidRPr="00950D73" w:rsidRDefault="00EC18CC" w:rsidP="003229BF">
            <w:pPr>
              <w:pStyle w:val="Bullet2G"/>
              <w:numPr>
                <w:ilvl w:val="0"/>
                <w:numId w:val="0"/>
              </w:numPr>
              <w:spacing w:after="0"/>
              <w:ind w:left="62" w:right="113"/>
              <w:rPr>
                <w:rFonts w:asciiTheme="majorBidi" w:eastAsia="SimSun" w:hAnsiTheme="majorBidi" w:cstheme="majorBidi"/>
                <w:sz w:val="18"/>
                <w:szCs w:val="18"/>
              </w:rPr>
            </w:pPr>
            <w:r w:rsidRPr="00950D73">
              <w:rPr>
                <w:rFonts w:asciiTheme="majorBidi" w:eastAsia="SimSun" w:hAnsiTheme="majorBidi" w:cstheme="majorBidi"/>
                <w:sz w:val="18"/>
                <w:szCs w:val="18"/>
              </w:rPr>
              <w:t xml:space="preserve">« − </w:t>
            </w:r>
            <w:r w:rsidRPr="00950D73">
              <w:rPr>
                <w:rFonts w:asciiTheme="majorBidi" w:eastAsia="SimSun" w:hAnsiTheme="majorBidi" w:cstheme="majorBidi"/>
                <w:i/>
                <w:iCs/>
                <w:sz w:val="18"/>
                <w:szCs w:val="18"/>
              </w:rPr>
              <w:t>Préciser gants/vêtements de protection.</w:t>
            </w:r>
            <w:r w:rsidRPr="00950D73">
              <w:rPr>
                <w:rFonts w:asciiTheme="majorBidi" w:eastAsia="SimSun" w:hAnsiTheme="majorBidi" w:cstheme="majorBidi"/>
                <w:sz w:val="18"/>
                <w:szCs w:val="18"/>
              </w:rPr>
              <w:t xml:space="preserve"> </w:t>
            </w:r>
          </w:p>
          <w:p w14:paraId="086F4E37" w14:textId="30A92397" w:rsidR="00764567" w:rsidRPr="00950D73" w:rsidRDefault="00EC18CC" w:rsidP="003229BF">
            <w:pPr>
              <w:pStyle w:val="Bullet2G"/>
              <w:numPr>
                <w:ilvl w:val="0"/>
                <w:numId w:val="0"/>
              </w:numPr>
              <w:spacing w:line="240" w:lineRule="auto"/>
              <w:ind w:left="62" w:right="113"/>
              <w:rPr>
                <w:rFonts w:asciiTheme="majorBidi" w:eastAsia="SimSun" w:hAnsiTheme="majorBidi" w:cstheme="majorBidi"/>
                <w:sz w:val="18"/>
                <w:szCs w:val="18"/>
              </w:rPr>
            </w:pPr>
            <w:r w:rsidRPr="00950D73">
              <w:rPr>
                <w:rFonts w:asciiTheme="majorBidi" w:eastAsia="SimSun" w:hAnsiTheme="majorBidi" w:cstheme="majorBidi"/>
                <w:sz w:val="18"/>
                <w:szCs w:val="18"/>
              </w:rPr>
              <w:t>Il revient au fabricant/ fournisseur ou à l’autorité compétente de préciser davantage le type d’équipement, le cas échéant. ».</w:t>
            </w:r>
          </w:p>
        </w:tc>
      </w:tr>
    </w:tbl>
    <w:p w14:paraId="25C2AACE" w14:textId="1FDDFB10" w:rsidR="0099258A" w:rsidRPr="00950D73" w:rsidRDefault="0099258A" w:rsidP="00981BAB">
      <w:pPr>
        <w:pStyle w:val="SingleTxtG"/>
        <w:spacing w:before="240"/>
        <w:rPr>
          <w:rFonts w:asciiTheme="majorBidi" w:hAnsiTheme="majorBidi" w:cstheme="majorBidi"/>
          <w:b/>
          <w:bCs/>
          <w:lang w:val="fr-FR"/>
        </w:rPr>
      </w:pPr>
      <w:r w:rsidRPr="00950D73">
        <w:rPr>
          <w:rFonts w:asciiTheme="majorBidi" w:hAnsiTheme="majorBidi" w:cstheme="majorBidi"/>
          <w:b/>
          <w:bCs/>
          <w:lang w:val="fr-FR"/>
        </w:rPr>
        <w:t>P284</w:t>
      </w:r>
    </w:p>
    <w:p w14:paraId="381F6266" w14:textId="7DA8F3BC" w:rsidR="0099258A" w:rsidRPr="00950D73" w:rsidRDefault="0099258A" w:rsidP="003229BF">
      <w:pPr>
        <w:pStyle w:val="SingleTxtG"/>
        <w:rPr>
          <w:rFonts w:asciiTheme="majorBidi" w:hAnsiTheme="majorBidi" w:cstheme="majorBidi"/>
          <w:lang w:val="fr-FR"/>
        </w:rPr>
      </w:pPr>
      <w:r w:rsidRPr="00950D73">
        <w:rPr>
          <w:rFonts w:asciiTheme="majorBidi" w:hAnsiTheme="majorBidi" w:cstheme="majorBidi"/>
          <w:lang w:val="fr-FR"/>
        </w:rPr>
        <w:lastRenderedPageBreak/>
        <w:t>Dans la colonne </w:t>
      </w:r>
      <w:r w:rsidR="004B715F" w:rsidRPr="00950D73">
        <w:rPr>
          <w:rFonts w:asciiTheme="majorBidi" w:hAnsiTheme="majorBidi" w:cstheme="majorBidi"/>
          <w:lang w:val="fr-FR"/>
        </w:rPr>
        <w:t>(</w:t>
      </w:r>
      <w:r w:rsidRPr="00950D73">
        <w:rPr>
          <w:rFonts w:asciiTheme="majorBidi" w:hAnsiTheme="majorBidi" w:cstheme="majorBidi"/>
          <w:lang w:val="fr-FR"/>
        </w:rPr>
        <w:t>2</w:t>
      </w:r>
      <w:r w:rsidR="004B715F" w:rsidRPr="00950D73">
        <w:rPr>
          <w:rFonts w:asciiTheme="majorBidi" w:hAnsiTheme="majorBidi" w:cstheme="majorBidi"/>
          <w:lang w:val="fr-FR"/>
        </w:rPr>
        <w:t>)</w:t>
      </w:r>
      <w:r w:rsidRPr="00950D73">
        <w:rPr>
          <w:rFonts w:asciiTheme="majorBidi" w:hAnsiTheme="majorBidi" w:cstheme="majorBidi"/>
          <w:lang w:val="fr-FR"/>
        </w:rPr>
        <w:t xml:space="preserve">, </w:t>
      </w:r>
      <w:r w:rsidR="004B715F" w:rsidRPr="00950D73">
        <w:rPr>
          <w:rFonts w:asciiTheme="majorBidi" w:hAnsiTheme="majorBidi" w:cstheme="majorBidi"/>
          <w:lang w:val="fr-FR"/>
        </w:rPr>
        <w:t>supprimer les crochets autour du texte du conseil de prudence</w:t>
      </w:r>
    </w:p>
    <w:p w14:paraId="3A46AC36" w14:textId="77777777" w:rsidR="00E77B2C" w:rsidRPr="00950D73" w:rsidRDefault="0099258A" w:rsidP="003229BF">
      <w:pPr>
        <w:pStyle w:val="SingleTxtG"/>
        <w:rPr>
          <w:rFonts w:asciiTheme="majorBidi" w:hAnsiTheme="majorBidi" w:cstheme="majorBidi"/>
          <w:lang w:val="fr-FR"/>
        </w:rPr>
      </w:pPr>
      <w:r w:rsidRPr="00950D73">
        <w:rPr>
          <w:rFonts w:asciiTheme="majorBidi" w:hAnsiTheme="majorBidi" w:cstheme="majorBidi"/>
          <w:lang w:val="fr-FR"/>
        </w:rPr>
        <w:t xml:space="preserve">Dans la colonne </w:t>
      </w:r>
      <w:r w:rsidR="00F70809" w:rsidRPr="00950D73">
        <w:rPr>
          <w:rFonts w:asciiTheme="majorBidi" w:hAnsiTheme="majorBidi" w:cstheme="majorBidi"/>
          <w:lang w:val="fr-FR"/>
        </w:rPr>
        <w:t>(</w:t>
      </w:r>
      <w:r w:rsidRPr="00950D73">
        <w:rPr>
          <w:rFonts w:asciiTheme="majorBidi" w:hAnsiTheme="majorBidi" w:cstheme="majorBidi"/>
          <w:lang w:val="fr-FR"/>
        </w:rPr>
        <w:t>5</w:t>
      </w:r>
      <w:r w:rsidR="00F70809" w:rsidRPr="00950D73">
        <w:rPr>
          <w:rFonts w:asciiTheme="majorBidi" w:hAnsiTheme="majorBidi" w:cstheme="majorBidi"/>
          <w:lang w:val="fr-FR"/>
        </w:rPr>
        <w:t xml:space="preserve">). Modifier la condition relative à l’utilisation pour lire comme suit : </w:t>
      </w:r>
      <w:r w:rsidRPr="00950D73">
        <w:rPr>
          <w:rFonts w:asciiTheme="majorBidi" w:hAnsiTheme="majorBidi" w:cstheme="majorBidi"/>
          <w:lang w:val="fr-FR"/>
        </w:rPr>
        <w:t xml:space="preserve"> </w:t>
      </w:r>
    </w:p>
    <w:p w14:paraId="4599DF29" w14:textId="1E8A4A07" w:rsidR="002306A2" w:rsidRPr="00950D73" w:rsidRDefault="0099258A" w:rsidP="00E77B2C">
      <w:pPr>
        <w:pStyle w:val="SingleTxtG"/>
        <w:ind w:left="1418"/>
        <w:rPr>
          <w:rFonts w:asciiTheme="majorBidi" w:hAnsiTheme="majorBidi" w:cstheme="majorBidi"/>
          <w:lang w:val="fr-FR"/>
        </w:rPr>
      </w:pPr>
      <w:r w:rsidRPr="00950D73">
        <w:rPr>
          <w:rFonts w:asciiTheme="majorBidi" w:hAnsiTheme="majorBidi" w:cstheme="majorBidi"/>
          <w:lang w:val="fr-FR"/>
        </w:rPr>
        <w:t>« Il revient au fabricant/fournisseur de préciser, sur la fiche de données de sécurité, quel type de ventilation conviendrait à une utilisation sûre, et de joindre au produit chimique, au point d’utilisation, des informations supplémentaires qui précisent quel type d’équipement respiratoire pourrait également être nécessaire. ».</w:t>
      </w:r>
    </w:p>
    <w:p w14:paraId="6B68C310" w14:textId="2F2196D3" w:rsidR="00C94ECF" w:rsidRPr="00950D73" w:rsidRDefault="00764532" w:rsidP="00E77B2C">
      <w:pPr>
        <w:pStyle w:val="H23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r>
      <w:r w:rsidR="00C94ECF" w:rsidRPr="00950D73">
        <w:rPr>
          <w:rFonts w:asciiTheme="majorBidi" w:hAnsiTheme="majorBidi" w:cstheme="majorBidi"/>
        </w:rPr>
        <w:t>Tableau A3.2.3</w:t>
      </w:r>
    </w:p>
    <w:p w14:paraId="0A860520" w14:textId="3295DF03" w:rsidR="00911D44" w:rsidRPr="00950D73" w:rsidRDefault="00C94ECF" w:rsidP="00E77B2C">
      <w:pPr>
        <w:pStyle w:val="SingleTxtG"/>
        <w:spacing w:before="240"/>
        <w:rPr>
          <w:rFonts w:asciiTheme="majorBidi" w:hAnsiTheme="majorBidi" w:cstheme="majorBidi"/>
          <w:b/>
          <w:bCs/>
          <w:lang w:val="fr-FR"/>
        </w:rPr>
      </w:pPr>
      <w:r w:rsidRPr="00950D73">
        <w:rPr>
          <w:rFonts w:asciiTheme="majorBidi" w:hAnsiTheme="majorBidi" w:cstheme="majorBidi"/>
          <w:b/>
          <w:bCs/>
          <w:lang w:val="fr-FR"/>
        </w:rPr>
        <w:t>P302 + P335 + P334</w:t>
      </w:r>
      <w:r w:rsidR="00911D44" w:rsidRPr="00950D73">
        <w:rPr>
          <w:rFonts w:asciiTheme="majorBidi" w:hAnsiTheme="majorBidi" w:cstheme="majorBidi"/>
          <w:b/>
          <w:bCs/>
          <w:lang w:val="fr-FR"/>
        </w:rPr>
        <w:t xml:space="preserve">, </w:t>
      </w:r>
      <w:r w:rsidRPr="00950D73">
        <w:rPr>
          <w:rFonts w:asciiTheme="majorBidi" w:hAnsiTheme="majorBidi" w:cstheme="majorBidi"/>
          <w:b/>
          <w:bCs/>
          <w:lang w:val="fr-FR"/>
        </w:rPr>
        <w:t>colonne (2)</w:t>
      </w:r>
    </w:p>
    <w:p w14:paraId="2D103B98" w14:textId="7F7B73C8" w:rsidR="00C94ECF" w:rsidRPr="00950D73" w:rsidRDefault="00911D44" w:rsidP="00C94ECF">
      <w:pPr>
        <w:pStyle w:val="SingleTxtG"/>
        <w:keepNext/>
        <w:keepLines/>
        <w:rPr>
          <w:rFonts w:asciiTheme="majorBidi" w:hAnsiTheme="majorBidi" w:cstheme="majorBidi"/>
        </w:rPr>
      </w:pPr>
      <w:r w:rsidRPr="00950D73">
        <w:rPr>
          <w:rFonts w:asciiTheme="majorBidi" w:hAnsiTheme="majorBidi" w:cstheme="majorBidi"/>
        </w:rPr>
        <w:t>Modifier le texte pour lire comme suit :</w:t>
      </w:r>
      <w:r w:rsidR="00C94ECF" w:rsidRPr="00950D73">
        <w:rPr>
          <w:rFonts w:asciiTheme="majorBidi" w:hAnsiTheme="majorBidi" w:cstheme="majorBidi"/>
        </w:rPr>
        <w:t xml:space="preserve"> « </w:t>
      </w:r>
      <w:r w:rsidR="00C94ECF" w:rsidRPr="00950D73">
        <w:rPr>
          <w:rFonts w:asciiTheme="majorBidi" w:hAnsiTheme="majorBidi" w:cstheme="majorBidi"/>
          <w:b/>
          <w:bCs/>
        </w:rPr>
        <w:t>EN</w:t>
      </w:r>
      <w:r w:rsidRPr="00950D73">
        <w:rPr>
          <w:rFonts w:asciiTheme="majorBidi" w:hAnsiTheme="majorBidi" w:cstheme="majorBidi"/>
          <w:b/>
          <w:bCs/>
        </w:rPr>
        <w:t xml:space="preserve"> </w:t>
      </w:r>
      <w:r w:rsidR="00C94ECF" w:rsidRPr="00950D73">
        <w:rPr>
          <w:rFonts w:asciiTheme="majorBidi" w:hAnsiTheme="majorBidi" w:cstheme="majorBidi"/>
          <w:b/>
          <w:bCs/>
        </w:rPr>
        <w:t>CAS DE CONTACT AVEC LA PEAU : Enlever avec précaution les particules déposées sur la peau et rincer à l’eau fraîche [ou poser une compresse humide]</w:t>
      </w:r>
      <w:r w:rsidR="00C94ECF" w:rsidRPr="00950D73">
        <w:rPr>
          <w:rFonts w:asciiTheme="majorBidi" w:hAnsiTheme="majorBidi" w:cstheme="majorBidi"/>
        </w:rPr>
        <w:t>. ».</w:t>
      </w:r>
    </w:p>
    <w:p w14:paraId="789AFD03" w14:textId="36A3F97D" w:rsidR="0011527B" w:rsidRPr="00950D73" w:rsidRDefault="00764532" w:rsidP="00E77B2C">
      <w:pPr>
        <w:pStyle w:val="H23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r>
      <w:r w:rsidR="0011527B" w:rsidRPr="00950D73">
        <w:rPr>
          <w:rFonts w:asciiTheme="majorBidi" w:hAnsiTheme="majorBidi" w:cstheme="majorBidi"/>
        </w:rPr>
        <w:t>Tableau A3.2.4</w:t>
      </w:r>
    </w:p>
    <w:p w14:paraId="02260FA1" w14:textId="1A6EDAE7" w:rsidR="0011527B" w:rsidRPr="00950D73" w:rsidRDefault="0011527B" w:rsidP="00E77B2C">
      <w:pPr>
        <w:pStyle w:val="SingleTxtG"/>
        <w:spacing w:before="240"/>
        <w:rPr>
          <w:rFonts w:asciiTheme="majorBidi" w:hAnsiTheme="majorBidi" w:cstheme="majorBidi"/>
          <w:b/>
          <w:bCs/>
          <w:lang w:val="fr-FR"/>
        </w:rPr>
      </w:pPr>
      <w:r w:rsidRPr="00950D73">
        <w:rPr>
          <w:rFonts w:asciiTheme="majorBidi" w:hAnsiTheme="majorBidi" w:cstheme="majorBidi"/>
          <w:b/>
          <w:bCs/>
          <w:lang w:val="fr-FR"/>
        </w:rPr>
        <w:t>P403</w:t>
      </w:r>
    </w:p>
    <w:p w14:paraId="075771A7" w14:textId="77777777" w:rsidR="0027494A" w:rsidRPr="00950D73" w:rsidRDefault="0027494A" w:rsidP="003229BF">
      <w:pPr>
        <w:pStyle w:val="SingleTxtG"/>
        <w:rPr>
          <w:rFonts w:asciiTheme="majorBidi" w:hAnsiTheme="majorBidi" w:cstheme="majorBidi"/>
        </w:rPr>
      </w:pPr>
      <w:r w:rsidRPr="00950D73">
        <w:rPr>
          <w:rFonts w:asciiTheme="majorBidi" w:hAnsiTheme="majorBidi" w:cstheme="majorBidi"/>
        </w:rPr>
        <w:t>Insérer la ligne suivante sous celle applicable à la toxicité aiguë par inhalation (chapitre 3.1) :</w:t>
      </w:r>
    </w:p>
    <w:tbl>
      <w:tblPr>
        <w:tblStyle w:val="Grilledutableau"/>
        <w:tblW w:w="0" w:type="auto"/>
        <w:tblInd w:w="1696" w:type="dxa"/>
        <w:tblLook w:val="04A0" w:firstRow="1" w:lastRow="0" w:firstColumn="1" w:lastColumn="0" w:noHBand="0" w:noVBand="1"/>
      </w:tblPr>
      <w:tblGrid>
        <w:gridCol w:w="426"/>
        <w:gridCol w:w="567"/>
        <w:gridCol w:w="3118"/>
        <w:gridCol w:w="1418"/>
        <w:gridCol w:w="1417"/>
      </w:tblGrid>
      <w:tr w:rsidR="0027494A" w:rsidRPr="00950D73" w14:paraId="01640D52" w14:textId="77777777" w:rsidTr="00E5162A">
        <w:tc>
          <w:tcPr>
            <w:tcW w:w="426" w:type="dxa"/>
            <w:tcBorders>
              <w:top w:val="single" w:sz="4" w:space="0" w:color="auto"/>
              <w:left w:val="single" w:sz="4" w:space="0" w:color="auto"/>
              <w:bottom w:val="single" w:sz="4" w:space="0" w:color="auto"/>
              <w:right w:val="single" w:sz="4" w:space="0" w:color="auto"/>
            </w:tcBorders>
          </w:tcPr>
          <w:p w14:paraId="40AFB8AF" w14:textId="77777777" w:rsidR="0027494A" w:rsidRPr="00950D73" w:rsidRDefault="0027494A"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tcPr>
          <w:p w14:paraId="304CE113" w14:textId="77777777" w:rsidR="0027494A" w:rsidRPr="00950D73" w:rsidRDefault="0027494A" w:rsidP="00E5162A">
            <w:pPr>
              <w:pStyle w:val="Bullet2G"/>
              <w:numPr>
                <w:ilvl w:val="0"/>
                <w:numId w:val="0"/>
              </w:numPr>
              <w:tabs>
                <w:tab w:val="left" w:pos="720"/>
              </w:tabs>
              <w:ind w:left="1701" w:right="112"/>
              <w:rPr>
                <w:rFonts w:asciiTheme="majorBidi" w:eastAsia="SimSun" w:hAnsiTheme="majorBidi" w:cstheme="majorBidi"/>
                <w:sz w:val="18"/>
                <w:szCs w:val="18"/>
              </w:rPr>
            </w:pPr>
          </w:p>
        </w:tc>
        <w:tc>
          <w:tcPr>
            <w:tcW w:w="3118" w:type="dxa"/>
            <w:tcBorders>
              <w:top w:val="single" w:sz="4" w:space="0" w:color="auto"/>
              <w:left w:val="single" w:sz="4" w:space="0" w:color="auto"/>
              <w:bottom w:val="single" w:sz="4" w:space="0" w:color="auto"/>
              <w:right w:val="single" w:sz="4" w:space="0" w:color="auto"/>
            </w:tcBorders>
            <w:hideMark/>
          </w:tcPr>
          <w:p w14:paraId="10636508" w14:textId="77777777" w:rsidR="0027494A" w:rsidRPr="00950D73" w:rsidRDefault="0027494A" w:rsidP="00E5162A">
            <w:pPr>
              <w:pStyle w:val="Bullet2G"/>
              <w:numPr>
                <w:ilvl w:val="0"/>
                <w:numId w:val="0"/>
              </w:numPr>
              <w:tabs>
                <w:tab w:val="left" w:pos="720"/>
              </w:tabs>
              <w:ind w:left="9" w:right="112"/>
              <w:jc w:val="left"/>
              <w:rPr>
                <w:rFonts w:asciiTheme="majorBidi" w:eastAsia="SimSun" w:hAnsiTheme="majorBidi" w:cstheme="majorBidi"/>
                <w:sz w:val="18"/>
                <w:szCs w:val="18"/>
              </w:rPr>
            </w:pPr>
            <w:r w:rsidRPr="00950D73">
              <w:rPr>
                <w:rFonts w:asciiTheme="majorBidi" w:hAnsiTheme="majorBidi" w:cstheme="majorBidi"/>
                <w:sz w:val="18"/>
                <w:szCs w:val="18"/>
              </w:rPr>
              <w:t>Sensibilisation respiratoire (chapitre 3.4)</w:t>
            </w:r>
          </w:p>
        </w:tc>
        <w:tc>
          <w:tcPr>
            <w:tcW w:w="1418" w:type="dxa"/>
            <w:tcBorders>
              <w:top w:val="single" w:sz="4" w:space="0" w:color="auto"/>
              <w:left w:val="single" w:sz="4" w:space="0" w:color="auto"/>
              <w:bottom w:val="single" w:sz="4" w:space="0" w:color="auto"/>
              <w:right w:val="single" w:sz="4" w:space="0" w:color="auto"/>
            </w:tcBorders>
            <w:hideMark/>
          </w:tcPr>
          <w:p w14:paraId="50279030" w14:textId="77777777" w:rsidR="0027494A" w:rsidRPr="00950D73" w:rsidRDefault="0027494A" w:rsidP="00E5162A">
            <w:pPr>
              <w:pStyle w:val="Bullet2G"/>
              <w:numPr>
                <w:ilvl w:val="0"/>
                <w:numId w:val="0"/>
              </w:numPr>
              <w:tabs>
                <w:tab w:val="left" w:pos="720"/>
              </w:tabs>
              <w:ind w:left="9" w:right="0"/>
              <w:jc w:val="center"/>
              <w:rPr>
                <w:rFonts w:asciiTheme="majorBidi" w:eastAsia="SimSun" w:hAnsiTheme="majorBidi" w:cstheme="majorBidi"/>
                <w:sz w:val="18"/>
                <w:szCs w:val="18"/>
              </w:rPr>
            </w:pPr>
            <w:r w:rsidRPr="00950D73">
              <w:rPr>
                <w:rFonts w:asciiTheme="majorBidi" w:hAnsiTheme="majorBidi" w:cstheme="majorBidi"/>
                <w:sz w:val="18"/>
                <w:szCs w:val="18"/>
              </w:rPr>
              <w:t>1, 1A, 1B</w:t>
            </w:r>
          </w:p>
        </w:tc>
        <w:tc>
          <w:tcPr>
            <w:tcW w:w="1417" w:type="dxa"/>
            <w:tcBorders>
              <w:top w:val="single" w:sz="4" w:space="0" w:color="auto"/>
              <w:left w:val="single" w:sz="4" w:space="0" w:color="auto"/>
              <w:bottom w:val="single" w:sz="4" w:space="0" w:color="auto"/>
              <w:right w:val="single" w:sz="4" w:space="0" w:color="auto"/>
            </w:tcBorders>
          </w:tcPr>
          <w:p w14:paraId="18D368B1" w14:textId="77777777" w:rsidR="0027494A" w:rsidRPr="00950D73" w:rsidRDefault="0027494A" w:rsidP="00FB339C">
            <w:pPr>
              <w:pStyle w:val="Bullet2G"/>
              <w:numPr>
                <w:ilvl w:val="0"/>
                <w:numId w:val="0"/>
              </w:numPr>
              <w:ind w:left="65" w:right="112"/>
              <w:rPr>
                <w:rFonts w:asciiTheme="majorBidi" w:eastAsia="SimSun" w:hAnsiTheme="majorBidi" w:cstheme="majorBidi"/>
                <w:sz w:val="18"/>
                <w:szCs w:val="18"/>
              </w:rPr>
            </w:pPr>
          </w:p>
        </w:tc>
      </w:tr>
    </w:tbl>
    <w:p w14:paraId="644E2308" w14:textId="2E5923C1" w:rsidR="0011527B" w:rsidRPr="00950D73" w:rsidRDefault="0011527B" w:rsidP="003229BF">
      <w:pPr>
        <w:pStyle w:val="SingleTxtG"/>
        <w:spacing w:before="240"/>
        <w:rPr>
          <w:rFonts w:asciiTheme="majorBidi" w:hAnsiTheme="majorBidi" w:cstheme="majorBidi"/>
          <w:lang w:val="fr-FR"/>
        </w:rPr>
      </w:pPr>
      <w:r w:rsidRPr="00950D73">
        <w:rPr>
          <w:rFonts w:asciiTheme="majorBidi" w:hAnsiTheme="majorBidi" w:cstheme="majorBidi"/>
          <w:lang w:val="fr-FR"/>
        </w:rPr>
        <w:t xml:space="preserve">Dans la colonne </w:t>
      </w:r>
      <w:r w:rsidR="00B815F7" w:rsidRPr="00950D73">
        <w:rPr>
          <w:rFonts w:asciiTheme="majorBidi" w:hAnsiTheme="majorBidi" w:cstheme="majorBidi"/>
          <w:lang w:val="fr-FR"/>
        </w:rPr>
        <w:t>(</w:t>
      </w:r>
      <w:r w:rsidRPr="00950D73">
        <w:rPr>
          <w:rFonts w:asciiTheme="majorBidi" w:hAnsiTheme="majorBidi" w:cstheme="majorBidi"/>
          <w:lang w:val="fr-FR"/>
        </w:rPr>
        <w:t>5</w:t>
      </w:r>
      <w:r w:rsidR="00B815F7" w:rsidRPr="00950D73">
        <w:rPr>
          <w:rFonts w:asciiTheme="majorBidi" w:hAnsiTheme="majorBidi" w:cstheme="majorBidi"/>
          <w:lang w:val="fr-FR"/>
        </w:rPr>
        <w:t xml:space="preserve">), appliquer la condition relative à l’utilisation suivante pour les classes de danger « Toxicité aiguë, inhalation », « Toxicité pour certains organes cibles, exposition unique ; Irritation </w:t>
      </w:r>
      <w:r w:rsidR="00B815F7" w:rsidRPr="00950D73">
        <w:rPr>
          <w:rFonts w:asciiTheme="majorBidi" w:hAnsiTheme="majorBidi" w:cstheme="majorBidi"/>
          <w:lang w:val="fr-FR"/>
        </w:rPr>
        <w:lastRenderedPageBreak/>
        <w:t xml:space="preserve">des voies respiratoires » et  </w:t>
      </w:r>
      <w:r w:rsidR="00D66DC3" w:rsidRPr="00950D73">
        <w:rPr>
          <w:rFonts w:asciiTheme="majorBidi" w:hAnsiTheme="majorBidi" w:cstheme="majorBidi"/>
          <w:lang w:val="fr-FR"/>
        </w:rPr>
        <w:t>« </w:t>
      </w:r>
      <w:r w:rsidR="00B815F7" w:rsidRPr="00950D73">
        <w:rPr>
          <w:rFonts w:asciiTheme="majorBidi" w:hAnsiTheme="majorBidi" w:cstheme="majorBidi"/>
          <w:lang w:val="fr-FR"/>
        </w:rPr>
        <w:t>Toxicité pour certains organes cibles, exposition unique ; Effets narcotiques</w:t>
      </w:r>
      <w:r w:rsidR="00D66DC3" w:rsidRPr="00950D73">
        <w:rPr>
          <w:rFonts w:asciiTheme="majorBidi" w:hAnsiTheme="majorBidi" w:cstheme="majorBidi"/>
          <w:lang w:val="fr-FR"/>
        </w:rPr>
        <w:t> »</w:t>
      </w:r>
      <w:r w:rsidRPr="00950D73">
        <w:rPr>
          <w:rFonts w:asciiTheme="majorBidi" w:hAnsiTheme="majorBidi" w:cstheme="majorBidi"/>
          <w:lang w:val="fr-FR"/>
        </w:rPr>
        <w:t xml:space="preserve">: </w:t>
      </w:r>
    </w:p>
    <w:p w14:paraId="56EA6AD9" w14:textId="3AB9E65B" w:rsidR="0011527B" w:rsidRPr="00950D73" w:rsidRDefault="0011527B" w:rsidP="0073027D">
      <w:pPr>
        <w:pStyle w:val="Bullet2G"/>
        <w:numPr>
          <w:ilvl w:val="0"/>
          <w:numId w:val="0"/>
        </w:numPr>
        <w:tabs>
          <w:tab w:val="left" w:pos="2268"/>
        </w:tabs>
        <w:ind w:left="1418"/>
        <w:rPr>
          <w:rFonts w:asciiTheme="majorBidi" w:hAnsiTheme="majorBidi" w:cstheme="majorBidi"/>
          <w:i/>
          <w:iCs/>
          <w:lang w:val="fr-FR"/>
        </w:rPr>
      </w:pPr>
      <w:r w:rsidRPr="00950D73">
        <w:rPr>
          <w:rFonts w:asciiTheme="majorBidi" w:hAnsiTheme="majorBidi" w:cstheme="majorBidi"/>
          <w:i/>
          <w:iCs/>
          <w:lang w:val="fr-FR"/>
        </w:rPr>
        <w:t xml:space="preserve"> « − Si le produit chimique est volatile et risque de créer une atmosphère dangereuse. » ;</w:t>
      </w:r>
    </w:p>
    <w:p w14:paraId="62CAF695" w14:textId="77777777" w:rsidR="00C94ECF" w:rsidRPr="00950D73" w:rsidRDefault="00C94ECF" w:rsidP="006A4337">
      <w:pPr>
        <w:pStyle w:val="H23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r>
      <w:r w:rsidRPr="00950D73">
        <w:rPr>
          <w:rFonts w:asciiTheme="majorBidi" w:hAnsiTheme="majorBidi" w:cstheme="majorBidi"/>
        </w:rPr>
        <w:tab/>
        <w:t>Section 3</w:t>
      </w:r>
    </w:p>
    <w:p w14:paraId="1F628D18" w14:textId="4E40EBBF" w:rsidR="00C94ECF" w:rsidRPr="00950D73" w:rsidRDefault="00C94ECF" w:rsidP="000167A4">
      <w:pPr>
        <w:pStyle w:val="SingleTxtG"/>
        <w:spacing w:before="240"/>
        <w:rPr>
          <w:rFonts w:asciiTheme="majorBidi" w:hAnsiTheme="majorBidi" w:cstheme="majorBidi"/>
          <w:b/>
          <w:bCs/>
        </w:rPr>
      </w:pPr>
      <w:r w:rsidRPr="00950D73">
        <w:rPr>
          <w:rFonts w:asciiTheme="majorBidi" w:hAnsiTheme="majorBidi" w:cstheme="majorBidi"/>
          <w:b/>
          <w:bCs/>
        </w:rPr>
        <w:t xml:space="preserve">Tableaux relatifs aux gaz inflammables (chapitre 2.2) </w:t>
      </w:r>
    </w:p>
    <w:p w14:paraId="22CB98D4" w14:textId="2BCBDF03" w:rsidR="00C94ECF" w:rsidRPr="00950D73" w:rsidRDefault="00C94ECF" w:rsidP="003229BF">
      <w:pPr>
        <w:tabs>
          <w:tab w:val="left" w:pos="1276"/>
        </w:tabs>
        <w:spacing w:after="120"/>
        <w:ind w:left="1134" w:right="1134"/>
        <w:jc w:val="both"/>
        <w:rPr>
          <w:rFonts w:asciiTheme="majorBidi" w:hAnsiTheme="majorBidi" w:cstheme="majorBidi"/>
        </w:rPr>
      </w:pPr>
      <w:r w:rsidRPr="00950D73">
        <w:rPr>
          <w:rFonts w:asciiTheme="majorBidi" w:hAnsiTheme="majorBidi" w:cstheme="majorBidi"/>
        </w:rPr>
        <w:t>Supprimer le not</w:t>
      </w:r>
      <w:r w:rsidR="00F14402" w:rsidRPr="00950D73">
        <w:rPr>
          <w:rFonts w:asciiTheme="majorBidi" w:hAnsiTheme="majorBidi" w:cstheme="majorBidi"/>
        </w:rPr>
        <w:t>a</w:t>
      </w:r>
      <w:r w:rsidRPr="00950D73">
        <w:rPr>
          <w:rFonts w:asciiTheme="majorBidi" w:hAnsiTheme="majorBidi" w:cstheme="majorBidi"/>
        </w:rPr>
        <w:t xml:space="preserve"> sous les tableaux pour les gaz pyrophoriques et </w:t>
      </w:r>
      <w:r w:rsidR="00622A9E" w:rsidRPr="00950D73">
        <w:rPr>
          <w:rFonts w:asciiTheme="majorBidi" w:hAnsiTheme="majorBidi" w:cstheme="majorBidi"/>
        </w:rPr>
        <w:t xml:space="preserve">les </w:t>
      </w:r>
      <w:r w:rsidRPr="00950D73">
        <w:rPr>
          <w:rFonts w:asciiTheme="majorBidi" w:hAnsiTheme="majorBidi" w:cstheme="majorBidi"/>
        </w:rPr>
        <w:t>gaz chimiquement instables</w:t>
      </w:r>
    </w:p>
    <w:p w14:paraId="77B2BEF3" w14:textId="47374657" w:rsidR="00C94ECF" w:rsidRPr="00950D73" w:rsidRDefault="00C94ECF" w:rsidP="000167A4">
      <w:pPr>
        <w:pStyle w:val="SingleTxtG"/>
        <w:spacing w:before="240"/>
        <w:rPr>
          <w:rFonts w:asciiTheme="majorBidi" w:hAnsiTheme="majorBidi" w:cstheme="majorBidi"/>
          <w:b/>
          <w:bCs/>
        </w:rPr>
      </w:pPr>
      <w:r w:rsidRPr="00950D73">
        <w:rPr>
          <w:rFonts w:asciiTheme="majorBidi" w:hAnsiTheme="majorBidi" w:cstheme="majorBidi"/>
          <w:b/>
          <w:bCs/>
        </w:rPr>
        <w:t>Tableau relatif aux matières solides pyrophoriques (chap</w:t>
      </w:r>
      <w:r w:rsidR="00C60CDD" w:rsidRPr="00950D73">
        <w:rPr>
          <w:rFonts w:asciiTheme="majorBidi" w:hAnsiTheme="majorBidi" w:cstheme="majorBidi"/>
          <w:b/>
          <w:bCs/>
        </w:rPr>
        <w:t>itre</w:t>
      </w:r>
      <w:r w:rsidRPr="00950D73">
        <w:rPr>
          <w:rFonts w:asciiTheme="majorBidi" w:hAnsiTheme="majorBidi" w:cstheme="majorBidi"/>
          <w:b/>
          <w:bCs/>
        </w:rPr>
        <w:t> 2.10), catégorie 1, colonne « Intervention »</w:t>
      </w:r>
      <w:r w:rsidR="00AF5238" w:rsidRPr="00950D73">
        <w:rPr>
          <w:rFonts w:asciiTheme="majorBidi" w:hAnsiTheme="majorBidi" w:cstheme="majorBidi"/>
          <w:b/>
          <w:bCs/>
        </w:rPr>
        <w:t>, conseil de prudence P302 + P335 + P334</w:t>
      </w:r>
    </w:p>
    <w:p w14:paraId="1F546A7D" w14:textId="6A2A9A7A" w:rsidR="00C94ECF" w:rsidRPr="00950D73" w:rsidRDefault="006E05ED" w:rsidP="005B0180">
      <w:pPr>
        <w:pStyle w:val="Bullet1G"/>
        <w:numPr>
          <w:ilvl w:val="0"/>
          <w:numId w:val="0"/>
        </w:numPr>
        <w:ind w:left="1134" w:firstLine="170"/>
        <w:rPr>
          <w:rFonts w:asciiTheme="majorBidi" w:hAnsiTheme="majorBidi" w:cstheme="majorBidi"/>
        </w:rPr>
      </w:pPr>
      <w:r w:rsidRPr="00950D73">
        <w:rPr>
          <w:rFonts w:asciiTheme="majorBidi" w:hAnsiTheme="majorBidi" w:cstheme="majorBidi"/>
        </w:rPr>
        <w:t>Modifier pour lire comme suit</w:t>
      </w:r>
      <w:r w:rsidR="00764532" w:rsidRPr="00950D73">
        <w:rPr>
          <w:rFonts w:asciiTheme="majorBidi" w:hAnsiTheme="majorBidi" w:cstheme="majorBidi"/>
        </w:rPr>
        <w:t> </w:t>
      </w:r>
      <w:r w:rsidR="00C94ECF" w:rsidRPr="00950D73">
        <w:rPr>
          <w:rFonts w:asciiTheme="majorBidi" w:hAnsiTheme="majorBidi" w:cstheme="majorBidi"/>
        </w:rPr>
        <w:t>:</w:t>
      </w:r>
    </w:p>
    <w:p w14:paraId="0485FAC8" w14:textId="77777777" w:rsidR="00C94ECF" w:rsidRPr="00950D73" w:rsidRDefault="00C94ECF" w:rsidP="005B0180">
      <w:pPr>
        <w:spacing w:line="240" w:lineRule="auto"/>
        <w:ind w:left="1701"/>
        <w:jc w:val="both"/>
        <w:rPr>
          <w:rFonts w:asciiTheme="majorBidi" w:hAnsiTheme="majorBidi" w:cstheme="majorBidi"/>
        </w:rPr>
      </w:pPr>
      <w:r w:rsidRPr="00950D73">
        <w:rPr>
          <w:rFonts w:asciiTheme="majorBidi" w:hAnsiTheme="majorBidi" w:cstheme="majorBidi"/>
        </w:rPr>
        <w:t>« P302 + P335 + P334</w:t>
      </w:r>
    </w:p>
    <w:p w14:paraId="22F27511" w14:textId="57AAF75D" w:rsidR="00C94ECF" w:rsidRPr="00950D73" w:rsidRDefault="00C94ECF" w:rsidP="005B0180">
      <w:pPr>
        <w:spacing w:line="240" w:lineRule="auto"/>
        <w:ind w:left="1701" w:right="1134"/>
        <w:jc w:val="both"/>
        <w:rPr>
          <w:rFonts w:asciiTheme="majorBidi" w:hAnsiTheme="majorBidi" w:cstheme="majorBidi"/>
        </w:rPr>
      </w:pPr>
      <w:r w:rsidRPr="00950D73">
        <w:rPr>
          <w:rFonts w:asciiTheme="majorBidi" w:hAnsiTheme="majorBidi" w:cstheme="majorBidi"/>
          <w:b/>
          <w:bCs/>
        </w:rPr>
        <w:t>EN CAS DE CONTACT AVEC LA PEAU</w:t>
      </w:r>
      <w:r w:rsidR="00764532" w:rsidRPr="00950D73">
        <w:rPr>
          <w:rFonts w:asciiTheme="majorBidi" w:hAnsiTheme="majorBidi" w:cstheme="majorBidi"/>
          <w:b/>
          <w:bCs/>
        </w:rPr>
        <w:t> </w:t>
      </w:r>
      <w:r w:rsidRPr="00950D73">
        <w:rPr>
          <w:rFonts w:asciiTheme="majorBidi" w:hAnsiTheme="majorBidi" w:cstheme="majorBidi"/>
          <w:b/>
          <w:bCs/>
        </w:rPr>
        <w:t>: Enlever avec précaution les particules déposées sur la peau et rincer à l’eau fraîche ou poser une compresse humide</w:t>
      </w:r>
      <w:r w:rsidRPr="00950D73">
        <w:rPr>
          <w:rFonts w:asciiTheme="majorBidi" w:hAnsiTheme="majorBidi" w:cstheme="majorBidi"/>
        </w:rPr>
        <w:t>. ».</w:t>
      </w:r>
    </w:p>
    <w:p w14:paraId="59ADC3A5" w14:textId="0BDF81A9" w:rsidR="000E3862" w:rsidRPr="00950D73" w:rsidRDefault="000E3862" w:rsidP="005B0180">
      <w:pPr>
        <w:pStyle w:val="SingleTxtG"/>
        <w:keepNext/>
        <w:keepLines/>
        <w:spacing w:before="240"/>
        <w:rPr>
          <w:rFonts w:asciiTheme="majorBidi" w:hAnsiTheme="majorBidi" w:cstheme="majorBidi"/>
          <w:b/>
          <w:bCs/>
        </w:rPr>
      </w:pPr>
      <w:r w:rsidRPr="00950D73">
        <w:rPr>
          <w:rFonts w:asciiTheme="majorBidi" w:hAnsiTheme="majorBidi" w:cstheme="majorBidi"/>
          <w:b/>
          <w:bCs/>
        </w:rPr>
        <w:t>Tableau relatif à la « Toxicité aiguë − par contact cutané (chapitre 3.1) », catégorie 3, colonne « Prévention »</w:t>
      </w:r>
    </w:p>
    <w:p w14:paraId="7A37878D" w14:textId="1D24E375" w:rsidR="000E3862" w:rsidRPr="00950D73" w:rsidRDefault="000E3862" w:rsidP="005B0180">
      <w:pPr>
        <w:keepNext/>
        <w:keepLines/>
        <w:spacing w:after="120"/>
        <w:ind w:left="1276" w:right="1134"/>
        <w:jc w:val="both"/>
        <w:rPr>
          <w:rFonts w:asciiTheme="majorBidi" w:hAnsiTheme="majorBidi" w:cstheme="majorBidi"/>
        </w:rPr>
      </w:pPr>
      <w:r w:rsidRPr="00950D73">
        <w:rPr>
          <w:rFonts w:asciiTheme="majorBidi" w:hAnsiTheme="majorBidi" w:cstheme="majorBidi"/>
        </w:rPr>
        <w:t xml:space="preserve">Ajouter les </w:t>
      </w:r>
      <w:r w:rsidR="00AF5238" w:rsidRPr="00950D73">
        <w:rPr>
          <w:rFonts w:asciiTheme="majorBidi" w:hAnsiTheme="majorBidi" w:cstheme="majorBidi"/>
        </w:rPr>
        <w:t>rubriques</w:t>
      </w:r>
      <w:r w:rsidRPr="00950D73">
        <w:rPr>
          <w:rFonts w:asciiTheme="majorBidi" w:hAnsiTheme="majorBidi" w:cstheme="majorBidi"/>
        </w:rPr>
        <w:t xml:space="preserve"> suivantes :</w:t>
      </w:r>
    </w:p>
    <w:p w14:paraId="3F581AAB" w14:textId="77777777" w:rsidR="000E3862" w:rsidRPr="00950D73" w:rsidRDefault="000E3862" w:rsidP="000E3862">
      <w:pPr>
        <w:spacing w:line="240" w:lineRule="auto"/>
        <w:ind w:left="1985" w:hanging="284"/>
        <w:jc w:val="both"/>
        <w:rPr>
          <w:rFonts w:asciiTheme="majorBidi" w:hAnsiTheme="majorBidi" w:cstheme="majorBidi"/>
          <w:b/>
          <w:bCs/>
        </w:rPr>
      </w:pPr>
      <w:r w:rsidRPr="00950D73">
        <w:rPr>
          <w:rFonts w:asciiTheme="majorBidi" w:hAnsiTheme="majorBidi" w:cstheme="majorBidi"/>
        </w:rPr>
        <w:t>« P262</w:t>
      </w:r>
    </w:p>
    <w:p w14:paraId="3203E212" w14:textId="77777777" w:rsidR="000E3862" w:rsidRPr="00950D73" w:rsidRDefault="000E3862" w:rsidP="000E3862">
      <w:pPr>
        <w:spacing w:after="120"/>
        <w:ind w:left="1985" w:hanging="284"/>
        <w:jc w:val="both"/>
        <w:rPr>
          <w:rFonts w:asciiTheme="majorBidi" w:hAnsiTheme="majorBidi" w:cstheme="majorBidi"/>
          <w:b/>
          <w:bCs/>
        </w:rPr>
      </w:pPr>
      <w:r w:rsidRPr="00950D73">
        <w:rPr>
          <w:rFonts w:asciiTheme="majorBidi" w:hAnsiTheme="majorBidi" w:cstheme="majorBidi"/>
          <w:b/>
          <w:bCs/>
        </w:rPr>
        <w:t>Éviter tout contact avec les yeux, la peau ou les vêtements.</w:t>
      </w:r>
    </w:p>
    <w:p w14:paraId="5A049F1C" w14:textId="77777777" w:rsidR="000E3862" w:rsidRPr="00950D73" w:rsidRDefault="000E3862" w:rsidP="000E3862">
      <w:pPr>
        <w:spacing w:line="240" w:lineRule="auto"/>
        <w:ind w:left="1985" w:hanging="284"/>
        <w:jc w:val="both"/>
        <w:rPr>
          <w:rFonts w:asciiTheme="majorBidi" w:hAnsiTheme="majorBidi" w:cstheme="majorBidi"/>
        </w:rPr>
      </w:pPr>
      <w:r w:rsidRPr="00950D73">
        <w:rPr>
          <w:rFonts w:asciiTheme="majorBidi" w:hAnsiTheme="majorBidi" w:cstheme="majorBidi"/>
        </w:rPr>
        <w:t>P264</w:t>
      </w:r>
    </w:p>
    <w:p w14:paraId="7E58D574" w14:textId="77777777" w:rsidR="000E3862" w:rsidRPr="00950D73" w:rsidRDefault="000E3862" w:rsidP="000E3862">
      <w:pPr>
        <w:spacing w:line="240" w:lineRule="auto"/>
        <w:ind w:left="1701"/>
        <w:jc w:val="both"/>
        <w:rPr>
          <w:rFonts w:asciiTheme="majorBidi" w:hAnsiTheme="majorBidi" w:cstheme="majorBidi"/>
          <w:b/>
          <w:bCs/>
        </w:rPr>
      </w:pPr>
      <w:r w:rsidRPr="00950D73">
        <w:rPr>
          <w:rFonts w:asciiTheme="majorBidi" w:hAnsiTheme="majorBidi" w:cstheme="majorBidi"/>
          <w:b/>
          <w:bCs/>
        </w:rPr>
        <w:t>Se laver les mains [et...] soigneusement après manipulation.</w:t>
      </w:r>
    </w:p>
    <w:p w14:paraId="3101ACA4" w14:textId="77777777" w:rsidR="000E3862" w:rsidRPr="00950D73" w:rsidRDefault="000E3862" w:rsidP="000E3862">
      <w:pPr>
        <w:spacing w:after="120"/>
        <w:ind w:left="1701" w:right="1134"/>
        <w:jc w:val="both"/>
        <w:rPr>
          <w:rFonts w:asciiTheme="majorBidi" w:hAnsiTheme="majorBidi" w:cstheme="majorBidi"/>
        </w:rPr>
      </w:pPr>
      <w:r w:rsidRPr="00950D73">
        <w:rPr>
          <w:rFonts w:asciiTheme="majorBidi" w:hAnsiTheme="majorBidi" w:cstheme="majorBidi"/>
        </w:rPr>
        <w:t xml:space="preserve">− Le texte entre crochets doit être utilisé lorsque le fabriquant/fournisseur ou l’autorité </w:t>
      </w:r>
      <w:r w:rsidRPr="00950D73">
        <w:rPr>
          <w:rFonts w:asciiTheme="majorBidi" w:hAnsiTheme="majorBidi" w:cstheme="majorBidi"/>
        </w:rPr>
        <w:lastRenderedPageBreak/>
        <w:t>compétente précise que d’autres parties du corps doivent être lavées après manipulation.</w:t>
      </w:r>
    </w:p>
    <w:p w14:paraId="2848DFD4" w14:textId="77777777" w:rsidR="000E3862" w:rsidRPr="00950D73" w:rsidRDefault="000E3862" w:rsidP="000E3862">
      <w:pPr>
        <w:spacing w:line="240" w:lineRule="auto"/>
        <w:ind w:left="1701"/>
        <w:jc w:val="both"/>
        <w:rPr>
          <w:rFonts w:asciiTheme="majorBidi" w:hAnsiTheme="majorBidi" w:cstheme="majorBidi"/>
        </w:rPr>
      </w:pPr>
      <w:r w:rsidRPr="00950D73">
        <w:rPr>
          <w:rFonts w:asciiTheme="majorBidi" w:hAnsiTheme="majorBidi" w:cstheme="majorBidi"/>
        </w:rPr>
        <w:t>P270</w:t>
      </w:r>
    </w:p>
    <w:p w14:paraId="0EBF901A" w14:textId="77777777" w:rsidR="000E3862" w:rsidRPr="00950D73" w:rsidRDefault="000E3862" w:rsidP="000E3862">
      <w:pPr>
        <w:spacing w:after="120"/>
        <w:ind w:left="1701"/>
        <w:jc w:val="both"/>
        <w:rPr>
          <w:rFonts w:asciiTheme="majorBidi" w:hAnsiTheme="majorBidi" w:cstheme="majorBidi"/>
        </w:rPr>
      </w:pPr>
      <w:r w:rsidRPr="00950D73">
        <w:rPr>
          <w:rFonts w:asciiTheme="majorBidi" w:hAnsiTheme="majorBidi" w:cstheme="majorBidi"/>
          <w:b/>
          <w:bCs/>
        </w:rPr>
        <w:t>Ne pas manger, boire ou fumer en manipulant ce produit.</w:t>
      </w:r>
      <w:r w:rsidRPr="00950D73">
        <w:rPr>
          <w:rFonts w:asciiTheme="majorBidi" w:hAnsiTheme="majorBidi" w:cstheme="majorBidi"/>
        </w:rPr>
        <w:t> ».</w:t>
      </w:r>
    </w:p>
    <w:p w14:paraId="126A36DB" w14:textId="2E923FB0" w:rsidR="00681E93" w:rsidRPr="00950D73" w:rsidRDefault="009E16FF" w:rsidP="00747A7A">
      <w:pPr>
        <w:pStyle w:val="SingleTxtG"/>
        <w:spacing w:before="240"/>
        <w:rPr>
          <w:rFonts w:asciiTheme="majorBidi" w:hAnsiTheme="majorBidi" w:cstheme="majorBidi"/>
          <w:b/>
          <w:bCs/>
        </w:rPr>
      </w:pPr>
      <w:r w:rsidRPr="00950D73">
        <w:rPr>
          <w:rFonts w:asciiTheme="majorBidi" w:hAnsiTheme="majorBidi" w:cstheme="majorBidi"/>
          <w:b/>
          <w:bCs/>
        </w:rPr>
        <w:t xml:space="preserve">Tableau </w:t>
      </w:r>
      <w:r w:rsidR="00C1405C" w:rsidRPr="00950D73">
        <w:rPr>
          <w:rFonts w:asciiTheme="majorBidi" w:hAnsiTheme="majorBidi" w:cstheme="majorBidi"/>
          <w:b/>
          <w:bCs/>
        </w:rPr>
        <w:t xml:space="preserve">des conseils de prudence </w:t>
      </w:r>
      <w:r w:rsidR="00E354AE" w:rsidRPr="00950D73">
        <w:rPr>
          <w:rFonts w:asciiTheme="majorBidi" w:hAnsiTheme="majorBidi" w:cstheme="majorBidi"/>
          <w:b/>
          <w:bCs/>
        </w:rPr>
        <w:t>relatifs à la</w:t>
      </w:r>
      <w:r w:rsidR="00C1405C" w:rsidRPr="00950D73">
        <w:rPr>
          <w:rFonts w:asciiTheme="majorBidi" w:hAnsiTheme="majorBidi" w:cstheme="majorBidi"/>
          <w:b/>
          <w:bCs/>
        </w:rPr>
        <w:t xml:space="preserve"> « Toxicité aiguë</w:t>
      </w:r>
      <w:r w:rsidR="008B1A42" w:rsidRPr="00950D73">
        <w:rPr>
          <w:rFonts w:asciiTheme="majorBidi" w:hAnsiTheme="majorBidi" w:cstheme="majorBidi"/>
          <w:b/>
          <w:bCs/>
        </w:rPr>
        <w:t xml:space="preserve"> - par</w:t>
      </w:r>
      <w:r w:rsidR="00C1405C" w:rsidRPr="00950D73">
        <w:rPr>
          <w:rFonts w:asciiTheme="majorBidi" w:hAnsiTheme="majorBidi" w:cstheme="majorBidi"/>
          <w:b/>
          <w:bCs/>
        </w:rPr>
        <w:t xml:space="preserve"> inhalation (chapitre 3.1) », catégories 1 et 2, colonne « Prévention »</w:t>
      </w:r>
    </w:p>
    <w:p w14:paraId="524098C7" w14:textId="3D675063" w:rsidR="00C1405C" w:rsidRPr="00950D73" w:rsidRDefault="009E16FF" w:rsidP="003229BF">
      <w:pPr>
        <w:pStyle w:val="Bullet1G"/>
        <w:keepNext/>
        <w:keepLines/>
        <w:numPr>
          <w:ilvl w:val="0"/>
          <w:numId w:val="0"/>
        </w:numPr>
        <w:ind w:left="1134"/>
        <w:rPr>
          <w:rFonts w:asciiTheme="majorBidi" w:hAnsiTheme="majorBidi" w:cstheme="majorBidi"/>
        </w:rPr>
      </w:pPr>
      <w:r w:rsidRPr="00950D73">
        <w:rPr>
          <w:rFonts w:asciiTheme="majorBidi" w:hAnsiTheme="majorBidi" w:cstheme="majorBidi"/>
        </w:rPr>
        <w:t>Modifier pour</w:t>
      </w:r>
      <w:r w:rsidR="00C1405C" w:rsidRPr="00950D73">
        <w:rPr>
          <w:rFonts w:asciiTheme="majorBidi" w:hAnsiTheme="majorBidi" w:cstheme="majorBidi"/>
        </w:rPr>
        <w:t xml:space="preserve"> lire</w:t>
      </w:r>
      <w:r w:rsidRPr="00950D73">
        <w:rPr>
          <w:rFonts w:asciiTheme="majorBidi" w:hAnsiTheme="majorBidi" w:cstheme="majorBidi"/>
        </w:rPr>
        <w:t xml:space="preserve"> comme suit</w:t>
      </w:r>
      <w:r w:rsidR="00C1405C" w:rsidRPr="00950D73">
        <w:rPr>
          <w:rFonts w:asciiTheme="majorBidi" w:hAnsiTheme="majorBidi" w:cstheme="majorBidi"/>
        </w:rPr>
        <w:t> :</w:t>
      </w:r>
    </w:p>
    <w:p w14:paraId="51A432B7" w14:textId="77777777" w:rsidR="008A7460" w:rsidRPr="00950D73" w:rsidRDefault="008A7460" w:rsidP="003229BF">
      <w:pPr>
        <w:pStyle w:val="Textedebulles"/>
        <w:spacing w:after="120" w:line="240" w:lineRule="atLeast"/>
        <w:ind w:left="1701" w:right="1134"/>
        <w:jc w:val="both"/>
        <w:rPr>
          <w:rFonts w:asciiTheme="majorBidi" w:hAnsiTheme="majorBidi" w:cstheme="majorBidi"/>
          <w:bCs/>
          <w:sz w:val="20"/>
          <w:szCs w:val="20"/>
          <w:lang w:val="fr-FR"/>
        </w:rPr>
      </w:pPr>
      <w:r w:rsidRPr="00950D73">
        <w:rPr>
          <w:rFonts w:asciiTheme="majorBidi" w:hAnsiTheme="majorBidi" w:cstheme="majorBidi"/>
          <w:sz w:val="20"/>
          <w:szCs w:val="20"/>
          <w:lang w:val="fr-FR"/>
        </w:rPr>
        <w:t xml:space="preserve">« P260 </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 xml:space="preserve">Ne pas respirer les poussières/fumées/gaz/brouillards/vapeurs/aérosols. </w:t>
      </w:r>
      <w:r w:rsidRPr="00950D73">
        <w:rPr>
          <w:rFonts w:asciiTheme="majorBidi" w:hAnsiTheme="majorBidi" w:cstheme="majorBidi"/>
          <w:b/>
          <w:bCs/>
          <w:sz w:val="20"/>
          <w:szCs w:val="20"/>
          <w:lang w:val="fr-FR"/>
        </w:rPr>
        <w:br/>
      </w:r>
      <w:r w:rsidRPr="00950D73">
        <w:rPr>
          <w:rFonts w:asciiTheme="majorBidi" w:hAnsiTheme="majorBidi" w:cstheme="majorBidi"/>
          <w:sz w:val="20"/>
          <w:szCs w:val="20"/>
          <w:lang w:val="fr-FR"/>
        </w:rPr>
        <w:t>Il revient au fabricant/fournisseur ou à l’autorité compétente de préciser l’état physique ou les états physiques applicable(s).</w:t>
      </w:r>
    </w:p>
    <w:p w14:paraId="233A6A7A" w14:textId="77777777" w:rsidR="008A7460" w:rsidRPr="00950D73" w:rsidRDefault="008A7460" w:rsidP="003229BF">
      <w:pPr>
        <w:pStyle w:val="Textedebulles"/>
        <w:spacing w:line="240" w:lineRule="atLeast"/>
        <w:ind w:left="1701" w:right="1134"/>
        <w:jc w:val="both"/>
        <w:rPr>
          <w:rFonts w:asciiTheme="majorBidi" w:hAnsiTheme="majorBidi" w:cstheme="majorBidi"/>
          <w:b/>
          <w:bCs/>
          <w:sz w:val="20"/>
          <w:szCs w:val="20"/>
          <w:lang w:val="fr-FR"/>
        </w:rPr>
      </w:pPr>
      <w:r w:rsidRPr="00950D73">
        <w:rPr>
          <w:rFonts w:asciiTheme="majorBidi" w:hAnsiTheme="majorBidi" w:cstheme="majorBidi"/>
          <w:sz w:val="20"/>
          <w:szCs w:val="20"/>
          <w:lang w:val="fr-FR"/>
        </w:rPr>
        <w:t>P271</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 xml:space="preserve">Utiliser seulement en plein air ou avec une ventilation suffisante. </w:t>
      </w:r>
    </w:p>
    <w:p w14:paraId="1313958D" w14:textId="77777777" w:rsidR="008A7460" w:rsidRPr="00950D73" w:rsidRDefault="008A7460" w:rsidP="003229BF">
      <w:pPr>
        <w:pStyle w:val="Textedebulles"/>
        <w:spacing w:after="120" w:line="240" w:lineRule="atLeast"/>
        <w:ind w:left="1701" w:right="1134"/>
        <w:jc w:val="both"/>
        <w:rPr>
          <w:rFonts w:asciiTheme="majorBidi" w:hAnsiTheme="majorBidi" w:cstheme="majorBidi"/>
          <w:sz w:val="20"/>
          <w:szCs w:val="20"/>
          <w:lang w:val="fr-FR"/>
        </w:rPr>
      </w:pPr>
      <w:r w:rsidRPr="00950D73">
        <w:rPr>
          <w:rFonts w:asciiTheme="majorBidi" w:hAnsiTheme="majorBidi" w:cstheme="majorBidi"/>
          <w:sz w:val="20"/>
          <w:szCs w:val="20"/>
          <w:lang w:val="fr-FR"/>
        </w:rPr>
        <w:t xml:space="preserve">Il revient au fabricant/fournisseur de préciser, sur la fiche de données de sécurité et dans toutes instructions de sécurité supplémentaire fournie aux consommateurs, quel type de ventilation conviendrait à une utilisation sûre. </w:t>
      </w:r>
    </w:p>
    <w:p w14:paraId="715D03C8" w14:textId="77777777" w:rsidR="008A7460" w:rsidRPr="00950D73" w:rsidRDefault="008A7460" w:rsidP="003229BF">
      <w:pPr>
        <w:pStyle w:val="Textedebulles"/>
        <w:spacing w:line="240" w:lineRule="atLeast"/>
        <w:ind w:left="1701" w:right="1134"/>
        <w:jc w:val="both"/>
        <w:rPr>
          <w:rFonts w:asciiTheme="majorBidi" w:hAnsiTheme="majorBidi" w:cstheme="majorBidi"/>
          <w:b/>
          <w:bCs/>
          <w:sz w:val="20"/>
          <w:szCs w:val="20"/>
          <w:lang w:val="fr-FR"/>
        </w:rPr>
      </w:pPr>
      <w:r w:rsidRPr="00950D73">
        <w:rPr>
          <w:rFonts w:asciiTheme="majorBidi" w:hAnsiTheme="majorBidi" w:cstheme="majorBidi"/>
          <w:sz w:val="20"/>
          <w:szCs w:val="20"/>
          <w:lang w:val="fr-FR"/>
        </w:rPr>
        <w:t xml:space="preserve">P284 </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 xml:space="preserve">Lorsque la ventilation du local est insuffisante, porter un équipement de protection respiratoire. </w:t>
      </w:r>
    </w:p>
    <w:p w14:paraId="18670D64" w14:textId="77777777" w:rsidR="008A7460" w:rsidRPr="00950D73" w:rsidRDefault="008A7460" w:rsidP="003229BF">
      <w:pPr>
        <w:pStyle w:val="Textedebulles"/>
        <w:spacing w:after="120" w:line="240" w:lineRule="atLeast"/>
        <w:ind w:left="1701" w:right="1134"/>
        <w:jc w:val="both"/>
        <w:rPr>
          <w:rFonts w:asciiTheme="majorBidi" w:hAnsiTheme="majorBidi" w:cstheme="majorBidi"/>
          <w:sz w:val="20"/>
          <w:szCs w:val="20"/>
          <w:lang w:val="fr-FR"/>
        </w:rPr>
      </w:pPr>
      <w:r w:rsidRPr="00950D73">
        <w:rPr>
          <w:rFonts w:asciiTheme="majorBidi" w:hAnsiTheme="majorBidi" w:cstheme="majorBidi"/>
          <w:sz w:val="20"/>
          <w:szCs w:val="20"/>
          <w:lang w:val="fr-FR"/>
        </w:rPr>
        <w:t>Il revient au fabricant/fournisseur de préciser, sur la fiche de données de sécurité, quel type de ventilation conviendrait à une utilisation sûre, et de joindre au produit chimique, au point d’utilisation, des informations supplémentaires qui précisent quel type d’équipement respiratoire pourrait également être nécessaire. ».</w:t>
      </w:r>
    </w:p>
    <w:p w14:paraId="20A2FCD3" w14:textId="3BA212BD" w:rsidR="007D2B82" w:rsidRPr="00950D73" w:rsidRDefault="000E3862" w:rsidP="009A6EEB">
      <w:pPr>
        <w:pStyle w:val="SingleTxtG"/>
        <w:spacing w:before="240"/>
        <w:rPr>
          <w:rFonts w:asciiTheme="majorBidi" w:hAnsiTheme="majorBidi" w:cstheme="majorBidi"/>
          <w:b/>
          <w:bCs/>
        </w:rPr>
      </w:pPr>
      <w:r w:rsidRPr="00950D73">
        <w:rPr>
          <w:rFonts w:asciiTheme="majorBidi" w:hAnsiTheme="majorBidi" w:cstheme="majorBidi"/>
          <w:b/>
          <w:bCs/>
        </w:rPr>
        <w:t>T</w:t>
      </w:r>
      <w:r w:rsidR="00574E47" w:rsidRPr="00950D73">
        <w:rPr>
          <w:rFonts w:asciiTheme="majorBidi" w:hAnsiTheme="majorBidi" w:cstheme="majorBidi"/>
          <w:b/>
          <w:bCs/>
        </w:rPr>
        <w:t>ableau des conseils de prudence concernant la classe de danger « Toxicité aiguë</w:t>
      </w:r>
      <w:r w:rsidR="00C237B0" w:rsidRPr="00950D73">
        <w:rPr>
          <w:rFonts w:asciiTheme="majorBidi" w:hAnsiTheme="majorBidi" w:cstheme="majorBidi"/>
          <w:b/>
          <w:bCs/>
        </w:rPr>
        <w:t xml:space="preserve"> - par</w:t>
      </w:r>
      <w:r w:rsidR="00574E47" w:rsidRPr="00950D73">
        <w:rPr>
          <w:rFonts w:asciiTheme="majorBidi" w:hAnsiTheme="majorBidi" w:cstheme="majorBidi"/>
          <w:b/>
          <w:bCs/>
        </w:rPr>
        <w:t xml:space="preserve"> inhalation (chapitre 3.1) », catégorie</w:t>
      </w:r>
      <w:r w:rsidR="00A835AD" w:rsidRPr="00950D73">
        <w:rPr>
          <w:rFonts w:asciiTheme="majorBidi" w:hAnsiTheme="majorBidi" w:cstheme="majorBidi"/>
          <w:b/>
          <w:bCs/>
        </w:rPr>
        <w:t>s</w:t>
      </w:r>
      <w:r w:rsidR="00574E47" w:rsidRPr="00950D73">
        <w:rPr>
          <w:rFonts w:asciiTheme="majorBidi" w:hAnsiTheme="majorBidi" w:cstheme="majorBidi"/>
          <w:b/>
          <w:bCs/>
        </w:rPr>
        <w:t xml:space="preserve"> 3</w:t>
      </w:r>
      <w:r w:rsidR="00A835AD" w:rsidRPr="00950D73">
        <w:rPr>
          <w:rFonts w:asciiTheme="majorBidi" w:hAnsiTheme="majorBidi" w:cstheme="majorBidi"/>
          <w:b/>
          <w:bCs/>
        </w:rPr>
        <w:t xml:space="preserve"> et 4</w:t>
      </w:r>
      <w:r w:rsidR="00574E47" w:rsidRPr="00950D73">
        <w:rPr>
          <w:rFonts w:asciiTheme="majorBidi" w:hAnsiTheme="majorBidi" w:cstheme="majorBidi"/>
          <w:b/>
          <w:bCs/>
        </w:rPr>
        <w:t xml:space="preserve">, </w:t>
      </w:r>
      <w:r w:rsidR="00574E47" w:rsidRPr="00950D73">
        <w:rPr>
          <w:rFonts w:asciiTheme="majorBidi" w:hAnsiTheme="majorBidi" w:cstheme="majorBidi"/>
          <w:b/>
          <w:bCs/>
        </w:rPr>
        <w:lastRenderedPageBreak/>
        <w:t xml:space="preserve">colonne « Prévention », </w:t>
      </w:r>
      <w:r w:rsidR="00ED7B4A" w:rsidRPr="00950D73">
        <w:rPr>
          <w:rFonts w:asciiTheme="majorBidi" w:hAnsiTheme="majorBidi" w:cstheme="majorBidi"/>
          <w:b/>
          <w:bCs/>
        </w:rPr>
        <w:t xml:space="preserve">conseil de prudence </w:t>
      </w:r>
      <w:r w:rsidR="00574E47" w:rsidRPr="00950D73">
        <w:rPr>
          <w:rFonts w:asciiTheme="majorBidi" w:hAnsiTheme="majorBidi" w:cstheme="majorBidi"/>
          <w:b/>
          <w:bCs/>
        </w:rPr>
        <w:t>P271</w:t>
      </w:r>
    </w:p>
    <w:p w14:paraId="15E4A63C" w14:textId="0337F3CB" w:rsidR="007D2B82" w:rsidRPr="00950D73" w:rsidRDefault="007D2B82" w:rsidP="003229BF">
      <w:pPr>
        <w:pStyle w:val="SingleTxtG"/>
        <w:rPr>
          <w:rFonts w:asciiTheme="majorBidi" w:hAnsiTheme="majorBidi" w:cstheme="majorBidi"/>
          <w:lang w:val="fr-FR"/>
        </w:rPr>
      </w:pPr>
      <w:r w:rsidRPr="00950D73">
        <w:rPr>
          <w:rFonts w:asciiTheme="majorBidi" w:hAnsiTheme="majorBidi" w:cstheme="majorBidi"/>
        </w:rPr>
        <w:t xml:space="preserve">Modifier pour lire comme suit : </w:t>
      </w:r>
    </w:p>
    <w:p w14:paraId="09718564" w14:textId="45B6EE66" w:rsidR="00574E47" w:rsidRPr="00950D73" w:rsidRDefault="00574E47" w:rsidP="003229BF">
      <w:pPr>
        <w:pStyle w:val="SingleTxtG"/>
        <w:ind w:left="1701"/>
        <w:rPr>
          <w:rFonts w:asciiTheme="majorBidi" w:hAnsiTheme="majorBidi" w:cstheme="majorBidi"/>
          <w:b/>
          <w:lang w:val="fr-FR"/>
        </w:rPr>
      </w:pPr>
      <w:r w:rsidRPr="00950D73">
        <w:rPr>
          <w:rFonts w:asciiTheme="majorBidi" w:hAnsiTheme="majorBidi" w:cstheme="majorBidi"/>
          <w:lang w:val="fr-FR"/>
        </w:rPr>
        <w:t xml:space="preserve">« P271 </w:t>
      </w:r>
      <w:r w:rsidRPr="00950D73">
        <w:rPr>
          <w:rFonts w:asciiTheme="majorBidi" w:hAnsiTheme="majorBidi" w:cstheme="majorBidi"/>
          <w:lang w:val="fr-FR"/>
        </w:rPr>
        <w:br/>
      </w:r>
      <w:r w:rsidRPr="00950D73">
        <w:rPr>
          <w:rFonts w:asciiTheme="majorBidi" w:hAnsiTheme="majorBidi" w:cstheme="majorBidi"/>
          <w:b/>
          <w:bCs/>
          <w:lang w:val="fr-FR"/>
        </w:rPr>
        <w:t>Utiliser seulement en plein air ou avec une ventilation suffisante.</w:t>
      </w:r>
    </w:p>
    <w:p w14:paraId="6316F197" w14:textId="77777777" w:rsidR="00574E47" w:rsidRPr="00950D73" w:rsidRDefault="00574E47" w:rsidP="00764532">
      <w:pPr>
        <w:pStyle w:val="Textedebulles"/>
        <w:spacing w:before="20" w:after="120" w:line="240" w:lineRule="atLeast"/>
        <w:ind w:left="1701" w:right="1134"/>
        <w:jc w:val="both"/>
        <w:rPr>
          <w:rFonts w:asciiTheme="majorBidi" w:hAnsiTheme="majorBidi" w:cstheme="majorBidi"/>
          <w:sz w:val="20"/>
          <w:szCs w:val="20"/>
          <w:lang w:val="fr-FR"/>
        </w:rPr>
      </w:pPr>
      <w:r w:rsidRPr="00950D73">
        <w:rPr>
          <w:rFonts w:asciiTheme="majorBidi" w:hAnsiTheme="majorBidi" w:cstheme="majorBidi"/>
          <w:sz w:val="20"/>
          <w:szCs w:val="20"/>
          <w:lang w:val="fr-FR"/>
        </w:rPr>
        <w:t>Il revient au fabricant/fournisseur de préciser, sur la fiche de données de sécurité et dans toutes les instructions de sécurité supplémentaires fournies aux consommateurs, quel type de ventilation conviendrait à une utilisation sûre. ».</w:t>
      </w:r>
    </w:p>
    <w:p w14:paraId="43184866" w14:textId="79357033" w:rsidR="00C94ECF" w:rsidRPr="00950D73" w:rsidRDefault="00C94ECF" w:rsidP="009A6EEB">
      <w:pPr>
        <w:pStyle w:val="SingleTxtG"/>
        <w:spacing w:before="240"/>
        <w:rPr>
          <w:rFonts w:asciiTheme="majorBidi" w:hAnsiTheme="majorBidi" w:cstheme="majorBidi"/>
          <w:b/>
          <w:bCs/>
        </w:rPr>
      </w:pPr>
      <w:r w:rsidRPr="00950D73">
        <w:rPr>
          <w:rFonts w:asciiTheme="majorBidi" w:hAnsiTheme="majorBidi" w:cstheme="majorBidi"/>
          <w:b/>
          <w:bCs/>
        </w:rPr>
        <w:t xml:space="preserve">Tableau relatif à la sensibilisation respiratoire (chapitre 3.4) </w:t>
      </w:r>
    </w:p>
    <w:p w14:paraId="159E3C66" w14:textId="77777777" w:rsidR="00C94ECF" w:rsidRPr="00950D73" w:rsidRDefault="00C94ECF" w:rsidP="003229BF">
      <w:pPr>
        <w:spacing w:after="120"/>
        <w:ind w:left="1134" w:right="1134"/>
        <w:jc w:val="both"/>
        <w:rPr>
          <w:rFonts w:asciiTheme="majorBidi" w:hAnsiTheme="majorBidi" w:cstheme="majorBidi"/>
        </w:rPr>
      </w:pPr>
      <w:r w:rsidRPr="00950D73">
        <w:rPr>
          <w:rFonts w:asciiTheme="majorBidi" w:hAnsiTheme="majorBidi" w:cstheme="majorBidi"/>
        </w:rPr>
        <w:t>Modification sans objet en français.</w:t>
      </w:r>
    </w:p>
    <w:p w14:paraId="75E41E4A" w14:textId="593F3672" w:rsidR="008F5068" w:rsidRPr="00950D73" w:rsidRDefault="009B03A8" w:rsidP="009A6EEB">
      <w:pPr>
        <w:pStyle w:val="SingleTxtG"/>
        <w:spacing w:before="240"/>
        <w:rPr>
          <w:rFonts w:asciiTheme="majorBidi" w:hAnsiTheme="majorBidi" w:cstheme="majorBidi"/>
          <w:b/>
          <w:bCs/>
        </w:rPr>
      </w:pPr>
      <w:r w:rsidRPr="00950D73">
        <w:rPr>
          <w:rFonts w:asciiTheme="majorBidi" w:hAnsiTheme="majorBidi" w:cstheme="majorBidi"/>
          <w:b/>
          <w:bCs/>
        </w:rPr>
        <w:t>Tableau des conseils de prudence concernant la classe de danger « Sensibilisation respiratoire (chapitre 3.4) », catégories 1, 1A, 1B</w:t>
      </w:r>
    </w:p>
    <w:p w14:paraId="0850ECBC" w14:textId="09D27D42" w:rsidR="009B03A8" w:rsidRPr="00950D73" w:rsidRDefault="00F26121" w:rsidP="009B03A8">
      <w:pPr>
        <w:pStyle w:val="SingleTxtG"/>
        <w:rPr>
          <w:rFonts w:asciiTheme="majorBidi" w:hAnsiTheme="majorBidi" w:cstheme="majorBidi"/>
        </w:rPr>
      </w:pPr>
      <w:r w:rsidRPr="00950D73">
        <w:rPr>
          <w:rFonts w:asciiTheme="majorBidi" w:hAnsiTheme="majorBidi" w:cstheme="majorBidi"/>
        </w:rPr>
        <w:t>Colonne « Prévention »,</w:t>
      </w:r>
      <w:r w:rsidRPr="00950D73">
        <w:rPr>
          <w:rFonts w:asciiTheme="majorBidi" w:hAnsiTheme="majorBidi" w:cstheme="majorBidi"/>
          <w:b/>
          <w:bCs/>
        </w:rPr>
        <w:t xml:space="preserve"> </w:t>
      </w:r>
      <w:r w:rsidRPr="00950D73">
        <w:rPr>
          <w:rFonts w:asciiTheme="majorBidi" w:hAnsiTheme="majorBidi" w:cstheme="majorBidi"/>
        </w:rPr>
        <w:t>m</w:t>
      </w:r>
      <w:r w:rsidR="008F5068" w:rsidRPr="00950D73">
        <w:rPr>
          <w:rFonts w:asciiTheme="majorBidi" w:hAnsiTheme="majorBidi" w:cstheme="majorBidi"/>
        </w:rPr>
        <w:t>odifier pour lire comme suit</w:t>
      </w:r>
      <w:r w:rsidR="00764532" w:rsidRPr="00950D73">
        <w:rPr>
          <w:rFonts w:asciiTheme="majorBidi" w:hAnsiTheme="majorBidi" w:cstheme="majorBidi"/>
        </w:rPr>
        <w:t> </w:t>
      </w:r>
      <w:r w:rsidR="009B03A8" w:rsidRPr="00950D73">
        <w:rPr>
          <w:rFonts w:asciiTheme="majorBidi" w:hAnsiTheme="majorBidi" w:cstheme="majorBidi"/>
        </w:rPr>
        <w:t>:</w:t>
      </w:r>
    </w:p>
    <w:p w14:paraId="2396AFB5" w14:textId="77777777" w:rsidR="009B03A8" w:rsidRPr="00950D73" w:rsidRDefault="009B03A8" w:rsidP="009B03A8">
      <w:pPr>
        <w:pStyle w:val="Textedebulles"/>
        <w:spacing w:line="240" w:lineRule="atLeast"/>
        <w:ind w:left="1701" w:right="1134"/>
        <w:rPr>
          <w:rFonts w:asciiTheme="majorBidi" w:hAnsiTheme="majorBidi" w:cstheme="majorBidi"/>
          <w:bCs/>
          <w:sz w:val="20"/>
          <w:szCs w:val="20"/>
          <w:lang w:val="fr-FR"/>
        </w:rPr>
      </w:pPr>
      <w:r w:rsidRPr="00950D73">
        <w:rPr>
          <w:rFonts w:asciiTheme="majorBidi" w:hAnsiTheme="majorBidi" w:cstheme="majorBidi"/>
          <w:sz w:val="20"/>
          <w:szCs w:val="20"/>
          <w:lang w:val="fr-FR"/>
        </w:rPr>
        <w:t>« P233</w:t>
      </w:r>
    </w:p>
    <w:p w14:paraId="66DF6A33" w14:textId="77777777" w:rsidR="009B03A8" w:rsidRPr="00950D73" w:rsidRDefault="009B03A8" w:rsidP="009B03A8">
      <w:pPr>
        <w:pStyle w:val="Textedebulles"/>
        <w:spacing w:after="120" w:line="240" w:lineRule="atLeast"/>
        <w:ind w:left="1701" w:right="1134"/>
        <w:rPr>
          <w:rFonts w:asciiTheme="majorBidi" w:hAnsiTheme="majorBidi" w:cstheme="majorBidi"/>
          <w:sz w:val="20"/>
          <w:szCs w:val="20"/>
          <w:lang w:val="fr-FR"/>
        </w:rPr>
      </w:pPr>
      <w:r w:rsidRPr="00950D73">
        <w:rPr>
          <w:rFonts w:asciiTheme="majorBidi" w:hAnsiTheme="majorBidi" w:cstheme="majorBidi"/>
          <w:b/>
          <w:bCs/>
          <w:sz w:val="20"/>
          <w:szCs w:val="20"/>
          <w:lang w:val="fr-FR"/>
        </w:rPr>
        <w:t>Maintenir le récipient fermé de manière étanche.</w:t>
      </w:r>
    </w:p>
    <w:p w14:paraId="23FA1041" w14:textId="77777777" w:rsidR="009B03A8" w:rsidRPr="00950D73" w:rsidRDefault="009B03A8" w:rsidP="009B03A8">
      <w:pPr>
        <w:pStyle w:val="Textedebulles"/>
        <w:spacing w:line="240" w:lineRule="atLeast"/>
        <w:ind w:left="1701" w:right="1134"/>
        <w:jc w:val="both"/>
        <w:rPr>
          <w:rFonts w:asciiTheme="majorBidi" w:hAnsiTheme="majorBidi" w:cstheme="majorBidi"/>
          <w:sz w:val="20"/>
          <w:szCs w:val="20"/>
          <w:lang w:val="fr-FR"/>
        </w:rPr>
      </w:pPr>
      <w:r w:rsidRPr="00950D73">
        <w:rPr>
          <w:rFonts w:asciiTheme="majorBidi" w:hAnsiTheme="majorBidi" w:cstheme="majorBidi"/>
          <w:sz w:val="20"/>
          <w:szCs w:val="20"/>
          <w:lang w:val="fr-FR"/>
        </w:rPr>
        <w:t xml:space="preserve">P260 </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Ne pas respirer les poussières/fumées/gaz/brouillards/vapeurs/aérosols.</w:t>
      </w:r>
      <w:r w:rsidRPr="00950D73">
        <w:rPr>
          <w:rFonts w:asciiTheme="majorBidi" w:hAnsiTheme="majorBidi" w:cstheme="majorBidi"/>
          <w:sz w:val="20"/>
          <w:szCs w:val="20"/>
          <w:lang w:val="fr-FR"/>
        </w:rPr>
        <w:t xml:space="preserve"> </w:t>
      </w:r>
    </w:p>
    <w:p w14:paraId="4B4E4C67" w14:textId="77777777" w:rsidR="009B03A8" w:rsidRPr="00950D73" w:rsidRDefault="009B03A8" w:rsidP="009B03A8">
      <w:pPr>
        <w:pStyle w:val="Textedebulles"/>
        <w:spacing w:after="120" w:line="240" w:lineRule="atLeast"/>
        <w:ind w:left="1701" w:right="1134"/>
        <w:jc w:val="both"/>
        <w:rPr>
          <w:rFonts w:asciiTheme="majorBidi" w:hAnsiTheme="majorBidi" w:cstheme="majorBidi"/>
          <w:b/>
          <w:sz w:val="20"/>
          <w:szCs w:val="20"/>
          <w:lang w:val="fr-FR"/>
        </w:rPr>
      </w:pPr>
      <w:r w:rsidRPr="00950D73">
        <w:rPr>
          <w:rFonts w:asciiTheme="majorBidi" w:hAnsiTheme="majorBidi" w:cstheme="majorBidi"/>
          <w:sz w:val="20"/>
          <w:szCs w:val="20"/>
          <w:lang w:val="fr-FR"/>
        </w:rPr>
        <w:t>Il revient au fabricant/fournisseur ou à l’autorité compétente de préciser l’état physique ou les états physiques applicable(s)</w:t>
      </w:r>
      <w:r w:rsidRPr="00950D73">
        <w:rPr>
          <w:rFonts w:asciiTheme="majorBidi" w:hAnsiTheme="majorBidi" w:cstheme="majorBidi"/>
          <w:b/>
          <w:sz w:val="20"/>
          <w:szCs w:val="20"/>
          <w:lang w:val="fr-FR"/>
        </w:rPr>
        <w:t>.</w:t>
      </w:r>
    </w:p>
    <w:p w14:paraId="15D5ED81" w14:textId="77777777" w:rsidR="009B03A8" w:rsidRPr="00950D73" w:rsidRDefault="009B03A8" w:rsidP="009B03A8">
      <w:pPr>
        <w:pStyle w:val="Textedebulles"/>
        <w:spacing w:line="240" w:lineRule="atLeast"/>
        <w:ind w:left="1701" w:right="1134"/>
        <w:jc w:val="both"/>
        <w:rPr>
          <w:rFonts w:asciiTheme="majorBidi" w:hAnsiTheme="majorBidi" w:cstheme="majorBidi"/>
          <w:b/>
          <w:bCs/>
          <w:sz w:val="20"/>
          <w:szCs w:val="20"/>
          <w:lang w:val="fr-FR"/>
        </w:rPr>
      </w:pPr>
      <w:r w:rsidRPr="00950D73">
        <w:rPr>
          <w:rFonts w:asciiTheme="majorBidi" w:hAnsiTheme="majorBidi" w:cstheme="majorBidi"/>
          <w:sz w:val="20"/>
          <w:szCs w:val="20"/>
          <w:lang w:val="fr-FR"/>
        </w:rPr>
        <w:t xml:space="preserve">P271 </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Utiliser seulement en plein air ou avec une ventilation suffisante.</w:t>
      </w:r>
    </w:p>
    <w:p w14:paraId="4B05186C" w14:textId="77777777" w:rsidR="009B03A8" w:rsidRPr="00950D73" w:rsidRDefault="009B03A8" w:rsidP="009B03A8">
      <w:pPr>
        <w:pStyle w:val="Textedebulles"/>
        <w:spacing w:after="120" w:line="240" w:lineRule="atLeast"/>
        <w:ind w:left="1701" w:right="1134"/>
        <w:jc w:val="both"/>
        <w:rPr>
          <w:rFonts w:asciiTheme="majorBidi" w:hAnsiTheme="majorBidi" w:cstheme="majorBidi"/>
          <w:sz w:val="20"/>
          <w:szCs w:val="20"/>
          <w:lang w:val="fr-FR"/>
        </w:rPr>
      </w:pPr>
      <w:r w:rsidRPr="00950D73">
        <w:rPr>
          <w:rFonts w:asciiTheme="majorBidi" w:hAnsiTheme="majorBidi" w:cstheme="majorBidi"/>
          <w:sz w:val="20"/>
          <w:szCs w:val="20"/>
          <w:lang w:val="fr-FR"/>
        </w:rPr>
        <w:t>Il revient au fabricant/fournisseur de préciser, sur la fiche de données de sécurité et dans toutes les instructions de sécurité supplémentaires fournies aux consommateurs, quel type de ventilation conviendrait à une utilisation sûre.</w:t>
      </w:r>
    </w:p>
    <w:p w14:paraId="1D86C7AB" w14:textId="77777777" w:rsidR="009B03A8" w:rsidRPr="00950D73" w:rsidRDefault="009B03A8" w:rsidP="009B03A8">
      <w:pPr>
        <w:pStyle w:val="Textedebulles"/>
        <w:spacing w:line="240" w:lineRule="atLeast"/>
        <w:ind w:left="1701" w:right="1134"/>
        <w:rPr>
          <w:rFonts w:asciiTheme="majorBidi" w:hAnsiTheme="majorBidi" w:cstheme="majorBidi"/>
          <w:b/>
          <w:bCs/>
          <w:sz w:val="20"/>
          <w:szCs w:val="20"/>
          <w:lang w:val="fr-FR"/>
        </w:rPr>
      </w:pPr>
      <w:r w:rsidRPr="00950D73">
        <w:rPr>
          <w:rFonts w:asciiTheme="majorBidi" w:hAnsiTheme="majorBidi" w:cstheme="majorBidi"/>
          <w:sz w:val="20"/>
          <w:szCs w:val="20"/>
          <w:lang w:val="fr-FR"/>
        </w:rPr>
        <w:lastRenderedPageBreak/>
        <w:t xml:space="preserve">P280 </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Porter des gants/des vêtements de protection.</w:t>
      </w:r>
    </w:p>
    <w:p w14:paraId="56A6BC31" w14:textId="77777777" w:rsidR="009B03A8" w:rsidRPr="00950D73" w:rsidRDefault="009B03A8" w:rsidP="009B03A8">
      <w:pPr>
        <w:pStyle w:val="Textedebulles"/>
        <w:spacing w:after="120" w:line="240" w:lineRule="atLeast"/>
        <w:ind w:left="1701" w:right="1134"/>
        <w:rPr>
          <w:rFonts w:asciiTheme="majorBidi" w:hAnsiTheme="majorBidi" w:cstheme="majorBidi"/>
          <w:bCs/>
          <w:sz w:val="20"/>
          <w:szCs w:val="20"/>
          <w:lang w:val="fr-FR"/>
        </w:rPr>
      </w:pPr>
      <w:r w:rsidRPr="00950D73">
        <w:rPr>
          <w:rFonts w:asciiTheme="majorBidi" w:hAnsiTheme="majorBidi" w:cstheme="majorBidi"/>
          <w:sz w:val="20"/>
          <w:szCs w:val="20"/>
          <w:lang w:val="fr-FR"/>
        </w:rPr>
        <w:t>Il revient au fabricant/fournisseur ou à l’autorité compétente de préciser davantage le type d’équipement, le cas échéant</w:t>
      </w:r>
      <w:r w:rsidRPr="00950D73">
        <w:rPr>
          <w:rFonts w:asciiTheme="majorBidi" w:hAnsiTheme="majorBidi" w:cstheme="majorBidi"/>
          <w:bCs/>
          <w:sz w:val="20"/>
          <w:szCs w:val="20"/>
          <w:lang w:val="fr-FR"/>
        </w:rPr>
        <w:t>.</w:t>
      </w:r>
    </w:p>
    <w:p w14:paraId="558E922B" w14:textId="77777777" w:rsidR="009B03A8" w:rsidRPr="00950D73" w:rsidRDefault="009B03A8" w:rsidP="009B03A8">
      <w:pPr>
        <w:pStyle w:val="Textedebulles"/>
        <w:spacing w:line="240" w:lineRule="atLeast"/>
        <w:ind w:left="1701" w:right="1134"/>
        <w:jc w:val="both"/>
        <w:rPr>
          <w:rFonts w:asciiTheme="majorBidi" w:hAnsiTheme="majorBidi" w:cstheme="majorBidi"/>
          <w:b/>
          <w:bCs/>
          <w:sz w:val="20"/>
          <w:szCs w:val="20"/>
          <w:lang w:val="fr-FR"/>
        </w:rPr>
      </w:pPr>
      <w:r w:rsidRPr="00950D73">
        <w:rPr>
          <w:rFonts w:asciiTheme="majorBidi" w:hAnsiTheme="majorBidi" w:cstheme="majorBidi"/>
          <w:sz w:val="20"/>
          <w:szCs w:val="20"/>
          <w:lang w:val="fr-FR"/>
        </w:rPr>
        <w:t xml:space="preserve">P284 </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Lorsque la ventilation du local est insuffisante, porter un équipement de protection respiratoire.</w:t>
      </w:r>
    </w:p>
    <w:p w14:paraId="598A6AD0" w14:textId="77777777" w:rsidR="009B03A8" w:rsidRPr="00950D73" w:rsidRDefault="009B03A8" w:rsidP="009B03A8">
      <w:pPr>
        <w:pStyle w:val="Textedebulles"/>
        <w:spacing w:after="120" w:line="240" w:lineRule="atLeast"/>
        <w:ind w:left="1701" w:right="1134"/>
        <w:jc w:val="both"/>
        <w:rPr>
          <w:rFonts w:asciiTheme="majorBidi" w:hAnsiTheme="majorBidi" w:cstheme="majorBidi"/>
          <w:sz w:val="20"/>
          <w:szCs w:val="20"/>
          <w:lang w:val="fr-FR"/>
        </w:rPr>
      </w:pPr>
      <w:r w:rsidRPr="00950D73">
        <w:rPr>
          <w:rFonts w:asciiTheme="majorBidi" w:hAnsiTheme="majorBidi" w:cstheme="majorBidi"/>
          <w:sz w:val="20"/>
          <w:szCs w:val="20"/>
          <w:lang w:val="fr-FR"/>
        </w:rPr>
        <w:t>Il revient au fabricant/fournisseur de préciser, sur la fiche de données de sécurité, quel type de ventilation conviendrait à une utilisation sûre, et de joindre au produit chimique, au point d’utilisation, des informations supplémentaires qui précisent quel type d’équipement respiratoire pourrait également être nécessaire. ».</w:t>
      </w:r>
    </w:p>
    <w:p w14:paraId="6C775C71" w14:textId="0B2751EC" w:rsidR="00823EE6" w:rsidRPr="00950D73" w:rsidRDefault="00823EE6" w:rsidP="00823EE6">
      <w:pPr>
        <w:pStyle w:val="Textedebulles"/>
        <w:spacing w:before="20" w:after="120" w:line="240" w:lineRule="atLeast"/>
        <w:ind w:left="1134" w:right="1134"/>
        <w:rPr>
          <w:rFonts w:asciiTheme="majorBidi" w:hAnsiTheme="majorBidi" w:cstheme="majorBidi"/>
          <w:bCs/>
          <w:sz w:val="20"/>
          <w:szCs w:val="20"/>
          <w:lang w:val="fr-FR"/>
        </w:rPr>
      </w:pPr>
      <w:r w:rsidRPr="00950D73">
        <w:rPr>
          <w:rFonts w:asciiTheme="majorBidi" w:hAnsiTheme="majorBidi" w:cstheme="majorBidi"/>
          <w:sz w:val="20"/>
          <w:szCs w:val="20"/>
          <w:lang w:val="fr-FR"/>
        </w:rPr>
        <w:t>Colonne « Stockage », ajouter  le</w:t>
      </w:r>
      <w:r w:rsidR="00A81F45" w:rsidRPr="00950D73">
        <w:rPr>
          <w:rFonts w:asciiTheme="majorBidi" w:hAnsiTheme="majorBidi" w:cstheme="majorBidi"/>
          <w:sz w:val="20"/>
          <w:szCs w:val="20"/>
          <w:lang w:val="fr-FR"/>
        </w:rPr>
        <w:t xml:space="preserve"> conseil de prudence</w:t>
      </w:r>
      <w:r w:rsidRPr="00950D73">
        <w:rPr>
          <w:rFonts w:asciiTheme="majorBidi" w:hAnsiTheme="majorBidi" w:cstheme="majorBidi"/>
          <w:sz w:val="20"/>
          <w:szCs w:val="20"/>
          <w:lang w:val="fr-FR"/>
        </w:rPr>
        <w:t xml:space="preserve"> suivant</w:t>
      </w:r>
      <w:r w:rsidR="00764532" w:rsidRPr="00950D73">
        <w:rPr>
          <w:rFonts w:asciiTheme="majorBidi" w:hAnsiTheme="majorBidi" w:cstheme="majorBidi"/>
          <w:sz w:val="20"/>
          <w:szCs w:val="20"/>
          <w:lang w:val="fr-FR"/>
        </w:rPr>
        <w:t> </w:t>
      </w:r>
      <w:r w:rsidRPr="00950D73">
        <w:rPr>
          <w:rFonts w:asciiTheme="majorBidi" w:hAnsiTheme="majorBidi" w:cstheme="majorBidi"/>
          <w:sz w:val="20"/>
          <w:szCs w:val="20"/>
          <w:lang w:val="fr-FR"/>
        </w:rPr>
        <w:t>:</w:t>
      </w:r>
    </w:p>
    <w:p w14:paraId="3A22599B" w14:textId="77777777" w:rsidR="00823EE6" w:rsidRPr="00950D73" w:rsidRDefault="00823EE6" w:rsidP="00823EE6">
      <w:pPr>
        <w:pStyle w:val="Textedebulles"/>
        <w:spacing w:after="120" w:line="240" w:lineRule="atLeast"/>
        <w:ind w:left="1701" w:right="1134"/>
        <w:rPr>
          <w:rFonts w:asciiTheme="majorBidi" w:hAnsiTheme="majorBidi" w:cstheme="majorBidi"/>
          <w:b/>
          <w:sz w:val="20"/>
          <w:szCs w:val="20"/>
          <w:lang w:val="fr-FR"/>
        </w:rPr>
      </w:pPr>
      <w:r w:rsidRPr="00950D73">
        <w:rPr>
          <w:rFonts w:asciiTheme="majorBidi" w:hAnsiTheme="majorBidi" w:cstheme="majorBidi"/>
          <w:sz w:val="20"/>
          <w:szCs w:val="20"/>
          <w:lang w:val="fr-FR"/>
        </w:rPr>
        <w:t xml:space="preserve">« P403 </w:t>
      </w:r>
      <w:r w:rsidRPr="00950D73">
        <w:rPr>
          <w:rFonts w:asciiTheme="majorBidi" w:hAnsiTheme="majorBidi" w:cstheme="majorBidi"/>
          <w:sz w:val="20"/>
          <w:szCs w:val="20"/>
          <w:lang w:val="fr-FR"/>
        </w:rPr>
        <w:br/>
      </w:r>
      <w:r w:rsidRPr="00950D73">
        <w:rPr>
          <w:rFonts w:asciiTheme="majorBidi" w:hAnsiTheme="majorBidi" w:cstheme="majorBidi"/>
          <w:b/>
          <w:bCs/>
          <w:sz w:val="20"/>
          <w:szCs w:val="20"/>
          <w:lang w:val="fr-FR"/>
        </w:rPr>
        <w:t>Stocker dans un endroit bien ventilé. </w:t>
      </w:r>
      <w:r w:rsidRPr="00950D73">
        <w:rPr>
          <w:rFonts w:asciiTheme="majorBidi" w:hAnsiTheme="majorBidi" w:cstheme="majorBidi"/>
          <w:sz w:val="20"/>
          <w:szCs w:val="20"/>
          <w:lang w:val="fr-FR"/>
        </w:rPr>
        <w:t>».</w:t>
      </w:r>
    </w:p>
    <w:p w14:paraId="0CF3BFDC" w14:textId="4F3952F1" w:rsidR="00D66CA4" w:rsidRPr="00950D73" w:rsidRDefault="00D66CA4" w:rsidP="00926218">
      <w:pPr>
        <w:pStyle w:val="SingleTxtG"/>
        <w:spacing w:before="240"/>
        <w:rPr>
          <w:rFonts w:asciiTheme="majorBidi" w:hAnsiTheme="majorBidi" w:cstheme="majorBidi"/>
          <w:b/>
          <w:bCs/>
        </w:rPr>
      </w:pPr>
      <w:r w:rsidRPr="00950D73">
        <w:rPr>
          <w:rFonts w:asciiTheme="majorBidi" w:hAnsiTheme="majorBidi" w:cstheme="majorBidi"/>
          <w:b/>
          <w:bCs/>
        </w:rPr>
        <w:t xml:space="preserve">Tableaux relatifs à la sensibilisation respiratoire et à la sensibilisation cutanée (chapitre 3.4) </w:t>
      </w:r>
    </w:p>
    <w:p w14:paraId="7E1405ED" w14:textId="77777777" w:rsidR="00D66CA4" w:rsidRPr="00950D73" w:rsidRDefault="00D66CA4" w:rsidP="003229BF">
      <w:pPr>
        <w:spacing w:after="120"/>
        <w:ind w:left="1134" w:right="1134"/>
        <w:jc w:val="both"/>
        <w:rPr>
          <w:rFonts w:asciiTheme="majorBidi" w:hAnsiTheme="majorBidi" w:cstheme="majorBidi"/>
        </w:rPr>
      </w:pPr>
      <w:r w:rsidRPr="00950D73">
        <w:rPr>
          <w:rFonts w:asciiTheme="majorBidi" w:hAnsiTheme="majorBidi" w:cstheme="majorBidi"/>
        </w:rPr>
        <w:t>Modification sans objet en français.</w:t>
      </w:r>
    </w:p>
    <w:p w14:paraId="246CA5D3" w14:textId="74EE20F8" w:rsidR="002B6EF8" w:rsidRPr="00950D73" w:rsidRDefault="00290690" w:rsidP="00926218">
      <w:pPr>
        <w:pStyle w:val="SingleTxtG"/>
        <w:spacing w:before="240"/>
        <w:rPr>
          <w:rFonts w:asciiTheme="majorBidi" w:hAnsiTheme="majorBidi" w:cstheme="majorBidi"/>
          <w:b/>
          <w:bCs/>
        </w:rPr>
      </w:pPr>
      <w:r w:rsidRPr="00950D73">
        <w:rPr>
          <w:rFonts w:asciiTheme="majorBidi" w:hAnsiTheme="majorBidi" w:cstheme="majorBidi"/>
          <w:b/>
          <w:bCs/>
        </w:rPr>
        <w:t>Tableau des conseils de prudence concernant la classe de danger « Toxicité pour certains organes cibles (exposition unique) (chapitre 3.8) », catégorie</w:t>
      </w:r>
      <w:r w:rsidR="0096271D" w:rsidRPr="00950D73">
        <w:rPr>
          <w:rFonts w:asciiTheme="majorBidi" w:hAnsiTheme="majorBidi" w:cstheme="majorBidi"/>
          <w:b/>
          <w:bCs/>
        </w:rPr>
        <w:t>s 1 et 2</w:t>
      </w:r>
      <w:r w:rsidRPr="00950D73">
        <w:rPr>
          <w:rFonts w:asciiTheme="majorBidi" w:hAnsiTheme="majorBidi" w:cstheme="majorBidi"/>
          <w:b/>
          <w:bCs/>
        </w:rPr>
        <w:t>, colonne «</w:t>
      </w:r>
      <w:r w:rsidR="0096271D" w:rsidRPr="00950D73">
        <w:rPr>
          <w:rFonts w:asciiTheme="majorBidi" w:hAnsiTheme="majorBidi" w:cstheme="majorBidi"/>
          <w:b/>
          <w:bCs/>
        </w:rPr>
        <w:t> </w:t>
      </w:r>
      <w:r w:rsidRPr="00950D73">
        <w:rPr>
          <w:rFonts w:asciiTheme="majorBidi" w:hAnsiTheme="majorBidi" w:cstheme="majorBidi"/>
          <w:b/>
          <w:bCs/>
        </w:rPr>
        <w:t>Prévention »</w:t>
      </w:r>
      <w:r w:rsidR="0022207A" w:rsidRPr="00950D73">
        <w:rPr>
          <w:rFonts w:asciiTheme="majorBidi" w:hAnsiTheme="majorBidi" w:cstheme="majorBidi"/>
          <w:b/>
          <w:bCs/>
        </w:rPr>
        <w:t xml:space="preserve">, conseil </w:t>
      </w:r>
      <w:r w:rsidR="00ED7B4A" w:rsidRPr="00950D73">
        <w:rPr>
          <w:rFonts w:asciiTheme="majorBidi" w:hAnsiTheme="majorBidi" w:cstheme="majorBidi"/>
          <w:b/>
          <w:bCs/>
        </w:rPr>
        <w:t xml:space="preserve">de prudence </w:t>
      </w:r>
      <w:r w:rsidR="0022207A" w:rsidRPr="00950D73">
        <w:rPr>
          <w:rFonts w:asciiTheme="majorBidi" w:hAnsiTheme="majorBidi" w:cstheme="majorBidi"/>
          <w:b/>
          <w:bCs/>
        </w:rPr>
        <w:t>P260</w:t>
      </w:r>
    </w:p>
    <w:p w14:paraId="77AAEA96" w14:textId="53B5A14B" w:rsidR="00290690" w:rsidRPr="00950D73" w:rsidRDefault="009219BD" w:rsidP="003229BF">
      <w:pPr>
        <w:spacing w:after="120"/>
        <w:ind w:left="1134" w:right="1134"/>
        <w:jc w:val="both"/>
        <w:rPr>
          <w:rFonts w:asciiTheme="majorBidi" w:hAnsiTheme="majorBidi" w:cstheme="majorBidi"/>
        </w:rPr>
      </w:pPr>
      <w:r w:rsidRPr="00950D73">
        <w:rPr>
          <w:rFonts w:asciiTheme="majorBidi" w:hAnsiTheme="majorBidi" w:cstheme="majorBidi"/>
        </w:rPr>
        <w:t>Remplacer «</w:t>
      </w:r>
      <w:r w:rsidR="00D73DCD" w:rsidRPr="00950D73">
        <w:rPr>
          <w:rFonts w:asciiTheme="majorBidi" w:hAnsiTheme="majorBidi" w:cstheme="majorBidi"/>
        </w:rPr>
        <w:t xml:space="preserve"> de préciser les</w:t>
      </w:r>
      <w:r w:rsidRPr="00950D73">
        <w:rPr>
          <w:rFonts w:asciiTheme="majorBidi" w:hAnsiTheme="majorBidi" w:cstheme="majorBidi"/>
        </w:rPr>
        <w:t> conditions applicables » par « </w:t>
      </w:r>
      <w:r w:rsidR="00D73DCD" w:rsidRPr="00950D73">
        <w:rPr>
          <w:rFonts w:asciiTheme="majorBidi" w:hAnsiTheme="majorBidi" w:cstheme="majorBidi"/>
        </w:rPr>
        <w:t>de préciser l’état physique ou les états physiques applicable(s). »</w:t>
      </w:r>
    </w:p>
    <w:p w14:paraId="7827B3C3" w14:textId="4B3AD2C1" w:rsidR="0096271D" w:rsidRPr="00950D73" w:rsidRDefault="00A446A6" w:rsidP="0096271D">
      <w:pPr>
        <w:pStyle w:val="SingleTxtG"/>
        <w:keepNext/>
        <w:keepLines/>
        <w:rPr>
          <w:rFonts w:asciiTheme="majorBidi" w:hAnsiTheme="majorBidi" w:cstheme="majorBidi"/>
          <w:b/>
          <w:bCs/>
          <w:lang w:val="fr-FR"/>
        </w:rPr>
      </w:pPr>
      <w:r w:rsidRPr="00950D73">
        <w:rPr>
          <w:rFonts w:asciiTheme="majorBidi" w:hAnsiTheme="majorBidi" w:cstheme="majorBidi"/>
          <w:b/>
          <w:bCs/>
          <w:lang w:val="fr-FR"/>
        </w:rPr>
        <w:lastRenderedPageBreak/>
        <w:t xml:space="preserve">Tableau des conseils de prudence concernant la classe de danger « Toxicité pour certains organes cibles (exposition unique) (chapitre 3.8) », catégorie 3, colonne « Prévention », </w:t>
      </w:r>
      <w:r w:rsidR="0096271D" w:rsidRPr="00950D73">
        <w:rPr>
          <w:rFonts w:asciiTheme="majorBidi" w:hAnsiTheme="majorBidi" w:cstheme="majorBidi"/>
          <w:b/>
          <w:bCs/>
          <w:lang w:val="fr-FR"/>
        </w:rPr>
        <w:t xml:space="preserve">conseil </w:t>
      </w:r>
      <w:r w:rsidR="00ED7B4A" w:rsidRPr="00950D73">
        <w:rPr>
          <w:rFonts w:asciiTheme="majorBidi" w:hAnsiTheme="majorBidi" w:cstheme="majorBidi"/>
          <w:b/>
          <w:bCs/>
          <w:lang w:val="fr-FR"/>
        </w:rPr>
        <w:t xml:space="preserve">de prudence </w:t>
      </w:r>
      <w:r w:rsidRPr="00950D73">
        <w:rPr>
          <w:rFonts w:asciiTheme="majorBidi" w:hAnsiTheme="majorBidi" w:cstheme="majorBidi"/>
          <w:b/>
          <w:bCs/>
          <w:lang w:val="fr-FR"/>
        </w:rPr>
        <w:t>P271</w:t>
      </w:r>
    </w:p>
    <w:p w14:paraId="01178C40" w14:textId="05D09299" w:rsidR="00F874D4" w:rsidRPr="00950D73" w:rsidRDefault="00F874D4" w:rsidP="00F874D4">
      <w:pPr>
        <w:pStyle w:val="SingleTxtG"/>
        <w:rPr>
          <w:rFonts w:asciiTheme="majorBidi" w:hAnsiTheme="majorBidi" w:cstheme="majorBidi"/>
        </w:rPr>
      </w:pPr>
      <w:r w:rsidRPr="00950D73">
        <w:rPr>
          <w:rFonts w:asciiTheme="majorBidi" w:hAnsiTheme="majorBidi" w:cstheme="majorBidi"/>
        </w:rPr>
        <w:t>Modifier pour lire comme suit :</w:t>
      </w:r>
    </w:p>
    <w:p w14:paraId="096E410A" w14:textId="77777777" w:rsidR="00A446A6" w:rsidRPr="00950D73" w:rsidRDefault="00A446A6" w:rsidP="003229BF">
      <w:pPr>
        <w:pStyle w:val="SingleTxtG"/>
        <w:keepNext/>
        <w:keepLines/>
        <w:ind w:left="1701"/>
        <w:rPr>
          <w:rFonts w:asciiTheme="majorBidi" w:hAnsiTheme="majorBidi" w:cstheme="majorBidi"/>
          <w:b/>
          <w:lang w:val="fr-FR"/>
        </w:rPr>
      </w:pPr>
      <w:r w:rsidRPr="00950D73">
        <w:rPr>
          <w:rFonts w:asciiTheme="majorBidi" w:hAnsiTheme="majorBidi" w:cstheme="majorBidi"/>
          <w:lang w:val="fr-FR"/>
        </w:rPr>
        <w:t xml:space="preserve">« P271 </w:t>
      </w:r>
      <w:r w:rsidRPr="00950D73">
        <w:rPr>
          <w:rFonts w:asciiTheme="majorBidi" w:hAnsiTheme="majorBidi" w:cstheme="majorBidi"/>
          <w:lang w:val="fr-FR"/>
        </w:rPr>
        <w:br/>
      </w:r>
      <w:r w:rsidRPr="00950D73">
        <w:rPr>
          <w:rFonts w:asciiTheme="majorBidi" w:hAnsiTheme="majorBidi" w:cstheme="majorBidi"/>
          <w:b/>
          <w:bCs/>
          <w:lang w:val="fr-FR"/>
        </w:rPr>
        <w:t>Utiliser seulement en plein air ou avec une ventilation suffisante.</w:t>
      </w:r>
    </w:p>
    <w:p w14:paraId="65C1DFEB" w14:textId="77777777" w:rsidR="00A446A6" w:rsidRPr="00950D73" w:rsidRDefault="00A446A6" w:rsidP="00A446A6">
      <w:pPr>
        <w:pStyle w:val="Textedebulles"/>
        <w:spacing w:before="20" w:after="120" w:line="240" w:lineRule="atLeast"/>
        <w:ind w:left="1701" w:right="1134"/>
        <w:jc w:val="both"/>
        <w:rPr>
          <w:rFonts w:asciiTheme="majorBidi" w:hAnsiTheme="majorBidi" w:cstheme="majorBidi"/>
          <w:sz w:val="20"/>
          <w:szCs w:val="20"/>
          <w:lang w:val="fr-FR"/>
        </w:rPr>
      </w:pPr>
      <w:r w:rsidRPr="00950D73">
        <w:rPr>
          <w:rFonts w:asciiTheme="majorBidi" w:hAnsiTheme="majorBidi" w:cstheme="majorBidi"/>
          <w:sz w:val="20"/>
          <w:szCs w:val="20"/>
          <w:lang w:val="fr-FR"/>
        </w:rPr>
        <w:t>Il revient au fabricant/fournisseur de préciser, sur la fiche de données de sécurité et dans toutes les instructions de sécurité supplémentaires fournies aux consommateurs, quel type de ventilation conviendrait à une utilisation sûre. ».</w:t>
      </w:r>
    </w:p>
    <w:p w14:paraId="59B8188E" w14:textId="30BDBF3C" w:rsidR="00A446A6" w:rsidRPr="00950D73" w:rsidRDefault="00A446A6" w:rsidP="00F874D4">
      <w:pPr>
        <w:pStyle w:val="SingleTxtG"/>
        <w:keepNext/>
        <w:keepLines/>
        <w:rPr>
          <w:rFonts w:asciiTheme="majorBidi" w:hAnsiTheme="majorBidi" w:cstheme="majorBidi"/>
          <w:b/>
          <w:bCs/>
          <w:lang w:val="fr-FR"/>
        </w:rPr>
      </w:pPr>
      <w:r w:rsidRPr="00950D73">
        <w:rPr>
          <w:rFonts w:asciiTheme="majorBidi" w:hAnsiTheme="majorBidi" w:cstheme="majorBidi"/>
          <w:b/>
          <w:bCs/>
          <w:lang w:val="fr-FR"/>
        </w:rPr>
        <w:t>Tableau des conseils de prudence concernant la classe de danger « Toxicité pour certains organes cibles (expositions répétées) (chapitre 3.9) », catégorie</w:t>
      </w:r>
      <w:r w:rsidR="00173826" w:rsidRPr="00950D73">
        <w:rPr>
          <w:rFonts w:asciiTheme="majorBidi" w:hAnsiTheme="majorBidi" w:cstheme="majorBidi"/>
          <w:b/>
          <w:bCs/>
          <w:lang w:val="fr-FR"/>
        </w:rPr>
        <w:t>s</w:t>
      </w:r>
      <w:r w:rsidRPr="00950D73">
        <w:rPr>
          <w:rFonts w:asciiTheme="majorBidi" w:hAnsiTheme="majorBidi" w:cstheme="majorBidi"/>
          <w:b/>
          <w:bCs/>
          <w:lang w:val="fr-FR"/>
        </w:rPr>
        <w:t xml:space="preserve"> 1</w:t>
      </w:r>
      <w:r w:rsidR="00173826" w:rsidRPr="00950D73">
        <w:rPr>
          <w:rFonts w:asciiTheme="majorBidi" w:hAnsiTheme="majorBidi" w:cstheme="majorBidi"/>
          <w:b/>
          <w:bCs/>
          <w:lang w:val="fr-FR"/>
        </w:rPr>
        <w:t xml:space="preserve"> et 2</w:t>
      </w:r>
      <w:r w:rsidRPr="00950D73">
        <w:rPr>
          <w:rFonts w:asciiTheme="majorBidi" w:hAnsiTheme="majorBidi" w:cstheme="majorBidi"/>
          <w:b/>
          <w:bCs/>
          <w:lang w:val="fr-FR"/>
        </w:rPr>
        <w:t xml:space="preserve">, colonne « Prévention », </w:t>
      </w:r>
      <w:r w:rsidR="00A73BE0" w:rsidRPr="00950D73">
        <w:rPr>
          <w:rFonts w:asciiTheme="majorBidi" w:hAnsiTheme="majorBidi" w:cstheme="majorBidi"/>
          <w:b/>
          <w:bCs/>
          <w:lang w:val="fr-FR"/>
        </w:rPr>
        <w:t>conseil de prudence</w:t>
      </w:r>
      <w:r w:rsidRPr="00950D73">
        <w:rPr>
          <w:rFonts w:asciiTheme="majorBidi" w:hAnsiTheme="majorBidi" w:cstheme="majorBidi"/>
          <w:b/>
          <w:bCs/>
          <w:lang w:val="fr-FR"/>
        </w:rPr>
        <w:t xml:space="preserve"> P260</w:t>
      </w:r>
    </w:p>
    <w:p w14:paraId="4D06D6DC" w14:textId="79F9A2C5" w:rsidR="00173826" w:rsidRPr="00950D73" w:rsidRDefault="00173826" w:rsidP="003229BF">
      <w:pPr>
        <w:spacing w:after="120"/>
        <w:ind w:left="1134" w:right="1134"/>
        <w:jc w:val="both"/>
        <w:rPr>
          <w:rFonts w:asciiTheme="majorBidi" w:hAnsiTheme="majorBidi" w:cstheme="majorBidi"/>
        </w:rPr>
      </w:pPr>
      <w:r w:rsidRPr="00950D73">
        <w:rPr>
          <w:rFonts w:asciiTheme="majorBidi" w:hAnsiTheme="majorBidi" w:cstheme="majorBidi"/>
        </w:rPr>
        <w:t>Remplacer « de préciser les conditions applicables » par « de préciser l’état physique ou les états physiques applicable(s). »</w:t>
      </w:r>
      <w:r w:rsidR="00F874D4" w:rsidRPr="00950D73">
        <w:rPr>
          <w:rFonts w:asciiTheme="majorBidi" w:hAnsiTheme="majorBidi" w:cstheme="majorBidi"/>
        </w:rPr>
        <w:t>.</w:t>
      </w:r>
    </w:p>
    <w:p w14:paraId="516237B1" w14:textId="42726B08" w:rsidR="00AF34AB" w:rsidRPr="00950D73" w:rsidRDefault="00AF34AB" w:rsidP="002E75E9">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Annexe 9</w:t>
      </w:r>
    </w:p>
    <w:p w14:paraId="720757C2" w14:textId="357122DE" w:rsidR="00F715EE" w:rsidRPr="00950D73" w:rsidRDefault="00F715EE" w:rsidP="00C2677B">
      <w:pPr>
        <w:pStyle w:val="SingleTxtG"/>
        <w:ind w:left="2268" w:hanging="1134"/>
        <w:rPr>
          <w:rFonts w:asciiTheme="majorBidi" w:hAnsiTheme="majorBidi" w:cstheme="majorBidi"/>
        </w:rPr>
      </w:pPr>
      <w:r w:rsidRPr="00950D73">
        <w:rPr>
          <w:rFonts w:asciiTheme="majorBidi" w:hAnsiTheme="majorBidi" w:cstheme="majorBidi"/>
        </w:rPr>
        <w:t>A9.4.3.5.1</w:t>
      </w:r>
      <w:r w:rsidRPr="00950D73">
        <w:rPr>
          <w:rFonts w:asciiTheme="majorBidi" w:hAnsiTheme="majorBidi" w:cstheme="majorBidi"/>
        </w:rPr>
        <w:tab/>
      </w:r>
      <w:r w:rsidR="00C2677B" w:rsidRPr="00950D73">
        <w:rPr>
          <w:rFonts w:asciiTheme="majorBidi" w:hAnsiTheme="majorBidi" w:cstheme="majorBidi"/>
        </w:rPr>
        <w:t>Dans la deuxième phrase, r</w:t>
      </w:r>
      <w:r w:rsidRPr="00950D73">
        <w:rPr>
          <w:rFonts w:asciiTheme="majorBidi" w:hAnsiTheme="majorBidi" w:cstheme="majorBidi"/>
        </w:rPr>
        <w:t xml:space="preserve">emplacer « par une approche fondée sur le “poids de la preuve” » par « au moyen d’une évaluation de la force probante des données » </w:t>
      </w:r>
    </w:p>
    <w:p w14:paraId="1EBEABCF" w14:textId="2D1FA6A3" w:rsidR="00F715EE" w:rsidRPr="00950D73" w:rsidRDefault="00F715EE" w:rsidP="003229BF">
      <w:pPr>
        <w:pStyle w:val="SingleTxtG"/>
        <w:ind w:left="2268" w:hanging="1134"/>
        <w:rPr>
          <w:rFonts w:asciiTheme="majorBidi" w:hAnsiTheme="majorBidi" w:cstheme="majorBidi"/>
        </w:rPr>
      </w:pPr>
      <w:r w:rsidRPr="00950D73">
        <w:rPr>
          <w:rFonts w:asciiTheme="majorBidi" w:hAnsiTheme="majorBidi" w:cstheme="majorBidi"/>
        </w:rPr>
        <w:t>A9.4.3.6</w:t>
      </w:r>
      <w:r w:rsidR="00392977" w:rsidRPr="00950D73">
        <w:rPr>
          <w:rFonts w:asciiTheme="majorBidi" w:hAnsiTheme="majorBidi" w:cstheme="majorBidi"/>
        </w:rPr>
        <w:tab/>
      </w:r>
      <w:r w:rsidR="003457EB" w:rsidRPr="00950D73">
        <w:rPr>
          <w:rFonts w:asciiTheme="majorBidi" w:hAnsiTheme="majorBidi" w:cstheme="majorBidi"/>
        </w:rPr>
        <w:t>Dans la quatrième phrase, r</w:t>
      </w:r>
      <w:r w:rsidRPr="00950D73">
        <w:rPr>
          <w:rFonts w:asciiTheme="majorBidi" w:hAnsiTheme="majorBidi" w:cstheme="majorBidi"/>
        </w:rPr>
        <w:t>emplacer « en appliquant une démarche reposant sur le poids de la preuve » par « en évaluant la force probante des données ».</w:t>
      </w:r>
    </w:p>
    <w:p w14:paraId="13D1E145" w14:textId="0089DF53" w:rsidR="00F715EE" w:rsidRPr="00950D73" w:rsidRDefault="00F715EE" w:rsidP="003229BF">
      <w:pPr>
        <w:pStyle w:val="SingleTxtG"/>
        <w:ind w:left="2268" w:hanging="1134"/>
        <w:rPr>
          <w:rFonts w:asciiTheme="majorBidi" w:hAnsiTheme="majorBidi" w:cstheme="majorBidi"/>
        </w:rPr>
      </w:pPr>
      <w:r w:rsidRPr="00950D73">
        <w:rPr>
          <w:rFonts w:asciiTheme="majorBidi" w:hAnsiTheme="majorBidi" w:cstheme="majorBidi"/>
        </w:rPr>
        <w:t>A9.5.4.1</w:t>
      </w:r>
      <w:r w:rsidR="00392977" w:rsidRPr="00950D73">
        <w:rPr>
          <w:rFonts w:asciiTheme="majorBidi" w:hAnsiTheme="majorBidi" w:cstheme="majorBidi"/>
        </w:rPr>
        <w:tab/>
      </w:r>
      <w:r w:rsidR="003457EB" w:rsidRPr="00950D73">
        <w:rPr>
          <w:rFonts w:asciiTheme="majorBidi" w:hAnsiTheme="majorBidi" w:cstheme="majorBidi"/>
        </w:rPr>
        <w:t>Dans la deuxième phrase, r</w:t>
      </w:r>
      <w:r w:rsidRPr="00950D73">
        <w:rPr>
          <w:rFonts w:asciiTheme="majorBidi" w:hAnsiTheme="majorBidi" w:cstheme="majorBidi"/>
        </w:rPr>
        <w:t xml:space="preserve">emplacer « selon une approche de type “poids de la </w:t>
      </w:r>
      <w:r w:rsidRPr="00950D73">
        <w:rPr>
          <w:rFonts w:asciiTheme="majorBidi" w:hAnsiTheme="majorBidi" w:cstheme="majorBidi"/>
        </w:rPr>
        <w:lastRenderedPageBreak/>
        <w:t>preuve” » par « au moyen d’une évaluation de la force probante des données ».</w:t>
      </w:r>
    </w:p>
    <w:p w14:paraId="249F6F9F" w14:textId="5C42D2BB" w:rsidR="005649CF" w:rsidRPr="00950D73" w:rsidRDefault="005649CF" w:rsidP="006F0BC1">
      <w:pPr>
        <w:pStyle w:val="SingleTxtG"/>
        <w:ind w:left="2268" w:hanging="1134"/>
        <w:rPr>
          <w:rFonts w:asciiTheme="majorBidi" w:hAnsiTheme="majorBidi" w:cstheme="majorBidi"/>
        </w:rPr>
      </w:pPr>
      <w:r w:rsidRPr="00950D73">
        <w:rPr>
          <w:rFonts w:asciiTheme="majorBidi" w:hAnsiTheme="majorBidi" w:cstheme="majorBidi"/>
        </w:rPr>
        <w:t>A9.7.1.1</w:t>
      </w:r>
      <w:r w:rsidRPr="00950D73">
        <w:rPr>
          <w:rFonts w:asciiTheme="majorBidi" w:hAnsiTheme="majorBidi" w:cstheme="majorBidi"/>
        </w:rPr>
        <w:tab/>
        <w:t>Remplacer l’avant-dernière phrase (« Cette section ne considère pas ... ou à la bioaccumulation ») par la suivante :</w:t>
      </w:r>
      <w:r w:rsidR="006F0BC1" w:rsidRPr="00950D73">
        <w:rPr>
          <w:rFonts w:asciiTheme="majorBidi" w:hAnsiTheme="majorBidi" w:cstheme="majorBidi"/>
        </w:rPr>
        <w:t xml:space="preserve"> </w:t>
      </w:r>
      <w:r w:rsidRPr="00950D73">
        <w:rPr>
          <w:rFonts w:asciiTheme="majorBidi" w:hAnsiTheme="majorBidi" w:cstheme="majorBidi"/>
        </w:rPr>
        <w:t>« Cette section ne considère pas l’anion associé (par exemple, CN-) au composé métallique, qui peut être toxique. ».</w:t>
      </w:r>
    </w:p>
    <w:p w14:paraId="30098856" w14:textId="283D144B" w:rsidR="005649CF" w:rsidRPr="00EC0640" w:rsidRDefault="00BB2B22" w:rsidP="005649CF">
      <w:pPr>
        <w:pStyle w:val="SingleTxtG"/>
        <w:rPr>
          <w:rFonts w:asciiTheme="majorBidi" w:hAnsiTheme="majorBidi" w:cstheme="majorBidi"/>
        </w:rPr>
      </w:pPr>
      <w:r w:rsidRPr="00EC0640">
        <w:rPr>
          <w:rFonts w:asciiTheme="majorBidi" w:hAnsiTheme="majorBidi" w:cstheme="majorBidi"/>
        </w:rPr>
        <w:t xml:space="preserve">A9.7.1.1.1 (nouveau) </w:t>
      </w:r>
      <w:r w:rsidR="005649CF" w:rsidRPr="00EC0640">
        <w:rPr>
          <w:rFonts w:asciiTheme="majorBidi" w:hAnsiTheme="majorBidi" w:cstheme="majorBidi"/>
        </w:rPr>
        <w:t>Ajouter un nouveau paragraphe</w:t>
      </w:r>
      <w:r w:rsidRPr="00EC0640">
        <w:rPr>
          <w:rFonts w:asciiTheme="majorBidi" w:hAnsiTheme="majorBidi" w:cstheme="majorBidi"/>
        </w:rPr>
        <w:t xml:space="preserve"> libellé </w:t>
      </w:r>
      <w:r w:rsidR="005649CF" w:rsidRPr="00EC0640">
        <w:rPr>
          <w:rFonts w:asciiTheme="majorBidi" w:hAnsiTheme="majorBidi" w:cstheme="majorBidi"/>
        </w:rPr>
        <w:t xml:space="preserve">comme suit : </w:t>
      </w:r>
    </w:p>
    <w:p w14:paraId="78C00815" w14:textId="71BB930B" w:rsidR="005649CF" w:rsidRPr="00950D73" w:rsidRDefault="005649CF" w:rsidP="00F81DCD">
      <w:pPr>
        <w:pStyle w:val="SingleTxtG"/>
        <w:ind w:left="2268"/>
        <w:rPr>
          <w:rFonts w:asciiTheme="majorBidi" w:hAnsiTheme="majorBidi" w:cstheme="majorBidi"/>
        </w:rPr>
      </w:pPr>
      <w:r w:rsidRPr="00EC0640">
        <w:rPr>
          <w:rFonts w:asciiTheme="majorBidi" w:hAnsiTheme="majorBidi" w:cstheme="majorBidi"/>
        </w:rPr>
        <w:t>« A9.7.1.1.1</w:t>
      </w:r>
      <w:r w:rsidRPr="00EC0640">
        <w:rPr>
          <w:rFonts w:asciiTheme="majorBidi" w:hAnsiTheme="majorBidi" w:cstheme="majorBidi"/>
        </w:rPr>
        <w:tab/>
        <w:t xml:space="preserve">Les composés organométalliques (tels que le </w:t>
      </w:r>
      <w:r w:rsidR="008F756B" w:rsidRPr="00EC0640">
        <w:rPr>
          <w:rFonts w:asciiTheme="majorBidi" w:hAnsiTheme="majorBidi" w:cstheme="majorBidi"/>
        </w:rPr>
        <w:t>méthyl mercure</w:t>
      </w:r>
      <w:r w:rsidRPr="00EC0640">
        <w:rPr>
          <w:rFonts w:asciiTheme="majorBidi" w:hAnsiTheme="majorBidi" w:cstheme="majorBidi"/>
        </w:rPr>
        <w:t xml:space="preserve"> ou le tributylétain,...) et les sels organométalliques peuvent</w:t>
      </w:r>
      <w:r w:rsidRPr="00950D73">
        <w:rPr>
          <w:rFonts w:asciiTheme="majorBidi" w:hAnsiTheme="majorBidi" w:cstheme="majorBidi"/>
        </w:rPr>
        <w:t xml:space="preserve"> également être préoccupants du fait qu’ils peuvent présenter des dangers liés à la persistance ou à la bioaccumulation dans le cas où ils ne se dissocient pas ou ne se dissolvent pas rapidement dans l’eau. À moins qu’ils ne forment une source importante pour l’ion métallique (par dissociation ou dégradation, ou les deux), les groupes fonctionnels organiques et les composants inorganiques devraient être évalués un par un (OCDE, 2015). Ils ne sont donc pas abordés ici et devraient être classés conformément aux dispositions générales de la section 4. En revanche, les composés métalliques qui contiennent un composant organique, mais qui se dissocient ou se dissolvent facilement dans l’eau sous forme d’ion métallique, devraient être traités de la même manière que les composés métalliques et classés conformément aux dispositions de la présente annexe (comme par exemple l’acétate de zinc). ».</w:t>
      </w:r>
    </w:p>
    <w:p w14:paraId="7A02FA59"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A9.7.1.6</w:t>
      </w:r>
      <w:r w:rsidRPr="00950D73">
        <w:rPr>
          <w:rFonts w:asciiTheme="majorBidi" w:hAnsiTheme="majorBidi" w:cstheme="majorBidi"/>
        </w:rPr>
        <w:tab/>
        <w:t xml:space="preserve">Dans la deuxième phrase, remplacer le texte entre parenthèses par le texte suivant : « (séparation ou spéciation chimique dans une forme non soluble et donc non biodisponible). ». </w:t>
      </w:r>
    </w:p>
    <w:p w14:paraId="5F4B17C0" w14:textId="11AA200F" w:rsidR="005649CF" w:rsidRPr="00950D73" w:rsidRDefault="00FB446B" w:rsidP="005649CF">
      <w:pPr>
        <w:pStyle w:val="SingleTxtG"/>
        <w:ind w:left="2268"/>
        <w:rPr>
          <w:rFonts w:asciiTheme="majorBidi" w:hAnsiTheme="majorBidi" w:cstheme="majorBidi"/>
        </w:rPr>
      </w:pPr>
      <w:r w:rsidRPr="00950D73">
        <w:rPr>
          <w:rFonts w:asciiTheme="majorBidi" w:hAnsiTheme="majorBidi" w:cstheme="majorBidi"/>
        </w:rPr>
        <w:t xml:space="preserve">Modifier la fin de </w:t>
      </w:r>
      <w:r w:rsidR="005649CF" w:rsidRPr="00950D73">
        <w:rPr>
          <w:rFonts w:asciiTheme="majorBidi" w:hAnsiTheme="majorBidi" w:cstheme="majorBidi"/>
        </w:rPr>
        <w:t>la troisième phrase</w:t>
      </w:r>
      <w:r w:rsidRPr="00950D73">
        <w:rPr>
          <w:rFonts w:asciiTheme="majorBidi" w:hAnsiTheme="majorBidi" w:cstheme="majorBidi"/>
        </w:rPr>
        <w:t xml:space="preserve"> pour lire</w:t>
      </w:r>
      <w:r w:rsidR="00314545" w:rsidRPr="00950D73">
        <w:rPr>
          <w:rFonts w:asciiTheme="majorBidi" w:hAnsiTheme="majorBidi" w:cstheme="majorBidi"/>
        </w:rPr>
        <w:t> :  « …</w:t>
      </w:r>
      <w:r w:rsidR="005649CF" w:rsidRPr="00950D73">
        <w:rPr>
          <w:rFonts w:asciiTheme="majorBidi" w:hAnsiTheme="majorBidi" w:cstheme="majorBidi"/>
        </w:rPr>
        <w:t>sous l’angle de la toxicité à long terme (toxicité chronique). ».</w:t>
      </w:r>
    </w:p>
    <w:p w14:paraId="5EDAFE7C"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lastRenderedPageBreak/>
        <w:t>A9.7.1.8</w:t>
      </w:r>
      <w:r w:rsidRPr="00950D73">
        <w:rPr>
          <w:rFonts w:asciiTheme="majorBidi" w:hAnsiTheme="majorBidi" w:cstheme="majorBidi"/>
        </w:rPr>
        <w:tab/>
        <w:t>Dans la première phrase, remplacer « pour produire une toxicité au niveau de la CL(E)</w:t>
      </w:r>
      <w:r w:rsidRPr="00950D73">
        <w:rPr>
          <w:rFonts w:asciiTheme="majorBidi" w:hAnsiTheme="majorBidi" w:cstheme="majorBidi"/>
          <w:vertAlign w:val="subscript"/>
        </w:rPr>
        <w:t>50</w:t>
      </w:r>
      <w:r w:rsidRPr="00950D73">
        <w:rPr>
          <w:rFonts w:asciiTheme="majorBidi" w:hAnsiTheme="majorBidi" w:cstheme="majorBidi"/>
        </w:rPr>
        <w:t xml:space="preserve">, » par « pour produire une toxicité au niveau de la valeur de référence </w:t>
      </w:r>
      <w:proofErr w:type="spellStart"/>
      <w:r w:rsidRPr="00950D73">
        <w:rPr>
          <w:rFonts w:asciiTheme="majorBidi" w:hAnsiTheme="majorBidi" w:cstheme="majorBidi"/>
        </w:rPr>
        <w:t>écotoxicologique</w:t>
      </w:r>
      <w:proofErr w:type="spellEnd"/>
      <w:r w:rsidRPr="00950D73">
        <w:rPr>
          <w:rFonts w:asciiTheme="majorBidi" w:hAnsiTheme="majorBidi" w:cstheme="majorBidi"/>
        </w:rPr>
        <w:t xml:space="preserve"> (VRE), à savoir la VRE de toxicité aiguë (CL(E)</w:t>
      </w:r>
      <w:r w:rsidRPr="00950D73">
        <w:rPr>
          <w:rFonts w:asciiTheme="majorBidi" w:hAnsiTheme="majorBidi" w:cstheme="majorBidi"/>
          <w:vertAlign w:val="subscript"/>
        </w:rPr>
        <w:t>50</w:t>
      </w:r>
      <w:r w:rsidRPr="00950D73">
        <w:rPr>
          <w:rFonts w:asciiTheme="majorBidi" w:hAnsiTheme="majorBidi" w:cstheme="majorBidi"/>
        </w:rPr>
        <w:t>) ou la VRE de toxicité chronique (NOEC/</w:t>
      </w:r>
      <w:proofErr w:type="spellStart"/>
      <w:r w:rsidRPr="00950D73">
        <w:rPr>
          <w:rFonts w:asciiTheme="majorBidi" w:hAnsiTheme="majorBidi" w:cstheme="majorBidi"/>
        </w:rPr>
        <w:t>ECx</w:t>
      </w:r>
      <w:proofErr w:type="spellEnd"/>
      <w:r w:rsidRPr="00950D73">
        <w:rPr>
          <w:rFonts w:asciiTheme="majorBidi" w:hAnsiTheme="majorBidi" w:cstheme="majorBidi"/>
        </w:rPr>
        <w:t>), ».</w:t>
      </w:r>
    </w:p>
    <w:p w14:paraId="1261BDCE" w14:textId="01EFA644"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A9.7.1.9</w:t>
      </w:r>
      <w:r w:rsidRPr="00950D73">
        <w:rPr>
          <w:rFonts w:asciiTheme="majorBidi" w:hAnsiTheme="majorBidi" w:cstheme="majorBidi"/>
        </w:rPr>
        <w:tab/>
        <w:t xml:space="preserve">Modifier la phrase d’introduction </w:t>
      </w:r>
      <w:r w:rsidR="0012782F" w:rsidRPr="00950D73">
        <w:rPr>
          <w:rFonts w:asciiTheme="majorBidi" w:hAnsiTheme="majorBidi" w:cstheme="majorBidi"/>
        </w:rPr>
        <w:t xml:space="preserve">pour lire </w:t>
      </w:r>
      <w:r w:rsidRPr="00950D73">
        <w:rPr>
          <w:rFonts w:asciiTheme="majorBidi" w:hAnsiTheme="majorBidi" w:cstheme="majorBidi"/>
        </w:rPr>
        <w:t xml:space="preserve">comme suit : </w:t>
      </w:r>
    </w:p>
    <w:p w14:paraId="4ABB4ABF" w14:textId="51BA7AF8" w:rsidR="005649CF" w:rsidRPr="00950D73" w:rsidRDefault="005649CF" w:rsidP="005649CF">
      <w:pPr>
        <w:pStyle w:val="SingleTxtG"/>
        <w:ind w:left="2268"/>
        <w:rPr>
          <w:rFonts w:asciiTheme="majorBidi" w:hAnsiTheme="majorBidi" w:cstheme="majorBidi"/>
        </w:rPr>
      </w:pPr>
      <w:r w:rsidRPr="00676C50">
        <w:rPr>
          <w:rFonts w:asciiTheme="majorBidi" w:hAnsiTheme="majorBidi" w:cstheme="majorBidi"/>
        </w:rPr>
        <w:t xml:space="preserve">« La présente section traite des métaux et des composés métalliques. Pour savoir comment l’appliquer aux </w:t>
      </w:r>
      <w:r w:rsidR="009C6AD0" w:rsidRPr="00676C50">
        <w:rPr>
          <w:rFonts w:asciiTheme="majorBidi" w:hAnsiTheme="majorBidi" w:cstheme="majorBidi"/>
        </w:rPr>
        <w:t xml:space="preserve">composés organométalliques </w:t>
      </w:r>
      <w:r w:rsidRPr="00676C50">
        <w:rPr>
          <w:rFonts w:asciiTheme="majorBidi" w:hAnsiTheme="majorBidi" w:cstheme="majorBidi"/>
        </w:rPr>
        <w:t xml:space="preserve">et aux </w:t>
      </w:r>
      <w:r w:rsidR="00085D64" w:rsidRPr="00676C50">
        <w:rPr>
          <w:rFonts w:asciiTheme="majorBidi" w:hAnsiTheme="majorBidi" w:cstheme="majorBidi"/>
        </w:rPr>
        <w:t>sels organométalliques</w:t>
      </w:r>
      <w:r w:rsidRPr="00676C50">
        <w:rPr>
          <w:rFonts w:asciiTheme="majorBidi" w:hAnsiTheme="majorBidi" w:cstheme="majorBidi"/>
        </w:rPr>
        <w:t>, voir A9.7.1.1</w:t>
      </w:r>
      <w:r w:rsidR="00C03C11" w:rsidRPr="00676C50">
        <w:rPr>
          <w:rFonts w:asciiTheme="majorBidi" w:hAnsiTheme="majorBidi" w:cstheme="majorBidi"/>
        </w:rPr>
        <w:t>.1</w:t>
      </w:r>
      <w:r w:rsidRPr="00676C50">
        <w:rPr>
          <w:rFonts w:asciiTheme="majorBidi" w:hAnsiTheme="majorBidi" w:cstheme="majorBidi"/>
        </w:rPr>
        <w:t>. Dans le contexte de ce document guide, les métaux et composés métalliques sont caractérisés comme suit : ».</w:t>
      </w:r>
    </w:p>
    <w:p w14:paraId="0E2F6319"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A9.7.2.1.1</w:t>
      </w:r>
      <w:r w:rsidRPr="00950D73">
        <w:rPr>
          <w:rFonts w:asciiTheme="majorBidi" w:hAnsiTheme="majorBidi" w:cstheme="majorBidi"/>
        </w:rPr>
        <w:tab/>
        <w:t>Ajouter les nouveaux paragraphes suivants :</w:t>
      </w:r>
    </w:p>
    <w:p w14:paraId="4AF9642A" w14:textId="77777777"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spacing w:val="-4"/>
        </w:rPr>
        <w:t>« A9.7.2.1.1.1</w:t>
      </w:r>
      <w:r w:rsidRPr="00950D73">
        <w:rPr>
          <w:rFonts w:asciiTheme="majorBidi" w:hAnsiTheme="majorBidi" w:cstheme="majorBidi"/>
        </w:rPr>
        <w:tab/>
        <w:t xml:space="preserve">Les données </w:t>
      </w:r>
      <w:proofErr w:type="spellStart"/>
      <w:r w:rsidRPr="00950D73">
        <w:rPr>
          <w:rFonts w:asciiTheme="majorBidi" w:hAnsiTheme="majorBidi" w:cstheme="majorBidi"/>
        </w:rPr>
        <w:t>écotoxicologiques</w:t>
      </w:r>
      <w:proofErr w:type="spellEnd"/>
      <w:r w:rsidRPr="00950D73">
        <w:rPr>
          <w:rFonts w:asciiTheme="majorBidi" w:hAnsiTheme="majorBidi" w:cstheme="majorBidi"/>
        </w:rPr>
        <w:t xml:space="preserve"> des composés inorganiques solubles sont utilisées et combinées pour obtenir la valeur de référence </w:t>
      </w:r>
      <w:proofErr w:type="spellStart"/>
      <w:r w:rsidRPr="00950D73">
        <w:rPr>
          <w:rFonts w:asciiTheme="majorBidi" w:hAnsiTheme="majorBidi" w:cstheme="majorBidi"/>
        </w:rPr>
        <w:t>écotoxicologique</w:t>
      </w:r>
      <w:proofErr w:type="spellEnd"/>
      <w:r w:rsidRPr="00950D73">
        <w:rPr>
          <w:rFonts w:asciiTheme="majorBidi" w:hAnsiTheme="majorBidi" w:cstheme="majorBidi"/>
        </w:rPr>
        <w:t xml:space="preserve"> pour la toxicité aiguë et la toxicité chronique de l’ion métallique dissous (VRE ou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L’écotoxicité des composés métalliques inorganiques solubles dépend des propriétés physiques et chimiques du milieu, indépendamment de l’espèce métallique libérée initialement dans l’environnement. </w:t>
      </w:r>
    </w:p>
    <w:p w14:paraId="5C846DEE" w14:textId="44C12530"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rPr>
        <w:t>A9.7.2.1.1.2</w:t>
      </w:r>
      <w:r w:rsidRPr="00950D73">
        <w:rPr>
          <w:rFonts w:asciiTheme="majorBidi" w:hAnsiTheme="majorBidi" w:cstheme="majorBidi"/>
        </w:rPr>
        <w:tab/>
        <w:t xml:space="preserve">Quand on analyse des données </w:t>
      </w:r>
      <w:proofErr w:type="spellStart"/>
      <w:r w:rsidRPr="00950D73">
        <w:rPr>
          <w:rFonts w:asciiTheme="majorBidi" w:hAnsiTheme="majorBidi" w:cstheme="majorBidi"/>
        </w:rPr>
        <w:t>écotoxicologiques</w:t>
      </w:r>
      <w:proofErr w:type="spellEnd"/>
      <w:r w:rsidRPr="00950D73">
        <w:rPr>
          <w:rFonts w:asciiTheme="majorBidi" w:hAnsiTheme="majorBidi" w:cstheme="majorBidi"/>
        </w:rPr>
        <w:t xml:space="preserve"> et qu’on en tire des VRE, le principe général du “poids de la preuve” est également applicable aux métaux (voir section A9.3.4).</w:t>
      </w:r>
    </w:p>
    <w:p w14:paraId="5F7A3906" w14:textId="40BC7263"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rPr>
        <w:t>A9.7.2.1.1.3</w:t>
      </w:r>
      <w:r w:rsidRPr="00950D73">
        <w:rPr>
          <w:rFonts w:asciiTheme="majorBidi" w:hAnsiTheme="majorBidi" w:cstheme="majorBidi"/>
        </w:rPr>
        <w:tab/>
        <w:t xml:space="preserve">Les données </w:t>
      </w:r>
      <w:proofErr w:type="spellStart"/>
      <w:r w:rsidRPr="00950D73">
        <w:rPr>
          <w:rFonts w:asciiTheme="majorBidi" w:hAnsiTheme="majorBidi" w:cstheme="majorBidi"/>
        </w:rPr>
        <w:t>écotoxicologiques</w:t>
      </w:r>
      <w:proofErr w:type="spellEnd"/>
      <w:r w:rsidRPr="00950D73">
        <w:rPr>
          <w:rFonts w:asciiTheme="majorBidi" w:hAnsiTheme="majorBidi" w:cstheme="majorBidi"/>
        </w:rPr>
        <w:t xml:space="preserve"> sélectionnées devraient être évaluées sous l’angle de leur adéquation. On entend ici par adéquation aussi bien la fiabilité (qualité inhérente d’un essai découlant de la méthode d’essai et de la manière dont le déroulement et les résultats de l’essai sont décrits) que la pertinence (mesure dans laquelle un essai est utilisable pour obtenir une valeur de référence </w:t>
      </w:r>
      <w:proofErr w:type="spellStart"/>
      <w:r w:rsidRPr="00950D73">
        <w:rPr>
          <w:rFonts w:asciiTheme="majorBidi" w:hAnsiTheme="majorBidi" w:cstheme="majorBidi"/>
        </w:rPr>
        <w:lastRenderedPageBreak/>
        <w:t>écotoxicologique</w:t>
      </w:r>
      <w:proofErr w:type="spellEnd"/>
      <w:r w:rsidRPr="00950D73">
        <w:rPr>
          <w:rFonts w:asciiTheme="majorBidi" w:hAnsiTheme="majorBidi" w:cstheme="majorBidi"/>
        </w:rPr>
        <w:t xml:space="preserve">) des données </w:t>
      </w:r>
      <w:proofErr w:type="spellStart"/>
      <w:r w:rsidRPr="00950D73">
        <w:rPr>
          <w:rFonts w:asciiTheme="majorBidi" w:hAnsiTheme="majorBidi" w:cstheme="majorBidi"/>
        </w:rPr>
        <w:t>écotoxicologiques</w:t>
      </w:r>
      <w:proofErr w:type="spellEnd"/>
      <w:r w:rsidRPr="00950D73">
        <w:rPr>
          <w:rFonts w:asciiTheme="majorBidi" w:hAnsiTheme="majorBidi" w:cstheme="majorBidi"/>
        </w:rPr>
        <w:t xml:space="preserve"> disponibles (voir sections A9.2.6 et A9.3.6). </w:t>
      </w:r>
    </w:p>
    <w:p w14:paraId="6EEA74CB"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En ce qui concerne la fiabilité, on tient compte de considérations propres aux métaux, en l’occurrence de la description de certains paramètres abiotiques dans les conditions d’essai, qui permettent de connaître la concentration en métal biodisponible et la concentration en ions métalliques libres :</w:t>
      </w:r>
    </w:p>
    <w:p w14:paraId="338F72E1" w14:textId="77777777" w:rsidR="005649CF" w:rsidRPr="00950D73" w:rsidRDefault="005649CF" w:rsidP="005649CF">
      <w:pPr>
        <w:pStyle w:val="SingleTxtG"/>
        <w:ind w:left="3402" w:hanging="567"/>
        <w:rPr>
          <w:rFonts w:asciiTheme="majorBidi" w:hAnsiTheme="majorBidi" w:cstheme="majorBidi"/>
        </w:rPr>
      </w:pPr>
      <w:r w:rsidRPr="00950D73">
        <w:rPr>
          <w:rFonts w:asciiTheme="majorBidi" w:hAnsiTheme="majorBidi" w:cstheme="majorBidi"/>
        </w:rPr>
        <w:t>i)</w:t>
      </w:r>
      <w:r w:rsidRPr="00950D73">
        <w:rPr>
          <w:rFonts w:asciiTheme="majorBidi" w:hAnsiTheme="majorBidi" w:cstheme="majorBidi"/>
        </w:rPr>
        <w:tab/>
        <w:t>Description des conditions d’essai physiques : outre les paramètres généraux (O</w:t>
      </w:r>
      <w:r w:rsidRPr="00950D73">
        <w:rPr>
          <w:rFonts w:asciiTheme="majorBidi" w:hAnsiTheme="majorBidi" w:cstheme="majorBidi"/>
          <w:vertAlign w:val="subscript"/>
        </w:rPr>
        <w:t>2</w:t>
      </w:r>
      <w:r w:rsidRPr="00950D73">
        <w:rPr>
          <w:rFonts w:asciiTheme="majorBidi" w:hAnsiTheme="majorBidi" w:cstheme="majorBidi"/>
        </w:rPr>
        <w:t>, T°, pH, etc.), il est recommandé de mesurer les paramètres abiotiques tels que le carbone organique dissous (COD), la dureté et l’alcalinité de l’eau, qui déterminent la spéciation, et donc la biodisponibilité des métaux ;</w:t>
      </w:r>
    </w:p>
    <w:p w14:paraId="2136E134" w14:textId="77777777" w:rsidR="005649CF" w:rsidRPr="00950D73" w:rsidRDefault="005649CF" w:rsidP="005649CF">
      <w:pPr>
        <w:pStyle w:val="SingleTxtG"/>
        <w:ind w:left="3402" w:hanging="567"/>
        <w:rPr>
          <w:rFonts w:asciiTheme="majorBidi" w:hAnsiTheme="majorBidi" w:cstheme="majorBidi"/>
        </w:rPr>
      </w:pPr>
      <w:r w:rsidRPr="00950D73">
        <w:rPr>
          <w:rFonts w:asciiTheme="majorBidi" w:hAnsiTheme="majorBidi" w:cstheme="majorBidi"/>
        </w:rPr>
        <w:t>ii)</w:t>
      </w:r>
      <w:r w:rsidRPr="00950D73">
        <w:rPr>
          <w:rFonts w:asciiTheme="majorBidi" w:hAnsiTheme="majorBidi" w:cstheme="majorBidi"/>
        </w:rPr>
        <w:tab/>
        <w:t>Description des moyens et méthodes d’essai : pour calculer la concentration en ions métalliques libres à l’aide de modèles de spéciation, il est recommandé d’utiliser les concentrations d’ions et de cations majeurs dissous (aluminium, fer, magnésium et calcium, par exemple) ;</w:t>
      </w:r>
    </w:p>
    <w:p w14:paraId="516A5BF6" w14:textId="77777777" w:rsidR="005649CF" w:rsidRPr="00950D73" w:rsidRDefault="005649CF" w:rsidP="005649CF">
      <w:pPr>
        <w:pStyle w:val="SingleTxtG"/>
        <w:ind w:left="3402" w:hanging="567"/>
        <w:rPr>
          <w:rFonts w:asciiTheme="majorBidi" w:hAnsiTheme="majorBidi" w:cstheme="majorBidi"/>
        </w:rPr>
      </w:pPr>
      <w:r w:rsidRPr="00950D73">
        <w:rPr>
          <w:rFonts w:asciiTheme="majorBidi" w:hAnsiTheme="majorBidi" w:cstheme="majorBidi"/>
        </w:rPr>
        <w:t>iii)</w:t>
      </w:r>
      <w:r w:rsidRPr="00950D73">
        <w:rPr>
          <w:rFonts w:asciiTheme="majorBidi" w:hAnsiTheme="majorBidi" w:cstheme="majorBidi"/>
        </w:rPr>
        <w:tab/>
        <w:t xml:space="preserve">Relation concentration-effet ; </w:t>
      </w:r>
      <w:proofErr w:type="spellStart"/>
      <w:r w:rsidRPr="00950D73">
        <w:rPr>
          <w:rFonts w:asciiTheme="majorBidi" w:hAnsiTheme="majorBidi" w:cstheme="majorBidi"/>
        </w:rPr>
        <w:t>hormèse</w:t>
      </w:r>
      <w:proofErr w:type="spellEnd"/>
      <w:r w:rsidRPr="00950D73">
        <w:rPr>
          <w:rFonts w:asciiTheme="majorBidi" w:hAnsiTheme="majorBidi" w:cstheme="majorBidi"/>
        </w:rPr>
        <w:t> : on observe parfois une augmentation des résultats de croissance ou de reproduction à de faibles doses de métal qui dépassent les valeurs de référence ; on parle alors d’</w:t>
      </w:r>
      <w:proofErr w:type="spellStart"/>
      <w:r w:rsidRPr="00950D73">
        <w:rPr>
          <w:rFonts w:asciiTheme="majorBidi" w:hAnsiTheme="majorBidi" w:cstheme="majorBidi"/>
        </w:rPr>
        <w:t>hormèse</w:t>
      </w:r>
      <w:proofErr w:type="spellEnd"/>
      <w:r w:rsidRPr="00950D73">
        <w:rPr>
          <w:rFonts w:asciiTheme="majorBidi" w:hAnsiTheme="majorBidi" w:cstheme="majorBidi"/>
        </w:rPr>
        <w:t>. Cela peut se produire en particulier avec les principaux oligo-éléments tels que le fer, le zinc et le cuivre, mais aussi avec une grande variété de substances non essentielles. Dans les cas de ce type, les effets positifs ne devraient pas être pris en compte dans la dérivation des VRE de toxicité aiguë, et surtout des VRE de toxicité chronique. Il est recommandé d’utiliser d’autres modèles que le modèle classique dose-effet selon la loi log-</w:t>
      </w:r>
      <w:r w:rsidRPr="00950D73">
        <w:rPr>
          <w:rFonts w:asciiTheme="majorBidi" w:hAnsiTheme="majorBidi" w:cstheme="majorBidi"/>
        </w:rPr>
        <w:lastRenderedPageBreak/>
        <w:t>logistique pour ajuster la courbe dose</w:t>
      </w:r>
      <w:r w:rsidRPr="00950D73">
        <w:rPr>
          <w:rFonts w:asciiTheme="majorBidi" w:hAnsiTheme="majorBidi" w:cstheme="majorBidi"/>
        </w:rPr>
        <w:noBreakHyphen/>
        <w:t xml:space="preserve">effet, ainsi que de prendre en considération l’adéquation du régime/de l’exposition de référence. Compte tenu des besoins essentiels en matière de nutrition, la prudence s’impose en ce qui concerne l’extrapolation de la courbe dose-effet (pour obtenir une VRE de toxicité aiguë ou chronique, par exemple) en dessous de la plus petite concentration testée.  </w:t>
      </w:r>
    </w:p>
    <w:p w14:paraId="7856BE8F"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En ce qui concerne la pertinence, il convient de s’interroger sur la pertinence de la substance d’essai et de tenir compte de l’accoutumance/l’adaptation :</w:t>
      </w:r>
    </w:p>
    <w:p w14:paraId="32D97E1E" w14:textId="77777777" w:rsidR="005649CF" w:rsidRPr="00950D73" w:rsidRDefault="005649CF" w:rsidP="005649CF">
      <w:pPr>
        <w:pStyle w:val="SingleTxtG"/>
        <w:ind w:left="3402" w:hanging="567"/>
        <w:rPr>
          <w:rFonts w:asciiTheme="majorBidi" w:hAnsiTheme="majorBidi" w:cstheme="majorBidi"/>
        </w:rPr>
      </w:pPr>
      <w:r w:rsidRPr="00950D73">
        <w:rPr>
          <w:rFonts w:asciiTheme="majorBidi" w:hAnsiTheme="majorBidi" w:cstheme="majorBidi"/>
        </w:rPr>
        <w:t>i)</w:t>
      </w:r>
      <w:r w:rsidRPr="00950D73">
        <w:rPr>
          <w:rFonts w:asciiTheme="majorBidi" w:hAnsiTheme="majorBidi" w:cstheme="majorBidi"/>
        </w:rPr>
        <w:tab/>
        <w:t>Pertinence de la substance d’essai : afin d’obtenir les VRE de toxicité aiguë et de toxicité chronique, il est recommandé d’avoir recours à des essais réalisés avec des sels métalliques solubles. L’écotoxicité adaptée de l’exposition aux composés métalliques organiques ne devrait pas être prise en compte ;</w:t>
      </w:r>
    </w:p>
    <w:p w14:paraId="5CC81CA3" w14:textId="77777777" w:rsidR="005649CF" w:rsidRPr="00950D73" w:rsidRDefault="005649CF" w:rsidP="005649CF">
      <w:pPr>
        <w:pStyle w:val="SingleTxtG"/>
        <w:ind w:left="3402" w:hanging="567"/>
        <w:rPr>
          <w:rFonts w:asciiTheme="majorBidi" w:hAnsiTheme="majorBidi" w:cstheme="majorBidi"/>
        </w:rPr>
      </w:pPr>
      <w:r w:rsidRPr="00950D73">
        <w:rPr>
          <w:rFonts w:asciiTheme="majorBidi" w:hAnsiTheme="majorBidi" w:cstheme="majorBidi"/>
        </w:rPr>
        <w:t>ii)</w:t>
      </w:r>
      <w:r w:rsidRPr="00950D73">
        <w:rPr>
          <w:rFonts w:asciiTheme="majorBidi" w:hAnsiTheme="majorBidi" w:cstheme="majorBidi"/>
        </w:rPr>
        <w:tab/>
        <w:t>Accoutumance/adaptation : s’agissant des métaux essentiels, le milieu de culture devrait contenir une concentration minimale ne causant pas de carence pour l’espèce testée. Cela est particulièrement vrai en ce qui concerne les organismes qu’on utilise pour les essais de toxicité chronique, dans lesquels la marge entre l’essentialité et la toxicité peut être étroite. Il est par conséquent nécessaire d’indiquer avec précision le niveau des métaux essentiels dans les conditions de culture. ».</w:t>
      </w:r>
    </w:p>
    <w:p w14:paraId="03FF8DF5"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A9.7.2.1.2.1</w:t>
      </w:r>
      <w:r w:rsidRPr="00950D73">
        <w:rPr>
          <w:rFonts w:asciiTheme="majorBidi" w:hAnsiTheme="majorBidi" w:cstheme="majorBidi"/>
        </w:rPr>
        <w:tab/>
        <w:t xml:space="preserve">Ajouter le texte suivant à la fin du paragraphe actuel : </w:t>
      </w:r>
    </w:p>
    <w:p w14:paraId="7DF5A354" w14:textId="187D128A"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 Aux fins de la classification des métaux et des composés métalliques, on réalise des essais de transformation/dissolution sur une plage de pH (voir A10.2.3.2). Si l’on a la preuve que la toxicité en milieu aquatique du </w:t>
      </w:r>
      <w:r w:rsidRPr="00950D73">
        <w:rPr>
          <w:rFonts w:asciiTheme="majorBidi" w:hAnsiTheme="majorBidi" w:cstheme="majorBidi"/>
        </w:rPr>
        <w:lastRenderedPageBreak/>
        <w:t>métal dissous dépend du pH, les données de transformation/dissolution et de toxicité aquatique sont comparées à un pH similaire ; en l’absence de cette preuve, on ne peut pas distribuer la toxicité aquatique en fonction du pH. La toxicité aquatique la plus élevée observée est alors comparée aux données de transformation/dissolution obtenues au pH qui produit la transformation et la dissolution maximales. ».</w:t>
      </w:r>
    </w:p>
    <w:p w14:paraId="5387B79D"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A9.7.2.1.2.2</w:t>
      </w:r>
      <w:r w:rsidRPr="00950D73">
        <w:rPr>
          <w:rFonts w:asciiTheme="majorBidi" w:hAnsiTheme="majorBidi" w:cstheme="majorBidi"/>
        </w:rPr>
        <w:tab/>
        <w:t>À la fin du paragraphe, supprimer « ou peuvent être coûteuses à obtenir ».</w:t>
      </w:r>
    </w:p>
    <w:p w14:paraId="189BE3AB"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A9.7.2.1.2.3</w:t>
      </w:r>
      <w:r w:rsidRPr="00950D73">
        <w:rPr>
          <w:rFonts w:asciiTheme="majorBidi" w:hAnsiTheme="majorBidi" w:cstheme="majorBidi"/>
        </w:rPr>
        <w:tab/>
        <w:t>Dans la deuxième phrase, remplacer « (</w:t>
      </w:r>
      <w:proofErr w:type="spellStart"/>
      <w:r w:rsidRPr="00950D73">
        <w:rPr>
          <w:rFonts w:asciiTheme="majorBidi" w:hAnsiTheme="majorBidi" w:cstheme="majorBidi"/>
        </w:rPr>
        <w:t>Tipping</w:t>
      </w:r>
      <w:proofErr w:type="spellEnd"/>
      <w:r w:rsidRPr="00950D73">
        <w:rPr>
          <w:rFonts w:asciiTheme="majorBidi" w:hAnsiTheme="majorBidi" w:cstheme="majorBidi"/>
        </w:rPr>
        <w:t>, 1994) » par « (</w:t>
      </w:r>
      <w:proofErr w:type="spellStart"/>
      <w:r w:rsidRPr="00950D73">
        <w:rPr>
          <w:rFonts w:asciiTheme="majorBidi" w:hAnsiTheme="majorBidi" w:cstheme="majorBidi"/>
        </w:rPr>
        <w:t>Tipping</w:t>
      </w:r>
      <w:proofErr w:type="spellEnd"/>
      <w:r w:rsidRPr="00950D73">
        <w:rPr>
          <w:rFonts w:asciiTheme="majorBidi" w:hAnsiTheme="majorBidi" w:cstheme="majorBidi"/>
        </w:rPr>
        <w:t xml:space="preserve">, 1994 ; </w:t>
      </w:r>
      <w:proofErr w:type="spellStart"/>
      <w:r w:rsidRPr="00950D73">
        <w:rPr>
          <w:rFonts w:asciiTheme="majorBidi" w:hAnsiTheme="majorBidi" w:cstheme="majorBidi"/>
        </w:rPr>
        <w:t>Tipping</w:t>
      </w:r>
      <w:proofErr w:type="spellEnd"/>
      <w:r w:rsidRPr="00950D73">
        <w:rPr>
          <w:rFonts w:asciiTheme="majorBidi" w:hAnsiTheme="majorBidi" w:cstheme="majorBidi"/>
        </w:rPr>
        <w:t xml:space="preserve"> et al., 2011) ».</w:t>
      </w:r>
    </w:p>
    <w:p w14:paraId="00BCB95E" w14:textId="77777777" w:rsidR="00184C9D"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Modifier les troisième et quatrième phrases comme suit : </w:t>
      </w:r>
    </w:p>
    <w:p w14:paraId="2F79E499" w14:textId="6A1EC638"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 On peut aussi recourir au </w:t>
      </w:r>
      <w:proofErr w:type="spellStart"/>
      <w:r w:rsidRPr="00950D73">
        <w:rPr>
          <w:rFonts w:asciiTheme="majorBidi" w:hAnsiTheme="majorBidi" w:cstheme="majorBidi"/>
          <w:i/>
          <w:iCs/>
        </w:rPr>
        <w:t>Biotic</w:t>
      </w:r>
      <w:proofErr w:type="spellEnd"/>
      <w:r w:rsidRPr="00950D73">
        <w:rPr>
          <w:rFonts w:asciiTheme="majorBidi" w:hAnsiTheme="majorBidi" w:cstheme="majorBidi"/>
          <w:i/>
          <w:iCs/>
        </w:rPr>
        <w:t xml:space="preserve"> Ligand Model</w:t>
      </w:r>
      <w:r w:rsidR="008C6980" w:rsidRPr="00950D73">
        <w:rPr>
          <w:rFonts w:asciiTheme="majorBidi" w:hAnsiTheme="majorBidi" w:cstheme="majorBidi"/>
        </w:rPr>
        <w:t xml:space="preserve"> (BLM</w:t>
      </w:r>
      <w:r w:rsidRPr="00950D73">
        <w:rPr>
          <w:rFonts w:asciiTheme="majorBidi" w:hAnsiTheme="majorBidi" w:cstheme="majorBidi"/>
        </w:rPr>
        <w:t>), qui permet de calculer la concentration d’ions métalliques responsable de l’effet toxique au niveau de l’organisme, lequel peut être affecté par la concentration de COD, le pH et les concentrations d’ions concurrents tels que le calcium et le magnésium. Les modèles de ce type peuvent être étudiés pour mieux comprendre l’effet de la composition du milieu d’essai sur la toxicité des métaux. Le modèle BLM n’a pour le moment été validé que pour un nombre limité de métaux, d’organismes et d’effets (</w:t>
      </w:r>
      <w:proofErr w:type="spellStart"/>
      <w:r w:rsidRPr="00950D73">
        <w:rPr>
          <w:rFonts w:asciiTheme="majorBidi" w:hAnsiTheme="majorBidi" w:cstheme="majorBidi"/>
        </w:rPr>
        <w:t>Santore</w:t>
      </w:r>
      <w:proofErr w:type="spellEnd"/>
      <w:r w:rsidRPr="00950D73">
        <w:rPr>
          <w:rFonts w:asciiTheme="majorBidi" w:hAnsiTheme="majorBidi" w:cstheme="majorBidi"/>
        </w:rPr>
        <w:t xml:space="preserve"> et Di Toro, 1999</w:t>
      </w:r>
      <w:r w:rsidR="00184C9D" w:rsidRPr="00950D73">
        <w:rPr>
          <w:rFonts w:asciiTheme="majorBidi" w:hAnsiTheme="majorBidi" w:cstheme="majorBidi"/>
        </w:rPr>
        <w:t> </w:t>
      </w:r>
      <w:r w:rsidRPr="00950D73">
        <w:rPr>
          <w:rFonts w:asciiTheme="majorBidi" w:hAnsiTheme="majorBidi" w:cstheme="majorBidi"/>
        </w:rPr>
        <w:t xml:space="preserve">; </w:t>
      </w:r>
      <w:proofErr w:type="spellStart"/>
      <w:r w:rsidRPr="00950D73">
        <w:rPr>
          <w:rFonts w:asciiTheme="majorBidi" w:hAnsiTheme="majorBidi" w:cstheme="majorBidi"/>
        </w:rPr>
        <w:t>Garman</w:t>
      </w:r>
      <w:proofErr w:type="spellEnd"/>
      <w:r w:rsidRPr="00950D73">
        <w:rPr>
          <w:rFonts w:asciiTheme="majorBidi" w:hAnsiTheme="majorBidi" w:cstheme="majorBidi"/>
        </w:rPr>
        <w:t xml:space="preserve"> et al., 2020). ».</w:t>
      </w:r>
    </w:p>
    <w:p w14:paraId="4D9B8CB7" w14:textId="39A748F5" w:rsidR="00184C9D"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Ajouter le texte suivant à la fin du paragraphe</w:t>
      </w:r>
      <w:r w:rsidR="00184C9D" w:rsidRPr="00950D73">
        <w:rPr>
          <w:rFonts w:asciiTheme="majorBidi" w:hAnsiTheme="majorBidi" w:cstheme="majorBidi"/>
        </w:rPr>
        <w:t> </w:t>
      </w:r>
      <w:r w:rsidRPr="00950D73">
        <w:rPr>
          <w:rFonts w:asciiTheme="majorBidi" w:hAnsiTheme="majorBidi" w:cstheme="majorBidi"/>
        </w:rPr>
        <w:t xml:space="preserve">: </w:t>
      </w:r>
    </w:p>
    <w:p w14:paraId="72439460" w14:textId="183BEA63"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Dans le cas où le modèle BLM correspondant au métal visé est disponible et couvre une gamme de pH appropriée, on peut effectuer une comparaison des données de toxicité aquatique en utilisant toute la base de données des effets pour différents pH de référence pertinents pour les données de transformation/dissolution. ».</w:t>
      </w:r>
    </w:p>
    <w:p w14:paraId="25A01C11"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lastRenderedPageBreak/>
        <w:t>A9.7.2.2.2</w:t>
      </w:r>
      <w:r w:rsidRPr="00950D73">
        <w:rPr>
          <w:rFonts w:asciiTheme="majorBidi" w:hAnsiTheme="majorBidi" w:cstheme="majorBidi"/>
        </w:rPr>
        <w:tab/>
        <w:t>Remplacer la dernière phrase par la suivante : « Au cas où l’on ne dispose que de ce type d’information, et si les données de solubilité ne permettent pas de déterminer le degré de solubilité et l’équilibre, il est fortement recommandé de produire des données de solubilité au moyen du protocole de transformation/dissolution (annexe 10). ».</w:t>
      </w:r>
    </w:p>
    <w:p w14:paraId="0A616EF4" w14:textId="77777777" w:rsidR="005649CF" w:rsidRPr="00950D73" w:rsidRDefault="005649CF" w:rsidP="005649CF">
      <w:pPr>
        <w:pStyle w:val="SingleTxtG"/>
        <w:ind w:left="2268" w:hanging="1134"/>
        <w:rPr>
          <w:rFonts w:asciiTheme="majorBidi" w:hAnsiTheme="majorBidi" w:cstheme="majorBidi"/>
          <w:bCs/>
        </w:rPr>
      </w:pPr>
      <w:r w:rsidRPr="00950D73">
        <w:rPr>
          <w:rFonts w:asciiTheme="majorBidi" w:hAnsiTheme="majorBidi" w:cstheme="majorBidi"/>
        </w:rPr>
        <w:t>A9.7.2.2.3 et A9.7.2.2.4</w:t>
      </w:r>
      <w:r w:rsidRPr="00950D73">
        <w:rPr>
          <w:rFonts w:asciiTheme="majorBidi" w:hAnsiTheme="majorBidi" w:cstheme="majorBidi"/>
        </w:rPr>
        <w:tab/>
        <w:t>Remplacer le texte actuel par le texte suivant :</w:t>
      </w:r>
    </w:p>
    <w:p w14:paraId="56EA31A6" w14:textId="77777777" w:rsidR="005649CF" w:rsidRPr="00950D73" w:rsidRDefault="005649CF" w:rsidP="003229BF">
      <w:pPr>
        <w:pStyle w:val="SingleTxtG"/>
        <w:ind w:left="2268"/>
        <w:rPr>
          <w:rFonts w:asciiTheme="majorBidi" w:hAnsiTheme="majorBidi" w:cstheme="majorBidi"/>
          <w:bCs/>
        </w:rPr>
      </w:pPr>
      <w:r w:rsidRPr="00950D73">
        <w:rPr>
          <w:rFonts w:asciiTheme="majorBidi" w:hAnsiTheme="majorBidi" w:cstheme="majorBidi"/>
        </w:rPr>
        <w:t>« A9.7.2.2.3</w:t>
      </w:r>
      <w:r w:rsidRPr="00950D73">
        <w:rPr>
          <w:rFonts w:asciiTheme="majorBidi" w:hAnsiTheme="majorBidi" w:cstheme="majorBidi"/>
        </w:rPr>
        <w:tab/>
        <w:t xml:space="preserve">Essai préliminaire d’évaluation de la solubilité des composés métalliques </w:t>
      </w:r>
    </w:p>
    <w:p w14:paraId="717F912E" w14:textId="77777777" w:rsidR="005649CF" w:rsidRPr="00950D73" w:rsidRDefault="005649CF" w:rsidP="003B5C29">
      <w:pPr>
        <w:pStyle w:val="SingleTxtG"/>
        <w:ind w:left="2268"/>
        <w:rPr>
          <w:rFonts w:asciiTheme="majorBidi" w:hAnsiTheme="majorBidi" w:cstheme="majorBidi"/>
          <w:bCs/>
        </w:rPr>
      </w:pPr>
      <w:r w:rsidRPr="00950D73">
        <w:rPr>
          <w:rFonts w:asciiTheme="majorBidi" w:hAnsiTheme="majorBidi" w:cstheme="majorBidi"/>
        </w:rPr>
        <w:t>En l’absence de données de solubilité pour les composés métalliques, il convient de réaliser un essai préliminaire d’évaluation de la solubilité en suivant les explications données à l’annexe 10 pour le protocole de transformation/dissolution. L’essai préliminaire est effectué durant 24 h à un taux de charge élevé (100 mg/l) et en maintenant une agitation rapide et vigoureuse. Il a pour but :</w:t>
      </w:r>
    </w:p>
    <w:p w14:paraId="45F196C9"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t>a)</w:t>
      </w:r>
      <w:r w:rsidRPr="00950D73">
        <w:rPr>
          <w:rFonts w:asciiTheme="majorBidi" w:hAnsiTheme="majorBidi" w:cstheme="majorBidi"/>
        </w:rPr>
        <w:tab/>
      </w:r>
      <w:r w:rsidRPr="00950D73">
        <w:rPr>
          <w:rFonts w:asciiTheme="majorBidi" w:hAnsiTheme="majorBidi" w:cstheme="majorBidi"/>
        </w:rPr>
        <w:tab/>
        <w:t xml:space="preserve">De mettre en évidence les composés métalliques qui subissent soit une dissolution, soit une transformation rapide telle que leur potentiel d’écotoxicité est indissociable des formes solubles et qu’ils peuvent donc être classés sur la base de la concentration d’ions dissous ; </w:t>
      </w:r>
    </w:p>
    <w:p w14:paraId="60326746" w14:textId="19F05D92" w:rsidR="005649CF" w:rsidRPr="00950D73" w:rsidRDefault="005649CF" w:rsidP="009B5281">
      <w:pPr>
        <w:pStyle w:val="SingleTxtG"/>
        <w:ind w:left="2835" w:hanging="567"/>
        <w:rPr>
          <w:rFonts w:asciiTheme="majorBidi" w:hAnsiTheme="majorBidi" w:cstheme="majorBidi"/>
          <w:bCs/>
        </w:rPr>
      </w:pPr>
      <w:r w:rsidRPr="00950D73">
        <w:rPr>
          <w:rFonts w:asciiTheme="majorBidi" w:hAnsiTheme="majorBidi" w:cstheme="majorBidi"/>
        </w:rPr>
        <w:t>b)</w:t>
      </w:r>
      <w:r w:rsidRPr="00950D73">
        <w:rPr>
          <w:rFonts w:asciiTheme="majorBidi" w:hAnsiTheme="majorBidi" w:cstheme="majorBidi"/>
        </w:rPr>
        <w:tab/>
      </w:r>
      <w:r w:rsidRPr="00950D73">
        <w:rPr>
          <w:rFonts w:asciiTheme="majorBidi" w:hAnsiTheme="majorBidi" w:cstheme="majorBidi"/>
        </w:rPr>
        <w:tab/>
        <w:t xml:space="preserve">De vérifier la dépendance au pH de la dissolution, en préparation de l’essai complet de transformation/dissolution. Lorsque l’essai préliminaire permet d’obtenir des données à différents pH, l’essai complet devrait être réalisé au minimum au pH qui produit la plus grande solubilité. En l’absence de données pour la gamme complète de pH, il y a lieu de vérifier si la solubilité maximale a été obtenue en s’appuyant sur des modèles thermodynamiques de spéciation convenables ou sur d’autres méthodes appropriées (voir A9.7.2.1.2.3). En l’absence de données ou de modèles appropriés, il est fortement recommandé de </w:t>
      </w:r>
      <w:r w:rsidRPr="00950D73">
        <w:rPr>
          <w:rFonts w:asciiTheme="majorBidi" w:hAnsiTheme="majorBidi" w:cstheme="majorBidi"/>
        </w:rPr>
        <w:lastRenderedPageBreak/>
        <w:t>produire des données de solubilité couvrant toute la gamme de pH. Il convient de noter que l’essai préliminaire ne doit être utilisé que pour les composés métalliques. Pour les métaux, il convient de réaliser l’essai d’évaluation de la solubilité des métaux et des composés métalliques (voir A9.7.2.2.4).</w:t>
      </w:r>
    </w:p>
    <w:p w14:paraId="08B0C27F" w14:textId="77777777" w:rsidR="005649CF" w:rsidRPr="00950D73" w:rsidRDefault="005649CF" w:rsidP="003229BF">
      <w:pPr>
        <w:pStyle w:val="SingleTxtG"/>
        <w:ind w:left="2268"/>
        <w:rPr>
          <w:rFonts w:asciiTheme="majorBidi" w:hAnsiTheme="majorBidi" w:cstheme="majorBidi"/>
          <w:bCs/>
        </w:rPr>
      </w:pPr>
      <w:r w:rsidRPr="00950D73">
        <w:rPr>
          <w:rFonts w:asciiTheme="majorBidi" w:hAnsiTheme="majorBidi" w:cstheme="majorBidi"/>
        </w:rPr>
        <w:t>A9.7.2.2.4</w:t>
      </w:r>
      <w:r w:rsidRPr="00950D73">
        <w:rPr>
          <w:rFonts w:asciiTheme="majorBidi" w:hAnsiTheme="majorBidi" w:cstheme="majorBidi"/>
        </w:rPr>
        <w:tab/>
        <w:t xml:space="preserve">Essai d’évaluation de la solubilité des métaux et des composés métalliques </w:t>
      </w:r>
    </w:p>
    <w:p w14:paraId="0022425B"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A9.7.2.2.4.1</w:t>
      </w:r>
      <w:r w:rsidRPr="00950D73">
        <w:rPr>
          <w:rFonts w:asciiTheme="majorBidi" w:hAnsiTheme="majorBidi" w:cstheme="majorBidi"/>
        </w:rPr>
        <w:tab/>
        <w:t>Cet essai devrait être réalisé au minimum au pH</w:t>
      </w:r>
      <w:r w:rsidRPr="00950D73">
        <w:rPr>
          <w:rFonts w:asciiTheme="majorBidi" w:hAnsiTheme="majorBidi" w:cstheme="majorBidi"/>
          <w:vertAlign w:val="superscript"/>
        </w:rPr>
        <w:t>6</w:t>
      </w:r>
      <w:r w:rsidRPr="00950D73">
        <w:rPr>
          <w:rFonts w:asciiTheme="majorBidi" w:hAnsiTheme="majorBidi" w:cstheme="majorBidi"/>
        </w:rPr>
        <w:t xml:space="preserve"> qui produit la plus grande concentration d’ions métalliques dissous dans la solution. Le pH peut être sélectionné sur la base des mêmes recommandations que celles formulées pour l’essai préliminaire.  </w:t>
      </w:r>
    </w:p>
    <w:p w14:paraId="3D5843B9"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A9.7.2.2.4.2</w:t>
      </w:r>
      <w:r w:rsidRPr="00950D73">
        <w:rPr>
          <w:rFonts w:asciiTheme="majorBidi" w:hAnsiTheme="majorBidi" w:cstheme="majorBidi"/>
        </w:rPr>
        <w:tab/>
        <w:t>À partir des données de l’essai, il est possible de déterminer la concentration d’ions métalliques dans la solution au bout de 7 jours pour chacune des trois charges (à savoir 1 mg/l pour la charge “faible”, 10 mg/l pour la charge “moyenne” et 100 mg/l pour la charge “élevée”) utilisées au cours de l’essai. Si l’essai a pour but d’évaluer le danger à long terme (toxicité chronique) de la substance, les charges</w:t>
      </w:r>
      <w:r w:rsidRPr="00950D73">
        <w:rPr>
          <w:rFonts w:asciiTheme="majorBidi" w:hAnsiTheme="majorBidi" w:cstheme="majorBidi"/>
          <w:vertAlign w:val="superscript"/>
        </w:rPr>
        <w:t>7</w:t>
      </w:r>
      <w:r w:rsidRPr="00950D73">
        <w:rPr>
          <w:rFonts w:asciiTheme="majorBidi" w:hAnsiTheme="majorBidi" w:cstheme="majorBidi"/>
        </w:rPr>
        <w:t xml:space="preserve"> devraient être de 0,01 mg/l, 0,1 mg/l ou 1 mg/l selon le taux de transformation, et la durée de l’essai devrait être portée à 28 jours. ».</w:t>
      </w:r>
    </w:p>
    <w:p w14:paraId="7E2ADF8E" w14:textId="5AC32844" w:rsidR="005649CF" w:rsidRPr="00950D73" w:rsidRDefault="005649CF" w:rsidP="005649CF">
      <w:pPr>
        <w:pStyle w:val="SingleTxtG"/>
        <w:rPr>
          <w:rFonts w:asciiTheme="majorBidi" w:hAnsiTheme="majorBidi" w:cstheme="majorBidi"/>
        </w:rPr>
      </w:pPr>
      <w:r w:rsidRPr="00950D73">
        <w:rPr>
          <w:rFonts w:asciiTheme="majorBidi" w:hAnsiTheme="majorBidi" w:cstheme="majorBidi"/>
        </w:rPr>
        <w:t>Ajouter les nouvelles notes de bas de page 6 et 7, comme suit :</w:t>
      </w:r>
    </w:p>
    <w:p w14:paraId="4DCF4086" w14:textId="1E24B882"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w:t>
      </w:r>
      <w:r w:rsidRPr="00950D73">
        <w:rPr>
          <w:rFonts w:asciiTheme="majorBidi" w:hAnsiTheme="majorBidi" w:cstheme="majorBidi"/>
          <w:vertAlign w:val="superscript"/>
        </w:rPr>
        <w:t>6</w:t>
      </w:r>
      <w:r w:rsidRPr="00950D73">
        <w:rPr>
          <w:rFonts w:asciiTheme="majorBidi" w:hAnsiTheme="majorBidi" w:cstheme="majorBidi"/>
        </w:rPr>
        <w:tab/>
      </w:r>
      <w:r w:rsidRPr="00950D73">
        <w:rPr>
          <w:rFonts w:asciiTheme="majorBidi" w:hAnsiTheme="majorBidi" w:cstheme="majorBidi"/>
          <w:i/>
          <w:iCs/>
        </w:rPr>
        <w:t>Le protocole de transformation/dissolution prévoit une plage de pH de 6 à 8,5 pour l’essai sur 7 jours et de 5,5 à 8,5 pour l’essai sur 28 jours. Compte tenu de la difficulté à réaliser des essais de transformation/dissolution avec un pH à 5,5, l’OCDE n’a validé l’essai que dans la gamme de pH de 6 à 8.</w:t>
      </w:r>
      <w:r w:rsidRPr="00950D73">
        <w:rPr>
          <w:rFonts w:asciiTheme="majorBidi" w:hAnsiTheme="majorBidi" w:cstheme="majorBidi"/>
        </w:rPr>
        <w:t> »</w:t>
      </w:r>
      <w:r w:rsidR="00B44801" w:rsidRPr="00950D73">
        <w:rPr>
          <w:rFonts w:asciiTheme="majorBidi" w:hAnsiTheme="majorBidi" w:cstheme="majorBidi"/>
        </w:rPr>
        <w:t>.</w:t>
      </w:r>
    </w:p>
    <w:p w14:paraId="22EB2AED" w14:textId="3BD481A6"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w:t>
      </w:r>
      <w:r w:rsidRPr="00950D73">
        <w:rPr>
          <w:rFonts w:asciiTheme="majorBidi" w:hAnsiTheme="majorBidi" w:cstheme="majorBidi"/>
          <w:vertAlign w:val="superscript"/>
        </w:rPr>
        <w:t>7</w:t>
      </w:r>
      <w:r w:rsidRPr="00950D73">
        <w:rPr>
          <w:rFonts w:asciiTheme="majorBidi" w:hAnsiTheme="majorBidi" w:cstheme="majorBidi"/>
        </w:rPr>
        <w:tab/>
      </w:r>
      <w:r w:rsidRPr="00950D73">
        <w:rPr>
          <w:rFonts w:asciiTheme="majorBidi" w:hAnsiTheme="majorBidi" w:cstheme="majorBidi"/>
          <w:i/>
          <w:iCs/>
        </w:rPr>
        <w:t xml:space="preserve">Il peut s’avérer difficile en pratique d’appliquer dans chaque cas des taux de charge inférieurs à 1 mg/l. Les essais de transformation/dissolution à des taux de </w:t>
      </w:r>
      <w:r w:rsidRPr="00950D73">
        <w:rPr>
          <w:rFonts w:asciiTheme="majorBidi" w:hAnsiTheme="majorBidi" w:cstheme="majorBidi"/>
          <w:i/>
          <w:iCs/>
        </w:rPr>
        <w:lastRenderedPageBreak/>
        <w:t>charge plus faibles sont en principe à privilégier, mais il est souvent impossible techniquement de les réaliser. La longue expérience du protocole de transformation/dissolution montre toutefois que l’on peut faire des prévisions fiables pour d’autres taux de charge. Ainsi, afin de tirer le meilleur parti des données de transformation/dissolution disponibles, il est souvent possible d’obtenir les résultats sur 28 jours pour les taux de charge plus faibles (0,1 et 0,01 mg/l) par extrapolation à partir des données obtenues pour d’autres taux de charge. Cette approche devrait être justifiée au cas par cas et étayée par des informations fiables sur la transformation/dissolution à différents taux de charge. Il convient en outre de noter que la relation entre le taux de charge et la concentration de métaux dissous peut ne pas être linéaire. Par conséquent, l’extrapolation des données de transformation/dissolution pour les charges inférieures devrait se faire de préférence en appliquant les équations de la section A10.6.1, ou bien en procédant avec circonspection.</w:t>
      </w:r>
      <w:r w:rsidRPr="00950D73">
        <w:rPr>
          <w:rFonts w:asciiTheme="majorBidi" w:hAnsiTheme="majorBidi" w:cstheme="majorBidi"/>
        </w:rPr>
        <w:t> ».</w:t>
      </w:r>
    </w:p>
    <w:p w14:paraId="32DA7C32"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A9.7.2.3</w:t>
      </w:r>
      <w:r w:rsidRPr="00950D73">
        <w:rPr>
          <w:rFonts w:asciiTheme="majorBidi" w:hAnsiTheme="majorBidi" w:cstheme="majorBidi"/>
        </w:rPr>
        <w:tab/>
        <w:t>Modifier comme suit :</w:t>
      </w:r>
    </w:p>
    <w:p w14:paraId="02DB698D" w14:textId="6E727835" w:rsidR="005649CF" w:rsidRPr="00950D73" w:rsidRDefault="00B628BC" w:rsidP="003229BF">
      <w:pPr>
        <w:pStyle w:val="SingleTxtG"/>
        <w:tabs>
          <w:tab w:val="clear" w:pos="1701"/>
        </w:tabs>
        <w:ind w:left="2268" w:hanging="1134"/>
        <w:rPr>
          <w:rFonts w:asciiTheme="majorBidi" w:hAnsiTheme="majorBidi" w:cstheme="majorBidi"/>
        </w:rPr>
      </w:pPr>
      <w:r w:rsidRPr="00950D73">
        <w:rPr>
          <w:rFonts w:asciiTheme="majorBidi" w:hAnsiTheme="majorBidi" w:cstheme="majorBidi"/>
        </w:rPr>
        <w:tab/>
      </w:r>
      <w:r w:rsidR="005649CF" w:rsidRPr="00950D73">
        <w:rPr>
          <w:rFonts w:asciiTheme="majorBidi" w:hAnsiTheme="majorBidi" w:cstheme="majorBidi"/>
        </w:rPr>
        <w:t>« A9.7.2.3</w:t>
      </w:r>
      <w:r w:rsidR="005649CF" w:rsidRPr="00950D73">
        <w:rPr>
          <w:rFonts w:asciiTheme="majorBidi" w:hAnsiTheme="majorBidi" w:cstheme="majorBidi"/>
        </w:rPr>
        <w:tab/>
        <w:t xml:space="preserve">Comparaison des données de toxicité aquatique et de solubilité </w:t>
      </w:r>
    </w:p>
    <w:p w14:paraId="366D0277"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On décidera de la manière de classer la substance en comparant les données de toxicité aquatique et les données de solubilité. Deux méthodes sont applicables en fonction des données disponibles : </w:t>
      </w:r>
    </w:p>
    <w:p w14:paraId="0F046A93"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t>a)</w:t>
      </w:r>
      <w:r w:rsidRPr="00950D73">
        <w:rPr>
          <w:rFonts w:asciiTheme="majorBidi" w:hAnsiTheme="majorBidi" w:cstheme="majorBidi"/>
        </w:rPr>
        <w:tab/>
        <w:t xml:space="preserve">Si l’on ne dispose que de données limitées sur la transformation/dissolution à différents pH, ou si la toxicité aquatique du métal dissous ne dépend pas du pH, la VRE la plus faible et le résultat de transformation/dissolution le plus élevé, l’un et l’autre pouvant être obtenus par dérivation à différents pH, devraient servir de base pour le classement (cette méthode devrait être appliquée par défaut) ; </w:t>
      </w:r>
    </w:p>
    <w:p w14:paraId="37793DA1"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lastRenderedPageBreak/>
        <w:t>b)</w:t>
      </w:r>
      <w:r w:rsidRPr="00950D73">
        <w:rPr>
          <w:rFonts w:asciiTheme="majorBidi" w:hAnsiTheme="majorBidi" w:cstheme="majorBidi"/>
        </w:rPr>
        <w:tab/>
        <w:t>S’il est démontré que la toxicité aquatique du métal dissous dépend du pH, et si l’on dispose de données suffisantes sur la toxicité à différents pH, on peut répartir les VRE de toxicité aiguë et de toxicité chronique en fonction de la bande de pH. Si en outre on dispose de données de transformation/dissolution à différents pH, on peut faire un classement par dérivation en comparant les données de transformation/dissolution avec les VRE aux pH correspondants ; dans ce cas, les données de toxicité et les données de transformation/dissolution sont toujours comparées dans la même bande de pH. Cette répartition des données sur les effets dans des bandes de pH s’applique alors de la même façon aux ensembles de données sur les effets aigus et sur les effets chroniques. Il convient d’utiliser le résultat de classement le plus strict parmi toutes les bandes de pH. ».</w:t>
      </w:r>
    </w:p>
    <w:p w14:paraId="413E141E"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A9.7.4.1</w:t>
      </w:r>
      <w:r w:rsidRPr="00950D73">
        <w:rPr>
          <w:rFonts w:asciiTheme="majorBidi" w:hAnsiTheme="majorBidi" w:cstheme="majorBidi"/>
        </w:rPr>
        <w:tab/>
        <w:t>Modifier comme suit :</w:t>
      </w:r>
    </w:p>
    <w:p w14:paraId="05969972"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 A9.7.4.1</w:t>
      </w:r>
      <w:r w:rsidRPr="00950D73">
        <w:rPr>
          <w:rFonts w:asciiTheme="majorBidi" w:hAnsiTheme="majorBidi" w:cstheme="majorBidi"/>
        </w:rPr>
        <w:tab/>
        <w:t xml:space="preserve">Bien que log </w:t>
      </w:r>
      <w:proofErr w:type="spellStart"/>
      <w:r w:rsidRPr="00950D73">
        <w:rPr>
          <w:rFonts w:asciiTheme="majorBidi" w:hAnsiTheme="majorBidi" w:cstheme="majorBidi"/>
        </w:rPr>
        <w:t>K</w:t>
      </w:r>
      <w:r w:rsidRPr="00950D73">
        <w:rPr>
          <w:rFonts w:asciiTheme="majorBidi" w:hAnsiTheme="majorBidi" w:cstheme="majorBidi"/>
          <w:vertAlign w:val="subscript"/>
        </w:rPr>
        <w:t>oe</w:t>
      </w:r>
      <w:proofErr w:type="spellEnd"/>
      <w:r w:rsidRPr="00950D73">
        <w:rPr>
          <w:rFonts w:asciiTheme="majorBidi" w:hAnsiTheme="majorBidi" w:cstheme="majorBidi"/>
        </w:rPr>
        <w:t xml:space="preserve"> offre un bon moyen de prédiction du FBC pour certains types de composés organiques comme les substances organiques non polaires, il ne présente aucun intérêt pour les substances inorganiques telles que les composés métalliques inorganiques, car les métaux, contrairement aux substances organiques, ne sont pas lipophiles et ne sont généralement pas transportés par des membranes cellulaires de manière passive. L’absorption d’ions métalliques se fait généralement de façon active. ».</w:t>
      </w:r>
    </w:p>
    <w:p w14:paraId="7D895605"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A9.7.4.3</w:t>
      </w:r>
      <w:r w:rsidRPr="00950D73">
        <w:rPr>
          <w:rFonts w:asciiTheme="majorBidi" w:hAnsiTheme="majorBidi" w:cstheme="majorBidi"/>
        </w:rPr>
        <w:tab/>
        <w:t xml:space="preserve">Modifier la fin de la quatrième phrase et insérer une nouvelle cinquième phrase, comme suit : « ... dans les organismes où ils ont une fonction vitale (homéostasie). Les processus d’élimination et de séquestration, qui réduisent au minimum la toxicité, sont complétés par une capacité à réguler à la hausse les concentrations pour les besoins essentiels. ». </w:t>
      </w:r>
    </w:p>
    <w:p w14:paraId="18B5F315" w14:textId="77777777" w:rsidR="005649CF" w:rsidRPr="00950D73" w:rsidRDefault="005649CF" w:rsidP="005649CF">
      <w:pPr>
        <w:pStyle w:val="SingleTxtG"/>
        <w:ind w:left="2268"/>
        <w:rPr>
          <w:rFonts w:asciiTheme="majorBidi" w:hAnsiTheme="majorBidi" w:cstheme="majorBidi"/>
          <w:bCs/>
        </w:rPr>
      </w:pPr>
      <w:r w:rsidRPr="00950D73">
        <w:rPr>
          <w:rFonts w:asciiTheme="majorBidi" w:hAnsiTheme="majorBidi" w:cstheme="majorBidi"/>
        </w:rPr>
        <w:lastRenderedPageBreak/>
        <w:t>Le reste du paragraphe est conservé tel quel (« Les besoins alimentaires des organismes ... au potentiel de bioconcentration et aux problèmes environnementaux. »).</w:t>
      </w:r>
    </w:p>
    <w:p w14:paraId="173B2A73" w14:textId="02A01172" w:rsidR="005649CF" w:rsidRPr="00950D73" w:rsidRDefault="005649CF" w:rsidP="005649CF">
      <w:pPr>
        <w:pStyle w:val="SingleTxtG"/>
        <w:ind w:left="2268" w:hanging="1134"/>
        <w:rPr>
          <w:rFonts w:asciiTheme="majorBidi" w:hAnsiTheme="majorBidi" w:cstheme="majorBidi"/>
          <w:bCs/>
        </w:rPr>
      </w:pPr>
      <w:r w:rsidRPr="00950D73">
        <w:rPr>
          <w:rFonts w:asciiTheme="majorBidi" w:hAnsiTheme="majorBidi" w:cstheme="majorBidi"/>
        </w:rPr>
        <w:t>A9.7.4.4</w:t>
      </w:r>
      <w:r w:rsidR="00157290" w:rsidRPr="00950D73">
        <w:rPr>
          <w:rFonts w:asciiTheme="majorBidi" w:hAnsiTheme="majorBidi" w:cstheme="majorBidi"/>
        </w:rPr>
        <w:t xml:space="preserve"> (nouveau)</w:t>
      </w:r>
      <w:r w:rsidRPr="00950D73">
        <w:rPr>
          <w:rFonts w:asciiTheme="majorBidi" w:hAnsiTheme="majorBidi" w:cstheme="majorBidi"/>
        </w:rPr>
        <w:tab/>
        <w:t>Ajouter un nouveau paragraphe A9.7.4.4, comme suit :</w:t>
      </w:r>
    </w:p>
    <w:p w14:paraId="53D82BA2" w14:textId="77777777" w:rsidR="005649CF" w:rsidRPr="00950D73" w:rsidRDefault="005649CF" w:rsidP="003229BF">
      <w:pPr>
        <w:pStyle w:val="SingleTxtG"/>
        <w:ind w:left="2268"/>
        <w:rPr>
          <w:rFonts w:asciiTheme="majorBidi" w:hAnsiTheme="majorBidi" w:cstheme="majorBidi"/>
          <w:bCs/>
        </w:rPr>
      </w:pPr>
      <w:r w:rsidRPr="00950D73">
        <w:rPr>
          <w:rFonts w:asciiTheme="majorBidi" w:hAnsiTheme="majorBidi" w:cstheme="majorBidi"/>
        </w:rPr>
        <w:t>« A9.7.4.4</w:t>
      </w:r>
      <w:r w:rsidRPr="00950D73">
        <w:rPr>
          <w:rFonts w:asciiTheme="majorBidi" w:hAnsiTheme="majorBidi" w:cstheme="majorBidi"/>
        </w:rPr>
        <w:tab/>
        <w:t>S’agissant des éléments essentiels, les FBC mesurés diminuent lorsque les concentrations externes augmentent, car les concentrations internes sont régulées par l’organisme. Les métaux non essentiels sont également régulés de façon active, dans une certaine mesure. Par conséquent, on peut observer pour ces métaux aussi une relation inverse entre la concentration de métal et la concentration externe (</w:t>
      </w:r>
      <w:proofErr w:type="spellStart"/>
      <w:r w:rsidRPr="00950D73">
        <w:rPr>
          <w:rFonts w:asciiTheme="majorBidi" w:hAnsiTheme="majorBidi" w:cstheme="majorBidi"/>
        </w:rPr>
        <w:t>McGeer</w:t>
      </w:r>
      <w:proofErr w:type="spellEnd"/>
      <w:r w:rsidRPr="00950D73">
        <w:rPr>
          <w:rFonts w:asciiTheme="majorBidi" w:hAnsiTheme="majorBidi" w:cstheme="majorBidi"/>
        </w:rPr>
        <w:t xml:space="preserve"> et al., 2003). Lorsque les concentrations externes sont si élevées qu’elles dépassent un seuil ou qu’elles mettent en défaut le mécanisme de régulation, l’organisme peut en être affecté. Le FBC et le FBA peuvent être utilisés pour estimer l’accumulation de métal :</w:t>
      </w:r>
    </w:p>
    <w:p w14:paraId="270EC5FD"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t>a)</w:t>
      </w:r>
      <w:r w:rsidRPr="00950D73">
        <w:rPr>
          <w:rFonts w:asciiTheme="majorBidi" w:hAnsiTheme="majorBidi" w:cstheme="majorBidi"/>
        </w:rPr>
        <w:tab/>
        <w:t>En tenant compte des données sur l’essentialité et l’homéostasie des métaux et des composés métalliques. Du fait de la régulation, le critère de la bioaccumulation n’est pas applicable aux métaux ;</w:t>
      </w:r>
    </w:p>
    <w:p w14:paraId="7CCE301B"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t>b)</w:t>
      </w:r>
      <w:r w:rsidRPr="00950D73">
        <w:rPr>
          <w:rFonts w:asciiTheme="majorBidi" w:hAnsiTheme="majorBidi" w:cstheme="majorBidi"/>
        </w:rPr>
        <w:tab/>
        <w:t>En évaluant les facteurs de bioconcentration pour les métaux non essentiels, ce qui devrait être fait de préférence à la lumière d’études sur les FBC fondées sur des concentrations pertinentes pour l’environnement dans les milieux d’essai. ».</w:t>
      </w:r>
    </w:p>
    <w:p w14:paraId="0D187AAA"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A9.7.5.1.1</w:t>
      </w:r>
      <w:r w:rsidRPr="00950D73">
        <w:rPr>
          <w:rFonts w:asciiTheme="majorBidi" w:hAnsiTheme="majorBidi" w:cstheme="majorBidi"/>
        </w:rPr>
        <w:tab/>
        <w:t>Modifier comme suit :</w:t>
      </w:r>
    </w:p>
    <w:p w14:paraId="7F269329" w14:textId="5C75947C" w:rsidR="005649CF" w:rsidRPr="00950D73" w:rsidRDefault="005649CF" w:rsidP="003229BF">
      <w:pPr>
        <w:pStyle w:val="SingleTxtG"/>
        <w:tabs>
          <w:tab w:val="clear" w:pos="2835"/>
          <w:tab w:val="left" w:pos="3402"/>
        </w:tabs>
        <w:ind w:left="2268"/>
        <w:rPr>
          <w:rFonts w:asciiTheme="majorBidi" w:hAnsiTheme="majorBidi" w:cstheme="majorBidi"/>
        </w:rPr>
      </w:pPr>
      <w:r w:rsidRPr="00950D73">
        <w:rPr>
          <w:rFonts w:asciiTheme="majorBidi" w:hAnsiTheme="majorBidi" w:cstheme="majorBidi"/>
        </w:rPr>
        <w:t>« A9.7.5.1.1</w:t>
      </w:r>
      <w:r w:rsidRPr="00950D73">
        <w:rPr>
          <w:rFonts w:asciiTheme="majorBidi" w:hAnsiTheme="majorBidi" w:cstheme="majorBidi"/>
        </w:rPr>
        <w:tab/>
      </w:r>
      <w:r w:rsidR="00157290" w:rsidRPr="00950D73">
        <w:rPr>
          <w:rFonts w:asciiTheme="majorBidi" w:hAnsiTheme="majorBidi" w:cstheme="majorBidi"/>
        </w:rPr>
        <w:tab/>
      </w:r>
      <w:r w:rsidRPr="00950D73">
        <w:rPr>
          <w:rFonts w:asciiTheme="majorBidi" w:hAnsiTheme="majorBidi" w:cstheme="majorBidi"/>
        </w:rPr>
        <w:t xml:space="preserve">L’évaluation des dangers à court terme (toxicité aiguë) et à long terme (toxicité chronique) s’effectue au cas par cas pour les métaux et les composés métalliques. S’agissant des dangers à long terme, il est préférable d’appliquer la méthode fondée sur les données de toxicité chronique. Ces données sont souvent disponibles pour les sels métalliques facilement solubles. Les </w:t>
      </w:r>
      <w:r w:rsidRPr="00950D73">
        <w:rPr>
          <w:rFonts w:asciiTheme="majorBidi" w:hAnsiTheme="majorBidi" w:cstheme="majorBidi"/>
        </w:rPr>
        <w:lastRenderedPageBreak/>
        <w:t>procédures de détermination des dangers à court et à long terme que présentent les métaux et les composés métalliques pour le milieu aquatique sont détaillées ci-après et présentées succinctement dans les figures :</w:t>
      </w:r>
    </w:p>
    <w:p w14:paraId="05E89012"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A9.7.1 (métaux − danger à court terme) ;</w:t>
      </w:r>
    </w:p>
    <w:p w14:paraId="45EBC5E6"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A9.7.2 et A9.7.3 (métaux − danger à long terme) ;</w:t>
      </w:r>
    </w:p>
    <w:p w14:paraId="0113EDB6"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A9.7.4 (composés métalliques − danger à court terme) ;</w:t>
      </w:r>
    </w:p>
    <w:p w14:paraId="74931AD5"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d)</w:t>
      </w:r>
      <w:r w:rsidRPr="00950D73">
        <w:rPr>
          <w:rFonts w:asciiTheme="majorBidi" w:hAnsiTheme="majorBidi" w:cstheme="majorBidi"/>
        </w:rPr>
        <w:tab/>
        <w:t xml:space="preserve">A9.7.5 (composés métalliques − danger à long terme). </w:t>
      </w:r>
    </w:p>
    <w:p w14:paraId="4A7954AA" w14:textId="77777777" w:rsidR="005649CF" w:rsidRPr="00950D73" w:rsidRDefault="005649CF" w:rsidP="003229BF">
      <w:pPr>
        <w:pStyle w:val="SingleTxtG"/>
        <w:tabs>
          <w:tab w:val="clear" w:pos="2835"/>
          <w:tab w:val="left" w:pos="3402"/>
        </w:tabs>
        <w:ind w:left="2268"/>
        <w:rPr>
          <w:rFonts w:asciiTheme="majorBidi" w:hAnsiTheme="majorBidi" w:cstheme="majorBidi"/>
        </w:rPr>
      </w:pPr>
      <w:r w:rsidRPr="00950D73">
        <w:rPr>
          <w:rFonts w:asciiTheme="majorBidi" w:hAnsiTheme="majorBidi" w:cstheme="majorBidi"/>
        </w:rPr>
        <w:t>A9.7.5.1.1.1</w:t>
      </w:r>
      <w:r w:rsidRPr="00950D73">
        <w:rPr>
          <w:rFonts w:asciiTheme="majorBidi" w:hAnsiTheme="majorBidi" w:cstheme="majorBidi"/>
        </w:rPr>
        <w:tab/>
        <w:t xml:space="preserve">Ces procédures comportent plusieurs étapes auxquelles les données sont exploitées pour étayer des décisions. Elles n’ont pas pour objet de produire de nouvelles données. En l’absence de données valables, il est nécessaire d’exploiter toutes les données disponibles et de recourir aux avis d’experts. </w:t>
      </w:r>
    </w:p>
    <w:p w14:paraId="2BB1E9BB" w14:textId="77777777" w:rsidR="005649CF" w:rsidRPr="00950D73" w:rsidRDefault="005649CF" w:rsidP="003229BF">
      <w:pPr>
        <w:pStyle w:val="SingleTxtG"/>
        <w:tabs>
          <w:tab w:val="clear" w:pos="2835"/>
          <w:tab w:val="left" w:pos="3402"/>
        </w:tabs>
        <w:ind w:left="2268"/>
        <w:rPr>
          <w:rFonts w:asciiTheme="majorBidi" w:hAnsiTheme="majorBidi" w:cstheme="majorBidi"/>
        </w:rPr>
      </w:pPr>
      <w:r w:rsidRPr="00950D73">
        <w:rPr>
          <w:rFonts w:asciiTheme="majorBidi" w:hAnsiTheme="majorBidi" w:cstheme="majorBidi"/>
        </w:rPr>
        <w:t>A9.7.5.1.1.2</w:t>
      </w:r>
      <w:r w:rsidRPr="00950D73">
        <w:rPr>
          <w:rFonts w:asciiTheme="majorBidi" w:hAnsiTheme="majorBidi" w:cstheme="majorBidi"/>
        </w:rPr>
        <w:tab/>
        <w:t>Dans les sections ci-après, il est fait référence aux VRE de toxicité aiguë et de toxicité chronique afin de désigner l’élément ou les éléments d’information qui seront utilisés pour sélectionner les catégories de danger applicables au métal ou au composé métallique visé. ».</w:t>
      </w:r>
    </w:p>
    <w:p w14:paraId="63607AF5"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A9.7.5.1.2</w:t>
      </w:r>
      <w:r w:rsidRPr="00950D73">
        <w:rPr>
          <w:rFonts w:asciiTheme="majorBidi" w:hAnsiTheme="majorBidi" w:cstheme="majorBidi"/>
        </w:rPr>
        <w:tab/>
        <w:t>Modifier comme suit :</w:t>
      </w:r>
    </w:p>
    <w:p w14:paraId="0759E28C"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 A9.7.5.1.2</w:t>
      </w:r>
      <w:r w:rsidRPr="00950D73">
        <w:rPr>
          <w:rFonts w:asciiTheme="majorBidi" w:hAnsiTheme="majorBidi" w:cstheme="majorBidi"/>
        </w:rPr>
        <w:tab/>
        <w:t>Lorsqu’on examine des VRE de toxicité aiguë et de toxicité chronique pour des composés métalliques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il importe de s’assurer que la donnée utilisée comme justification de la classification soit exprimée en poids de la molécule du composé métallique à classer. Cette opération est connue sous le nom de correction en fonction du poids moléculaire. Ainsi, bien que la plupart des données concernant les métaux soient exprimées en mg/l de l’ion métallique dissous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cette valeur doit être ajustée en fonction du poids moléculaire correspondant du composé métallique. Par conséquent :</w:t>
      </w:r>
    </w:p>
    <w:p w14:paraId="1E54CAA9" w14:textId="77777777" w:rsidR="005649CF" w:rsidRPr="00950D73" w:rsidRDefault="005649CF" w:rsidP="005649CF">
      <w:pPr>
        <w:pStyle w:val="SingleTxtG"/>
        <w:ind w:left="2835" w:firstLine="567"/>
        <w:rPr>
          <w:rFonts w:asciiTheme="majorBidi" w:hAnsiTheme="majorBidi" w:cstheme="majorBidi"/>
        </w:rPr>
      </w:pPr>
      <w:proofErr w:type="spellStart"/>
      <w:r w:rsidRPr="00950D73">
        <w:rPr>
          <w:rFonts w:asciiTheme="majorBidi" w:hAnsiTheme="majorBidi" w:cstheme="majorBidi"/>
        </w:rPr>
        <w:lastRenderedPageBreak/>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x </w:t>
      </w:r>
    </w:p>
    <w:p w14:paraId="35EF78E8"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(masse moléculaire du composé métallique / Σ masse atomique du ou des atomes du métal dans le composé)</w:t>
      </w:r>
    </w:p>
    <w:p w14:paraId="3EFE2902"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où :</w:t>
      </w:r>
    </w:p>
    <w:p w14:paraId="37780B91" w14:textId="77777777" w:rsidR="005649CF" w:rsidRPr="00950D73" w:rsidRDefault="005649CF" w:rsidP="005649CF">
      <w:pPr>
        <w:pStyle w:val="SingleTxtG"/>
        <w:ind w:left="2835"/>
        <w:rPr>
          <w:rFonts w:asciiTheme="majorBidi" w:hAnsiTheme="majorBidi" w:cstheme="majorBidi"/>
        </w:rPr>
      </w:pP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 VRE du composé métallique ;</w:t>
      </w:r>
    </w:p>
    <w:p w14:paraId="13608B5A" w14:textId="77777777" w:rsidR="005649CF" w:rsidRPr="00950D73" w:rsidRDefault="005649CF" w:rsidP="005649CF">
      <w:pPr>
        <w:pStyle w:val="SingleTxtG"/>
        <w:ind w:left="2835"/>
        <w:rPr>
          <w:rFonts w:asciiTheme="majorBidi" w:hAnsiTheme="majorBidi" w:cstheme="majorBidi"/>
        </w:rPr>
      </w:pP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 VRE de l’ion métallique dissous ; ».</w:t>
      </w:r>
    </w:p>
    <w:p w14:paraId="79CEAEB8"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A9.7.5.2 à A9.7.5.2.4.2</w:t>
      </w:r>
      <w:r w:rsidRPr="00950D73">
        <w:rPr>
          <w:rFonts w:asciiTheme="majorBidi" w:hAnsiTheme="majorBidi" w:cstheme="majorBidi"/>
        </w:rPr>
        <w:tab/>
        <w:t>Remplacer le texte actuel par le texte suivant :</w:t>
      </w:r>
    </w:p>
    <w:p w14:paraId="0911BD70" w14:textId="77777777" w:rsidR="005649CF" w:rsidRPr="00950D73" w:rsidRDefault="005649CF" w:rsidP="003229BF">
      <w:pPr>
        <w:pStyle w:val="SingleTxtG"/>
        <w:ind w:left="2268"/>
        <w:rPr>
          <w:rFonts w:asciiTheme="majorBidi" w:hAnsiTheme="majorBidi" w:cstheme="majorBidi"/>
          <w:i/>
          <w:iCs/>
        </w:rPr>
      </w:pPr>
      <w:r w:rsidRPr="00950D73">
        <w:rPr>
          <w:rFonts w:asciiTheme="majorBidi" w:hAnsiTheme="majorBidi" w:cstheme="majorBidi"/>
        </w:rPr>
        <w:t>« A9.7.5.2</w:t>
      </w:r>
      <w:r w:rsidRPr="00950D73">
        <w:rPr>
          <w:rFonts w:asciiTheme="majorBidi" w:hAnsiTheme="majorBidi" w:cstheme="majorBidi"/>
        </w:rPr>
        <w:tab/>
      </w:r>
      <w:r w:rsidRPr="00950D73">
        <w:rPr>
          <w:rFonts w:asciiTheme="majorBidi" w:hAnsiTheme="majorBidi" w:cstheme="majorBidi"/>
          <w:i/>
          <w:iCs/>
        </w:rPr>
        <w:t>Méthode de classification des métaux</w:t>
      </w:r>
    </w:p>
    <w:p w14:paraId="089D1715" w14:textId="77777777" w:rsidR="005649CF" w:rsidRPr="00950D73" w:rsidRDefault="005649CF" w:rsidP="003229BF">
      <w:pPr>
        <w:pStyle w:val="SingleTxtG"/>
        <w:ind w:left="2268"/>
        <w:rPr>
          <w:rFonts w:asciiTheme="majorBidi" w:hAnsiTheme="majorBidi" w:cstheme="majorBidi"/>
          <w:i/>
          <w:iCs/>
        </w:rPr>
      </w:pPr>
      <w:r w:rsidRPr="00950D73">
        <w:rPr>
          <w:rFonts w:asciiTheme="majorBidi" w:hAnsiTheme="majorBidi" w:cstheme="majorBidi"/>
        </w:rPr>
        <w:t>A9.7.5.2.1</w:t>
      </w:r>
      <w:r w:rsidRPr="00950D73">
        <w:rPr>
          <w:rFonts w:asciiTheme="majorBidi" w:hAnsiTheme="majorBidi" w:cstheme="majorBidi"/>
        </w:rPr>
        <w:tab/>
      </w:r>
      <w:r w:rsidRPr="00950D73">
        <w:rPr>
          <w:rFonts w:asciiTheme="majorBidi" w:hAnsiTheme="majorBidi" w:cstheme="majorBidi"/>
          <w:i/>
          <w:iCs/>
        </w:rPr>
        <w:t>Danger à court terme (aigu) pour le milieu aquatique</w:t>
      </w:r>
    </w:p>
    <w:p w14:paraId="0D8B263F"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A9.7.5.2.1.1</w:t>
      </w:r>
      <w:r w:rsidRPr="00950D73">
        <w:rPr>
          <w:rFonts w:asciiTheme="majorBidi" w:hAnsiTheme="majorBidi" w:cstheme="majorBidi"/>
        </w:rPr>
        <w:tab/>
        <w:t>La procédure permettant de déterminer le danger à court terme (aigu) des métaux pour le milieu aquatique est décrite dans la présente section et résumée dans la figure A9.7.1.</w:t>
      </w:r>
    </w:p>
    <w:p w14:paraId="2E46F968"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A9.7.5.2.1.2</w:t>
      </w:r>
      <w:r w:rsidRPr="00950D73">
        <w:rPr>
          <w:rFonts w:asciiTheme="majorBidi" w:hAnsiTheme="majorBidi" w:cstheme="majorBidi"/>
        </w:rPr>
        <w:tab/>
        <w:t>Lorsque la VRE de toxicité aiguë pour les ions métalliques dissous est supérieure à 100 mg/l, il est inutile de poursuivre la procédure de classification pour les métaux considérés.</w:t>
      </w:r>
    </w:p>
    <w:p w14:paraId="73DADF4C"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A9.7.5.2.1.3</w:t>
      </w:r>
      <w:r w:rsidRPr="00950D73">
        <w:rPr>
          <w:rFonts w:asciiTheme="majorBidi" w:hAnsiTheme="majorBidi" w:cstheme="majorBidi"/>
        </w:rPr>
        <w:tab/>
        <w:t xml:space="preserve">Lorsque la VRE de toxicité aiguë pour les ions métalliques dissous est inférieure ou égale à 100 mg/l, il faut examiner les données disponibles sur la vitesse et l’ampleur de la production des ions à partir du métal. Pour être valables et exploitables, ces données doivent être générées à l’aide du protocole de transformation/dissolution (voir l’annexe 10). </w:t>
      </w:r>
    </w:p>
    <w:p w14:paraId="2EB5629E"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A9.7.5.2.1.4</w:t>
      </w:r>
      <w:r w:rsidRPr="00950D73">
        <w:rPr>
          <w:rFonts w:asciiTheme="majorBidi" w:hAnsiTheme="majorBidi" w:cstheme="majorBidi"/>
        </w:rPr>
        <w:tab/>
        <w:t>Lorsqu’on dispose de données sur 7 jours obtenues à l’aide du protocole de transformation/dissolution, il convient d’utiliser les résultats pour faciliter la classification sur la base des règles suivantes : Classer le métal comme suit :</w:t>
      </w:r>
    </w:p>
    <w:p w14:paraId="7F95128C" w14:textId="77777777" w:rsidR="005649CF" w:rsidRPr="00950D73" w:rsidRDefault="005649CF" w:rsidP="001A3C45">
      <w:pPr>
        <w:pStyle w:val="SingleTxtG"/>
        <w:ind w:left="2835" w:hanging="567"/>
        <w:rPr>
          <w:rFonts w:asciiTheme="majorBidi" w:hAnsiTheme="majorBidi" w:cstheme="majorBidi"/>
        </w:rPr>
      </w:pPr>
      <w:r w:rsidRPr="00950D73">
        <w:rPr>
          <w:rFonts w:asciiTheme="majorBidi" w:hAnsiTheme="majorBidi" w:cstheme="majorBidi"/>
        </w:rPr>
        <w:lastRenderedPageBreak/>
        <w:t>a)</w:t>
      </w:r>
      <w:r w:rsidRPr="00950D73">
        <w:rPr>
          <w:rFonts w:asciiTheme="majorBidi" w:hAnsiTheme="majorBidi" w:cstheme="majorBidi"/>
        </w:rPr>
        <w:tab/>
        <w:t xml:space="preserve">Dans la catégorie Aiguë 1 si la concentration en ions métalliques dissous au taux de charge faible est supérieure ou égale à la VRE de toxicité aiguë. Attribuer un facteur M Aigu selon le tableau A9.7.1 ; </w:t>
      </w:r>
    </w:p>
    <w:p w14:paraId="14F58C2F" w14:textId="77777777" w:rsidR="005649CF" w:rsidRPr="00950D73" w:rsidRDefault="005649CF" w:rsidP="001A3C45">
      <w:pPr>
        <w:pStyle w:val="SingleTxtG"/>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 xml:space="preserve">Dans la catégorie Aiguë 2 si la concentration en ions métalliques dissous au taux de charge faible est inférieure à la VRE de toxicité aiguë, mais supérieure ou égale à la VRE de toxicité aiguë au taux de charge moyen ; </w:t>
      </w:r>
    </w:p>
    <w:p w14:paraId="2B0F9C5A" w14:textId="77777777" w:rsidR="005649CF" w:rsidRPr="00950D73" w:rsidRDefault="005649CF" w:rsidP="001A3C45">
      <w:pPr>
        <w:pStyle w:val="SingleTxtG"/>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 xml:space="preserve">Dans la catégorie Aiguë 3 si la concentration en ions métalliques dissous aux taux de charge faible et moyen est inférieure à la VRE de toxicité aiguë, mais supérieure ou égale à la VRE de toxicité aiguë au taux de charge élevé. </w:t>
      </w:r>
    </w:p>
    <w:p w14:paraId="10EDE1CB" w14:textId="77777777" w:rsidR="005649CF" w:rsidRPr="00950D73" w:rsidRDefault="005649CF" w:rsidP="002777B3">
      <w:pPr>
        <w:pStyle w:val="SingleTxtG"/>
        <w:ind w:left="2268"/>
        <w:rPr>
          <w:rFonts w:asciiTheme="majorBidi" w:hAnsiTheme="majorBidi" w:cstheme="majorBidi"/>
        </w:rPr>
      </w:pPr>
      <w:r w:rsidRPr="00950D73">
        <w:rPr>
          <w:rFonts w:asciiTheme="majorBidi" w:hAnsiTheme="majorBidi" w:cstheme="majorBidi"/>
        </w:rPr>
        <w:t>On ne classe pas le métal en fonction du danger à court terme pour le milieu aquatique dans le cas où la concentration de métaux dissous à tous les taux de charge est inférieure à la VRE de toxicité aiguë.</w:t>
      </w:r>
    </w:p>
    <w:p w14:paraId="10FBEBF6" w14:textId="72F61591" w:rsidR="005649CF" w:rsidRPr="00950D73" w:rsidRDefault="00F81DCD" w:rsidP="005B717D">
      <w:pPr>
        <w:pStyle w:val="H23G"/>
        <w:ind w:firstLine="0"/>
        <w:jc w:val="center"/>
        <w:rPr>
          <w:rFonts w:asciiTheme="majorBidi" w:hAnsiTheme="majorBidi" w:cstheme="majorBidi"/>
        </w:rPr>
      </w:pPr>
      <w:r w:rsidRPr="00950D73">
        <w:rPr>
          <w:rFonts w:asciiTheme="majorBidi" w:hAnsiTheme="majorBidi" w:cstheme="majorBidi"/>
        </w:rPr>
        <w:lastRenderedPageBreak/>
        <w:tab/>
      </w:r>
      <w:r w:rsidR="005649CF" w:rsidRPr="00950D73">
        <w:rPr>
          <w:rFonts w:asciiTheme="majorBidi" w:hAnsiTheme="majorBidi" w:cstheme="majorBidi"/>
        </w:rPr>
        <w:t xml:space="preserve">Figure A9.7.1 : Diagramme de détermination du danger à court terme (aigu) </w:t>
      </w:r>
      <w:r w:rsidRPr="00950D73">
        <w:rPr>
          <w:rFonts w:asciiTheme="majorBidi" w:hAnsiTheme="majorBidi" w:cstheme="majorBidi"/>
        </w:rPr>
        <w:br/>
      </w:r>
      <w:r w:rsidR="005649CF" w:rsidRPr="00950D73">
        <w:rPr>
          <w:rFonts w:asciiTheme="majorBidi" w:hAnsiTheme="majorBidi" w:cstheme="majorBidi"/>
        </w:rPr>
        <w:t>des métaux pour le milieu aquatique</w:t>
      </w:r>
    </w:p>
    <w:p w14:paraId="415DD65F" w14:textId="2D2835CA" w:rsidR="00F87612" w:rsidRPr="00950D73" w:rsidRDefault="00F8510D" w:rsidP="00F8510D">
      <w:pPr>
        <w:keepNext/>
        <w:keepLines/>
        <w:ind w:right="-1"/>
        <w:jc w:val="center"/>
        <w:rPr>
          <w:rFonts w:asciiTheme="majorBidi" w:hAnsiTheme="majorBidi" w:cstheme="majorBidi"/>
        </w:rPr>
      </w:pPr>
      <w:r w:rsidRPr="00950D73">
        <w:rPr>
          <w:rFonts w:asciiTheme="majorBidi" w:hAnsiTheme="majorBidi" w:cstheme="majorBidi"/>
        </w:rPr>
        <w:object w:dxaOrig="7249" w:dyaOrig="5425" w14:anchorId="7C964D81">
          <v:shape id="_x0000_i1034" type="#_x0000_t75" style="width:362.1pt;height:271.5pt" o:ole="">
            <v:imagedata r:id="rId53" o:title=""/>
          </v:shape>
          <o:OLEObject Type="Embed" ProgID="Visio.Drawing.15" ShapeID="_x0000_i1034" DrawAspect="Content" ObjectID="_1745040354" r:id="rId54"/>
        </w:object>
      </w:r>
    </w:p>
    <w:p w14:paraId="7E7467AA" w14:textId="61797DDA" w:rsidR="005649CF" w:rsidRPr="00950D73" w:rsidRDefault="005649CF" w:rsidP="003229BF">
      <w:pPr>
        <w:pStyle w:val="SingleTxtG"/>
        <w:tabs>
          <w:tab w:val="left" w:pos="3828"/>
        </w:tabs>
        <w:spacing w:before="240"/>
        <w:ind w:left="2268"/>
        <w:rPr>
          <w:rFonts w:asciiTheme="majorBidi" w:hAnsiTheme="majorBidi" w:cstheme="majorBidi"/>
          <w:bCs/>
          <w:i/>
          <w:iCs/>
        </w:rPr>
      </w:pPr>
      <w:r w:rsidRPr="00950D73">
        <w:rPr>
          <w:rFonts w:asciiTheme="majorBidi" w:hAnsiTheme="majorBidi" w:cstheme="majorBidi"/>
        </w:rPr>
        <w:t>A9.7.5.2.2</w:t>
      </w:r>
      <w:r w:rsidRPr="00950D73">
        <w:rPr>
          <w:rFonts w:asciiTheme="majorBidi" w:hAnsiTheme="majorBidi" w:cstheme="majorBidi"/>
        </w:rPr>
        <w:tab/>
      </w:r>
      <w:r w:rsidRPr="00950D73">
        <w:rPr>
          <w:rFonts w:asciiTheme="majorBidi" w:hAnsiTheme="majorBidi" w:cstheme="majorBidi"/>
          <w:i/>
          <w:iCs/>
        </w:rPr>
        <w:t>Danger à long terme (chronique) pour le milieu aquatique</w:t>
      </w:r>
      <w:r w:rsidRPr="00950D73">
        <w:rPr>
          <w:rFonts w:asciiTheme="majorBidi" w:hAnsiTheme="majorBidi" w:cstheme="majorBidi"/>
        </w:rPr>
        <w:t xml:space="preserve"> </w:t>
      </w:r>
    </w:p>
    <w:p w14:paraId="52B9DB4B" w14:textId="77777777" w:rsidR="005649CF" w:rsidRPr="00950D73" w:rsidRDefault="005649CF" w:rsidP="003229BF">
      <w:pPr>
        <w:pStyle w:val="SingleTxtG"/>
        <w:tabs>
          <w:tab w:val="left" w:pos="3828"/>
        </w:tabs>
        <w:ind w:left="2268"/>
        <w:rPr>
          <w:rFonts w:asciiTheme="majorBidi" w:hAnsiTheme="majorBidi" w:cstheme="majorBidi"/>
        </w:rPr>
      </w:pPr>
      <w:r w:rsidRPr="00950D73">
        <w:rPr>
          <w:rFonts w:asciiTheme="majorBidi" w:hAnsiTheme="majorBidi" w:cstheme="majorBidi"/>
        </w:rPr>
        <w:t>La procédure permettant de déterminer le danger à long terme (chronique) des métaux pour le milieu aquatique est décrite dans la présente section et résumée dans les figures A9.7.2 et A9.7.3. Elle s’appuie sur les données de toxicité chronique, lorsque celles-ci sont disponibles ; si ce n’est pas le cas, on a recours à la méthode de la substitution.</w:t>
      </w:r>
    </w:p>
    <w:p w14:paraId="3F1EB3DF" w14:textId="77777777" w:rsidR="005649CF" w:rsidRPr="00950D73" w:rsidRDefault="005649CF" w:rsidP="003229BF">
      <w:pPr>
        <w:pStyle w:val="SingleTxtG"/>
        <w:tabs>
          <w:tab w:val="left" w:pos="3828"/>
        </w:tabs>
        <w:ind w:left="2268"/>
        <w:rPr>
          <w:rFonts w:asciiTheme="majorBidi" w:hAnsiTheme="majorBidi" w:cstheme="majorBidi"/>
        </w:rPr>
      </w:pPr>
      <w:r w:rsidRPr="00950D73">
        <w:rPr>
          <w:rFonts w:asciiTheme="majorBidi" w:hAnsiTheme="majorBidi" w:cstheme="majorBidi"/>
        </w:rPr>
        <w:t>A9.7.5.2.2.1</w:t>
      </w:r>
      <w:r w:rsidRPr="00950D73">
        <w:rPr>
          <w:rFonts w:asciiTheme="majorBidi" w:hAnsiTheme="majorBidi" w:cstheme="majorBidi"/>
        </w:rPr>
        <w:tab/>
        <w:t>Utilisation des données de toxicité chronique disponibles</w:t>
      </w:r>
    </w:p>
    <w:p w14:paraId="17E753DF" w14:textId="77777777" w:rsidR="005649CF" w:rsidRPr="00950D73" w:rsidRDefault="005649CF" w:rsidP="003229BF">
      <w:pPr>
        <w:pStyle w:val="SingleTxtG"/>
        <w:tabs>
          <w:tab w:val="left" w:pos="3828"/>
        </w:tabs>
        <w:ind w:left="2268"/>
        <w:rPr>
          <w:rFonts w:asciiTheme="majorBidi" w:hAnsiTheme="majorBidi" w:cstheme="majorBidi"/>
        </w:rPr>
      </w:pPr>
      <w:r w:rsidRPr="00950D73">
        <w:rPr>
          <w:rFonts w:asciiTheme="majorBidi" w:hAnsiTheme="majorBidi" w:cstheme="majorBidi"/>
          <w:spacing w:val="-4"/>
        </w:rPr>
        <w:t>A9.7.5.2.2.1.1</w:t>
      </w:r>
      <w:r w:rsidRPr="00950D73">
        <w:rPr>
          <w:rFonts w:asciiTheme="majorBidi" w:hAnsiTheme="majorBidi" w:cstheme="majorBidi"/>
        </w:rPr>
        <w:tab/>
        <w:t xml:space="preserve">Lorsque la VRE de toxicité chronique pour les ions métalliques dissous est supérieure à 1 mg/l, il est inutile de poursuivre la procédure de classification pour les métaux considérés. </w:t>
      </w:r>
    </w:p>
    <w:p w14:paraId="20894E08" w14:textId="502D7478" w:rsidR="005649CF" w:rsidRPr="00950D73" w:rsidRDefault="005649CF" w:rsidP="003229BF">
      <w:pPr>
        <w:pStyle w:val="SingleTxtG"/>
        <w:tabs>
          <w:tab w:val="left" w:pos="3828"/>
        </w:tabs>
        <w:ind w:left="2268"/>
        <w:rPr>
          <w:rFonts w:asciiTheme="majorBidi" w:hAnsiTheme="majorBidi" w:cstheme="majorBidi"/>
        </w:rPr>
      </w:pPr>
      <w:r w:rsidRPr="00950D73">
        <w:rPr>
          <w:rFonts w:asciiTheme="majorBidi" w:hAnsiTheme="majorBidi" w:cstheme="majorBidi"/>
          <w:spacing w:val="-4"/>
        </w:rPr>
        <w:t>A9.7.5.2.2.1.2</w:t>
      </w:r>
      <w:r w:rsidRPr="00950D73">
        <w:rPr>
          <w:rFonts w:asciiTheme="majorBidi" w:hAnsiTheme="majorBidi" w:cstheme="majorBidi"/>
        </w:rPr>
        <w:tab/>
        <w:t xml:space="preserve">Lorsque la VRE de toxicité chronique pour les ions métalliques dissous est inférieure ou égale à 1 mg/l, il faut examiner les données disponibles sur la vitesse et </w:t>
      </w:r>
      <w:r w:rsidRPr="00950D73">
        <w:rPr>
          <w:rFonts w:asciiTheme="majorBidi" w:hAnsiTheme="majorBidi" w:cstheme="majorBidi"/>
        </w:rPr>
        <w:lastRenderedPageBreak/>
        <w:t>l’ampleur de la production des ions à partir du métal. Pour être valables et exploitables, ces données doivent avoir été générées ou calculées à l’aide du protocole de transformation/dissolution (annexe 10) sur une période de 28 jours (voir A9.7.2.2.4). En l’absence de ces données, il convient d’appliquer la méthode de la substitution (voir</w:t>
      </w:r>
      <w:r w:rsidR="00FC56F7">
        <w:rPr>
          <w:rFonts w:asciiTheme="majorBidi" w:hAnsiTheme="majorBidi" w:cstheme="majorBidi"/>
        </w:rPr>
        <w:t> </w:t>
      </w:r>
      <w:r w:rsidRPr="00950D73">
        <w:rPr>
          <w:rFonts w:asciiTheme="majorBidi" w:hAnsiTheme="majorBidi" w:cstheme="majorBidi"/>
        </w:rPr>
        <w:t>A9.7.5.2.2.2). Lorsque les données de transformation/dissolution sur 28</w:t>
      </w:r>
      <w:r w:rsidR="00FC56F7">
        <w:rPr>
          <w:rFonts w:asciiTheme="majorBidi" w:hAnsiTheme="majorBidi" w:cstheme="majorBidi"/>
        </w:rPr>
        <w:t> </w:t>
      </w:r>
      <w:r w:rsidRPr="00950D73">
        <w:rPr>
          <w:rFonts w:asciiTheme="majorBidi" w:hAnsiTheme="majorBidi" w:cstheme="majorBidi"/>
        </w:rPr>
        <w:t>jours sont disponibles, on classe le métal comme suit :</w:t>
      </w:r>
    </w:p>
    <w:p w14:paraId="4E834F57"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t>a)</w:t>
      </w:r>
      <w:r w:rsidRPr="00950D73">
        <w:rPr>
          <w:rFonts w:asciiTheme="majorBidi" w:hAnsiTheme="majorBidi" w:cstheme="majorBidi"/>
        </w:rPr>
        <w:tab/>
        <w:t>Dans la catégorie Chronique 1 si la concentration en ions métalliques dissous obtenue à un taux de charge de 0,1 mg/l (0,01 mg/l si l’on a la preuve d’une transformation rapide dans l’environnement) est supérieure ou égale à la VRE de toxicité chronique. Attribuer un facteur M Chronique selon le tableau A9.7.1 ;</w:t>
      </w:r>
    </w:p>
    <w:p w14:paraId="1E878C8E"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t>b)</w:t>
      </w:r>
      <w:r w:rsidRPr="00950D73">
        <w:rPr>
          <w:rFonts w:asciiTheme="majorBidi" w:hAnsiTheme="majorBidi" w:cstheme="majorBidi"/>
        </w:rPr>
        <w:tab/>
        <w:t>Dans la catégorie Chronique 2 si la concentration en ions métalliques dissous obtenue à un taux de charge de 1 mg/l (0,1 mg/l si l’on a la preuve d’une transformation rapide dans l’environnement) est supérieure ou égale à la VRE de toxicité chronique ;</w:t>
      </w:r>
    </w:p>
    <w:p w14:paraId="5127F628" w14:textId="77777777" w:rsidR="005649CF" w:rsidRPr="00950D73" w:rsidRDefault="005649CF" w:rsidP="005649CF">
      <w:pPr>
        <w:pStyle w:val="SingleTxtG"/>
        <w:ind w:left="2835" w:hanging="567"/>
        <w:rPr>
          <w:rFonts w:asciiTheme="majorBidi" w:hAnsiTheme="majorBidi" w:cstheme="majorBidi"/>
          <w:bCs/>
        </w:rPr>
      </w:pPr>
      <w:r w:rsidRPr="00950D73">
        <w:rPr>
          <w:rFonts w:asciiTheme="majorBidi" w:hAnsiTheme="majorBidi" w:cstheme="majorBidi"/>
        </w:rPr>
        <w:t>c)</w:t>
      </w:r>
      <w:r w:rsidRPr="00950D73">
        <w:rPr>
          <w:rFonts w:asciiTheme="majorBidi" w:hAnsiTheme="majorBidi" w:cstheme="majorBidi"/>
        </w:rPr>
        <w:tab/>
        <w:t xml:space="preserve">Dans la catégorie Chronique 3 si la concentration en ions métalliques dissous obtenue à un taux de charge de 1 mg/l est supérieure à la VRE de toxicité chronique et s’il existe une preuve de transformation rapide dans l’environnement. </w:t>
      </w:r>
    </w:p>
    <w:p w14:paraId="051B3CD1" w14:textId="19FD42CA" w:rsidR="005649CF" w:rsidRPr="00950D73" w:rsidRDefault="005649CF" w:rsidP="003229BF">
      <w:pPr>
        <w:pStyle w:val="SingleTxtG"/>
        <w:tabs>
          <w:tab w:val="clear" w:pos="2835"/>
          <w:tab w:val="left" w:pos="3686"/>
        </w:tabs>
        <w:ind w:left="2268"/>
        <w:rPr>
          <w:rFonts w:asciiTheme="majorBidi" w:hAnsiTheme="majorBidi" w:cstheme="majorBidi"/>
          <w:bCs/>
        </w:rPr>
      </w:pPr>
      <w:r w:rsidRPr="00950D73">
        <w:rPr>
          <w:rFonts w:asciiTheme="majorBidi" w:hAnsiTheme="majorBidi" w:cstheme="majorBidi"/>
          <w:spacing w:val="-4"/>
        </w:rPr>
        <w:t>A9.7.5.2.2.1.3</w:t>
      </w:r>
      <w:r w:rsidRPr="00950D73">
        <w:rPr>
          <w:rFonts w:asciiTheme="majorBidi" w:hAnsiTheme="majorBidi" w:cstheme="majorBidi"/>
        </w:rPr>
        <w:tab/>
        <w:t>Classer le métal dans la catégorie Chronique 4 si les données disponibles n’autorisent pas une classification sur la base des critères définis, mais qu’il existe des motifs de préoccupation (voir 4.1.2.2).</w:t>
      </w:r>
    </w:p>
    <w:p w14:paraId="00F8E111" w14:textId="77777777" w:rsidR="005649CF" w:rsidRPr="00950D73" w:rsidRDefault="005649CF" w:rsidP="003229BF">
      <w:pPr>
        <w:pStyle w:val="SingleTxtG"/>
        <w:tabs>
          <w:tab w:val="clear" w:pos="2835"/>
          <w:tab w:val="left" w:pos="3686"/>
        </w:tabs>
        <w:ind w:left="2268"/>
        <w:rPr>
          <w:rFonts w:asciiTheme="majorBidi" w:hAnsiTheme="majorBidi" w:cstheme="majorBidi"/>
          <w:bCs/>
        </w:rPr>
      </w:pPr>
      <w:r w:rsidRPr="00950D73">
        <w:rPr>
          <w:rFonts w:asciiTheme="majorBidi" w:hAnsiTheme="majorBidi" w:cstheme="majorBidi"/>
          <w:spacing w:val="-4"/>
        </w:rPr>
        <w:t>A9.7.5.2.2.1.4</w:t>
      </w:r>
      <w:r w:rsidRPr="00950D73">
        <w:rPr>
          <w:rFonts w:asciiTheme="majorBidi" w:hAnsiTheme="majorBidi" w:cstheme="majorBidi"/>
        </w:rPr>
        <w:tab/>
        <w:t xml:space="preserve">On ne classe pas le métal en fonction du danger à long terme pour le milieu aquatique dans le cas où la concentration en ions métalliques dissous obtenue à l’issue de l’essai de transformation/dissolution de 28 jours à un taux de charge de 1 mg/l est </w:t>
      </w:r>
      <w:r w:rsidRPr="00950D73">
        <w:rPr>
          <w:rFonts w:asciiTheme="majorBidi" w:hAnsiTheme="majorBidi" w:cstheme="majorBidi"/>
        </w:rPr>
        <w:lastRenderedPageBreak/>
        <w:t>inférieure à la VRE de toxicité chronique de l’ion métallique dissous.</w:t>
      </w:r>
    </w:p>
    <w:p w14:paraId="66DEF30F" w14:textId="5B19A44C" w:rsidR="005649CF" w:rsidRPr="00950D73" w:rsidRDefault="005649CF" w:rsidP="00F81DCD">
      <w:pPr>
        <w:pStyle w:val="H23G"/>
        <w:ind w:firstLine="0"/>
        <w:jc w:val="center"/>
        <w:rPr>
          <w:rFonts w:asciiTheme="majorBidi" w:hAnsiTheme="majorBidi" w:cstheme="majorBidi"/>
        </w:rPr>
      </w:pPr>
      <w:r w:rsidRPr="00950D73">
        <w:rPr>
          <w:rFonts w:asciiTheme="majorBidi" w:hAnsiTheme="majorBidi" w:cstheme="majorBidi"/>
        </w:rPr>
        <w:t xml:space="preserve">Figure A9.7.2 : Diagramme de détermination du danger à long terme des métaux </w:t>
      </w:r>
      <w:r w:rsidRPr="00950D73">
        <w:rPr>
          <w:rFonts w:asciiTheme="majorBidi" w:hAnsiTheme="majorBidi" w:cstheme="majorBidi"/>
        </w:rPr>
        <w:br/>
        <w:t>pour le milieu aquatique sur la base des données de toxicité chronique</w:t>
      </w:r>
    </w:p>
    <w:p w14:paraId="5BB1D528" w14:textId="0A291F05" w:rsidR="00322D81" w:rsidRPr="00950D73" w:rsidRDefault="002E4A9E" w:rsidP="00B70A65">
      <w:pPr>
        <w:jc w:val="center"/>
        <w:rPr>
          <w:rFonts w:asciiTheme="majorBidi" w:hAnsiTheme="majorBidi" w:cstheme="majorBidi"/>
        </w:rPr>
      </w:pPr>
      <w:r w:rsidRPr="00950D73">
        <w:rPr>
          <w:rFonts w:asciiTheme="majorBidi" w:hAnsiTheme="majorBidi" w:cstheme="majorBidi"/>
        </w:rPr>
        <w:object w:dxaOrig="9746" w:dyaOrig="8305" w14:anchorId="66B32C47">
          <v:shape id="_x0000_i1035" type="#_x0000_t75" style="width:481.5pt;height:411pt" o:ole="">
            <v:imagedata r:id="rId55" o:title=""/>
          </v:shape>
          <o:OLEObject Type="Embed" ProgID="Visio.Drawing.15" ShapeID="_x0000_i1035" DrawAspect="Content" ObjectID="_1745040355" r:id="rId56"/>
        </w:object>
      </w:r>
    </w:p>
    <w:p w14:paraId="7090FA10" w14:textId="77777777" w:rsidR="00322D81" w:rsidRPr="00950D73" w:rsidRDefault="00322D81" w:rsidP="00322D81">
      <w:pPr>
        <w:rPr>
          <w:rFonts w:asciiTheme="majorBidi" w:hAnsiTheme="majorBidi" w:cstheme="majorBidi"/>
        </w:rPr>
      </w:pPr>
    </w:p>
    <w:p w14:paraId="5BD45074" w14:textId="77777777" w:rsidR="005649CF" w:rsidRPr="00950D73" w:rsidRDefault="005649CF" w:rsidP="003229BF">
      <w:pPr>
        <w:pStyle w:val="SingleTxtG"/>
        <w:tabs>
          <w:tab w:val="clear" w:pos="2835"/>
          <w:tab w:val="left" w:pos="3544"/>
        </w:tabs>
        <w:spacing w:before="120"/>
        <w:ind w:left="2268"/>
        <w:rPr>
          <w:rFonts w:asciiTheme="majorBidi" w:hAnsiTheme="majorBidi" w:cstheme="majorBidi"/>
        </w:rPr>
      </w:pPr>
      <w:r w:rsidRPr="00950D73">
        <w:rPr>
          <w:rFonts w:asciiTheme="majorBidi" w:hAnsiTheme="majorBidi" w:cstheme="majorBidi"/>
        </w:rPr>
        <w:t>A9.7.5.2.2.2</w:t>
      </w:r>
      <w:r w:rsidRPr="00950D73">
        <w:rPr>
          <w:rFonts w:asciiTheme="majorBidi" w:hAnsiTheme="majorBidi" w:cstheme="majorBidi"/>
        </w:rPr>
        <w:tab/>
        <w:t>Méthode de la substitution</w:t>
      </w:r>
    </w:p>
    <w:p w14:paraId="7B1F551E" w14:textId="77777777" w:rsidR="005649CF" w:rsidRPr="00950D73" w:rsidRDefault="005649CF" w:rsidP="003229BF">
      <w:pPr>
        <w:pStyle w:val="SingleTxtG"/>
        <w:tabs>
          <w:tab w:val="clear" w:pos="2835"/>
          <w:tab w:val="left" w:pos="3544"/>
        </w:tabs>
        <w:ind w:left="2268"/>
        <w:rPr>
          <w:rFonts w:asciiTheme="majorBidi" w:hAnsiTheme="majorBidi" w:cstheme="majorBidi"/>
        </w:rPr>
      </w:pPr>
      <w:r w:rsidRPr="00950D73">
        <w:rPr>
          <w:rFonts w:asciiTheme="majorBidi" w:hAnsiTheme="majorBidi" w:cstheme="majorBidi"/>
          <w:spacing w:val="-4"/>
        </w:rPr>
        <w:t>A9.7.5.2.2.2.1</w:t>
      </w:r>
      <w:r w:rsidRPr="00950D73">
        <w:rPr>
          <w:rFonts w:asciiTheme="majorBidi" w:hAnsiTheme="majorBidi" w:cstheme="majorBidi"/>
        </w:rPr>
        <w:tab/>
        <w:t>Si l’on ne dispose pas de données appropriées sur la toxicité chronique ou sur la transformation/dissolution, mais si le métal est connu comme métal présentant un danger à court terme (aigu) pour le milieu aquatique, il convient de classer comme suit (sauf si l’on a la preuve d’une rapide transformation dans l’environnement et de l’absence de bioaccumulation) :</w:t>
      </w:r>
    </w:p>
    <w:p w14:paraId="7C115E13"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Dans la catégorie Chronique 1 si le métal est classé dans la catégorie Aiguë 1 du fait du danger à court terme (aigu) qu’il présente pour le milieu aquatique. Attribuer le même facteur M que pour la catégorie Aiguë 1 ;</w:t>
      </w:r>
    </w:p>
    <w:p w14:paraId="4152FA9C"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lastRenderedPageBreak/>
        <w:t>b)</w:t>
      </w:r>
      <w:r w:rsidRPr="00950D73">
        <w:rPr>
          <w:rFonts w:asciiTheme="majorBidi" w:hAnsiTheme="majorBidi" w:cstheme="majorBidi"/>
        </w:rPr>
        <w:tab/>
        <w:t>Dans la catégorie Chronique 2 si le métal est classé dans la catégorie Aiguë 2 du fait du danger à court terme (aigu) qu’il présente pour le milieu aquatique ;</w:t>
      </w:r>
    </w:p>
    <w:p w14:paraId="27650851"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Dans la catégorie Chronique 3 si le métal est classé dans la catégorie Aiguë 3 du fait du danger à court terme (aigu) qu’il présente pour le milieu aquatique.</w:t>
      </w:r>
    </w:p>
    <w:p w14:paraId="69FCD680" w14:textId="118AB57F"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spacing w:val="-4"/>
        </w:rPr>
        <w:t>A9.7.5.2.2.2.2</w:t>
      </w:r>
      <w:r w:rsidRPr="00950D73">
        <w:rPr>
          <w:rFonts w:asciiTheme="majorBidi" w:hAnsiTheme="majorBidi" w:cstheme="majorBidi"/>
        </w:rPr>
        <w:tab/>
        <w:t>Si, du fait de l’absence de données de transformation/dissolution, on ne dispose pas d’une classification des dangers à court terme pour le milieu aquatique, et si l’on ne dispose pas de données claires et suffisamment fiables indiquant qu’il n’y a pas de transformation en ions métalliques, il convient de classer dans la catégorie Chronique</w:t>
      </w:r>
      <w:r w:rsidR="00730796">
        <w:rPr>
          <w:rFonts w:asciiTheme="majorBidi" w:hAnsiTheme="majorBidi" w:cstheme="majorBidi"/>
        </w:rPr>
        <w:t> </w:t>
      </w:r>
      <w:r w:rsidRPr="00950D73">
        <w:rPr>
          <w:rFonts w:asciiTheme="majorBidi" w:hAnsiTheme="majorBidi" w:cstheme="majorBidi"/>
        </w:rPr>
        <w:t xml:space="preserve">4 (classification par mesure de sécurité) dans le cas où l’on juge que la toxicité connue et </w:t>
      </w:r>
      <w:proofErr w:type="spellStart"/>
      <w:r w:rsidRPr="00950D73">
        <w:rPr>
          <w:rFonts w:asciiTheme="majorBidi" w:hAnsiTheme="majorBidi" w:cstheme="majorBidi"/>
        </w:rPr>
        <w:t>répertoriable</w:t>
      </w:r>
      <w:proofErr w:type="spellEnd"/>
      <w:r w:rsidRPr="00950D73">
        <w:rPr>
          <w:rFonts w:asciiTheme="majorBidi" w:hAnsiTheme="majorBidi" w:cstheme="majorBidi"/>
        </w:rPr>
        <w:t xml:space="preserve"> des formes solubles est assez préoccupante. C’est le cas par exemple lorsque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Aiguë est égale ou inférieure à 100 mg/l, ou lorsque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Chronique est égale ou inférieure à 1 mg/l. On peut alors envisager de faire des essais en appliquant le protocole de transformation/dissolution.</w:t>
      </w:r>
    </w:p>
    <w:p w14:paraId="23BDECDB" w14:textId="77777777" w:rsidR="005649CF" w:rsidRPr="00950D73" w:rsidRDefault="005649CF" w:rsidP="003229BF">
      <w:pPr>
        <w:pStyle w:val="SingleTxtG"/>
        <w:tabs>
          <w:tab w:val="clear" w:pos="2268"/>
          <w:tab w:val="left" w:pos="3544"/>
        </w:tabs>
        <w:ind w:left="2268"/>
        <w:rPr>
          <w:rFonts w:asciiTheme="majorBidi" w:hAnsiTheme="majorBidi" w:cstheme="majorBidi"/>
        </w:rPr>
      </w:pPr>
      <w:r w:rsidRPr="00950D73">
        <w:rPr>
          <w:rFonts w:asciiTheme="majorBidi" w:hAnsiTheme="majorBidi" w:cstheme="majorBidi"/>
          <w:spacing w:val="-4"/>
        </w:rPr>
        <w:t>A9.7.5.2.2.2.3</w:t>
      </w:r>
      <w:r w:rsidRPr="00950D73">
        <w:rPr>
          <w:rFonts w:asciiTheme="majorBidi" w:hAnsiTheme="majorBidi" w:cstheme="majorBidi"/>
        </w:rPr>
        <w:tab/>
        <w:t>On ne classe pas le métal en fonction du danger à long terme pour le milieu aquatique s’il n’a pas été classé en fonction du danger à court terme pour ce même milieu et s’il n’y a pas de motifs de préoccupation.</w:t>
      </w:r>
    </w:p>
    <w:p w14:paraId="483446CE" w14:textId="719831CD" w:rsidR="005649CF" w:rsidRPr="00950D73" w:rsidRDefault="005649CF" w:rsidP="00F81DCD">
      <w:pPr>
        <w:pStyle w:val="H23G"/>
        <w:ind w:firstLine="0"/>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Figure A9.7.3 : Diagramme de détermination du danger à long terme des métaux pour le milieu aquatique en l’absence de données de référence appropriées sur la toxicité chronique ou de données de transformation/dissolution sur 28 jours</w:t>
      </w:r>
    </w:p>
    <w:p w14:paraId="76BB7AE2" w14:textId="77777777" w:rsidR="007E0916" w:rsidRPr="00950D73" w:rsidRDefault="007E0916" w:rsidP="007E0916">
      <w:pPr>
        <w:rPr>
          <w:rFonts w:asciiTheme="majorBidi" w:hAnsiTheme="majorBidi" w:cstheme="majorBidi"/>
        </w:rPr>
      </w:pPr>
    </w:p>
    <w:p w14:paraId="439B2CB5" w14:textId="6FC5DEA7" w:rsidR="007E0916" w:rsidRPr="00950D73" w:rsidRDefault="00F5030C" w:rsidP="005649CF">
      <w:pPr>
        <w:pStyle w:val="SingleTxtG"/>
        <w:jc w:val="right"/>
        <w:rPr>
          <w:rFonts w:asciiTheme="majorBidi" w:hAnsiTheme="majorBidi" w:cstheme="majorBidi"/>
        </w:rPr>
      </w:pPr>
      <w:r w:rsidRPr="00950D73">
        <w:rPr>
          <w:rFonts w:asciiTheme="majorBidi" w:hAnsiTheme="majorBidi" w:cstheme="majorBidi"/>
        </w:rPr>
        <w:object w:dxaOrig="6997" w:dyaOrig="4609" w14:anchorId="7CA562A2">
          <v:shape id="_x0000_i1036" type="#_x0000_t75" style="width:349.8pt;height:230.1pt" o:ole="">
            <v:imagedata r:id="rId57" o:title=""/>
          </v:shape>
          <o:OLEObject Type="Embed" ProgID="Visio.Drawing.15" ShapeID="_x0000_i1036" DrawAspect="Content" ObjectID="_1745040356" r:id="rId58"/>
        </w:object>
      </w:r>
    </w:p>
    <w:p w14:paraId="78C41B85" w14:textId="7BCDF31D" w:rsidR="005649CF" w:rsidRPr="00950D73" w:rsidRDefault="005649CF" w:rsidP="005649CF">
      <w:pPr>
        <w:pStyle w:val="SingleTxtG"/>
        <w:jc w:val="right"/>
        <w:rPr>
          <w:rFonts w:asciiTheme="majorBidi" w:hAnsiTheme="majorBidi" w:cstheme="majorBidi"/>
        </w:rPr>
      </w:pPr>
      <w:r w:rsidRPr="00950D73">
        <w:rPr>
          <w:rFonts w:asciiTheme="majorBidi" w:hAnsiTheme="majorBidi" w:cstheme="majorBidi"/>
        </w:rPr>
        <w:t> ».</w:t>
      </w:r>
    </w:p>
    <w:p w14:paraId="1660A864"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A9.7.5.3 à A9.7.5.3.3.3</w:t>
      </w:r>
      <w:r w:rsidRPr="00950D73">
        <w:rPr>
          <w:rFonts w:asciiTheme="majorBidi" w:hAnsiTheme="majorBidi" w:cstheme="majorBidi"/>
        </w:rPr>
        <w:tab/>
        <w:t>Remplacer le texte actuel par le texte suivant :</w:t>
      </w:r>
    </w:p>
    <w:p w14:paraId="1528CD89" w14:textId="77777777" w:rsidR="005649CF" w:rsidRPr="00950D73" w:rsidRDefault="005649CF" w:rsidP="003229BF">
      <w:pPr>
        <w:pStyle w:val="SingleTxtG"/>
        <w:tabs>
          <w:tab w:val="clear" w:pos="2835"/>
          <w:tab w:val="left" w:pos="3402"/>
        </w:tabs>
        <w:ind w:left="2268"/>
        <w:rPr>
          <w:rFonts w:asciiTheme="majorBidi" w:hAnsiTheme="majorBidi" w:cstheme="majorBidi"/>
        </w:rPr>
      </w:pPr>
      <w:r w:rsidRPr="00950D73">
        <w:rPr>
          <w:rFonts w:asciiTheme="majorBidi" w:hAnsiTheme="majorBidi" w:cstheme="majorBidi"/>
        </w:rPr>
        <w:t>« A9.7.5.3</w:t>
      </w:r>
      <w:r w:rsidRPr="00950D73">
        <w:rPr>
          <w:rFonts w:asciiTheme="majorBidi" w:hAnsiTheme="majorBidi" w:cstheme="majorBidi"/>
        </w:rPr>
        <w:tab/>
      </w:r>
      <w:r w:rsidRPr="00950D73">
        <w:rPr>
          <w:rFonts w:asciiTheme="majorBidi" w:hAnsiTheme="majorBidi" w:cstheme="majorBidi"/>
          <w:i/>
          <w:iCs/>
        </w:rPr>
        <w:t>Méthode de classification des composés métalliques</w:t>
      </w:r>
    </w:p>
    <w:p w14:paraId="5961C601" w14:textId="11617D24" w:rsidR="005649CF" w:rsidRPr="00950D73" w:rsidRDefault="00730796" w:rsidP="00730796">
      <w:pPr>
        <w:pStyle w:val="SingleTxtG"/>
        <w:tabs>
          <w:tab w:val="clear" w:pos="2835"/>
          <w:tab w:val="left" w:pos="3402"/>
        </w:tabs>
        <w:ind w:left="2268"/>
        <w:rPr>
          <w:rFonts w:asciiTheme="majorBidi" w:hAnsiTheme="majorBidi" w:cstheme="majorBidi"/>
        </w:rPr>
      </w:pPr>
      <w:r>
        <w:rPr>
          <w:rFonts w:asciiTheme="majorBidi" w:hAnsiTheme="majorBidi" w:cstheme="majorBidi"/>
        </w:rPr>
        <w:tab/>
      </w:r>
      <w:r w:rsidR="005649CF" w:rsidRPr="00950D73">
        <w:rPr>
          <w:rFonts w:asciiTheme="majorBidi" w:hAnsiTheme="majorBidi" w:cstheme="majorBidi"/>
        </w:rPr>
        <w:t xml:space="preserve">On considère que les composés métalliques sont facilement solubles si leur solubilité dans l’eau (mesurée par exemple au moyen d’un essai préliminaire réalisé conformément au protocole de transformation/dissolution, ou estimée par exemple à partir du produit de solubilité), exprimée par la concentration en ions métalliques dissous, est supérieure ou égale à </w:t>
      </w:r>
      <w:proofErr w:type="spellStart"/>
      <w:r w:rsidR="005649CF" w:rsidRPr="00950D73">
        <w:rPr>
          <w:rFonts w:asciiTheme="majorBidi" w:hAnsiTheme="majorBidi" w:cstheme="majorBidi"/>
        </w:rPr>
        <w:t>VRE</w:t>
      </w:r>
      <w:r w:rsidR="005649CF" w:rsidRPr="00950D73">
        <w:rPr>
          <w:rFonts w:asciiTheme="majorBidi" w:hAnsiTheme="majorBidi" w:cstheme="majorBidi"/>
          <w:vertAlign w:val="subscript"/>
        </w:rPr>
        <w:t>ion</w:t>
      </w:r>
      <w:proofErr w:type="spellEnd"/>
      <w:r w:rsidR="005649CF" w:rsidRPr="00950D73">
        <w:rPr>
          <w:rFonts w:asciiTheme="majorBidi" w:hAnsiTheme="majorBidi" w:cstheme="majorBidi"/>
        </w:rPr>
        <w:t xml:space="preserve"> Aiguë. Dans le contexte des critères de classification, on considère que les composés métalliques sont facilement solubles également lorsque l’information ci-dessus n’est pas disponible, autrement dit lorsqu’on ne dispose pas de données claires et suffisamment fiables indiquant qu’il n’y a pas de transformation en ions métalliques. Il convient d’être prudent dans le cas où la solubilité est proche de la VRE de toxicité aiguë, car les conditions dans lesquelles la solubilité est mesurée peuvent différer sensiblement de celles de l’essai de toxicité aiguë. Il est alors préférable de s’en tenir aux résultats de l’essai préliminaire. On considère que les composés métalliques sont peu solubles si leur solubilité dans l’eau (mesurée par exemple au moyen d’un essai préliminaire, ou estimée par exemple à partir du produit de solubilité), </w:t>
      </w:r>
      <w:r w:rsidR="005649CF" w:rsidRPr="00950D73">
        <w:rPr>
          <w:rFonts w:asciiTheme="majorBidi" w:hAnsiTheme="majorBidi" w:cstheme="majorBidi"/>
        </w:rPr>
        <w:lastRenderedPageBreak/>
        <w:t xml:space="preserve">exprimée par la concentration en ions métalliques dissous, est inférieure à </w:t>
      </w:r>
      <w:proofErr w:type="spellStart"/>
      <w:r w:rsidR="005649CF" w:rsidRPr="00950D73">
        <w:rPr>
          <w:rFonts w:asciiTheme="majorBidi" w:hAnsiTheme="majorBidi" w:cstheme="majorBidi"/>
        </w:rPr>
        <w:t>VRE</w:t>
      </w:r>
      <w:r w:rsidR="005649CF" w:rsidRPr="00950D73">
        <w:rPr>
          <w:rFonts w:asciiTheme="majorBidi" w:hAnsiTheme="majorBidi" w:cstheme="majorBidi"/>
          <w:vertAlign w:val="subscript"/>
        </w:rPr>
        <w:t>ion</w:t>
      </w:r>
      <w:proofErr w:type="spellEnd"/>
      <w:r w:rsidR="005649CF" w:rsidRPr="00950D73">
        <w:rPr>
          <w:rFonts w:asciiTheme="majorBidi" w:hAnsiTheme="majorBidi" w:cstheme="majorBidi"/>
        </w:rPr>
        <w:t xml:space="preserve"> Aiguë.</w:t>
      </w:r>
    </w:p>
    <w:p w14:paraId="16F5E7E9" w14:textId="77777777" w:rsidR="005649CF" w:rsidRPr="00950D73" w:rsidRDefault="005649CF" w:rsidP="003229BF">
      <w:pPr>
        <w:pStyle w:val="SingleTxtG"/>
        <w:keepNext/>
        <w:tabs>
          <w:tab w:val="clear" w:pos="2835"/>
          <w:tab w:val="left" w:pos="3402"/>
        </w:tabs>
        <w:ind w:left="2268"/>
        <w:rPr>
          <w:rFonts w:asciiTheme="majorBidi" w:hAnsiTheme="majorBidi" w:cstheme="majorBidi"/>
        </w:rPr>
      </w:pPr>
      <w:r w:rsidRPr="00950D73">
        <w:rPr>
          <w:rFonts w:asciiTheme="majorBidi" w:hAnsiTheme="majorBidi" w:cstheme="majorBidi"/>
        </w:rPr>
        <w:t>A9.7.5.3.1</w:t>
      </w:r>
      <w:r w:rsidRPr="00950D73">
        <w:rPr>
          <w:rFonts w:asciiTheme="majorBidi" w:hAnsiTheme="majorBidi" w:cstheme="majorBidi"/>
        </w:rPr>
        <w:tab/>
      </w:r>
      <w:r w:rsidRPr="00950D73">
        <w:rPr>
          <w:rFonts w:asciiTheme="majorBidi" w:hAnsiTheme="majorBidi" w:cstheme="majorBidi"/>
          <w:i/>
          <w:iCs/>
        </w:rPr>
        <w:t>Danger à court terme (aigu) pour le milieu aquatique</w:t>
      </w:r>
    </w:p>
    <w:p w14:paraId="72CE9D6C" w14:textId="77777777" w:rsidR="005649CF" w:rsidRPr="00950D73" w:rsidRDefault="005649CF" w:rsidP="003229BF">
      <w:pPr>
        <w:pStyle w:val="SingleTxtG"/>
        <w:keepNext/>
        <w:tabs>
          <w:tab w:val="clear" w:pos="2835"/>
          <w:tab w:val="left" w:pos="3402"/>
        </w:tabs>
        <w:ind w:left="2268"/>
        <w:rPr>
          <w:rFonts w:asciiTheme="majorBidi" w:hAnsiTheme="majorBidi" w:cstheme="majorBidi"/>
        </w:rPr>
      </w:pPr>
      <w:r w:rsidRPr="00950D73">
        <w:rPr>
          <w:rFonts w:asciiTheme="majorBidi" w:hAnsiTheme="majorBidi" w:cstheme="majorBidi"/>
        </w:rPr>
        <w:t>A9.7.5.3.1.1</w:t>
      </w:r>
      <w:r w:rsidRPr="00950D73">
        <w:rPr>
          <w:rFonts w:asciiTheme="majorBidi" w:hAnsiTheme="majorBidi" w:cstheme="majorBidi"/>
        </w:rPr>
        <w:tab/>
        <w:t xml:space="preserve">Les composés métalliques facilement solubles sont classés sur la base de la valeur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Aiguë. On les classe comme suit :</w:t>
      </w:r>
    </w:p>
    <w:p w14:paraId="7B7A38E2"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 xml:space="preserve">Dans la catégorie Aiguë 1 si la valeur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Aiguë est égale ou inférieure à 1 mg/l. Attribuer un facteur M Aiguë selon le tableau A9.7.1 ;</w:t>
      </w:r>
    </w:p>
    <w:p w14:paraId="1AE531A9"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 xml:space="preserve">Dans la catégorie Aiguë 2 si la valeur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Aiguë est supérieure à 1 mg/1, mais inférieure ou égale à 10 mg/l ; </w:t>
      </w:r>
    </w:p>
    <w:p w14:paraId="65AEE819"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 xml:space="preserve">Dans la catégorie Aiguë 3 si la valeur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Aiguë est supérieure à 10 mg/1, mais inférieure ou égale à 100 mg/l.</w:t>
      </w:r>
    </w:p>
    <w:p w14:paraId="020B00C5"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On ne classe pas le composé métallique facilement soluble en fonction du danger à court terme pour le milieu aquatique dans le cas où la valeur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Aiguë est supérieure à 100 mg/l.</w:t>
      </w:r>
    </w:p>
    <w:p w14:paraId="7B293870" w14:textId="77777777" w:rsidR="005649CF" w:rsidRPr="00950D73" w:rsidRDefault="005649CF" w:rsidP="003229BF">
      <w:pPr>
        <w:pStyle w:val="SingleTxtG"/>
        <w:tabs>
          <w:tab w:val="clear" w:pos="2835"/>
          <w:tab w:val="left" w:pos="3119"/>
        </w:tabs>
        <w:ind w:left="2268"/>
        <w:rPr>
          <w:rFonts w:asciiTheme="majorBidi" w:hAnsiTheme="majorBidi" w:cstheme="majorBidi"/>
        </w:rPr>
      </w:pPr>
      <w:r w:rsidRPr="00950D73">
        <w:rPr>
          <w:rFonts w:asciiTheme="majorBidi" w:hAnsiTheme="majorBidi" w:cstheme="majorBidi"/>
        </w:rPr>
        <w:t>A9.7.5.3.1.2</w:t>
      </w:r>
      <w:r w:rsidRPr="00950D73">
        <w:rPr>
          <w:rFonts w:asciiTheme="majorBidi" w:hAnsiTheme="majorBidi" w:cstheme="majorBidi"/>
        </w:rPr>
        <w:tab/>
        <w:t>Les composés métalliques peu solubles sont classés sur la base de la VRE de toxicité aiguë de l’ion métallique dissous et des données de transformation/dissolution sur 7 jours. On les classe comme suit :</w:t>
      </w:r>
    </w:p>
    <w:p w14:paraId="77672DB4"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 xml:space="preserve">Dans la catégorie Aiguë 1 si la concentration en ions métalliques dissous au taux de charge faible est égale ou supérieure à la valeur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Aiguë. Attribuer un facteur M Aiguë selon le tableau A9.7.1 ; </w:t>
      </w:r>
    </w:p>
    <w:p w14:paraId="4C513D76"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 xml:space="preserve">Dans la catégorie Aiguë 2 si la concentration en ions métalliques dissous au taux de charge moyen est égale ou supérieure à la valeur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Aiguë ;</w:t>
      </w:r>
    </w:p>
    <w:p w14:paraId="63AFC76F"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 xml:space="preserve">Dans la catégorie Aiguë 3 si la concentration en ions métalliques dissous au taux de charge élevé est égale ou supérieure à la valeur </w:t>
      </w:r>
      <w:proofErr w:type="spellStart"/>
      <w:r w:rsidRPr="00950D73">
        <w:rPr>
          <w:rFonts w:asciiTheme="majorBidi" w:hAnsiTheme="majorBidi" w:cstheme="majorBidi"/>
        </w:rPr>
        <w:t>VRE</w:t>
      </w:r>
      <w:r w:rsidRPr="00950D73">
        <w:rPr>
          <w:rFonts w:asciiTheme="majorBidi" w:hAnsiTheme="majorBidi" w:cstheme="majorBidi"/>
          <w:vertAlign w:val="subscript"/>
        </w:rPr>
        <w:t>ion</w:t>
      </w:r>
      <w:proofErr w:type="spellEnd"/>
      <w:r w:rsidRPr="00950D73">
        <w:rPr>
          <w:rFonts w:asciiTheme="majorBidi" w:hAnsiTheme="majorBidi" w:cstheme="majorBidi"/>
        </w:rPr>
        <w:t xml:space="preserve"> Aiguë.</w:t>
      </w:r>
    </w:p>
    <w:p w14:paraId="6982D8EB"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lastRenderedPageBreak/>
        <w:t>On ne classe pas le composé métallique peu soluble en fonction du danger à court terme pour le milieu aquatique si la concentration en ions métalliques dissous est inférieure à la VRE de toxicité aiguë de l’ion métallique dissous à tous les taux de charge.</w:t>
      </w:r>
    </w:p>
    <w:p w14:paraId="5BC8A947" w14:textId="7417906C" w:rsidR="005649CF" w:rsidRPr="00950D73" w:rsidRDefault="005649CF" w:rsidP="00F81DCD">
      <w:pPr>
        <w:pStyle w:val="H23G"/>
        <w:ind w:firstLine="0"/>
        <w:jc w:val="center"/>
        <w:rPr>
          <w:rFonts w:asciiTheme="majorBidi" w:hAnsiTheme="majorBidi" w:cstheme="majorBidi"/>
        </w:rPr>
      </w:pPr>
      <w:r w:rsidRPr="00950D73">
        <w:rPr>
          <w:rFonts w:asciiTheme="majorBidi" w:hAnsiTheme="majorBidi" w:cstheme="majorBidi"/>
        </w:rPr>
        <w:t xml:space="preserve">Figure A9.7.4 : Diagramme de détermination du danger à court terme (aigu) </w:t>
      </w:r>
      <w:r w:rsidRPr="00950D73">
        <w:rPr>
          <w:rFonts w:asciiTheme="majorBidi" w:hAnsiTheme="majorBidi" w:cstheme="majorBidi"/>
        </w:rPr>
        <w:br/>
        <w:t>des composés métalliques pour le milieu aquatique</w:t>
      </w:r>
    </w:p>
    <w:p w14:paraId="08871AD4" w14:textId="7FB325ED" w:rsidR="002F7067" w:rsidRPr="00950D73" w:rsidRDefault="00A90B7E" w:rsidP="002F7067">
      <w:pPr>
        <w:jc w:val="center"/>
        <w:rPr>
          <w:rFonts w:asciiTheme="majorBidi" w:hAnsiTheme="majorBidi" w:cstheme="majorBidi"/>
        </w:rPr>
      </w:pPr>
      <w:r w:rsidRPr="00950D73">
        <w:rPr>
          <w:rFonts w:asciiTheme="majorBidi" w:hAnsiTheme="majorBidi" w:cstheme="majorBidi"/>
        </w:rPr>
        <w:object w:dxaOrig="7909" w:dyaOrig="8269" w14:anchorId="17826040">
          <v:shape id="_x0000_i1037" type="#_x0000_t75" style="width:395.7pt;height:413.1pt" o:ole="">
            <v:imagedata r:id="rId59" o:title=""/>
          </v:shape>
          <o:OLEObject Type="Embed" ProgID="Visio.Drawing.15" ShapeID="_x0000_i1037" DrawAspect="Content" ObjectID="_1745040357" r:id="rId60"/>
        </w:object>
      </w:r>
    </w:p>
    <w:p w14:paraId="4371545A" w14:textId="77777777" w:rsidR="002F7067" w:rsidRPr="00950D73" w:rsidRDefault="002F7067" w:rsidP="002F7067">
      <w:pPr>
        <w:rPr>
          <w:rFonts w:asciiTheme="majorBidi" w:hAnsiTheme="majorBidi" w:cstheme="majorBidi"/>
        </w:rPr>
      </w:pPr>
    </w:p>
    <w:p w14:paraId="3E982F7A" w14:textId="77777777" w:rsidR="005649CF" w:rsidRPr="00950D73" w:rsidRDefault="005649CF" w:rsidP="003229BF">
      <w:pPr>
        <w:pStyle w:val="SingleTxtG"/>
        <w:tabs>
          <w:tab w:val="clear" w:pos="2835"/>
          <w:tab w:val="left" w:pos="3686"/>
        </w:tabs>
        <w:ind w:left="2268"/>
        <w:rPr>
          <w:rFonts w:asciiTheme="majorBidi" w:hAnsiTheme="majorBidi" w:cstheme="majorBidi"/>
          <w:i/>
          <w:iCs/>
        </w:rPr>
      </w:pPr>
      <w:r w:rsidRPr="00950D73">
        <w:rPr>
          <w:rFonts w:asciiTheme="majorBidi" w:hAnsiTheme="majorBidi" w:cstheme="majorBidi"/>
        </w:rPr>
        <w:t>A9.7.5.3.2</w:t>
      </w:r>
      <w:r w:rsidRPr="00950D73">
        <w:rPr>
          <w:rFonts w:asciiTheme="majorBidi" w:hAnsiTheme="majorBidi" w:cstheme="majorBidi"/>
        </w:rPr>
        <w:tab/>
      </w:r>
      <w:r w:rsidRPr="00950D73">
        <w:rPr>
          <w:rFonts w:asciiTheme="majorBidi" w:hAnsiTheme="majorBidi" w:cstheme="majorBidi"/>
          <w:i/>
          <w:iCs/>
        </w:rPr>
        <w:t>Danger à long terme (chronique) pour le milieu aquatique</w:t>
      </w:r>
    </w:p>
    <w:p w14:paraId="6F623070" w14:textId="77777777"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rPr>
        <w:t>La procédure permettant de déterminer le danger à long terme (chronique) des composés métalliques pour le milieu aquatique est décrite dans la présente section et résumée dans la figure A9.7.5. Elle s’appuie sur les données de toxicité chronique, lorsque celles-ci sont disponibles ; si ce n’est pas le cas, on a recours à la méthode de la substitution.</w:t>
      </w:r>
    </w:p>
    <w:p w14:paraId="24E91FB7" w14:textId="77777777"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rPr>
        <w:lastRenderedPageBreak/>
        <w:t xml:space="preserve">A9.7.5.3.2.1 </w:t>
      </w:r>
      <w:r w:rsidRPr="00950D73">
        <w:rPr>
          <w:rFonts w:asciiTheme="majorBidi" w:hAnsiTheme="majorBidi" w:cstheme="majorBidi"/>
        </w:rPr>
        <w:tab/>
        <w:t>Utilisation des données de toxicité chronique disponibles</w:t>
      </w:r>
    </w:p>
    <w:p w14:paraId="1E728008" w14:textId="77777777"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spacing w:val="-4"/>
        </w:rPr>
        <w:t>A9.7.5.3.2.1.1</w:t>
      </w:r>
      <w:r w:rsidRPr="00950D73">
        <w:rPr>
          <w:rFonts w:asciiTheme="majorBidi" w:hAnsiTheme="majorBidi" w:cstheme="majorBidi"/>
        </w:rPr>
        <w:tab/>
        <w:t xml:space="preserve">Lorsque la valeur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Chronique est supérieure à 1 mg/l, il est inutile de poursuivre la procédure de classification pour le composé métallique considéré. </w:t>
      </w:r>
    </w:p>
    <w:p w14:paraId="29A67080" w14:textId="77777777" w:rsidR="005649CF" w:rsidRPr="00950D73" w:rsidRDefault="005649CF" w:rsidP="003229BF">
      <w:pPr>
        <w:pStyle w:val="SingleTxtG"/>
        <w:tabs>
          <w:tab w:val="clear" w:pos="2835"/>
          <w:tab w:val="left" w:pos="3686"/>
        </w:tabs>
        <w:ind w:left="2268"/>
        <w:rPr>
          <w:rFonts w:asciiTheme="majorBidi" w:hAnsiTheme="majorBidi" w:cstheme="majorBidi"/>
        </w:rPr>
      </w:pPr>
      <w:r w:rsidRPr="00950D73">
        <w:rPr>
          <w:rFonts w:asciiTheme="majorBidi" w:hAnsiTheme="majorBidi" w:cstheme="majorBidi"/>
          <w:spacing w:val="-4"/>
        </w:rPr>
        <w:t>A9.7.5.3.2.1.2</w:t>
      </w:r>
      <w:r w:rsidRPr="00950D73">
        <w:rPr>
          <w:rFonts w:asciiTheme="majorBidi" w:hAnsiTheme="majorBidi" w:cstheme="majorBidi"/>
        </w:rPr>
        <w:tab/>
        <w:t xml:space="preserve">Les composés métalliques facilement solubles sont classés sur la base de la valeur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Chronique. Si l’on ne dispose d’aucune preuve d’une transformation rapide dans l’environnement, on classe le composé métallique facilement soluble comme suit :</w:t>
      </w:r>
    </w:p>
    <w:p w14:paraId="71369DD0" w14:textId="77777777" w:rsidR="005649CF" w:rsidRPr="00950D73" w:rsidRDefault="005649CF" w:rsidP="003229BF">
      <w:pPr>
        <w:pStyle w:val="SingleTxtG"/>
        <w:tabs>
          <w:tab w:val="clear" w:pos="2268"/>
          <w:tab w:val="left" w:pos="3686"/>
        </w:tabs>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 xml:space="preserve">Dans la catégorie Chronique 1 si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Chronique est égale ou inférieure à 0,1 mg/l (0,01 mg/l s’il existe une preuve de transformation rapide dans l’environnement). Attribuer un facteur M Chronique selon le tableau A9.7.1 ;</w:t>
      </w:r>
    </w:p>
    <w:p w14:paraId="5751210F" w14:textId="77777777" w:rsidR="005649CF" w:rsidRPr="00950D73" w:rsidRDefault="005649CF" w:rsidP="003229BF">
      <w:pPr>
        <w:pStyle w:val="SingleTxtG"/>
        <w:tabs>
          <w:tab w:val="clear" w:pos="2268"/>
        </w:tabs>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 xml:space="preserve">Dans la catégorie Chronique 2 si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Chronique est égale ou inférieure à 1 mg/l (0,1 mg/l s’il existe une preuve de transformation rapide dans l’environnement) ;</w:t>
      </w:r>
    </w:p>
    <w:p w14:paraId="5E6E16E3" w14:textId="77777777" w:rsidR="005649CF" w:rsidRPr="00950D73" w:rsidRDefault="005649CF" w:rsidP="003229BF">
      <w:pPr>
        <w:pStyle w:val="SingleTxtG"/>
        <w:tabs>
          <w:tab w:val="clear" w:pos="2268"/>
        </w:tabs>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 xml:space="preserve">Dans la catégorie Chronique 3 si </w:t>
      </w:r>
      <w:proofErr w:type="spellStart"/>
      <w:r w:rsidRPr="00950D73">
        <w:rPr>
          <w:rFonts w:asciiTheme="majorBidi" w:hAnsiTheme="majorBidi" w:cstheme="majorBidi"/>
        </w:rPr>
        <w:t>VRE</w:t>
      </w:r>
      <w:r w:rsidRPr="00950D73">
        <w:rPr>
          <w:rFonts w:asciiTheme="majorBidi" w:hAnsiTheme="majorBidi" w:cstheme="majorBidi"/>
          <w:vertAlign w:val="subscript"/>
        </w:rPr>
        <w:t>composé</w:t>
      </w:r>
      <w:proofErr w:type="spellEnd"/>
      <w:r w:rsidRPr="00950D73">
        <w:rPr>
          <w:rFonts w:asciiTheme="majorBidi" w:hAnsiTheme="majorBidi" w:cstheme="majorBidi"/>
        </w:rPr>
        <w:t xml:space="preserve"> Chronique est égale ou inférieure à 1 mg/l et qu’il existe une preuve de transformation rapide dans l’environnement) ; </w:t>
      </w:r>
    </w:p>
    <w:p w14:paraId="4070E585" w14:textId="23F80AB0" w:rsidR="005649CF" w:rsidRPr="00950D73" w:rsidRDefault="005649CF" w:rsidP="003229BF">
      <w:pPr>
        <w:pStyle w:val="SingleTxtG"/>
        <w:tabs>
          <w:tab w:val="clear" w:pos="2268"/>
        </w:tabs>
        <w:ind w:left="2835" w:hanging="567"/>
        <w:rPr>
          <w:rFonts w:asciiTheme="majorBidi" w:hAnsiTheme="majorBidi" w:cstheme="majorBidi"/>
        </w:rPr>
      </w:pPr>
      <w:r w:rsidRPr="00950D73">
        <w:rPr>
          <w:rFonts w:asciiTheme="majorBidi" w:hAnsiTheme="majorBidi" w:cstheme="majorBidi"/>
        </w:rPr>
        <w:t>d)</w:t>
      </w:r>
      <w:r w:rsidRPr="00950D73">
        <w:rPr>
          <w:rFonts w:asciiTheme="majorBidi" w:hAnsiTheme="majorBidi" w:cstheme="majorBidi"/>
        </w:rPr>
        <w:tab/>
        <w:t>Dans la catégorie Chronique 4 si les données disponibles n’autorisent pas une classification sur la base des critères définis, mais qu’il existe des motifs de préoccupation (voir 4.1.2.2).</w:t>
      </w:r>
    </w:p>
    <w:p w14:paraId="4621FE1A" w14:textId="49538C9C" w:rsidR="005649CF" w:rsidRPr="00950D73" w:rsidRDefault="005649CF" w:rsidP="003229BF">
      <w:pPr>
        <w:pStyle w:val="SingleTxtG"/>
        <w:tabs>
          <w:tab w:val="clear" w:pos="2268"/>
        </w:tabs>
        <w:ind w:left="2268"/>
        <w:rPr>
          <w:rFonts w:asciiTheme="majorBidi" w:hAnsiTheme="majorBidi" w:cstheme="majorBidi"/>
        </w:rPr>
      </w:pPr>
      <w:r w:rsidRPr="00950D73">
        <w:rPr>
          <w:rFonts w:asciiTheme="majorBidi" w:hAnsiTheme="majorBidi" w:cstheme="majorBidi"/>
          <w:spacing w:val="-4"/>
        </w:rPr>
        <w:t>A9.7.5.3.2.1.3</w:t>
      </w:r>
      <w:r w:rsidRPr="00950D73">
        <w:rPr>
          <w:rFonts w:asciiTheme="majorBidi" w:hAnsiTheme="majorBidi" w:cstheme="majorBidi"/>
        </w:rPr>
        <w:tab/>
        <w:t xml:space="preserve">Composés métalliques peu solubles : il convient d’examiner les données disponibles sur la vitesse et l’ampleur de la production d’ions à partir du composé métallique. Pour être valables et exploitables, ces données doivent être générées à l’aide du protocole de transformation/dissolution, sur une période de 28 jours. En l’absence des données de transformation/dissolution sur </w:t>
      </w:r>
      <w:r w:rsidRPr="00950D73">
        <w:rPr>
          <w:rFonts w:asciiTheme="majorBidi" w:hAnsiTheme="majorBidi" w:cstheme="majorBidi"/>
        </w:rPr>
        <w:lastRenderedPageBreak/>
        <w:t>28 jours, il convient d’appliquer la méthode de la substitution (voir</w:t>
      </w:r>
      <w:r w:rsidR="00272534">
        <w:rPr>
          <w:rFonts w:asciiTheme="majorBidi" w:hAnsiTheme="majorBidi" w:cstheme="majorBidi"/>
        </w:rPr>
        <w:t> </w:t>
      </w:r>
      <w:r w:rsidRPr="00950D73">
        <w:rPr>
          <w:rFonts w:asciiTheme="majorBidi" w:hAnsiTheme="majorBidi" w:cstheme="majorBidi"/>
        </w:rPr>
        <w:t>A9.7.5.3.2.2). Lorsque les données sont disponibles, on classe le composé métallique peu soluble comme suit :</w:t>
      </w:r>
    </w:p>
    <w:p w14:paraId="211DFCAB"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 xml:space="preserve">Dans la catégorie Chronique 1 si la concentration en ions métalliques dissous obtenue à un taux de charge de 0,1 mg/l (0,01 mg/l si l’on a la preuve d’une transformation rapide dans l’environnement) est supérieure ou égale à la VRE de toxicité chronique de l’ion métallique dissous. Attribuer un facteur M Chronique selon le tableau A9.7.1 ;  </w:t>
      </w:r>
    </w:p>
    <w:p w14:paraId="16730211"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Dans la catégorie Chronique 2 si la concentration en ions métalliques dissous obtenue à un taux de charge de 1 mg/l (0,1 mg/l si l’on a la preuve d’une transformation rapide dans l’environnement) est supérieure ou égale à la VRE de toxicité chronique de l’ion métallique dissous ;</w:t>
      </w:r>
    </w:p>
    <w:p w14:paraId="552306C3"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c)</w:t>
      </w:r>
      <w:r w:rsidRPr="00950D73">
        <w:rPr>
          <w:rFonts w:asciiTheme="majorBidi" w:hAnsiTheme="majorBidi" w:cstheme="majorBidi"/>
        </w:rPr>
        <w:tab/>
        <w:t>Dans la catégorie Chronique 3 si la concentration en ions métalliques dissous obtenue à un taux de charge de 1 mg/l est supérieure ou égale à la VRE de toxicité chronique de l’ion métallique dissous et s’il existe une preuve de transformation rapide dans l’environnement ;</w:t>
      </w:r>
    </w:p>
    <w:p w14:paraId="3BC756B5" w14:textId="1B6A30D7" w:rsidR="005649CF" w:rsidRPr="00950D73" w:rsidRDefault="005649CF" w:rsidP="005649CF">
      <w:pPr>
        <w:pStyle w:val="SingleTxtG"/>
        <w:ind w:left="2694" w:hanging="426"/>
        <w:rPr>
          <w:rFonts w:asciiTheme="majorBidi" w:hAnsiTheme="majorBidi" w:cstheme="majorBidi"/>
        </w:rPr>
      </w:pPr>
      <w:r w:rsidRPr="00950D73">
        <w:rPr>
          <w:rFonts w:asciiTheme="majorBidi" w:hAnsiTheme="majorBidi" w:cstheme="majorBidi"/>
        </w:rPr>
        <w:t>d)</w:t>
      </w:r>
      <w:r w:rsidRPr="00950D73">
        <w:rPr>
          <w:rFonts w:asciiTheme="majorBidi" w:hAnsiTheme="majorBidi" w:cstheme="majorBidi"/>
        </w:rPr>
        <w:tab/>
        <w:t>Dans la catégorie Chronique 4 si les données disponibles n’autorisent pas une classification sur la base des critères définis, mais qu’il existe des motifs de préoccupation (voir 4.1.2.2).</w:t>
      </w:r>
    </w:p>
    <w:p w14:paraId="69563EDC"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On ne classe pas le composé métallique peu soluble en fonction du danger à long terme (chronique) pour le milieu aquatique dans le cas où la concentration en ions métalliques dissous obtenue à l’issue de l’essai de transformation/dissolution de 28 jours à un taux de charge de 1 mg/l est inférieure à la VRE de toxicité chronique de l’ion métallique dissous.</w:t>
      </w:r>
    </w:p>
    <w:p w14:paraId="2CB66759" w14:textId="45C5C487" w:rsidR="005649CF" w:rsidRPr="00950D73" w:rsidRDefault="005649CF" w:rsidP="00307E72">
      <w:pPr>
        <w:pStyle w:val="H23G"/>
        <w:ind w:firstLine="0"/>
        <w:jc w:val="center"/>
        <w:rPr>
          <w:rFonts w:asciiTheme="majorBidi" w:hAnsiTheme="majorBidi" w:cstheme="majorBidi"/>
        </w:rPr>
      </w:pPr>
      <w:bookmarkStart w:id="39" w:name="_Hlk112317281"/>
      <w:r w:rsidRPr="00950D73">
        <w:rPr>
          <w:rFonts w:asciiTheme="majorBidi" w:hAnsiTheme="majorBidi" w:cstheme="majorBidi"/>
        </w:rPr>
        <w:lastRenderedPageBreak/>
        <w:t>Figure A9.7.5 : Diagramme de détermination du danger à long terme des composés métalliques pour le milieu aquatique sur la base des données de toxicité chronique</w:t>
      </w:r>
      <w:bookmarkEnd w:id="39"/>
    </w:p>
    <w:p w14:paraId="45640758" w14:textId="77777777" w:rsidR="004B4DDA" w:rsidRPr="00950D73" w:rsidRDefault="004B4DDA" w:rsidP="00307E72">
      <w:pPr>
        <w:keepNext/>
        <w:keepLines/>
        <w:rPr>
          <w:rFonts w:asciiTheme="majorBidi" w:hAnsiTheme="majorBidi" w:cstheme="majorBidi"/>
        </w:rPr>
      </w:pPr>
    </w:p>
    <w:p w14:paraId="19F9F8FA" w14:textId="7CD784BC" w:rsidR="007831E0" w:rsidRPr="00950D73" w:rsidRDefault="00445C24" w:rsidP="00307E72">
      <w:pPr>
        <w:keepNext/>
        <w:keepLines/>
        <w:rPr>
          <w:rFonts w:asciiTheme="majorBidi" w:hAnsiTheme="majorBidi" w:cstheme="majorBidi"/>
        </w:rPr>
      </w:pPr>
      <w:r w:rsidRPr="00950D73">
        <w:rPr>
          <w:rFonts w:asciiTheme="majorBidi" w:hAnsiTheme="majorBidi" w:cstheme="majorBidi"/>
        </w:rPr>
        <w:object w:dxaOrig="9769" w:dyaOrig="12974" w14:anchorId="21406BB0">
          <v:shape id="_x0000_i1038" type="#_x0000_t75" style="width:481.5pt;height:639pt" o:ole="">
            <v:imagedata r:id="rId61" o:title=""/>
          </v:shape>
          <o:OLEObject Type="Embed" ProgID="Visio.Drawing.15" ShapeID="_x0000_i1038" DrawAspect="Content" ObjectID="_1745040358" r:id="rId62"/>
        </w:object>
      </w:r>
    </w:p>
    <w:p w14:paraId="4696D1AC" w14:textId="77777777" w:rsidR="00EB4384" w:rsidRPr="00950D73" w:rsidRDefault="00EB4384" w:rsidP="00EB4384">
      <w:pPr>
        <w:rPr>
          <w:rFonts w:asciiTheme="majorBidi" w:hAnsiTheme="majorBidi" w:cstheme="majorBidi"/>
        </w:rPr>
      </w:pPr>
    </w:p>
    <w:p w14:paraId="727D753C" w14:textId="77777777" w:rsidR="005649CF" w:rsidRPr="00950D73" w:rsidRDefault="005649CF" w:rsidP="00272534">
      <w:pPr>
        <w:pStyle w:val="SingleTxtG"/>
        <w:keepNext/>
        <w:keepLines/>
        <w:ind w:left="2268"/>
        <w:rPr>
          <w:rFonts w:asciiTheme="majorBidi" w:hAnsiTheme="majorBidi" w:cstheme="majorBidi"/>
        </w:rPr>
      </w:pPr>
      <w:r w:rsidRPr="00950D73">
        <w:rPr>
          <w:rFonts w:asciiTheme="majorBidi" w:hAnsiTheme="majorBidi" w:cstheme="majorBidi"/>
        </w:rPr>
        <w:lastRenderedPageBreak/>
        <w:t>A9.7.5.3.3.2</w:t>
      </w:r>
      <w:r w:rsidRPr="00950D73">
        <w:rPr>
          <w:rFonts w:asciiTheme="majorBidi" w:hAnsiTheme="majorBidi" w:cstheme="majorBidi"/>
        </w:rPr>
        <w:tab/>
        <w:t>Méthode de la substitution</w:t>
      </w:r>
    </w:p>
    <w:p w14:paraId="520774A9" w14:textId="07B2DA17" w:rsidR="005649CF" w:rsidRPr="00950D73" w:rsidRDefault="00272534" w:rsidP="00272534">
      <w:pPr>
        <w:pStyle w:val="SingleTxtG"/>
        <w:keepNext/>
        <w:keepLines/>
        <w:tabs>
          <w:tab w:val="clear" w:pos="2835"/>
          <w:tab w:val="left" w:pos="3402"/>
        </w:tabs>
        <w:ind w:left="2268"/>
        <w:rPr>
          <w:rFonts w:asciiTheme="majorBidi" w:hAnsiTheme="majorBidi" w:cstheme="majorBidi"/>
        </w:rPr>
      </w:pPr>
      <w:r>
        <w:rPr>
          <w:rFonts w:asciiTheme="majorBidi" w:hAnsiTheme="majorBidi" w:cstheme="majorBidi"/>
        </w:rPr>
        <w:tab/>
      </w:r>
      <w:r w:rsidR="005649CF" w:rsidRPr="00950D73">
        <w:rPr>
          <w:rFonts w:asciiTheme="majorBidi" w:hAnsiTheme="majorBidi" w:cstheme="majorBidi"/>
        </w:rPr>
        <w:t>Si l’on ne dispose pas de données appropriées sur la toxicité chronique ou sur la transformation/dissolution, mais si le composé métallique est connu comme composé présentant un danger à court terme (aigu) pour le milieu aquatique, il convient d’appliquer la méthode de la substitution pour classer ledit composé. Cette méthode pour les composés métalliques est la même que celle qu’on applique pour les métaux (voir A9.7.5.2.2.2). ».</w:t>
      </w:r>
    </w:p>
    <w:p w14:paraId="03134699" w14:textId="77777777" w:rsidR="005649CF" w:rsidRPr="00950D73" w:rsidRDefault="005649CF" w:rsidP="00272534">
      <w:pPr>
        <w:pStyle w:val="SingleTxtG"/>
        <w:keepNext/>
        <w:keepLines/>
        <w:tabs>
          <w:tab w:val="clear" w:pos="2835"/>
          <w:tab w:val="left" w:pos="3402"/>
        </w:tabs>
        <w:ind w:left="2268" w:hanging="1134"/>
        <w:rPr>
          <w:rFonts w:asciiTheme="majorBidi" w:hAnsiTheme="majorBidi" w:cstheme="majorBidi"/>
        </w:rPr>
      </w:pPr>
      <w:r w:rsidRPr="00950D73">
        <w:rPr>
          <w:rFonts w:asciiTheme="majorBidi" w:hAnsiTheme="majorBidi" w:cstheme="majorBidi"/>
        </w:rPr>
        <w:t>A9.7.5.4.3</w:t>
      </w:r>
      <w:r w:rsidRPr="00950D73">
        <w:rPr>
          <w:rFonts w:asciiTheme="majorBidi" w:hAnsiTheme="majorBidi" w:cstheme="majorBidi"/>
        </w:rPr>
        <w:tab/>
        <w:t xml:space="preserve">Ajouter le paragraphe ci-dessous à la suite du tableau du paragraphe A9.7.5.4.3 : </w:t>
      </w:r>
    </w:p>
    <w:p w14:paraId="15880ED6" w14:textId="77777777" w:rsidR="005649CF" w:rsidRPr="00950D73" w:rsidRDefault="005649CF" w:rsidP="003229BF">
      <w:pPr>
        <w:pStyle w:val="SingleTxtG"/>
        <w:tabs>
          <w:tab w:val="clear" w:pos="2835"/>
          <w:tab w:val="left" w:pos="3402"/>
        </w:tabs>
        <w:ind w:left="2268"/>
        <w:rPr>
          <w:rFonts w:asciiTheme="majorBidi" w:hAnsiTheme="majorBidi" w:cstheme="majorBidi"/>
        </w:rPr>
      </w:pPr>
      <w:r w:rsidRPr="00950D73">
        <w:rPr>
          <w:rFonts w:asciiTheme="majorBidi" w:hAnsiTheme="majorBidi" w:cstheme="majorBidi"/>
        </w:rPr>
        <w:t xml:space="preserve">« Les formes en masse soumises à des essais sont généralement des particules de 1 </w:t>
      </w:r>
      <w:proofErr w:type="spellStart"/>
      <w:r w:rsidRPr="00950D73">
        <w:rPr>
          <w:rFonts w:asciiTheme="majorBidi" w:hAnsiTheme="majorBidi" w:cstheme="majorBidi"/>
        </w:rPr>
        <w:t>mm.</w:t>
      </w:r>
      <w:proofErr w:type="spellEnd"/>
      <w:r w:rsidRPr="00950D73">
        <w:rPr>
          <w:rFonts w:asciiTheme="majorBidi" w:hAnsiTheme="majorBidi" w:cstheme="majorBidi"/>
        </w:rPr>
        <w:t xml:space="preserve"> Les essais de transformation/dissolution sur des matériaux ayant des surfaces spécifiques différentes peuvent quant à eux déboucher sur des équations cinétiques de dissolution très fiables, lesquelles permettent de définir le diamètre de particule critique à utiliser pour définir des charges appropriées aux fins de l’évaluation des dangers à court terme et à long terme. ».</w:t>
      </w:r>
    </w:p>
    <w:p w14:paraId="1FADE484" w14:textId="77777777" w:rsidR="005649CF" w:rsidRPr="00950D73" w:rsidRDefault="005649CF" w:rsidP="0036713C">
      <w:pPr>
        <w:pStyle w:val="SingleTxtG"/>
        <w:tabs>
          <w:tab w:val="clear" w:pos="2835"/>
          <w:tab w:val="left" w:pos="3402"/>
        </w:tabs>
        <w:ind w:left="2268" w:hanging="1134"/>
        <w:rPr>
          <w:rFonts w:asciiTheme="majorBidi" w:hAnsiTheme="majorBidi" w:cstheme="majorBidi"/>
        </w:rPr>
      </w:pPr>
      <w:r w:rsidRPr="00950D73">
        <w:rPr>
          <w:rFonts w:asciiTheme="majorBidi" w:hAnsiTheme="majorBidi" w:cstheme="majorBidi"/>
        </w:rPr>
        <w:t>A9.7.5.4.4</w:t>
      </w:r>
      <w:r w:rsidRPr="00950D73">
        <w:rPr>
          <w:rFonts w:asciiTheme="majorBidi" w:hAnsiTheme="majorBidi" w:cstheme="majorBidi"/>
        </w:rPr>
        <w:tab/>
        <w:t xml:space="preserve">Remplacer le texte actuel par le texte suivant : </w:t>
      </w:r>
    </w:p>
    <w:p w14:paraId="6D244BFB" w14:textId="6EAEE7FE" w:rsidR="005649CF" w:rsidRPr="00950D73" w:rsidRDefault="005649CF" w:rsidP="003229BF">
      <w:pPr>
        <w:pStyle w:val="SingleTxtG"/>
        <w:tabs>
          <w:tab w:val="clear" w:pos="2835"/>
          <w:tab w:val="left" w:pos="3402"/>
        </w:tabs>
        <w:ind w:left="2268"/>
        <w:rPr>
          <w:rFonts w:asciiTheme="majorBidi" w:hAnsiTheme="majorBidi" w:cstheme="majorBidi"/>
        </w:rPr>
      </w:pPr>
      <w:r w:rsidRPr="00950D73">
        <w:rPr>
          <w:rFonts w:asciiTheme="majorBidi" w:hAnsiTheme="majorBidi" w:cstheme="majorBidi"/>
        </w:rPr>
        <w:t>« A9.7.5.4.4</w:t>
      </w:r>
      <w:r w:rsidRPr="00950D73">
        <w:rPr>
          <w:rFonts w:asciiTheme="majorBidi" w:hAnsiTheme="majorBidi" w:cstheme="majorBidi"/>
        </w:rPr>
        <w:tab/>
        <w:t>Pour certaines formes de métaux, il est possible, à l’aide du protocole de transformation/dissolution (OCDE, 2001), d’obtenir une corrélation entre la concentration de l’ion métallique après un intervalle de temps spécifié et les charges superficielles des formes testées. Ce type de corrélation devrait être établi pour les plages de pH pertinentes, comme indiqué dans le protocole. Dans les cas visés, il pourrait alors être possible d’estimer la concentration d’ions métalliques dissous pour le métal selon différentes particules, en appliquant la méthode de la surface spécifique critique (</w:t>
      </w:r>
      <w:proofErr w:type="spellStart"/>
      <w:r w:rsidRPr="00950D73">
        <w:rPr>
          <w:rFonts w:asciiTheme="majorBidi" w:hAnsiTheme="majorBidi" w:cstheme="majorBidi"/>
        </w:rPr>
        <w:t>Skeaff</w:t>
      </w:r>
      <w:proofErr w:type="spellEnd"/>
      <w:r w:rsidRPr="00950D73">
        <w:rPr>
          <w:rFonts w:asciiTheme="majorBidi" w:hAnsiTheme="majorBidi" w:cstheme="majorBidi"/>
        </w:rPr>
        <w:t xml:space="preserve"> et. al., 2000) (voir la référence dans la partie 5 de l’appendice VI, qui porte sur les métaux et les composés métalliques). À partir de la corrélation ci-dessus et d’un lien </w:t>
      </w:r>
      <w:r w:rsidRPr="00950D73">
        <w:rPr>
          <w:rFonts w:asciiTheme="majorBidi" w:hAnsiTheme="majorBidi" w:cstheme="majorBidi"/>
        </w:rPr>
        <w:lastRenderedPageBreak/>
        <w:t>avec les données de toxicité appropriées au pH correspondant, il est possible de déterminer une surface spécifique critique de la substance, qui diffuse la CL(E)</w:t>
      </w:r>
      <w:r w:rsidRPr="00950D73">
        <w:rPr>
          <w:rFonts w:asciiTheme="majorBidi" w:hAnsiTheme="majorBidi" w:cstheme="majorBidi"/>
          <w:vertAlign w:val="subscript"/>
        </w:rPr>
        <w:t>50</w:t>
      </w:r>
      <w:r w:rsidRPr="00950D73">
        <w:rPr>
          <w:rFonts w:asciiTheme="majorBidi" w:hAnsiTheme="majorBidi" w:cstheme="majorBidi"/>
        </w:rPr>
        <w:t xml:space="preserve"> dans le milieu de dissolution, puis de convertir ladite surface en diamètre critique de particule (voir l’exemple). Ce diamètre critique de particule, qu’on utilise pour définir des charges appropriées aux fins de l’évaluation des dangers à court terme et à long terme, peut alors servir à :</w:t>
      </w:r>
    </w:p>
    <w:p w14:paraId="2483C695"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a)</w:t>
      </w:r>
      <w:r w:rsidRPr="00950D73">
        <w:rPr>
          <w:rFonts w:asciiTheme="majorBidi" w:hAnsiTheme="majorBidi" w:cstheme="majorBidi"/>
        </w:rPr>
        <w:tab/>
        <w:t xml:space="preserve">Déterminer la catégorie de classement des poudres en fonction de la poudre représentative la plus fine sur le marché ; </w:t>
      </w:r>
    </w:p>
    <w:p w14:paraId="6E661945" w14:textId="77777777" w:rsidR="005649CF" w:rsidRPr="00950D73" w:rsidRDefault="005649CF" w:rsidP="005649CF">
      <w:pPr>
        <w:pStyle w:val="SingleTxtG"/>
        <w:ind w:left="2835" w:hanging="567"/>
        <w:rPr>
          <w:rFonts w:asciiTheme="majorBidi" w:hAnsiTheme="majorBidi" w:cstheme="majorBidi"/>
        </w:rPr>
      </w:pPr>
      <w:r w:rsidRPr="00950D73">
        <w:rPr>
          <w:rFonts w:asciiTheme="majorBidi" w:hAnsiTheme="majorBidi" w:cstheme="majorBidi"/>
        </w:rPr>
        <w:t>b)</w:t>
      </w:r>
      <w:r w:rsidRPr="00950D73">
        <w:rPr>
          <w:rFonts w:asciiTheme="majorBidi" w:hAnsiTheme="majorBidi" w:cstheme="majorBidi"/>
        </w:rPr>
        <w:tab/>
        <w:t>Déterminer précisément le classement de la masse de métal en appliquant un diamètre de 1 mm (par défaut).</w:t>
      </w:r>
    </w:p>
    <w:p w14:paraId="5DE44F6B" w14:textId="2FCF8567" w:rsidR="005649CF" w:rsidRPr="00950D73" w:rsidRDefault="005649CF" w:rsidP="003229BF">
      <w:pPr>
        <w:pStyle w:val="SingleTxtG"/>
        <w:tabs>
          <w:tab w:val="clear" w:pos="2835"/>
          <w:tab w:val="left" w:pos="3402"/>
        </w:tabs>
        <w:ind w:left="2268"/>
        <w:rPr>
          <w:rFonts w:asciiTheme="majorBidi" w:hAnsiTheme="majorBidi" w:cstheme="majorBidi"/>
        </w:rPr>
      </w:pPr>
      <w:r w:rsidRPr="00950D73">
        <w:rPr>
          <w:rFonts w:asciiTheme="majorBidi" w:hAnsiTheme="majorBidi" w:cstheme="majorBidi"/>
        </w:rPr>
        <w:t>A9.7.5.4.4.1</w:t>
      </w:r>
      <w:r w:rsidRPr="00950D73">
        <w:rPr>
          <w:rFonts w:asciiTheme="majorBidi" w:hAnsiTheme="majorBidi" w:cstheme="majorBidi"/>
        </w:rPr>
        <w:tab/>
        <w:t xml:space="preserve">Dans la méthode de la surface spécifique critique, on définit une équation visant à prévoir la diffusion d’ions métalliques (en se fondant sur la diffusion d’ions métalliques précédemment mesurée à partir de différentes charges du métal), laquelle est corrélée à la surface mesurée et à un diamètre de particule équivalent (calculé). Selon cette méthode, la diffusion des ions métalliques dépend de la surface de la substance. Ainsi, une fois que la relation a été établie, on peut prévoir la diffusion. On calcule alors la charge de la surface (mm²/l) dans un milieu, qui produit une valeur de référence </w:t>
      </w:r>
      <w:proofErr w:type="spellStart"/>
      <w:r w:rsidRPr="00950D73">
        <w:rPr>
          <w:rFonts w:asciiTheme="majorBidi" w:hAnsiTheme="majorBidi" w:cstheme="majorBidi"/>
        </w:rPr>
        <w:t>écotoxicologique</w:t>
      </w:r>
      <w:proofErr w:type="spellEnd"/>
      <w:r w:rsidRPr="00950D73">
        <w:rPr>
          <w:rFonts w:asciiTheme="majorBidi" w:hAnsiTheme="majorBidi" w:cstheme="majorBidi"/>
        </w:rPr>
        <w:t xml:space="preserve"> donnée pour ledit milieu. Les lettres SA correspondent à la surface spécifique (m²/g) de l’échantillon de métal telle que mesurée. La surface spécifique critique telle que mesurée (</w:t>
      </w:r>
      <w:proofErr w:type="spellStart"/>
      <w:r w:rsidRPr="00950D73">
        <w:rPr>
          <w:rFonts w:asciiTheme="majorBidi" w:hAnsiTheme="majorBidi" w:cstheme="majorBidi"/>
        </w:rPr>
        <w:t>SA</w:t>
      </w:r>
      <w:r w:rsidRPr="00950D73">
        <w:rPr>
          <w:rFonts w:asciiTheme="majorBidi" w:hAnsiTheme="majorBidi" w:cstheme="majorBidi"/>
          <w:vertAlign w:val="subscript"/>
        </w:rPr>
        <w:t>crit</w:t>
      </w:r>
      <w:proofErr w:type="spellEnd"/>
      <w:r w:rsidRPr="00950D73">
        <w:rPr>
          <w:rFonts w:asciiTheme="majorBidi" w:hAnsiTheme="majorBidi" w:cstheme="majorBidi"/>
        </w:rPr>
        <w:t xml:space="preserve">) (m²/g) correspond à la surface spécifique pour les charges faible, moyenne et élevée associées aux catégories de classement de la toxicité à court terme et de la toxicité à long terme des métaux et des composés métalliques pour le milieu aquatique dans le système de classification. Ci-dessous une équation type de cette relation pour une substance, un milieu </w:t>
      </w:r>
      <w:r w:rsidRPr="00950D73">
        <w:rPr>
          <w:rFonts w:asciiTheme="majorBidi" w:hAnsiTheme="majorBidi" w:cstheme="majorBidi"/>
        </w:rPr>
        <w:lastRenderedPageBreak/>
        <w:t xml:space="preserve">aquatique, un pH et un temps de rétention donnés : </w:t>
      </w:r>
    </w:p>
    <w:p w14:paraId="1AC7B6AE" w14:textId="4EDB7ACC" w:rsidR="005649CF" w:rsidRPr="00B77638" w:rsidRDefault="005649CF" w:rsidP="003229BF">
      <w:pPr>
        <w:pStyle w:val="SingleTxtG"/>
        <w:ind w:left="2268"/>
        <w:jc w:val="center"/>
        <w:rPr>
          <w:rFonts w:asciiTheme="majorBidi" w:hAnsiTheme="majorBidi" w:cstheme="majorBidi"/>
        </w:rPr>
      </w:pPr>
      <w:r w:rsidRPr="00B77638">
        <w:rPr>
          <w:rFonts w:asciiTheme="majorBidi" w:hAnsiTheme="majorBidi" w:cstheme="majorBidi"/>
        </w:rPr>
        <w:t>log(</w:t>
      </w:r>
      <w:proofErr w:type="spellStart"/>
      <w:r w:rsidRPr="00B77638">
        <w:rPr>
          <w:rFonts w:asciiTheme="majorBidi" w:hAnsiTheme="majorBidi" w:cstheme="majorBidi"/>
        </w:rPr>
        <w:t>C</w:t>
      </w:r>
      <w:r w:rsidRPr="00B77638">
        <w:rPr>
          <w:rFonts w:asciiTheme="majorBidi" w:hAnsiTheme="majorBidi" w:cstheme="majorBidi"/>
          <w:vertAlign w:val="subscript"/>
        </w:rPr>
        <w:t>Me</w:t>
      </w:r>
      <w:proofErr w:type="spellEnd"/>
      <w:r w:rsidRPr="00B77638">
        <w:rPr>
          <w:rFonts w:asciiTheme="majorBidi" w:hAnsiTheme="majorBidi" w:cstheme="majorBidi"/>
        </w:rPr>
        <w:t>(</w:t>
      </w:r>
      <w:proofErr w:type="spellStart"/>
      <w:r w:rsidRPr="00B77638">
        <w:rPr>
          <w:rFonts w:asciiTheme="majorBidi" w:hAnsiTheme="majorBidi" w:cstheme="majorBidi"/>
          <w:vertAlign w:val="subscript"/>
        </w:rPr>
        <w:t>aq</w:t>
      </w:r>
      <w:proofErr w:type="spellEnd"/>
      <w:r w:rsidR="004C0F6E">
        <w:rPr>
          <w:rFonts w:asciiTheme="majorBidi" w:hAnsiTheme="majorBidi" w:cstheme="majorBidi"/>
        </w:rPr>
        <w:t>)</w:t>
      </w:r>
      <w:r w:rsidRPr="00B77638">
        <w:rPr>
          <w:rFonts w:asciiTheme="majorBidi" w:hAnsiTheme="majorBidi" w:cstheme="majorBidi"/>
        </w:rPr>
        <w:t>) = a + b log(A</w:t>
      </w:r>
      <w:r w:rsidRPr="00B77638">
        <w:rPr>
          <w:rFonts w:asciiTheme="majorBidi" w:hAnsiTheme="majorBidi" w:cstheme="majorBidi"/>
          <w:vertAlign w:val="subscript"/>
        </w:rPr>
        <w:t>mes</w:t>
      </w:r>
      <w:r w:rsidRPr="00B77638">
        <w:rPr>
          <w:rFonts w:asciiTheme="majorBidi" w:hAnsiTheme="majorBidi" w:cstheme="majorBidi"/>
        </w:rPr>
        <w:t>)</w:t>
      </w:r>
    </w:p>
    <w:p w14:paraId="7AB7FFE2" w14:textId="6EDC2485" w:rsidR="005649CF" w:rsidRPr="00B77638" w:rsidRDefault="005649CF" w:rsidP="00326607">
      <w:pPr>
        <w:pStyle w:val="SingleTxtG"/>
        <w:ind w:left="3119" w:hanging="851"/>
        <w:rPr>
          <w:rFonts w:asciiTheme="majorBidi" w:hAnsiTheme="majorBidi" w:cstheme="majorBidi"/>
        </w:rPr>
      </w:pPr>
      <w:proofErr w:type="spellStart"/>
      <w:r w:rsidRPr="00B77638">
        <w:rPr>
          <w:rFonts w:asciiTheme="majorBidi" w:hAnsiTheme="majorBidi" w:cstheme="majorBidi"/>
        </w:rPr>
        <w:t>C</w:t>
      </w:r>
      <w:r w:rsidRPr="00B77638">
        <w:rPr>
          <w:rFonts w:asciiTheme="majorBidi" w:hAnsiTheme="majorBidi" w:cstheme="majorBidi"/>
          <w:vertAlign w:val="subscript"/>
        </w:rPr>
        <w:t>Me</w:t>
      </w:r>
      <w:proofErr w:type="spellEnd"/>
      <w:r w:rsidRPr="00B77638">
        <w:rPr>
          <w:rFonts w:asciiTheme="majorBidi" w:hAnsiTheme="majorBidi" w:cstheme="majorBidi"/>
        </w:rPr>
        <w:t>(</w:t>
      </w:r>
      <w:proofErr w:type="spellStart"/>
      <w:r w:rsidRPr="00B77638">
        <w:rPr>
          <w:rFonts w:asciiTheme="majorBidi" w:hAnsiTheme="majorBidi" w:cstheme="majorBidi"/>
          <w:vertAlign w:val="subscript"/>
        </w:rPr>
        <w:t>aq</w:t>
      </w:r>
      <w:proofErr w:type="spellEnd"/>
      <w:r w:rsidRPr="00B77638">
        <w:rPr>
          <w:rFonts w:asciiTheme="majorBidi" w:hAnsiTheme="majorBidi" w:cstheme="majorBidi"/>
        </w:rPr>
        <w:t>) =</w:t>
      </w:r>
      <w:r w:rsidRPr="00B77638">
        <w:rPr>
          <w:rFonts w:asciiTheme="majorBidi" w:hAnsiTheme="majorBidi" w:cstheme="majorBidi"/>
        </w:rPr>
        <w:tab/>
        <w:t>concentration totale des ions métalliques dissous (</w:t>
      </w:r>
      <w:r w:rsidR="001D38A2">
        <w:rPr>
          <w:rFonts w:asciiTheme="majorBidi" w:hAnsiTheme="majorBidi" w:cstheme="majorBidi"/>
        </w:rPr>
        <w:t xml:space="preserve">en </w:t>
      </w:r>
      <w:r w:rsidRPr="00B77638">
        <w:rPr>
          <w:rFonts w:asciiTheme="majorBidi" w:hAnsiTheme="majorBidi" w:cstheme="majorBidi"/>
        </w:rPr>
        <w:t>mg/l) sur une période d’essai donnée (168 heures pour l’évaluation du danger à court terme), dans certaines conditions (pH, milieu, etc.), telle que déterminée par des essais de transformation/dissolution à différentes charges pour la surface ;</w:t>
      </w:r>
    </w:p>
    <w:p w14:paraId="7FE076A9" w14:textId="77777777" w:rsidR="005649CF" w:rsidRPr="00B77638" w:rsidRDefault="005649CF" w:rsidP="00326607">
      <w:pPr>
        <w:pStyle w:val="SingleTxtG"/>
        <w:tabs>
          <w:tab w:val="clear" w:pos="2835"/>
        </w:tabs>
        <w:ind w:left="3119" w:hanging="851"/>
        <w:rPr>
          <w:rFonts w:asciiTheme="majorBidi" w:hAnsiTheme="majorBidi" w:cstheme="majorBidi"/>
        </w:rPr>
      </w:pPr>
      <w:r w:rsidRPr="00B77638">
        <w:rPr>
          <w:rFonts w:asciiTheme="majorBidi" w:hAnsiTheme="majorBidi" w:cstheme="majorBidi"/>
        </w:rPr>
        <w:t>a, b =</w:t>
      </w:r>
      <w:r w:rsidRPr="00B77638">
        <w:rPr>
          <w:rFonts w:asciiTheme="majorBidi" w:hAnsiTheme="majorBidi" w:cstheme="majorBidi"/>
        </w:rPr>
        <w:tab/>
        <w:t>coefficients de régression ;</w:t>
      </w:r>
    </w:p>
    <w:p w14:paraId="7950676F" w14:textId="38C42C37" w:rsidR="00B77638" w:rsidRDefault="005649CF" w:rsidP="00326607">
      <w:pPr>
        <w:pStyle w:val="SingleTxtG"/>
        <w:tabs>
          <w:tab w:val="clear" w:pos="2835"/>
        </w:tabs>
        <w:ind w:left="3119" w:hanging="851"/>
        <w:rPr>
          <w:rFonts w:asciiTheme="majorBidi" w:hAnsiTheme="majorBidi" w:cstheme="majorBidi"/>
        </w:rPr>
      </w:pPr>
      <w:r w:rsidRPr="00B77638">
        <w:rPr>
          <w:rFonts w:asciiTheme="majorBidi" w:hAnsiTheme="majorBidi" w:cstheme="majorBidi"/>
        </w:rPr>
        <w:t>A</w:t>
      </w:r>
      <w:r w:rsidRPr="00B77638">
        <w:rPr>
          <w:rFonts w:asciiTheme="majorBidi" w:hAnsiTheme="majorBidi" w:cstheme="majorBidi"/>
          <w:vertAlign w:val="subscript"/>
        </w:rPr>
        <w:t>mes</w:t>
      </w:r>
      <w:r w:rsidRPr="00B77638">
        <w:rPr>
          <w:rFonts w:asciiTheme="majorBidi" w:hAnsiTheme="majorBidi" w:cstheme="majorBidi"/>
        </w:rPr>
        <w:t xml:space="preserve"> =</w:t>
      </w:r>
      <w:r w:rsidRPr="00B77638">
        <w:rPr>
          <w:rFonts w:asciiTheme="majorBidi" w:hAnsiTheme="majorBidi" w:cstheme="majorBidi"/>
        </w:rPr>
        <w:tab/>
        <w:t>charge initiale pour la surface</w:t>
      </w:r>
      <w:r w:rsidR="001F332C">
        <w:rPr>
          <w:rFonts w:asciiTheme="majorBidi" w:hAnsiTheme="majorBidi" w:cstheme="majorBidi"/>
        </w:rPr>
        <w:t xml:space="preserve"> (en </w:t>
      </w:r>
      <w:r w:rsidR="00BC7E62">
        <w:rPr>
          <w:rFonts w:asciiTheme="majorBidi" w:eastAsiaTheme="minorHAnsi" w:hAnsiTheme="majorBidi" w:cstheme="majorBidi"/>
        </w:rPr>
        <w:t>mm</w:t>
      </w:r>
      <w:r w:rsidR="00BC7E62">
        <w:rPr>
          <w:rFonts w:asciiTheme="majorBidi" w:eastAsiaTheme="minorHAnsi" w:hAnsiTheme="majorBidi" w:cstheme="majorBidi"/>
          <w:vertAlign w:val="superscript"/>
        </w:rPr>
        <w:t>2</w:t>
      </w:r>
      <w:r w:rsidR="00BC7E62" w:rsidRPr="000E1B24">
        <w:rPr>
          <w:rFonts w:asciiTheme="majorBidi" w:eastAsiaTheme="minorHAnsi" w:hAnsiTheme="majorBidi" w:cstheme="majorBidi"/>
        </w:rPr>
        <w:t>/l</w:t>
      </w:r>
      <w:r w:rsidR="00BC7E62">
        <w:rPr>
          <w:rFonts w:asciiTheme="majorBidi" w:eastAsiaTheme="minorHAnsi" w:hAnsiTheme="majorBidi" w:cstheme="majorBidi"/>
        </w:rPr>
        <w:t>),</w:t>
      </w:r>
      <w:r w:rsidR="00B77638" w:rsidRPr="00B77638">
        <w:rPr>
          <w:rFonts w:asciiTheme="majorBidi" w:hAnsiTheme="majorBidi" w:cstheme="majorBidi"/>
        </w:rPr>
        <w:t xml:space="preserve"> calculée comme suit : </w:t>
      </w:r>
    </w:p>
    <w:p w14:paraId="71060557" w14:textId="77777777" w:rsidR="00BC7E62" w:rsidRPr="007E44E1" w:rsidRDefault="00AC2A81" w:rsidP="00326607">
      <w:pPr>
        <w:pStyle w:val="SingleTxtG"/>
        <w:tabs>
          <w:tab w:val="clear" w:pos="2835"/>
        </w:tabs>
        <w:spacing w:before="240"/>
        <w:ind w:left="2835"/>
        <w:rPr>
          <w:rFonts w:asciiTheme="majorBidi" w:hAnsiTheme="majorBidi" w:cstheme="majorBidi"/>
          <w:lang w:val="es-ES"/>
        </w:rPr>
      </w:pPr>
      <m:oMathPara>
        <m:oMath>
          <m:sSub>
            <m:sSubPr>
              <m:ctrlPr>
                <w:rPr>
                  <w:rFonts w:ascii="Cambria Math" w:eastAsiaTheme="minorHAnsi" w:hAnsi="Cambria Math" w:cstheme="majorBidi"/>
                  <w:i/>
                </w:rPr>
              </m:ctrlPr>
            </m:sSubPr>
            <m:e>
              <m:r>
                <m:rPr>
                  <m:nor/>
                </m:rPr>
                <w:rPr>
                  <w:rFonts w:asciiTheme="majorBidi" w:eastAsiaTheme="minorHAnsi" w:hAnsiTheme="majorBidi" w:cstheme="majorBidi"/>
                  <w:lang w:val="es-ES"/>
                </w:rPr>
                <m:t>A</m:t>
              </m:r>
            </m:e>
            <m:sub>
              <m:r>
                <m:rPr>
                  <m:nor/>
                </m:rPr>
                <w:rPr>
                  <w:rFonts w:asciiTheme="majorBidi" w:eastAsiaTheme="minorHAnsi" w:hAnsiTheme="majorBidi" w:cstheme="majorBidi"/>
                  <w:lang w:val="es-ES"/>
                </w:rPr>
                <m:t>mes</m:t>
              </m:r>
            </m:sub>
          </m:sSub>
          <m:r>
            <m:rPr>
              <m:sty m:val="p"/>
            </m:rPr>
            <w:rPr>
              <w:rFonts w:ascii="Cambria Math" w:eastAsiaTheme="minorHAnsi" w:hAnsi="Cambria Math" w:cstheme="majorBidi"/>
              <w:lang w:val="es-ES"/>
            </w:rPr>
            <m:t>=SA ×</m:t>
          </m:r>
          <m:r>
            <m:rPr>
              <m:sty m:val="p"/>
            </m:rPr>
            <w:rPr>
              <w:rFonts w:ascii="Cambria Math" w:hAnsi="Cambria Math" w:cstheme="majorBidi"/>
              <w:lang w:val="es-ES"/>
            </w:rPr>
            <m:t>charge de la substance</m:t>
          </m:r>
          <m:r>
            <m:rPr>
              <m:sty m:val="p"/>
            </m:rPr>
            <w:rPr>
              <w:rFonts w:ascii="Cambria Math" w:eastAsiaTheme="minorHAnsi" w:hAnsi="Cambria Math" w:cstheme="majorBidi"/>
              <w:lang w:val="es-ES"/>
            </w:rPr>
            <m:t xml:space="preserve"> ×</m:t>
          </m:r>
          <m:sSup>
            <m:sSupPr>
              <m:ctrlPr>
                <w:rPr>
                  <w:rFonts w:ascii="Cambria Math" w:eastAsiaTheme="minorHAnsi" w:hAnsi="Cambria Math" w:cstheme="majorBidi"/>
                </w:rPr>
              </m:ctrlPr>
            </m:sSupPr>
            <m:e>
              <m:r>
                <m:rPr>
                  <m:sty m:val="p"/>
                </m:rPr>
                <w:rPr>
                  <w:rFonts w:ascii="Cambria Math" w:eastAsiaTheme="minorHAnsi" w:hAnsi="Cambria Math" w:cstheme="majorBidi"/>
                  <w:lang w:val="es-ES"/>
                </w:rPr>
                <m:t xml:space="preserve">10 </m:t>
              </m:r>
            </m:e>
            <m:sup>
              <m:r>
                <w:rPr>
                  <w:rFonts w:ascii="Cambria Math" w:eastAsiaTheme="minorHAnsi" w:hAnsi="Cambria Math" w:cstheme="majorBidi"/>
                  <w:lang w:val="es-ES"/>
                </w:rPr>
                <m:t>6</m:t>
              </m:r>
            </m:sup>
          </m:sSup>
        </m:oMath>
      </m:oMathPara>
    </w:p>
    <w:p w14:paraId="51A0D468" w14:textId="2292B3BC" w:rsidR="00B77638" w:rsidRPr="00B77638" w:rsidRDefault="00C95D06" w:rsidP="00326607">
      <w:pPr>
        <w:pStyle w:val="SingleTxtG"/>
        <w:tabs>
          <w:tab w:val="clear" w:pos="2835"/>
        </w:tabs>
        <w:spacing w:before="240"/>
        <w:ind w:left="2835"/>
        <w:rPr>
          <w:rFonts w:asciiTheme="majorBidi" w:hAnsiTheme="majorBidi" w:cstheme="majorBidi"/>
        </w:rPr>
      </w:pPr>
      <w:r>
        <w:rPr>
          <w:rFonts w:asciiTheme="majorBidi" w:hAnsiTheme="majorBidi" w:cstheme="majorBidi"/>
        </w:rPr>
        <w:t>où :</w:t>
      </w:r>
    </w:p>
    <w:p w14:paraId="2BE01665" w14:textId="0F9CC0F0" w:rsidR="00B77638" w:rsidRPr="00326607" w:rsidRDefault="00446D76" w:rsidP="00326607">
      <w:pPr>
        <w:pStyle w:val="SingleTxtG"/>
        <w:tabs>
          <w:tab w:val="clear" w:pos="2835"/>
        </w:tabs>
        <w:ind w:left="3402" w:hanging="567"/>
        <w:rPr>
          <w:rFonts w:asciiTheme="majorBidi" w:hAnsiTheme="majorBidi" w:cstheme="majorBidi"/>
        </w:rPr>
      </w:pPr>
      <w:r w:rsidRPr="00326607">
        <w:rPr>
          <w:rFonts w:asciiTheme="majorBidi" w:hAnsiTheme="majorBidi" w:cstheme="majorBidi"/>
        </w:rPr>
        <w:t xml:space="preserve">SA = </w:t>
      </w:r>
      <w:r w:rsidR="00326607">
        <w:rPr>
          <w:rFonts w:asciiTheme="majorBidi" w:hAnsiTheme="majorBidi" w:cstheme="majorBidi"/>
        </w:rPr>
        <w:tab/>
      </w:r>
      <w:r w:rsidR="000C57AE" w:rsidRPr="00326607">
        <w:rPr>
          <w:rFonts w:asciiTheme="majorBidi" w:hAnsiTheme="majorBidi" w:cstheme="majorBidi"/>
        </w:rPr>
        <w:t xml:space="preserve">surface spécifique </w:t>
      </w:r>
      <w:r w:rsidR="001F332C">
        <w:rPr>
          <w:rFonts w:asciiTheme="majorBidi" w:eastAsiaTheme="minorHAnsi" w:hAnsiTheme="majorBidi" w:cstheme="majorBidi"/>
        </w:rPr>
        <w:t>(en m</w:t>
      </w:r>
      <w:r w:rsidR="001F332C" w:rsidRPr="000E1B24">
        <w:rPr>
          <w:rFonts w:asciiTheme="majorBidi" w:eastAsiaTheme="minorHAnsi" w:hAnsiTheme="majorBidi" w:cstheme="majorBidi"/>
          <w:vertAlign w:val="superscript"/>
        </w:rPr>
        <w:t>2</w:t>
      </w:r>
      <w:r w:rsidR="001F332C">
        <w:rPr>
          <w:rFonts w:asciiTheme="majorBidi" w:eastAsiaTheme="minorHAnsi" w:hAnsiTheme="majorBidi" w:cstheme="majorBidi"/>
        </w:rPr>
        <w:t>/g)</w:t>
      </w:r>
      <w:r w:rsidR="00BC7E62">
        <w:rPr>
          <w:rFonts w:asciiTheme="majorBidi" w:eastAsiaTheme="minorHAnsi" w:hAnsiTheme="majorBidi" w:cstheme="majorBidi"/>
        </w:rPr>
        <w:t>,</w:t>
      </w:r>
      <w:r w:rsidR="001F332C">
        <w:rPr>
          <w:rFonts w:asciiTheme="majorBidi" w:eastAsiaTheme="minorHAnsi" w:hAnsiTheme="majorBidi" w:cstheme="majorBidi"/>
        </w:rPr>
        <w:t xml:space="preserve"> </w:t>
      </w:r>
      <w:r w:rsidR="000C57AE" w:rsidRPr="00326607">
        <w:rPr>
          <w:rFonts w:asciiTheme="majorBidi" w:hAnsiTheme="majorBidi" w:cstheme="majorBidi"/>
        </w:rPr>
        <w:t xml:space="preserve">mesurée selon la </w:t>
      </w:r>
      <w:r w:rsidR="004352F0" w:rsidRPr="00326607">
        <w:rPr>
          <w:rFonts w:asciiTheme="majorBidi" w:hAnsiTheme="majorBidi" w:cstheme="majorBidi"/>
        </w:rPr>
        <w:t>méthode</w:t>
      </w:r>
      <w:r w:rsidR="000C57AE" w:rsidRPr="00326607">
        <w:rPr>
          <w:rFonts w:asciiTheme="majorBidi" w:hAnsiTheme="majorBidi" w:cstheme="majorBidi"/>
        </w:rPr>
        <w:t xml:space="preserve"> </w:t>
      </w:r>
      <w:proofErr w:type="spellStart"/>
      <w:r w:rsidR="00E44B8D" w:rsidRPr="00326607">
        <w:rPr>
          <w:rFonts w:asciiTheme="majorBidi" w:eastAsiaTheme="minorHAnsi" w:hAnsiTheme="majorBidi" w:cstheme="majorBidi"/>
        </w:rPr>
        <w:t>Brunauer-Emmet</w:t>
      </w:r>
      <w:proofErr w:type="spellEnd"/>
      <w:r w:rsidR="00E44B8D" w:rsidRPr="00326607">
        <w:rPr>
          <w:rFonts w:asciiTheme="majorBidi" w:eastAsiaTheme="minorHAnsi" w:hAnsiTheme="majorBidi" w:cstheme="majorBidi"/>
        </w:rPr>
        <w:t xml:space="preserve"> Teller (</w:t>
      </w:r>
      <w:r w:rsidR="000C57AE" w:rsidRPr="00326607">
        <w:rPr>
          <w:rFonts w:asciiTheme="majorBidi" w:hAnsiTheme="majorBidi" w:cstheme="majorBidi"/>
        </w:rPr>
        <w:t>BET</w:t>
      </w:r>
      <w:r w:rsidR="00E44B8D" w:rsidRPr="00326607">
        <w:rPr>
          <w:rFonts w:asciiTheme="majorBidi" w:hAnsiTheme="majorBidi" w:cstheme="majorBidi"/>
        </w:rPr>
        <w:t>)</w:t>
      </w:r>
      <w:r w:rsidR="000C57AE" w:rsidRPr="00326607">
        <w:rPr>
          <w:rFonts w:asciiTheme="majorBidi" w:hAnsiTheme="majorBidi" w:cstheme="majorBidi"/>
        </w:rPr>
        <w:t xml:space="preserve"> d’adsorption-désorption d’azote.</w:t>
      </w:r>
    </w:p>
    <w:p w14:paraId="3C6728B7" w14:textId="0BA277C5" w:rsidR="00A51E8B" w:rsidRPr="00326607" w:rsidRDefault="00A51E8B" w:rsidP="00326607">
      <w:pPr>
        <w:pStyle w:val="SingleTxtG"/>
        <w:tabs>
          <w:tab w:val="clear" w:pos="2835"/>
        </w:tabs>
        <w:ind w:left="3402" w:hanging="567"/>
        <w:rPr>
          <w:rFonts w:asciiTheme="majorBidi" w:hAnsiTheme="majorBidi" w:cstheme="majorBidi"/>
        </w:rPr>
      </w:pPr>
      <w:r>
        <w:rPr>
          <w:rFonts w:asciiTheme="majorBidi" w:hAnsiTheme="majorBidi" w:cstheme="majorBidi"/>
        </w:rPr>
        <w:t>Charge de la substance en g/l</w:t>
      </w:r>
      <w:r w:rsidR="00C20316">
        <w:rPr>
          <w:rFonts w:asciiTheme="majorBidi" w:hAnsiTheme="majorBidi" w:cstheme="majorBidi"/>
        </w:rPr>
        <w:t>.</w:t>
      </w:r>
      <w:r>
        <w:rPr>
          <w:rFonts w:asciiTheme="majorBidi" w:hAnsiTheme="majorBidi" w:cstheme="majorBidi"/>
        </w:rPr>
        <w:t> »</w:t>
      </w:r>
    </w:p>
    <w:p w14:paraId="50B6CC96" w14:textId="37388B0C" w:rsidR="005649CF" w:rsidRPr="00950D73" w:rsidRDefault="00B7226E" w:rsidP="005649CF">
      <w:pPr>
        <w:pStyle w:val="SingleTxtG"/>
        <w:rPr>
          <w:rFonts w:asciiTheme="majorBidi" w:hAnsiTheme="majorBidi" w:cstheme="majorBidi"/>
        </w:rPr>
      </w:pPr>
      <w:r>
        <w:rPr>
          <w:rFonts w:asciiTheme="majorBidi" w:hAnsiTheme="majorBidi" w:cstheme="majorBidi"/>
        </w:rPr>
        <w:t>Figure A9.7.1</w:t>
      </w:r>
      <w:r>
        <w:rPr>
          <w:rFonts w:asciiTheme="majorBidi" w:hAnsiTheme="majorBidi" w:cstheme="majorBidi"/>
        </w:rPr>
        <w:tab/>
      </w:r>
      <w:r>
        <w:rPr>
          <w:rFonts w:asciiTheme="majorBidi" w:hAnsiTheme="majorBidi" w:cstheme="majorBidi"/>
        </w:rPr>
        <w:tab/>
      </w:r>
      <w:r w:rsidR="005649CF" w:rsidRPr="00950D73">
        <w:rPr>
          <w:rFonts w:asciiTheme="majorBidi" w:hAnsiTheme="majorBidi" w:cstheme="majorBidi"/>
        </w:rPr>
        <w:t>Supprimer.</w:t>
      </w:r>
    </w:p>
    <w:p w14:paraId="0FD37F18" w14:textId="1CF053F1" w:rsidR="005649CF" w:rsidRPr="00950D73" w:rsidRDefault="005649CF" w:rsidP="005649CF">
      <w:pPr>
        <w:pStyle w:val="SingleTxtG"/>
        <w:ind w:left="2268" w:hanging="1134"/>
        <w:rPr>
          <w:rFonts w:asciiTheme="majorBidi" w:eastAsia="SimSun" w:hAnsiTheme="majorBidi" w:cstheme="majorBidi"/>
        </w:rPr>
      </w:pPr>
      <w:r w:rsidRPr="00950D73">
        <w:rPr>
          <w:rFonts w:asciiTheme="majorBidi" w:hAnsiTheme="majorBidi" w:cstheme="majorBidi"/>
        </w:rPr>
        <w:t>A9.7.5.5</w:t>
      </w:r>
      <w:r w:rsidR="0017692C" w:rsidRPr="00950D73">
        <w:rPr>
          <w:rFonts w:asciiTheme="majorBidi" w:hAnsiTheme="majorBidi" w:cstheme="majorBidi"/>
        </w:rPr>
        <w:t xml:space="preserve"> (nouveau</w:t>
      </w:r>
      <w:r w:rsidR="00D57C63" w:rsidRPr="00950D73">
        <w:rPr>
          <w:rFonts w:asciiTheme="majorBidi" w:hAnsiTheme="majorBidi" w:cstheme="majorBidi"/>
        </w:rPr>
        <w:t>)</w:t>
      </w:r>
      <w:r w:rsidRPr="00950D73">
        <w:rPr>
          <w:rFonts w:asciiTheme="majorBidi" w:hAnsiTheme="majorBidi" w:cstheme="majorBidi"/>
        </w:rPr>
        <w:tab/>
        <w:t>Ajouter la nouvelle sous-section A9.7.5.5, libellée comme suit :</w:t>
      </w:r>
    </w:p>
    <w:p w14:paraId="3FBF8513" w14:textId="77777777"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 A9.7.5.5</w:t>
      </w:r>
      <w:r w:rsidRPr="00950D73">
        <w:rPr>
          <w:rFonts w:asciiTheme="majorBidi" w:hAnsiTheme="majorBidi" w:cstheme="majorBidi"/>
        </w:rPr>
        <w:tab/>
        <w:t>Détermination des facteurs M pour les métaux et les composés métalliques inorganiques</w:t>
      </w:r>
    </w:p>
    <w:p w14:paraId="3160FD13" w14:textId="1EA83CF6" w:rsidR="005649CF" w:rsidRPr="00950D73" w:rsidRDefault="005649CF" w:rsidP="002A6DF1">
      <w:pPr>
        <w:pStyle w:val="SingleTxtG"/>
        <w:ind w:left="2268"/>
        <w:rPr>
          <w:rFonts w:asciiTheme="majorBidi" w:hAnsiTheme="majorBidi" w:cstheme="majorBidi"/>
        </w:rPr>
      </w:pPr>
      <w:r w:rsidRPr="00950D73">
        <w:rPr>
          <w:rFonts w:asciiTheme="majorBidi" w:hAnsiTheme="majorBidi" w:cstheme="majorBidi"/>
        </w:rPr>
        <w:t>A9.7.5.5.1</w:t>
      </w:r>
      <w:r w:rsidRPr="00950D73">
        <w:rPr>
          <w:rFonts w:asciiTheme="majorBidi" w:hAnsiTheme="majorBidi" w:cstheme="majorBidi"/>
        </w:rPr>
        <w:tab/>
        <w:t xml:space="preserve">En ce qui concerne la classe de danger intitulée “Dangers pour le milieu aquatique”, pour laquelle l’application des valeurs seuil/limites de concentration normales peut déboucher sur un “sous-classement” du mélange, on a recours au facteur M. Les facteurs M sont utilisés en application de la méthode de la somme aux fins du classement des mélanges contenant des substances classées comme très écotoxiques. Ce concept, destiné à donner un poids accru aux substances très toxiques lors du classement d’un mélange, </w:t>
      </w:r>
      <w:r w:rsidRPr="00950D73">
        <w:rPr>
          <w:rFonts w:asciiTheme="majorBidi" w:hAnsiTheme="majorBidi" w:cstheme="majorBidi"/>
        </w:rPr>
        <w:lastRenderedPageBreak/>
        <w:t>garantit que leur degré de toxicité est bien pris en compte dans ce cadre. Les facteurs M ne s’appliquent qu’à la concentration d’une substance classée comme dangereuse pour le milieu aquatique (catégories Aiguë 1 et Chronique 1) et servent à déduire, par la méthode de la somme, le classement d’un mélange dans lequel la substance est présente. Ils sont toutefois spécifiques à une substance et il est important de les établir lorsqu’on classe les substances. Il est important de signaler que des facteurs M distincts doivent être calculés pour les catégories Aiguë et Chronique et qu’ils n’auront pas nécessairement la même valeur, selon la façon dont chacun aura été déterminé (par exemple, sur la base de VRE de toxicité aiguë et de toxicité chronique distinctes).</w:t>
      </w:r>
    </w:p>
    <w:p w14:paraId="70D98D34" w14:textId="77777777" w:rsidR="005649CF" w:rsidRPr="00950D73" w:rsidRDefault="005649CF" w:rsidP="002A6DF1">
      <w:pPr>
        <w:pStyle w:val="SingleTxtG"/>
        <w:ind w:left="2268"/>
        <w:rPr>
          <w:rFonts w:asciiTheme="majorBidi" w:hAnsiTheme="majorBidi" w:cstheme="majorBidi"/>
        </w:rPr>
      </w:pPr>
      <w:r w:rsidRPr="00950D73">
        <w:rPr>
          <w:rFonts w:asciiTheme="majorBidi" w:hAnsiTheme="majorBidi" w:cstheme="majorBidi"/>
        </w:rPr>
        <w:t>A9.7.5.5.2</w:t>
      </w:r>
      <w:r w:rsidRPr="00950D73">
        <w:rPr>
          <w:rFonts w:asciiTheme="majorBidi" w:hAnsiTheme="majorBidi" w:cstheme="majorBidi"/>
        </w:rPr>
        <w:tab/>
        <w:t>Pour les composés métalliques facilement solubles, les facteurs M sont appliqués comme pour les substances organiques (voir tableau A9.7.1).</w:t>
      </w:r>
    </w:p>
    <w:p w14:paraId="650AF2C8" w14:textId="77777777" w:rsidR="005649CF" w:rsidRPr="00950D73" w:rsidRDefault="005649CF" w:rsidP="002A6DF1">
      <w:pPr>
        <w:pStyle w:val="SingleTxtG"/>
        <w:ind w:left="2268"/>
        <w:rPr>
          <w:rFonts w:asciiTheme="majorBidi" w:hAnsiTheme="majorBidi" w:cstheme="majorBidi"/>
        </w:rPr>
      </w:pPr>
      <w:r w:rsidRPr="00950D73">
        <w:rPr>
          <w:rFonts w:asciiTheme="majorBidi" w:hAnsiTheme="majorBidi" w:cstheme="majorBidi"/>
        </w:rPr>
        <w:t>A9.7.5.5.3</w:t>
      </w:r>
      <w:r w:rsidRPr="00950D73">
        <w:rPr>
          <w:rFonts w:asciiTheme="majorBidi" w:hAnsiTheme="majorBidi" w:cstheme="majorBidi"/>
        </w:rPr>
        <w:tab/>
        <w:t>Pour les composés métalliques et les métaux peu solubles, les facteurs M sont appliqués sur la base du rapport entre la concentration en ions métalliques dissous (obtenue par des essais de transformation/dissolution après respectivement 7 et 28 jours pour la charge qui a été utilisée aux fins du classement dans la catégorie Aiguë 1 ou Chronique 1) et la VRE de l’ion métallique dissous. Si ce rapport est inférieur à 10, un facteur M de 1 est appliqué ; s’il est égal ou supérieur à 10 et inférieur à 100, un facteur M de 10 est appliqué ; s’il est égal ou supérieur à 100 et inférieur à 1 000, un facteur M de 100 est appliqué... (la série se poursuit au rythme d’un facteur 10 par intervalle).</w:t>
      </w:r>
    </w:p>
    <w:p w14:paraId="7010DC43" w14:textId="63ED3FD2" w:rsidR="005649CF" w:rsidRPr="00950D73" w:rsidRDefault="005649CF" w:rsidP="00F81DCD">
      <w:pPr>
        <w:pStyle w:val="H23G"/>
        <w:ind w:firstLine="0"/>
        <w:jc w:val="center"/>
        <w:rPr>
          <w:rFonts w:asciiTheme="majorBidi" w:hAnsiTheme="majorBidi" w:cstheme="majorBidi"/>
        </w:rPr>
      </w:pPr>
      <w:r w:rsidRPr="00950D73">
        <w:rPr>
          <w:rFonts w:asciiTheme="majorBidi" w:hAnsiTheme="majorBidi" w:cstheme="majorBidi"/>
        </w:rPr>
        <w:t>Tableau A9.7.1</w:t>
      </w:r>
      <w:r w:rsidRPr="00950D73">
        <w:rPr>
          <w:rFonts w:asciiTheme="majorBidi" w:hAnsiTheme="majorBidi" w:cstheme="majorBidi"/>
        </w:rPr>
        <w:br/>
        <w:t>Facteurs M pour les composés métalliques facilement solubles</w:t>
      </w:r>
    </w:p>
    <w:tbl>
      <w:tblPr>
        <w:tblW w:w="7371"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524"/>
        <w:gridCol w:w="1847"/>
      </w:tblGrid>
      <w:tr w:rsidR="005649CF" w:rsidRPr="00950D73" w14:paraId="60DBB7CB" w14:textId="77777777" w:rsidTr="0036713C">
        <w:trPr>
          <w:trHeight w:val="366"/>
        </w:trPr>
        <w:tc>
          <w:tcPr>
            <w:tcW w:w="5524" w:type="dxa"/>
            <w:vAlign w:val="bottom"/>
          </w:tcPr>
          <w:p w14:paraId="51DEEEF9" w14:textId="40DA9030" w:rsidR="005649CF" w:rsidRPr="00950D73" w:rsidRDefault="005649CF" w:rsidP="00A6084D">
            <w:pPr>
              <w:keepNext/>
              <w:keepLines/>
              <w:spacing w:before="60" w:after="60"/>
              <w:ind w:left="57" w:right="57"/>
              <w:jc w:val="center"/>
              <w:rPr>
                <w:rFonts w:asciiTheme="majorBidi" w:eastAsia="SimSun" w:hAnsiTheme="majorBidi" w:cstheme="majorBidi"/>
                <w:b/>
                <w:bCs/>
              </w:rPr>
            </w:pPr>
            <w:proofErr w:type="spellStart"/>
            <w:r w:rsidRPr="00950D73">
              <w:rPr>
                <w:rFonts w:asciiTheme="majorBidi" w:hAnsiTheme="majorBidi" w:cstheme="majorBidi"/>
                <w:b/>
                <w:bCs/>
              </w:rPr>
              <w:t>VRE</w:t>
            </w:r>
            <w:r w:rsidRPr="00950D73">
              <w:rPr>
                <w:rFonts w:asciiTheme="majorBidi" w:hAnsiTheme="majorBidi" w:cstheme="majorBidi"/>
                <w:b/>
                <w:bCs/>
                <w:vertAlign w:val="subscript"/>
              </w:rPr>
              <w:t>composé</w:t>
            </w:r>
            <w:proofErr w:type="spellEnd"/>
            <w:r w:rsidRPr="00950D73">
              <w:rPr>
                <w:rFonts w:asciiTheme="majorBidi" w:hAnsiTheme="majorBidi" w:cstheme="majorBidi"/>
                <w:b/>
                <w:bCs/>
                <w:vertAlign w:val="subscript"/>
              </w:rPr>
              <w:t xml:space="preserve"> </w:t>
            </w:r>
            <w:r w:rsidRPr="00950D73">
              <w:rPr>
                <w:rFonts w:asciiTheme="majorBidi" w:hAnsiTheme="majorBidi" w:cstheme="majorBidi"/>
                <w:b/>
                <w:bCs/>
              </w:rPr>
              <w:t>Aiguë (mg/</w:t>
            </w:r>
            <w:r w:rsidR="00F81DCD" w:rsidRPr="00950D73">
              <w:rPr>
                <w:rFonts w:asciiTheme="majorBidi" w:hAnsiTheme="majorBidi" w:cstheme="majorBidi"/>
                <w:b/>
                <w:bCs/>
              </w:rPr>
              <w:t>l</w:t>
            </w:r>
            <w:r w:rsidRPr="00950D73">
              <w:rPr>
                <w:rFonts w:asciiTheme="majorBidi" w:hAnsiTheme="majorBidi" w:cstheme="majorBidi"/>
                <w:b/>
                <w:bCs/>
              </w:rPr>
              <w:t>)</w:t>
            </w:r>
          </w:p>
        </w:tc>
        <w:tc>
          <w:tcPr>
            <w:tcW w:w="1847" w:type="dxa"/>
            <w:vAlign w:val="bottom"/>
          </w:tcPr>
          <w:p w14:paraId="7082B161" w14:textId="77777777" w:rsidR="005649CF" w:rsidRPr="00950D73" w:rsidRDefault="005649CF" w:rsidP="00A6084D">
            <w:pPr>
              <w:keepNext/>
              <w:keepLines/>
              <w:spacing w:before="60" w:after="60"/>
              <w:ind w:left="57" w:right="57"/>
              <w:jc w:val="center"/>
              <w:rPr>
                <w:rFonts w:asciiTheme="majorBidi" w:eastAsia="SimSun" w:hAnsiTheme="majorBidi" w:cstheme="majorBidi"/>
                <w:b/>
                <w:bCs/>
              </w:rPr>
            </w:pPr>
            <w:r w:rsidRPr="00950D73">
              <w:rPr>
                <w:rFonts w:asciiTheme="majorBidi" w:hAnsiTheme="majorBidi" w:cstheme="majorBidi"/>
                <w:b/>
                <w:bCs/>
              </w:rPr>
              <w:t xml:space="preserve">Facteur de multiplication (M), </w:t>
            </w:r>
            <w:r w:rsidRPr="00950D73">
              <w:rPr>
                <w:rFonts w:asciiTheme="majorBidi" w:hAnsiTheme="majorBidi" w:cstheme="majorBidi"/>
                <w:b/>
                <w:bCs/>
              </w:rPr>
              <w:br/>
              <w:t>toxicité aiguë</w:t>
            </w:r>
          </w:p>
        </w:tc>
      </w:tr>
      <w:tr w:rsidR="005649CF" w:rsidRPr="00950D73" w14:paraId="1CC464A9" w14:textId="77777777" w:rsidTr="0036713C">
        <w:trPr>
          <w:trHeight w:val="367"/>
        </w:trPr>
        <w:tc>
          <w:tcPr>
            <w:tcW w:w="5524" w:type="dxa"/>
          </w:tcPr>
          <w:p w14:paraId="6826D3C4"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lastRenderedPageBreak/>
              <w:t>0,1 &lt; VRE de toxicité aiguë ≤ 1</w:t>
            </w:r>
          </w:p>
        </w:tc>
        <w:tc>
          <w:tcPr>
            <w:tcW w:w="1847" w:type="dxa"/>
          </w:tcPr>
          <w:p w14:paraId="3496EB0F"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w:t>
            </w:r>
          </w:p>
        </w:tc>
      </w:tr>
      <w:tr w:rsidR="005649CF" w:rsidRPr="00950D73" w14:paraId="20E14FEC" w14:textId="77777777" w:rsidTr="0036713C">
        <w:trPr>
          <w:trHeight w:val="367"/>
        </w:trPr>
        <w:tc>
          <w:tcPr>
            <w:tcW w:w="5524" w:type="dxa"/>
          </w:tcPr>
          <w:p w14:paraId="35566270"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0,01 &lt; VRE de toxicité aiguë ≤ 0,1</w:t>
            </w:r>
          </w:p>
        </w:tc>
        <w:tc>
          <w:tcPr>
            <w:tcW w:w="1847" w:type="dxa"/>
          </w:tcPr>
          <w:p w14:paraId="4E0B419F"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10</w:t>
            </w:r>
          </w:p>
        </w:tc>
      </w:tr>
      <w:tr w:rsidR="005649CF" w:rsidRPr="00950D73" w14:paraId="1BF43F02" w14:textId="77777777" w:rsidTr="0036713C">
        <w:trPr>
          <w:trHeight w:val="367"/>
        </w:trPr>
        <w:tc>
          <w:tcPr>
            <w:tcW w:w="5524" w:type="dxa"/>
          </w:tcPr>
          <w:p w14:paraId="7EC3DE6E"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0,001 &lt; VRE de toxicité aiguë ≤ 0,01</w:t>
            </w:r>
          </w:p>
        </w:tc>
        <w:tc>
          <w:tcPr>
            <w:tcW w:w="1847" w:type="dxa"/>
          </w:tcPr>
          <w:p w14:paraId="3B393007"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100</w:t>
            </w:r>
          </w:p>
        </w:tc>
      </w:tr>
      <w:tr w:rsidR="005649CF" w:rsidRPr="00950D73" w14:paraId="0B33BC41" w14:textId="77777777" w:rsidTr="0036713C">
        <w:trPr>
          <w:trHeight w:val="367"/>
        </w:trPr>
        <w:tc>
          <w:tcPr>
            <w:tcW w:w="5524" w:type="dxa"/>
          </w:tcPr>
          <w:p w14:paraId="0421E7A1"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0,000 1 &lt; VRE de toxicité aiguë ≤ 0,001</w:t>
            </w:r>
          </w:p>
        </w:tc>
        <w:tc>
          <w:tcPr>
            <w:tcW w:w="1847" w:type="dxa"/>
          </w:tcPr>
          <w:p w14:paraId="23BFABEF"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1 000</w:t>
            </w:r>
          </w:p>
        </w:tc>
      </w:tr>
      <w:tr w:rsidR="005649CF" w:rsidRPr="00950D73" w14:paraId="647EE7A0" w14:textId="77777777" w:rsidTr="0036713C">
        <w:trPr>
          <w:trHeight w:val="362"/>
        </w:trPr>
        <w:tc>
          <w:tcPr>
            <w:tcW w:w="5524" w:type="dxa"/>
          </w:tcPr>
          <w:p w14:paraId="5AC9C794"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(la série se poursuit au rythme d’un facteur 10 par intervalle)</w:t>
            </w:r>
          </w:p>
        </w:tc>
        <w:tc>
          <w:tcPr>
            <w:tcW w:w="1847" w:type="dxa"/>
          </w:tcPr>
          <w:p w14:paraId="09FA5AED" w14:textId="77777777" w:rsidR="005649CF" w:rsidRPr="00950D73" w:rsidRDefault="005649CF" w:rsidP="00A6084D">
            <w:pPr>
              <w:keepNext/>
              <w:keepLines/>
              <w:spacing w:before="60" w:after="60"/>
              <w:ind w:left="57" w:right="57"/>
              <w:jc w:val="center"/>
              <w:rPr>
                <w:rFonts w:asciiTheme="majorBidi" w:eastAsia="SimSun" w:hAnsiTheme="majorBidi" w:cstheme="majorBidi"/>
              </w:rPr>
            </w:pPr>
          </w:p>
        </w:tc>
      </w:tr>
    </w:tbl>
    <w:p w14:paraId="7388C16F" w14:textId="77777777" w:rsidR="005649CF" w:rsidRPr="00950D73" w:rsidRDefault="005649CF" w:rsidP="005649CF">
      <w:pPr>
        <w:spacing w:after="120"/>
        <w:ind w:left="1134" w:right="1134"/>
        <w:jc w:val="both"/>
        <w:rPr>
          <w:rFonts w:asciiTheme="majorBidi" w:hAnsiTheme="majorBidi" w:cstheme="majorBidi"/>
        </w:rPr>
      </w:pPr>
    </w:p>
    <w:tbl>
      <w:tblPr>
        <w:tblW w:w="7371"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4106"/>
        <w:gridCol w:w="1559"/>
        <w:gridCol w:w="1706"/>
      </w:tblGrid>
      <w:tr w:rsidR="005649CF" w:rsidRPr="00950D73" w14:paraId="537824FC" w14:textId="77777777" w:rsidTr="0036713C">
        <w:trPr>
          <w:trHeight w:val="373"/>
        </w:trPr>
        <w:tc>
          <w:tcPr>
            <w:tcW w:w="4106" w:type="dxa"/>
            <w:vAlign w:val="bottom"/>
          </w:tcPr>
          <w:p w14:paraId="6071B722" w14:textId="24DAEE39" w:rsidR="005649CF" w:rsidRPr="00950D73" w:rsidRDefault="005649CF" w:rsidP="00A6084D">
            <w:pPr>
              <w:keepNext/>
              <w:keepLines/>
              <w:spacing w:before="60" w:after="60"/>
              <w:ind w:left="57" w:right="57"/>
              <w:jc w:val="center"/>
              <w:rPr>
                <w:rFonts w:asciiTheme="majorBidi" w:eastAsia="SimSun" w:hAnsiTheme="majorBidi" w:cstheme="majorBidi"/>
                <w:b/>
                <w:bCs/>
              </w:rPr>
            </w:pPr>
            <w:proofErr w:type="spellStart"/>
            <w:r w:rsidRPr="00950D73">
              <w:rPr>
                <w:rFonts w:asciiTheme="majorBidi" w:hAnsiTheme="majorBidi" w:cstheme="majorBidi"/>
                <w:b/>
                <w:bCs/>
              </w:rPr>
              <w:t>VRE</w:t>
            </w:r>
            <w:r w:rsidRPr="00950D73">
              <w:rPr>
                <w:rFonts w:asciiTheme="majorBidi" w:hAnsiTheme="majorBidi" w:cstheme="majorBidi"/>
                <w:b/>
                <w:bCs/>
                <w:vertAlign w:val="subscript"/>
              </w:rPr>
              <w:t>composé</w:t>
            </w:r>
            <w:proofErr w:type="spellEnd"/>
            <w:r w:rsidRPr="00950D73">
              <w:rPr>
                <w:rFonts w:asciiTheme="majorBidi" w:hAnsiTheme="majorBidi" w:cstheme="majorBidi"/>
                <w:b/>
                <w:bCs/>
              </w:rPr>
              <w:t xml:space="preserve"> Chronique (mg/</w:t>
            </w:r>
            <w:r w:rsidR="00F81DCD" w:rsidRPr="00950D73">
              <w:rPr>
                <w:rFonts w:asciiTheme="majorBidi" w:hAnsiTheme="majorBidi" w:cstheme="majorBidi"/>
                <w:b/>
                <w:bCs/>
              </w:rPr>
              <w:t>l</w:t>
            </w:r>
            <w:r w:rsidRPr="00950D73">
              <w:rPr>
                <w:rFonts w:asciiTheme="majorBidi" w:hAnsiTheme="majorBidi" w:cstheme="majorBidi"/>
                <w:b/>
                <w:bCs/>
              </w:rPr>
              <w:t>)</w:t>
            </w:r>
          </w:p>
        </w:tc>
        <w:tc>
          <w:tcPr>
            <w:tcW w:w="3265" w:type="dxa"/>
            <w:gridSpan w:val="2"/>
            <w:vAlign w:val="bottom"/>
          </w:tcPr>
          <w:p w14:paraId="058B7E47" w14:textId="77777777" w:rsidR="005649CF" w:rsidRPr="00950D73" w:rsidRDefault="005649CF" w:rsidP="00A6084D">
            <w:pPr>
              <w:keepNext/>
              <w:keepLines/>
              <w:spacing w:before="60" w:after="60"/>
              <w:ind w:left="57" w:right="57"/>
              <w:jc w:val="center"/>
              <w:rPr>
                <w:rFonts w:asciiTheme="majorBidi" w:eastAsia="SimSun" w:hAnsiTheme="majorBidi" w:cstheme="majorBidi"/>
                <w:b/>
                <w:bCs/>
              </w:rPr>
            </w:pPr>
            <w:r w:rsidRPr="00950D73">
              <w:rPr>
                <w:rFonts w:asciiTheme="majorBidi" w:hAnsiTheme="majorBidi" w:cstheme="majorBidi"/>
                <w:b/>
                <w:bCs/>
              </w:rPr>
              <w:t>Facteur de multiplication (M), toxicité chronique</w:t>
            </w:r>
          </w:p>
        </w:tc>
      </w:tr>
      <w:tr w:rsidR="005649CF" w:rsidRPr="00950D73" w14:paraId="07019E0A" w14:textId="77777777" w:rsidTr="0036713C">
        <w:trPr>
          <w:trHeight w:val="340"/>
        </w:trPr>
        <w:tc>
          <w:tcPr>
            <w:tcW w:w="4106" w:type="dxa"/>
            <w:vAlign w:val="bottom"/>
          </w:tcPr>
          <w:p w14:paraId="432FC46B" w14:textId="77777777" w:rsidR="005649CF" w:rsidRPr="00950D73" w:rsidRDefault="005649CF" w:rsidP="00A6084D">
            <w:pPr>
              <w:keepNext/>
              <w:keepLines/>
              <w:spacing w:before="60" w:after="60"/>
              <w:ind w:left="57" w:right="57"/>
              <w:jc w:val="center"/>
              <w:rPr>
                <w:rFonts w:asciiTheme="majorBidi" w:eastAsia="SimSun" w:hAnsiTheme="majorBidi" w:cstheme="majorBidi"/>
                <w:b/>
                <w:bCs/>
              </w:rPr>
            </w:pPr>
          </w:p>
        </w:tc>
        <w:tc>
          <w:tcPr>
            <w:tcW w:w="1559" w:type="dxa"/>
            <w:vAlign w:val="bottom"/>
          </w:tcPr>
          <w:p w14:paraId="1A8F13CA" w14:textId="77777777" w:rsidR="005649CF" w:rsidRPr="00950D73" w:rsidRDefault="005649CF" w:rsidP="00A6084D">
            <w:pPr>
              <w:keepNext/>
              <w:keepLines/>
              <w:spacing w:before="60" w:after="60"/>
              <w:ind w:left="57" w:right="57"/>
              <w:jc w:val="center"/>
              <w:rPr>
                <w:rFonts w:asciiTheme="majorBidi" w:eastAsia="SimSun" w:hAnsiTheme="majorBidi" w:cstheme="majorBidi"/>
                <w:b/>
                <w:bCs/>
              </w:rPr>
            </w:pPr>
            <w:r w:rsidRPr="00950D73">
              <w:rPr>
                <w:rFonts w:asciiTheme="majorBidi" w:hAnsiTheme="majorBidi" w:cstheme="majorBidi"/>
                <w:b/>
                <w:bCs/>
              </w:rPr>
              <w:t>Pas de transformation rapide dans l’environnement</w:t>
            </w:r>
          </w:p>
        </w:tc>
        <w:tc>
          <w:tcPr>
            <w:tcW w:w="1706" w:type="dxa"/>
            <w:vAlign w:val="bottom"/>
          </w:tcPr>
          <w:p w14:paraId="7DF6FAD4" w14:textId="77777777" w:rsidR="005649CF" w:rsidRPr="00950D73" w:rsidRDefault="005649CF" w:rsidP="00A6084D">
            <w:pPr>
              <w:keepNext/>
              <w:keepLines/>
              <w:spacing w:before="60" w:after="60"/>
              <w:ind w:left="57" w:right="57"/>
              <w:jc w:val="center"/>
              <w:rPr>
                <w:rFonts w:asciiTheme="majorBidi" w:eastAsia="SimSun" w:hAnsiTheme="majorBidi" w:cstheme="majorBidi"/>
                <w:b/>
                <w:bCs/>
              </w:rPr>
            </w:pPr>
            <w:r w:rsidRPr="00950D73">
              <w:rPr>
                <w:rFonts w:asciiTheme="majorBidi" w:hAnsiTheme="majorBidi" w:cstheme="majorBidi"/>
                <w:b/>
                <w:bCs/>
              </w:rPr>
              <w:t>Transformation rapide dans l’environnement</w:t>
            </w:r>
          </w:p>
        </w:tc>
      </w:tr>
      <w:tr w:rsidR="005649CF" w:rsidRPr="00950D73" w14:paraId="213D7A67" w14:textId="77777777" w:rsidTr="0036713C">
        <w:trPr>
          <w:trHeight w:val="340"/>
        </w:trPr>
        <w:tc>
          <w:tcPr>
            <w:tcW w:w="4106" w:type="dxa"/>
          </w:tcPr>
          <w:p w14:paraId="6418A565"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0,01 &lt; VRE de toxicité chronique ≤ 0,1</w:t>
            </w:r>
          </w:p>
        </w:tc>
        <w:tc>
          <w:tcPr>
            <w:tcW w:w="1559" w:type="dxa"/>
          </w:tcPr>
          <w:p w14:paraId="208E03A3"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w:t>
            </w:r>
          </w:p>
        </w:tc>
        <w:tc>
          <w:tcPr>
            <w:tcW w:w="1706" w:type="dxa"/>
          </w:tcPr>
          <w:p w14:paraId="032E45EE"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eastAsia="SimSun" w:hAnsiTheme="majorBidi" w:cstheme="majorBidi"/>
              </w:rPr>
              <w:t>-</w:t>
            </w:r>
          </w:p>
        </w:tc>
      </w:tr>
      <w:tr w:rsidR="005649CF" w:rsidRPr="00950D73" w14:paraId="05B02487" w14:textId="77777777" w:rsidTr="0036713C">
        <w:trPr>
          <w:trHeight w:val="373"/>
        </w:trPr>
        <w:tc>
          <w:tcPr>
            <w:tcW w:w="4106" w:type="dxa"/>
          </w:tcPr>
          <w:p w14:paraId="4E8D8B13"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0,001 &lt; VRE de toxicité chronique ≤ 0,01</w:t>
            </w:r>
          </w:p>
        </w:tc>
        <w:tc>
          <w:tcPr>
            <w:tcW w:w="1559" w:type="dxa"/>
          </w:tcPr>
          <w:p w14:paraId="271D3796"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10</w:t>
            </w:r>
          </w:p>
        </w:tc>
        <w:tc>
          <w:tcPr>
            <w:tcW w:w="1706" w:type="dxa"/>
          </w:tcPr>
          <w:p w14:paraId="26EA4D9C"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w:t>
            </w:r>
          </w:p>
        </w:tc>
      </w:tr>
      <w:tr w:rsidR="005649CF" w:rsidRPr="00950D73" w14:paraId="761FCFD8" w14:textId="77777777" w:rsidTr="0036713C">
        <w:trPr>
          <w:trHeight w:val="373"/>
        </w:trPr>
        <w:tc>
          <w:tcPr>
            <w:tcW w:w="4106" w:type="dxa"/>
          </w:tcPr>
          <w:p w14:paraId="51761420"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0,000 1 &lt; VRE de toxicité chronique ≤ 0,001</w:t>
            </w:r>
          </w:p>
        </w:tc>
        <w:tc>
          <w:tcPr>
            <w:tcW w:w="1559" w:type="dxa"/>
          </w:tcPr>
          <w:p w14:paraId="39EEFB99"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100</w:t>
            </w:r>
          </w:p>
        </w:tc>
        <w:tc>
          <w:tcPr>
            <w:tcW w:w="1706" w:type="dxa"/>
          </w:tcPr>
          <w:p w14:paraId="2036EC9C"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10</w:t>
            </w:r>
          </w:p>
        </w:tc>
      </w:tr>
      <w:tr w:rsidR="005649CF" w:rsidRPr="00950D73" w14:paraId="46D5FE07" w14:textId="77777777" w:rsidTr="0036713C">
        <w:trPr>
          <w:trHeight w:val="373"/>
        </w:trPr>
        <w:tc>
          <w:tcPr>
            <w:tcW w:w="4106" w:type="dxa"/>
          </w:tcPr>
          <w:p w14:paraId="3D7593FF" w14:textId="65C67F84" w:rsidR="005649CF" w:rsidRPr="00950D73" w:rsidRDefault="005649CF" w:rsidP="0036713C">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0,000 01 &lt; VRE de toxicité chronique ≤ 0,0001</w:t>
            </w:r>
          </w:p>
        </w:tc>
        <w:tc>
          <w:tcPr>
            <w:tcW w:w="1559" w:type="dxa"/>
          </w:tcPr>
          <w:p w14:paraId="62BB614C"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1 000</w:t>
            </w:r>
          </w:p>
        </w:tc>
        <w:tc>
          <w:tcPr>
            <w:tcW w:w="1706" w:type="dxa"/>
          </w:tcPr>
          <w:p w14:paraId="49907B46" w14:textId="77777777" w:rsidR="005649CF" w:rsidRPr="00950D73" w:rsidRDefault="005649CF" w:rsidP="00A6084D">
            <w:pPr>
              <w:keepNext/>
              <w:keepLines/>
              <w:spacing w:before="60" w:after="60"/>
              <w:ind w:left="57" w:right="57"/>
              <w:jc w:val="center"/>
              <w:rPr>
                <w:rFonts w:asciiTheme="majorBidi" w:eastAsia="SimSun" w:hAnsiTheme="majorBidi" w:cstheme="majorBidi"/>
              </w:rPr>
            </w:pPr>
            <w:r w:rsidRPr="00950D73">
              <w:rPr>
                <w:rFonts w:asciiTheme="majorBidi" w:hAnsiTheme="majorBidi" w:cstheme="majorBidi"/>
              </w:rPr>
              <w:t>100</w:t>
            </w:r>
          </w:p>
        </w:tc>
      </w:tr>
      <w:tr w:rsidR="005649CF" w:rsidRPr="00950D73" w14:paraId="1B98A571" w14:textId="77777777" w:rsidTr="0036713C">
        <w:trPr>
          <w:trHeight w:val="380"/>
        </w:trPr>
        <w:tc>
          <w:tcPr>
            <w:tcW w:w="4106" w:type="dxa"/>
          </w:tcPr>
          <w:p w14:paraId="1A7F24F7" w14:textId="77777777" w:rsidR="005649CF" w:rsidRPr="00950D73" w:rsidRDefault="005649CF" w:rsidP="00A6084D">
            <w:pPr>
              <w:spacing w:before="60" w:after="60"/>
              <w:ind w:left="57" w:right="57"/>
              <w:jc w:val="center"/>
              <w:rPr>
                <w:rFonts w:asciiTheme="majorBidi" w:eastAsia="SimSun" w:hAnsiTheme="majorBidi" w:cstheme="majorBidi"/>
              </w:rPr>
            </w:pPr>
            <w:r w:rsidRPr="00950D73">
              <w:rPr>
                <w:rFonts w:asciiTheme="majorBidi" w:hAnsiTheme="majorBidi" w:cstheme="majorBidi"/>
              </w:rPr>
              <w:t>(la série se poursuit au rythme d’un facteur 10 par intervalle)</w:t>
            </w:r>
          </w:p>
        </w:tc>
        <w:tc>
          <w:tcPr>
            <w:tcW w:w="1559" w:type="dxa"/>
          </w:tcPr>
          <w:p w14:paraId="1AB9EA14" w14:textId="77777777" w:rsidR="005649CF" w:rsidRPr="00950D73" w:rsidRDefault="005649CF" w:rsidP="00A6084D">
            <w:pPr>
              <w:spacing w:before="60" w:after="60"/>
              <w:ind w:left="57" w:right="57"/>
              <w:jc w:val="center"/>
              <w:rPr>
                <w:rFonts w:asciiTheme="majorBidi" w:eastAsia="SimSun" w:hAnsiTheme="majorBidi" w:cstheme="majorBidi"/>
              </w:rPr>
            </w:pPr>
          </w:p>
        </w:tc>
        <w:tc>
          <w:tcPr>
            <w:tcW w:w="1706" w:type="dxa"/>
          </w:tcPr>
          <w:p w14:paraId="6955CCA4" w14:textId="77777777" w:rsidR="005649CF" w:rsidRPr="00950D73" w:rsidRDefault="005649CF" w:rsidP="00A6084D">
            <w:pPr>
              <w:spacing w:before="60" w:after="60"/>
              <w:ind w:left="57" w:right="57"/>
              <w:jc w:val="center"/>
              <w:rPr>
                <w:rFonts w:asciiTheme="majorBidi" w:eastAsia="SimSun" w:hAnsiTheme="majorBidi" w:cstheme="majorBidi"/>
              </w:rPr>
            </w:pPr>
          </w:p>
        </w:tc>
      </w:tr>
    </w:tbl>
    <w:p w14:paraId="4A0FAF2D" w14:textId="77777777" w:rsidR="005649CF" w:rsidRPr="00950D73" w:rsidRDefault="005649CF" w:rsidP="005649CF">
      <w:pPr>
        <w:spacing w:before="120" w:after="120"/>
        <w:ind w:left="1134" w:right="1134" w:firstLine="567"/>
        <w:jc w:val="right"/>
        <w:rPr>
          <w:rFonts w:asciiTheme="majorBidi" w:hAnsiTheme="majorBidi" w:cstheme="majorBidi"/>
        </w:rPr>
      </w:pPr>
      <w:r w:rsidRPr="00950D73">
        <w:rPr>
          <w:rFonts w:asciiTheme="majorBidi" w:hAnsiTheme="majorBidi" w:cstheme="majorBidi"/>
        </w:rPr>
        <w:t>. ».</w:t>
      </w:r>
    </w:p>
    <w:p w14:paraId="1E59A89C" w14:textId="717F9837" w:rsidR="00890014" w:rsidRPr="00950D73" w:rsidRDefault="00890014" w:rsidP="00890014">
      <w:pPr>
        <w:pStyle w:val="H1G"/>
        <w:rPr>
          <w:rFonts w:asciiTheme="majorBidi" w:hAnsiTheme="majorBidi" w:cstheme="majorBidi"/>
        </w:rPr>
      </w:pPr>
      <w:r w:rsidRPr="00950D73">
        <w:rPr>
          <w:rFonts w:asciiTheme="majorBidi" w:hAnsiTheme="majorBidi" w:cstheme="majorBidi"/>
        </w:rPr>
        <w:tab/>
      </w:r>
      <w:r w:rsidRPr="00950D73">
        <w:rPr>
          <w:rFonts w:asciiTheme="majorBidi" w:hAnsiTheme="majorBidi" w:cstheme="majorBidi"/>
        </w:rPr>
        <w:tab/>
        <w:t xml:space="preserve">Annexe 9, </w:t>
      </w:r>
      <w:r w:rsidR="002D5211">
        <w:rPr>
          <w:rFonts w:asciiTheme="majorBidi" w:hAnsiTheme="majorBidi" w:cstheme="majorBidi"/>
        </w:rPr>
        <w:t>a</w:t>
      </w:r>
      <w:r w:rsidRPr="00950D73">
        <w:rPr>
          <w:rFonts w:asciiTheme="majorBidi" w:hAnsiTheme="majorBidi" w:cstheme="majorBidi"/>
        </w:rPr>
        <w:t>ppendice VI</w:t>
      </w:r>
    </w:p>
    <w:p w14:paraId="56C023FE" w14:textId="07BB810E" w:rsidR="005649CF" w:rsidRPr="00950D73" w:rsidRDefault="00890014" w:rsidP="005649CF">
      <w:pPr>
        <w:pStyle w:val="SingleTxtG"/>
        <w:rPr>
          <w:rFonts w:asciiTheme="majorBidi" w:hAnsiTheme="majorBidi" w:cstheme="majorBidi"/>
        </w:rPr>
      </w:pPr>
      <w:r w:rsidRPr="00950D73">
        <w:rPr>
          <w:rFonts w:asciiTheme="majorBidi" w:hAnsiTheme="majorBidi" w:cstheme="majorBidi"/>
        </w:rPr>
        <w:t>I</w:t>
      </w:r>
      <w:r w:rsidR="005649CF" w:rsidRPr="00950D73">
        <w:rPr>
          <w:rFonts w:asciiTheme="majorBidi" w:hAnsiTheme="majorBidi" w:cstheme="majorBidi"/>
        </w:rPr>
        <w:t xml:space="preserve">nsérer les références suivantes </w:t>
      </w:r>
      <w:r w:rsidR="00B104A7" w:rsidRPr="00950D73">
        <w:rPr>
          <w:rFonts w:asciiTheme="majorBidi" w:hAnsiTheme="majorBidi" w:cstheme="majorBidi"/>
        </w:rPr>
        <w:t xml:space="preserve">dans l’ordre alphabétique </w:t>
      </w:r>
      <w:r w:rsidR="005649CF" w:rsidRPr="00950D73">
        <w:rPr>
          <w:rFonts w:asciiTheme="majorBidi" w:hAnsiTheme="majorBidi" w:cstheme="majorBidi"/>
        </w:rPr>
        <w:t xml:space="preserve">sous le point 5. </w:t>
      </w:r>
      <w:r w:rsidRPr="00950D73">
        <w:rPr>
          <w:rFonts w:asciiTheme="majorBidi" w:hAnsiTheme="majorBidi" w:cstheme="majorBidi"/>
        </w:rPr>
        <w:t>« </w:t>
      </w:r>
      <w:r w:rsidR="00B104A7" w:rsidRPr="00950D73">
        <w:rPr>
          <w:rFonts w:asciiTheme="majorBidi" w:hAnsiTheme="majorBidi" w:cstheme="majorBidi"/>
        </w:rPr>
        <w:t>Classification des m</w:t>
      </w:r>
      <w:r w:rsidR="005649CF" w:rsidRPr="00950D73">
        <w:rPr>
          <w:rFonts w:asciiTheme="majorBidi" w:hAnsiTheme="majorBidi" w:cstheme="majorBidi"/>
        </w:rPr>
        <w:t xml:space="preserve">étaux et </w:t>
      </w:r>
      <w:r w:rsidR="00B104A7" w:rsidRPr="00950D73">
        <w:rPr>
          <w:rFonts w:asciiTheme="majorBidi" w:hAnsiTheme="majorBidi" w:cstheme="majorBidi"/>
        </w:rPr>
        <w:t xml:space="preserve">des </w:t>
      </w:r>
      <w:r w:rsidR="005649CF" w:rsidRPr="00950D73">
        <w:rPr>
          <w:rFonts w:asciiTheme="majorBidi" w:hAnsiTheme="majorBidi" w:cstheme="majorBidi"/>
        </w:rPr>
        <w:t>composés métalliques </w:t>
      </w:r>
      <w:r w:rsidRPr="00950D73">
        <w:rPr>
          <w:rFonts w:asciiTheme="majorBidi" w:hAnsiTheme="majorBidi" w:cstheme="majorBidi"/>
        </w:rPr>
        <w:t>« </w:t>
      </w:r>
      <w:r w:rsidR="005649CF" w:rsidRPr="00950D73">
        <w:rPr>
          <w:rFonts w:asciiTheme="majorBidi" w:hAnsiTheme="majorBidi" w:cstheme="majorBidi"/>
        </w:rPr>
        <w:t>:</w:t>
      </w:r>
    </w:p>
    <w:p w14:paraId="2431AE87" w14:textId="77777777" w:rsidR="005649CF" w:rsidRPr="00464F7A" w:rsidRDefault="005649CF" w:rsidP="005649CF">
      <w:pPr>
        <w:pStyle w:val="SingleTxtG"/>
        <w:rPr>
          <w:rFonts w:asciiTheme="majorBidi" w:hAnsiTheme="majorBidi" w:cstheme="majorBidi"/>
          <w:lang w:val="en-US"/>
        </w:rPr>
      </w:pPr>
      <w:r w:rsidRPr="00950D73">
        <w:rPr>
          <w:rFonts w:asciiTheme="majorBidi" w:hAnsiTheme="majorBidi" w:cstheme="majorBidi"/>
        </w:rPr>
        <w:t>« </w:t>
      </w:r>
      <w:bookmarkStart w:id="40" w:name="_Hlk126748272"/>
      <w:proofErr w:type="spellStart"/>
      <w:r w:rsidRPr="00950D73">
        <w:rPr>
          <w:rFonts w:asciiTheme="majorBidi" w:hAnsiTheme="majorBidi" w:cstheme="majorBidi"/>
        </w:rPr>
        <w:t>Garman</w:t>
      </w:r>
      <w:proofErr w:type="spellEnd"/>
      <w:r w:rsidRPr="00950D73">
        <w:rPr>
          <w:rFonts w:asciiTheme="majorBidi" w:hAnsiTheme="majorBidi" w:cstheme="majorBidi"/>
        </w:rPr>
        <w:t xml:space="preserve">, E. R., Meyer, J. S., Bergeron, C. M., </w:t>
      </w:r>
      <w:proofErr w:type="spellStart"/>
      <w:r w:rsidRPr="00950D73">
        <w:rPr>
          <w:rFonts w:asciiTheme="majorBidi" w:hAnsiTheme="majorBidi" w:cstheme="majorBidi"/>
        </w:rPr>
        <w:t>Blewett</w:t>
      </w:r>
      <w:proofErr w:type="spellEnd"/>
      <w:r w:rsidRPr="00950D73">
        <w:rPr>
          <w:rFonts w:asciiTheme="majorBidi" w:hAnsiTheme="majorBidi" w:cstheme="majorBidi"/>
        </w:rPr>
        <w:t xml:space="preserve">, T. A., Clements, W. H., Elias, M. C., Farley, K. J., </w:t>
      </w:r>
      <w:proofErr w:type="spellStart"/>
      <w:r w:rsidRPr="00950D73">
        <w:rPr>
          <w:rFonts w:asciiTheme="majorBidi" w:hAnsiTheme="majorBidi" w:cstheme="majorBidi"/>
        </w:rPr>
        <w:t>Gissi</w:t>
      </w:r>
      <w:proofErr w:type="spellEnd"/>
      <w:r w:rsidRPr="00950D73">
        <w:rPr>
          <w:rFonts w:asciiTheme="majorBidi" w:hAnsiTheme="majorBidi" w:cstheme="majorBidi"/>
        </w:rPr>
        <w:t xml:space="preserve">, F. et Ryan, A. C. (2020), Validation of </w:t>
      </w:r>
      <w:proofErr w:type="spellStart"/>
      <w:r w:rsidRPr="00950D73">
        <w:rPr>
          <w:rFonts w:asciiTheme="majorBidi" w:hAnsiTheme="majorBidi" w:cstheme="majorBidi"/>
        </w:rPr>
        <w:t>Bioavailability‐Based</w:t>
      </w:r>
      <w:proofErr w:type="spellEnd"/>
      <w:r w:rsidRPr="00950D73">
        <w:rPr>
          <w:rFonts w:asciiTheme="majorBidi" w:hAnsiTheme="majorBidi" w:cstheme="majorBidi"/>
        </w:rPr>
        <w:t xml:space="preserve"> </w:t>
      </w:r>
      <w:proofErr w:type="spellStart"/>
      <w:r w:rsidRPr="00950D73">
        <w:rPr>
          <w:rFonts w:asciiTheme="majorBidi" w:hAnsiTheme="majorBidi" w:cstheme="majorBidi"/>
        </w:rPr>
        <w:t>Toxicity</w:t>
      </w:r>
      <w:proofErr w:type="spellEnd"/>
      <w:r w:rsidRPr="00950D73">
        <w:rPr>
          <w:rFonts w:asciiTheme="majorBidi" w:hAnsiTheme="majorBidi" w:cstheme="majorBidi"/>
        </w:rPr>
        <w:t xml:space="preserve"> </w:t>
      </w:r>
      <w:proofErr w:type="spellStart"/>
      <w:r w:rsidRPr="00950D73">
        <w:rPr>
          <w:rFonts w:asciiTheme="majorBidi" w:hAnsiTheme="majorBidi" w:cstheme="majorBidi"/>
        </w:rPr>
        <w:t>Models</w:t>
      </w:r>
      <w:proofErr w:type="spellEnd"/>
      <w:r w:rsidRPr="00950D73">
        <w:rPr>
          <w:rFonts w:asciiTheme="majorBidi" w:hAnsiTheme="majorBidi" w:cstheme="majorBidi"/>
        </w:rPr>
        <w:t xml:space="preserve"> for </w:t>
      </w:r>
      <w:proofErr w:type="spellStart"/>
      <w:r w:rsidRPr="00950D73">
        <w:rPr>
          <w:rFonts w:asciiTheme="majorBidi" w:hAnsiTheme="majorBidi" w:cstheme="majorBidi"/>
        </w:rPr>
        <w:t>Metals</w:t>
      </w:r>
      <w:proofErr w:type="spellEnd"/>
      <w:r w:rsidRPr="00950D73">
        <w:rPr>
          <w:rFonts w:asciiTheme="majorBidi" w:hAnsiTheme="majorBidi" w:cstheme="majorBidi"/>
        </w:rPr>
        <w:t xml:space="preserve">. </w:t>
      </w:r>
      <w:r w:rsidRPr="00464F7A">
        <w:rPr>
          <w:rFonts w:asciiTheme="majorBidi" w:hAnsiTheme="majorBidi" w:cstheme="majorBidi"/>
          <w:lang w:val="en-US"/>
        </w:rPr>
        <w:t>Environmental Toxicology and Chemistry 39: 101-117.</w:t>
      </w:r>
      <w:bookmarkEnd w:id="40"/>
    </w:p>
    <w:p w14:paraId="2101300F" w14:textId="77777777" w:rsidR="005649CF" w:rsidRPr="00950D73" w:rsidRDefault="005649CF" w:rsidP="005649CF">
      <w:pPr>
        <w:pStyle w:val="SingleTxtG"/>
        <w:rPr>
          <w:rFonts w:asciiTheme="majorBidi" w:hAnsiTheme="majorBidi" w:cstheme="majorBidi"/>
        </w:rPr>
      </w:pPr>
      <w:r w:rsidRPr="00464F7A">
        <w:rPr>
          <w:rFonts w:asciiTheme="majorBidi" w:hAnsiTheme="majorBidi" w:cstheme="majorBidi"/>
          <w:lang w:val="en-US"/>
        </w:rPr>
        <w:t xml:space="preserve">OCDE (2015). Guidance on selecting a strategy for assessing the ecological risk of organometallic and organic metal salt substances based on their environmental fate. </w:t>
      </w:r>
      <w:r w:rsidRPr="00950D73">
        <w:rPr>
          <w:rFonts w:asciiTheme="majorBidi" w:hAnsiTheme="majorBidi" w:cstheme="majorBidi"/>
        </w:rPr>
        <w:t xml:space="preserve">Série de l’OCDE sur les essais et </w:t>
      </w:r>
      <w:r w:rsidRPr="00950D73">
        <w:rPr>
          <w:rFonts w:asciiTheme="majorBidi" w:hAnsiTheme="majorBidi" w:cstheme="majorBidi"/>
        </w:rPr>
        <w:lastRenderedPageBreak/>
        <w:t xml:space="preserve">l’évaluation </w:t>
      </w:r>
      <w:r w:rsidRPr="00950D73">
        <w:rPr>
          <w:rFonts w:asciiTheme="majorBidi" w:eastAsia="MS Mincho" w:hAnsiTheme="majorBidi" w:cstheme="majorBidi"/>
        </w:rPr>
        <w:t>n</w:t>
      </w:r>
      <w:r w:rsidRPr="00950D73">
        <w:rPr>
          <w:rFonts w:asciiTheme="majorBidi" w:eastAsia="MS Mincho" w:hAnsiTheme="majorBidi" w:cstheme="majorBidi"/>
          <w:vertAlign w:val="superscript"/>
        </w:rPr>
        <w:t>o</w:t>
      </w:r>
      <w:r w:rsidRPr="00950D73">
        <w:rPr>
          <w:rFonts w:asciiTheme="majorBidi" w:hAnsiTheme="majorBidi" w:cstheme="majorBidi"/>
        </w:rPr>
        <w:t xml:space="preserve"> 212. OCDE, Paris (France).</w:t>
      </w:r>
    </w:p>
    <w:p w14:paraId="459D8012" w14:textId="77777777" w:rsidR="005649CF" w:rsidRPr="00950D73" w:rsidRDefault="005649CF" w:rsidP="005649CF">
      <w:pPr>
        <w:pStyle w:val="SingleTxtG"/>
        <w:rPr>
          <w:rFonts w:asciiTheme="majorBidi" w:hAnsiTheme="majorBidi" w:cstheme="majorBidi"/>
        </w:rPr>
      </w:pPr>
      <w:r w:rsidRPr="00464F7A">
        <w:rPr>
          <w:rFonts w:asciiTheme="majorBidi" w:hAnsiTheme="majorBidi" w:cstheme="majorBidi"/>
          <w:lang w:val="en-US"/>
        </w:rPr>
        <w:t xml:space="preserve">Tipping, E., Lofts, S., et </w:t>
      </w:r>
      <w:proofErr w:type="spellStart"/>
      <w:r w:rsidRPr="00464F7A">
        <w:rPr>
          <w:rFonts w:asciiTheme="majorBidi" w:hAnsiTheme="majorBidi" w:cstheme="majorBidi"/>
          <w:lang w:val="en-US"/>
        </w:rPr>
        <w:t>Sonke</w:t>
      </w:r>
      <w:proofErr w:type="spellEnd"/>
      <w:r w:rsidRPr="00464F7A">
        <w:rPr>
          <w:rFonts w:asciiTheme="majorBidi" w:hAnsiTheme="majorBidi" w:cstheme="majorBidi"/>
          <w:lang w:val="en-US"/>
        </w:rPr>
        <w:t xml:space="preserve">, J. E. (2011). </w:t>
      </w:r>
      <w:proofErr w:type="spellStart"/>
      <w:r w:rsidRPr="00464F7A">
        <w:rPr>
          <w:rFonts w:asciiTheme="majorBidi" w:hAnsiTheme="majorBidi" w:cstheme="majorBidi"/>
          <w:lang w:val="en-US"/>
        </w:rPr>
        <w:t>Humic</w:t>
      </w:r>
      <w:proofErr w:type="spellEnd"/>
      <w:r w:rsidRPr="00464F7A">
        <w:rPr>
          <w:rFonts w:asciiTheme="majorBidi" w:hAnsiTheme="majorBidi" w:cstheme="majorBidi"/>
          <w:lang w:val="en-US"/>
        </w:rPr>
        <w:t xml:space="preserve"> Ion-Binding Model VII: a revised </w:t>
      </w:r>
      <w:proofErr w:type="spellStart"/>
      <w:r w:rsidRPr="00464F7A">
        <w:rPr>
          <w:rFonts w:asciiTheme="majorBidi" w:hAnsiTheme="majorBidi" w:cstheme="majorBidi"/>
          <w:lang w:val="en-US"/>
        </w:rPr>
        <w:t>parameterisation</w:t>
      </w:r>
      <w:proofErr w:type="spellEnd"/>
      <w:r w:rsidRPr="00464F7A">
        <w:rPr>
          <w:rFonts w:asciiTheme="majorBidi" w:hAnsiTheme="majorBidi" w:cstheme="majorBidi"/>
          <w:lang w:val="en-US"/>
        </w:rPr>
        <w:t xml:space="preserve"> of cation-binding by </w:t>
      </w:r>
      <w:proofErr w:type="spellStart"/>
      <w:r w:rsidRPr="00464F7A">
        <w:rPr>
          <w:rFonts w:asciiTheme="majorBidi" w:hAnsiTheme="majorBidi" w:cstheme="majorBidi"/>
          <w:lang w:val="en-US"/>
        </w:rPr>
        <w:t>humic</w:t>
      </w:r>
      <w:proofErr w:type="spellEnd"/>
      <w:r w:rsidRPr="00464F7A">
        <w:rPr>
          <w:rFonts w:asciiTheme="majorBidi" w:hAnsiTheme="majorBidi" w:cstheme="majorBidi"/>
          <w:lang w:val="en-US"/>
        </w:rPr>
        <w:t xml:space="preserve"> substances. </w:t>
      </w:r>
      <w:proofErr w:type="spellStart"/>
      <w:r w:rsidRPr="00950D73">
        <w:rPr>
          <w:rFonts w:asciiTheme="majorBidi" w:hAnsiTheme="majorBidi" w:cstheme="majorBidi"/>
        </w:rPr>
        <w:t>Environmental</w:t>
      </w:r>
      <w:proofErr w:type="spellEnd"/>
      <w:r w:rsidRPr="00950D73">
        <w:rPr>
          <w:rFonts w:asciiTheme="majorBidi" w:hAnsiTheme="majorBidi" w:cstheme="majorBidi"/>
        </w:rPr>
        <w:t xml:space="preserve"> Chemistry 8: 225</w:t>
      </w:r>
      <w:r w:rsidRPr="00950D73">
        <w:rPr>
          <w:rFonts w:asciiTheme="majorBidi" w:hAnsiTheme="majorBidi" w:cstheme="majorBidi"/>
        </w:rPr>
        <w:noBreakHyphen/>
        <w:t>235. ».</w:t>
      </w:r>
    </w:p>
    <w:p w14:paraId="46471D76" w14:textId="77777777" w:rsidR="005649CF" w:rsidRPr="00950D73" w:rsidRDefault="005649CF" w:rsidP="005649CF">
      <w:pPr>
        <w:spacing w:after="200" w:line="276" w:lineRule="auto"/>
        <w:rPr>
          <w:rFonts w:asciiTheme="majorBidi" w:hAnsiTheme="majorBidi" w:cstheme="majorBidi"/>
          <w:b/>
          <w:sz w:val="28"/>
        </w:rPr>
      </w:pPr>
      <w:r w:rsidRPr="00950D73">
        <w:rPr>
          <w:rFonts w:asciiTheme="majorBidi" w:hAnsiTheme="majorBidi" w:cstheme="majorBidi"/>
        </w:rPr>
        <w:br w:type="page"/>
      </w:r>
    </w:p>
    <w:p w14:paraId="3142196D" w14:textId="3F8B5EDD" w:rsidR="005649CF" w:rsidRPr="00950D73" w:rsidRDefault="005649CF" w:rsidP="005649CF">
      <w:pPr>
        <w:pStyle w:val="H1G"/>
        <w:rPr>
          <w:rFonts w:asciiTheme="majorBidi" w:hAnsiTheme="majorBidi" w:cstheme="majorBidi"/>
        </w:rPr>
      </w:pPr>
      <w:r w:rsidRPr="00950D73">
        <w:rPr>
          <w:rFonts w:asciiTheme="majorBidi" w:hAnsiTheme="majorBidi" w:cstheme="majorBidi"/>
        </w:rPr>
        <w:lastRenderedPageBreak/>
        <w:tab/>
      </w:r>
      <w:r w:rsidRPr="00950D73">
        <w:rPr>
          <w:rFonts w:asciiTheme="majorBidi" w:hAnsiTheme="majorBidi" w:cstheme="majorBidi"/>
        </w:rPr>
        <w:tab/>
      </w:r>
      <w:r w:rsidR="00F81DCD" w:rsidRPr="00950D73">
        <w:rPr>
          <w:rFonts w:asciiTheme="majorBidi" w:hAnsiTheme="majorBidi" w:cstheme="majorBidi"/>
        </w:rPr>
        <w:t>A</w:t>
      </w:r>
      <w:r w:rsidRPr="00950D73">
        <w:rPr>
          <w:rFonts w:asciiTheme="majorBidi" w:hAnsiTheme="majorBidi" w:cstheme="majorBidi"/>
        </w:rPr>
        <w:t>nnexe 10</w:t>
      </w:r>
    </w:p>
    <w:p w14:paraId="4FD6311B" w14:textId="67F8E7B6" w:rsidR="005649CF" w:rsidRPr="00950D73" w:rsidRDefault="005649CF" w:rsidP="005649CF">
      <w:pPr>
        <w:pStyle w:val="SingleTxtG"/>
        <w:tabs>
          <w:tab w:val="clear" w:pos="1701"/>
        </w:tabs>
        <w:ind w:left="2268" w:hanging="1134"/>
        <w:rPr>
          <w:rFonts w:asciiTheme="majorBidi" w:hAnsiTheme="majorBidi" w:cstheme="majorBidi"/>
        </w:rPr>
      </w:pPr>
      <w:r w:rsidRPr="00950D73">
        <w:rPr>
          <w:rFonts w:asciiTheme="majorBidi" w:hAnsiTheme="majorBidi" w:cstheme="majorBidi"/>
        </w:rPr>
        <w:t>A10.1</w:t>
      </w:r>
      <w:r w:rsidRPr="00950D73">
        <w:rPr>
          <w:rFonts w:asciiTheme="majorBidi" w:hAnsiTheme="majorBidi" w:cstheme="majorBidi"/>
        </w:rPr>
        <w:tab/>
      </w:r>
      <w:r w:rsidR="00DF7F12" w:rsidRPr="00950D73">
        <w:rPr>
          <w:rFonts w:asciiTheme="majorBidi" w:hAnsiTheme="majorBidi" w:cstheme="majorBidi"/>
        </w:rPr>
        <w:t xml:space="preserve">Remplacer </w:t>
      </w:r>
      <w:r w:rsidR="0066360A" w:rsidRPr="00950D73">
        <w:rPr>
          <w:rFonts w:asciiTheme="majorBidi" w:hAnsiTheme="majorBidi" w:cstheme="majorBidi"/>
        </w:rPr>
        <w:t xml:space="preserve">les deux dernières </w:t>
      </w:r>
      <w:r w:rsidR="00DF7F12" w:rsidRPr="00950D73">
        <w:rPr>
          <w:rFonts w:asciiTheme="majorBidi" w:hAnsiTheme="majorBidi" w:cstheme="majorBidi"/>
        </w:rPr>
        <w:t xml:space="preserve">phrases du paragraphe </w:t>
      </w:r>
      <w:r w:rsidR="00DD30E2" w:rsidRPr="00950D73">
        <w:rPr>
          <w:rFonts w:asciiTheme="majorBidi" w:hAnsiTheme="majorBidi" w:cstheme="majorBidi"/>
        </w:rPr>
        <w:t>(« </w:t>
      </w:r>
      <w:r w:rsidR="009013C6" w:rsidRPr="00950D73">
        <w:rPr>
          <w:rFonts w:asciiTheme="majorBidi" w:hAnsiTheme="majorBidi" w:cstheme="majorBidi"/>
        </w:rPr>
        <w:t>Cette orientation…(</w:t>
      </w:r>
      <w:r w:rsidR="00DD30E2" w:rsidRPr="00950D73">
        <w:rPr>
          <w:rFonts w:asciiTheme="majorBidi" w:hAnsiTheme="majorBidi" w:cstheme="majorBidi"/>
        </w:rPr>
        <w:t xml:space="preserve">voir références 5 à 11) » </w:t>
      </w:r>
      <w:r w:rsidR="00DF7F12" w:rsidRPr="00950D73">
        <w:rPr>
          <w:rFonts w:asciiTheme="majorBidi" w:hAnsiTheme="majorBidi" w:cstheme="majorBidi"/>
        </w:rPr>
        <w:t>par ce qui suit </w:t>
      </w:r>
      <w:r w:rsidRPr="00950D73">
        <w:rPr>
          <w:rFonts w:asciiTheme="majorBidi" w:hAnsiTheme="majorBidi" w:cstheme="majorBidi"/>
        </w:rPr>
        <w:t xml:space="preserve">: </w:t>
      </w:r>
    </w:p>
    <w:p w14:paraId="6726AFB9" w14:textId="44300028"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Ce document guide pour les essais est le fruit d’une initiative internationale coordonnée par l’OCDE, destinée à la mise au point d’une approche pour les essais de toxicité et l’interprétation des données se rapportant aux métaux et aux composés métalliques minéraux peu solubles (référence 1 de la présente annexe et section A9.7 de l’annexe 9). Il se fonde sur des travaux expérimentaux menés concernant plusieurs métaux et composés métalliques et consignés dans différents rapports (voir références 5 à 15</w:t>
      </w:r>
      <w:r w:rsidR="007B1D37" w:rsidRPr="00950D73">
        <w:rPr>
          <w:rFonts w:asciiTheme="majorBidi" w:hAnsiTheme="majorBidi" w:cstheme="majorBidi"/>
        </w:rPr>
        <w:t xml:space="preserve"> de la présente annexe</w:t>
      </w:r>
      <w:r w:rsidRPr="00950D73">
        <w:rPr>
          <w:rFonts w:asciiTheme="majorBidi" w:hAnsiTheme="majorBidi" w:cstheme="majorBidi"/>
        </w:rPr>
        <w:t>). En outre, il a été publié comme document d’orientation par l’OCDE (référence 16). ».</w:t>
      </w:r>
    </w:p>
    <w:p w14:paraId="52304105"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A10.1.2</w:t>
      </w:r>
      <w:r w:rsidRPr="00950D73">
        <w:rPr>
          <w:rFonts w:asciiTheme="majorBidi" w:hAnsiTheme="majorBidi" w:cstheme="majorBidi"/>
        </w:rPr>
        <w:tab/>
        <w:t>Modification sans objet en français.</w:t>
      </w:r>
    </w:p>
    <w:p w14:paraId="203B3D7A"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A10.1.4</w:t>
      </w:r>
      <w:r w:rsidRPr="00950D73">
        <w:rPr>
          <w:rFonts w:asciiTheme="majorBidi" w:hAnsiTheme="majorBidi" w:cstheme="majorBidi"/>
        </w:rPr>
        <w:tab/>
        <w:t>Ajouter le nouveau paragraphe suivant :</w:t>
      </w:r>
    </w:p>
    <w:p w14:paraId="1BB230F0" w14:textId="77777777" w:rsidR="005649CF" w:rsidRPr="00950D73" w:rsidRDefault="005649CF" w:rsidP="00F81DCD">
      <w:pPr>
        <w:pStyle w:val="SingleTxtG"/>
        <w:ind w:left="2268"/>
        <w:rPr>
          <w:rFonts w:asciiTheme="majorBidi" w:hAnsiTheme="majorBidi" w:cstheme="majorBidi"/>
        </w:rPr>
      </w:pPr>
      <w:r w:rsidRPr="00950D73">
        <w:rPr>
          <w:rFonts w:asciiTheme="majorBidi" w:hAnsiTheme="majorBidi" w:cstheme="majorBidi"/>
        </w:rPr>
        <w:t>« A10.1.4</w:t>
      </w:r>
      <w:r w:rsidRPr="00950D73">
        <w:rPr>
          <w:rFonts w:asciiTheme="majorBidi" w:hAnsiTheme="majorBidi" w:cstheme="majorBidi"/>
        </w:rPr>
        <w:tab/>
        <w:t>Ce document guide pour les essais n’est pas applicable aux composés organométalliques. ».</w:t>
      </w:r>
    </w:p>
    <w:p w14:paraId="1E0C22D5" w14:textId="0887ED7F"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A10.2.2.1</w:t>
      </w:r>
      <w:r w:rsidRPr="00950D73">
        <w:rPr>
          <w:rFonts w:asciiTheme="majorBidi" w:hAnsiTheme="majorBidi" w:cstheme="majorBidi"/>
        </w:rPr>
        <w:tab/>
        <w:t>Modifier la fin de la dernière phrase comme suit : « </w:t>
      </w:r>
      <w:r w:rsidR="00E03C23" w:rsidRPr="00950D73">
        <w:rPr>
          <w:rFonts w:asciiTheme="majorBidi" w:hAnsiTheme="majorBidi" w:cstheme="majorBidi"/>
        </w:rPr>
        <w:t>…</w:t>
      </w:r>
      <w:r w:rsidRPr="00950D73">
        <w:rPr>
          <w:rFonts w:asciiTheme="majorBidi" w:hAnsiTheme="majorBidi" w:cstheme="majorBidi"/>
        </w:rPr>
        <w:t>ne peut être distingué de celui des formes solubles, et de vérifier si la dissolution dépend du pH, en préparation de l’essai de transformation/dissolution (voir A9.7.2.3). ».</w:t>
      </w:r>
    </w:p>
    <w:p w14:paraId="52A10F55" w14:textId="791A7D8F"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A10.2.3.1</w:t>
      </w:r>
      <w:r w:rsidRPr="00950D73">
        <w:rPr>
          <w:rFonts w:asciiTheme="majorBidi" w:hAnsiTheme="majorBidi" w:cstheme="majorBidi"/>
        </w:rPr>
        <w:tab/>
        <w:t>Modifier la fin du paragraphe comme suit : « </w:t>
      </w:r>
      <w:r w:rsidR="00AA6504" w:rsidRPr="00950D73">
        <w:rPr>
          <w:rFonts w:asciiTheme="majorBidi" w:hAnsiTheme="majorBidi" w:cstheme="majorBidi"/>
        </w:rPr>
        <w:t>…</w:t>
      </w:r>
      <w:r w:rsidR="00E27964" w:rsidRPr="00950D73">
        <w:rPr>
          <w:rFonts w:asciiTheme="majorBidi" w:hAnsiTheme="majorBidi" w:cstheme="majorBidi"/>
        </w:rPr>
        <w:t>28 jours</w:t>
      </w:r>
      <w:r w:rsidRPr="00950D73">
        <w:rPr>
          <w:rFonts w:asciiTheme="majorBidi" w:hAnsiTheme="majorBidi" w:cstheme="majorBidi"/>
        </w:rPr>
        <w:t>, conduit avec une concentration de 1 mg/l</w:t>
      </w:r>
      <w:bookmarkStart w:id="41" w:name="_Hlk126749204"/>
      <w:r w:rsidRPr="00950D73">
        <w:rPr>
          <w:rFonts w:asciiTheme="majorBidi" w:hAnsiTheme="majorBidi" w:cstheme="majorBidi"/>
        </w:rPr>
        <w:t>, de 0,1 mg/l ou de 0,01 mg/l, selon la vitesse de transformation.</w:t>
      </w:r>
      <w:bookmarkEnd w:id="41"/>
      <w:r w:rsidRPr="00950D73">
        <w:rPr>
          <w:rFonts w:asciiTheme="majorBidi" w:hAnsiTheme="majorBidi" w:cstheme="majorBidi"/>
        </w:rPr>
        <w:t> ».</w:t>
      </w:r>
    </w:p>
    <w:p w14:paraId="07D61470"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A10.2.3.2</w:t>
      </w:r>
      <w:r w:rsidRPr="00950D73">
        <w:rPr>
          <w:rFonts w:asciiTheme="majorBidi" w:hAnsiTheme="majorBidi" w:cstheme="majorBidi"/>
        </w:rPr>
        <w:tab/>
        <w:t>Modifier la dernière phrase comme suit :</w:t>
      </w:r>
    </w:p>
    <w:p w14:paraId="3ADAB706" w14:textId="5CD88F9E"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w:t>
      </w:r>
      <w:r w:rsidR="00C058BD" w:rsidRPr="00950D73">
        <w:rPr>
          <w:rFonts w:asciiTheme="majorBidi" w:hAnsiTheme="majorBidi" w:cstheme="majorBidi"/>
        </w:rPr>
        <w:t>…</w:t>
      </w:r>
      <w:r w:rsidRPr="00950D73">
        <w:rPr>
          <w:rFonts w:asciiTheme="majorBidi" w:hAnsiTheme="majorBidi" w:cstheme="majorBidi"/>
        </w:rPr>
        <w:t xml:space="preserve">sauf pour l’essai de 28 jours, qu’il est recommandé d’effectuer dans une gamme de pH </w:t>
      </w:r>
      <w:r w:rsidRPr="00950D73">
        <w:rPr>
          <w:rFonts w:asciiTheme="majorBidi" w:hAnsiTheme="majorBidi" w:cstheme="majorBidi"/>
        </w:rPr>
        <w:lastRenderedPageBreak/>
        <w:t>comprise entre 5,5 et 8,5, si les conditions techniques le permettent, aux fins de la prise en compte des éventuels effets à long terme dans les lacs acides. ».</w:t>
      </w:r>
    </w:p>
    <w:p w14:paraId="73AC2CB4"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A10.2.3.3</w:t>
      </w:r>
      <w:r w:rsidRPr="00950D73">
        <w:rPr>
          <w:rFonts w:asciiTheme="majorBidi" w:hAnsiTheme="majorBidi" w:cstheme="majorBidi"/>
        </w:rPr>
        <w:tab/>
        <w:t xml:space="preserve">Dans la première phrase, remplacer « tandis que les échantillons en masse sont testés » par « tandis que les formes en masse sont testées ». </w:t>
      </w:r>
    </w:p>
    <w:p w14:paraId="2F3BF931"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Ajouter la phrase suivante à la fin du paragraphe existant : « En outre, le matériau soumis à essai devrait être exempt de couches d’oxydation ou de corrosion dues au stockage, lesquelles peuvent faire varier la vitesse de transformation. Un prétraitement approprié des échantillons est recommandé. ».</w:t>
      </w:r>
    </w:p>
    <w:p w14:paraId="2AD393C2"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A10.4 f)</w:t>
      </w:r>
      <w:r w:rsidRPr="00950D73">
        <w:rPr>
          <w:rFonts w:asciiTheme="majorBidi" w:hAnsiTheme="majorBidi" w:cstheme="majorBidi"/>
        </w:rPr>
        <w:tab/>
        <w:t>Modifier la fin de la phrase comme suit : « ou une technique équivalente, et distribution des dimensions particulaires ; ».</w:t>
      </w:r>
    </w:p>
    <w:p w14:paraId="11D853D8" w14:textId="77777777" w:rsidR="005649CF" w:rsidRPr="00950D73" w:rsidRDefault="005649CF" w:rsidP="005649CF">
      <w:pPr>
        <w:pStyle w:val="SingleTxtG"/>
        <w:tabs>
          <w:tab w:val="clear" w:pos="1701"/>
        </w:tabs>
        <w:ind w:left="2268" w:hanging="1134"/>
        <w:rPr>
          <w:rFonts w:asciiTheme="majorBidi" w:hAnsiTheme="majorBidi" w:cstheme="majorBidi"/>
        </w:rPr>
      </w:pPr>
      <w:r w:rsidRPr="00950D73">
        <w:rPr>
          <w:rFonts w:asciiTheme="majorBidi" w:hAnsiTheme="majorBidi" w:cstheme="majorBidi"/>
        </w:rPr>
        <w:t>A10.5</w:t>
      </w:r>
      <w:r w:rsidRPr="00950D73">
        <w:rPr>
          <w:rFonts w:asciiTheme="majorBidi" w:hAnsiTheme="majorBidi" w:cstheme="majorBidi"/>
        </w:rPr>
        <w:tab/>
        <w:t xml:space="preserve">À l’alinéa d), supprimer « agitateur à pales verticales, ». </w:t>
      </w:r>
    </w:p>
    <w:p w14:paraId="33153B32"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Modifier l’alinéa e) comme suit : </w:t>
      </w:r>
    </w:p>
    <w:p w14:paraId="508CA9B5" w14:textId="52DE15F8"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w:t>
      </w:r>
      <w:r w:rsidR="00111737" w:rsidRPr="00950D73">
        <w:rPr>
          <w:rFonts w:asciiTheme="majorBidi" w:hAnsiTheme="majorBidi" w:cstheme="majorBidi"/>
        </w:rPr>
        <w:t>e)</w:t>
      </w:r>
      <w:r w:rsidR="00111737" w:rsidRPr="00950D73">
        <w:rPr>
          <w:rFonts w:asciiTheme="majorBidi" w:hAnsiTheme="majorBidi" w:cstheme="majorBidi"/>
        </w:rPr>
        <w:tab/>
      </w:r>
      <w:r w:rsidRPr="00950D73">
        <w:rPr>
          <w:rFonts w:asciiTheme="majorBidi" w:hAnsiTheme="majorBidi" w:cstheme="majorBidi"/>
        </w:rPr>
        <w:t xml:space="preserve">Filtres appropriés (par exemple </w:t>
      </w:r>
      <w:proofErr w:type="spellStart"/>
      <w:r w:rsidRPr="00950D73">
        <w:rPr>
          <w:rFonts w:asciiTheme="majorBidi" w:hAnsiTheme="majorBidi" w:cstheme="majorBidi"/>
        </w:rPr>
        <w:t>Acrodisc</w:t>
      </w:r>
      <w:proofErr w:type="spellEnd"/>
      <w:r w:rsidRPr="00950D73">
        <w:rPr>
          <w:rFonts w:asciiTheme="majorBidi" w:hAnsiTheme="majorBidi" w:cstheme="majorBidi"/>
        </w:rPr>
        <w:t xml:space="preserve"> à 0,2 µm) ou centrifugeuse pour la séparation solide/liquide (par</w:t>
      </w:r>
      <w:r w:rsidR="005E358B">
        <w:rPr>
          <w:rFonts w:asciiTheme="majorBidi" w:hAnsiTheme="majorBidi" w:cstheme="majorBidi"/>
        </w:rPr>
        <w:t>agraphe</w:t>
      </w:r>
      <w:r w:rsidRPr="00950D73">
        <w:rPr>
          <w:rFonts w:asciiTheme="majorBidi" w:hAnsiTheme="majorBidi" w:cstheme="majorBidi"/>
        </w:rPr>
        <w:t xml:space="preserve"> A10.5.1.10). Le filtre devrait être rincé au moins trois fois avec un milieu liquide changé à chaque fois, l’objectif étant d’éviter la présence de concentrations notables de métaux en traces dans l’échantillon à l’instant 0 ; ».</w:t>
      </w:r>
    </w:p>
    <w:p w14:paraId="02CACEA7" w14:textId="77777777" w:rsidR="000416B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Modifier l’alinéa k) comme suit : </w:t>
      </w:r>
    </w:p>
    <w:p w14:paraId="3F57559A" w14:textId="4A142B38"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 Appareillage d’analyse des métaux (par exemple spectromètre d’adsorption atomique, spectromètre de masse à plasma à couplage inductif) de précision acceptable, ayant de préférence une limite de quantification cinq fois moins élevée que la plus faible valeur de référence </w:t>
      </w:r>
      <w:proofErr w:type="spellStart"/>
      <w:r w:rsidRPr="00950D73">
        <w:rPr>
          <w:rFonts w:asciiTheme="majorBidi" w:hAnsiTheme="majorBidi" w:cstheme="majorBidi"/>
        </w:rPr>
        <w:t>écotoxicologique</w:t>
      </w:r>
      <w:proofErr w:type="spellEnd"/>
      <w:r w:rsidRPr="00950D73">
        <w:rPr>
          <w:rFonts w:asciiTheme="majorBidi" w:hAnsiTheme="majorBidi" w:cstheme="majorBidi"/>
        </w:rPr>
        <w:t xml:space="preserve"> de toxicité chronique ou que la plus faible valeur de référence </w:t>
      </w:r>
      <w:proofErr w:type="spellStart"/>
      <w:r w:rsidRPr="00950D73">
        <w:rPr>
          <w:rFonts w:asciiTheme="majorBidi" w:hAnsiTheme="majorBidi" w:cstheme="majorBidi"/>
        </w:rPr>
        <w:t>écotoxicologique</w:t>
      </w:r>
      <w:proofErr w:type="spellEnd"/>
      <w:r w:rsidRPr="00950D73">
        <w:rPr>
          <w:rFonts w:asciiTheme="majorBidi" w:hAnsiTheme="majorBidi" w:cstheme="majorBidi"/>
        </w:rPr>
        <w:t xml:space="preserve"> de toxicité aiguë si un essai de 7 jours seulement est effectué ; ».</w:t>
      </w:r>
    </w:p>
    <w:p w14:paraId="147BCE6A"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lastRenderedPageBreak/>
        <w:t>A10.5.1.2</w:t>
      </w:r>
      <w:r w:rsidRPr="00950D73">
        <w:rPr>
          <w:rFonts w:asciiTheme="majorBidi" w:hAnsiTheme="majorBidi" w:cstheme="majorBidi"/>
        </w:rPr>
        <w:tab/>
        <w:t xml:space="preserve">Remplacer le texte entre parenthèses dans la première phrase par « (par exemple </w:t>
      </w:r>
      <w:proofErr w:type="spellStart"/>
      <w:r w:rsidRPr="00950D73">
        <w:rPr>
          <w:rFonts w:asciiTheme="majorBidi" w:hAnsiTheme="majorBidi" w:cstheme="majorBidi"/>
        </w:rPr>
        <w:t>HCl</w:t>
      </w:r>
      <w:proofErr w:type="spellEnd"/>
      <w:r w:rsidRPr="00950D73">
        <w:rPr>
          <w:rFonts w:asciiTheme="majorBidi" w:hAnsiTheme="majorBidi" w:cstheme="majorBidi"/>
        </w:rPr>
        <w:t xml:space="preserve"> ou eau régale) ».</w:t>
      </w:r>
    </w:p>
    <w:p w14:paraId="6CAA6756"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Insérer la nouvelle phrase suivante après la première phrase : « Le type de matériel en verre doit être choisi avec un soin particulier lorsque les métaux sont susceptibles d’être libérés. ».</w:t>
      </w:r>
    </w:p>
    <w:p w14:paraId="604B3C3C"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Le reste du paragraphe (« Le réacteur expérimental ... dans un récipient de 2,8 l). » demeure inchangé.</w:t>
      </w:r>
    </w:p>
    <w:p w14:paraId="4152BC83"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A10.5.1.4</w:t>
      </w:r>
      <w:r w:rsidRPr="00950D73">
        <w:rPr>
          <w:rFonts w:asciiTheme="majorBidi" w:hAnsiTheme="majorBidi" w:cstheme="majorBidi"/>
        </w:rPr>
        <w:tab/>
        <w:t>Modifier comme suit :</w:t>
      </w:r>
    </w:p>
    <w:p w14:paraId="1E16CAF4" w14:textId="77777777" w:rsidR="005649CF" w:rsidRPr="00950D73" w:rsidRDefault="005649CF" w:rsidP="00111737">
      <w:pPr>
        <w:pStyle w:val="SingleTxtG"/>
        <w:ind w:left="2268"/>
        <w:rPr>
          <w:rFonts w:asciiTheme="majorBidi" w:hAnsiTheme="majorBidi" w:cstheme="majorBidi"/>
        </w:rPr>
      </w:pPr>
      <w:r w:rsidRPr="00950D73">
        <w:rPr>
          <w:rFonts w:asciiTheme="majorBidi" w:hAnsiTheme="majorBidi" w:cstheme="majorBidi"/>
        </w:rPr>
        <w:t>« A10.5.1.4</w:t>
      </w:r>
      <w:r w:rsidRPr="00950D73">
        <w:rPr>
          <w:rFonts w:asciiTheme="majorBidi" w:hAnsiTheme="majorBidi" w:cstheme="majorBidi"/>
        </w:rPr>
        <w:tab/>
        <w:t xml:space="preserve">La concentration du carbone organique total dans le milieu avant l’ajout de la substance ne doit pas dépasser 2,0 mg/l. ». </w:t>
      </w:r>
    </w:p>
    <w:p w14:paraId="6B74B28D"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A10.5.1.5</w:t>
      </w:r>
      <w:r w:rsidRPr="00950D73">
        <w:rPr>
          <w:rFonts w:asciiTheme="majorBidi" w:hAnsiTheme="majorBidi" w:cstheme="majorBidi"/>
        </w:rPr>
        <w:tab/>
        <w:t>Au premier paragraphe, remplacer « transformation du composé métallique » par « transformation du métal ou du composé métallique ».</w:t>
      </w:r>
    </w:p>
    <w:p w14:paraId="76F2C919"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A10.5.1.7</w:t>
      </w:r>
      <w:r w:rsidRPr="00950D73">
        <w:rPr>
          <w:rFonts w:asciiTheme="majorBidi" w:hAnsiTheme="majorBidi" w:cstheme="majorBidi"/>
        </w:rPr>
        <w:tab/>
        <w:t>Ajouter le nouveau Nota 3 suivant sous le tableau A10.1 :</w:t>
      </w:r>
    </w:p>
    <w:p w14:paraId="5B19CA47" w14:textId="648F57F8"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w:t>
      </w:r>
      <w:r w:rsidR="00111737" w:rsidRPr="00950D73">
        <w:rPr>
          <w:rFonts w:asciiTheme="majorBidi" w:hAnsiTheme="majorBidi" w:cstheme="majorBidi"/>
        </w:rPr>
        <w:tab/>
      </w:r>
      <w:r w:rsidRPr="00950D73">
        <w:rPr>
          <w:rFonts w:asciiTheme="majorBidi" w:hAnsiTheme="majorBidi" w:cstheme="majorBidi"/>
          <w:b/>
          <w:bCs/>
          <w:i/>
          <w:iCs/>
        </w:rPr>
        <w:t>3 :</w:t>
      </w:r>
      <w:r w:rsidRPr="00950D73">
        <w:rPr>
          <w:rFonts w:asciiTheme="majorBidi" w:hAnsiTheme="majorBidi" w:cstheme="majorBidi"/>
        </w:rPr>
        <w:tab/>
      </w:r>
      <w:r w:rsidRPr="00950D73">
        <w:rPr>
          <w:rFonts w:asciiTheme="majorBidi" w:hAnsiTheme="majorBidi" w:cstheme="majorBidi"/>
          <w:i/>
          <w:iCs/>
        </w:rPr>
        <w:t>Il est recommandé de procéder à l’équilibrage par l’espace libre surnageant étant donné que la formation de bulles de CO</w:t>
      </w:r>
      <w:r w:rsidRPr="00950D73">
        <w:rPr>
          <w:rFonts w:asciiTheme="majorBidi" w:hAnsiTheme="majorBidi" w:cstheme="majorBidi"/>
          <w:i/>
          <w:iCs/>
          <w:vertAlign w:val="subscript"/>
        </w:rPr>
        <w:t>2</w:t>
      </w:r>
      <w:r w:rsidRPr="00950D73">
        <w:rPr>
          <w:rFonts w:asciiTheme="majorBidi" w:hAnsiTheme="majorBidi" w:cstheme="majorBidi"/>
          <w:i/>
          <w:iCs/>
        </w:rPr>
        <w:t xml:space="preserve"> ne garantit pas une distribution égale entre les différents récipients expérimentaux</w:t>
      </w:r>
      <w:r w:rsidRPr="00950D73">
        <w:rPr>
          <w:rFonts w:asciiTheme="majorBidi" w:hAnsiTheme="majorBidi" w:cstheme="majorBidi"/>
        </w:rPr>
        <w:t>. ».</w:t>
      </w:r>
    </w:p>
    <w:p w14:paraId="0771EBED"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Note de bas de page 2, modification sans objet en français.</w:t>
      </w:r>
    </w:p>
    <w:p w14:paraId="38748651"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A10.5.1.9</w:t>
      </w:r>
      <w:r w:rsidRPr="00950D73">
        <w:rPr>
          <w:rFonts w:asciiTheme="majorBidi" w:hAnsiTheme="majorBidi" w:cstheme="majorBidi"/>
        </w:rPr>
        <w:tab/>
        <w:t>Modifier comme suit :</w:t>
      </w:r>
    </w:p>
    <w:p w14:paraId="69519323" w14:textId="59520EB1" w:rsidR="005649CF" w:rsidRPr="00950D73" w:rsidRDefault="005649CF" w:rsidP="003229BF">
      <w:pPr>
        <w:pStyle w:val="SingleTxtG"/>
        <w:ind w:left="2268"/>
        <w:rPr>
          <w:rFonts w:asciiTheme="majorBidi" w:hAnsiTheme="majorBidi" w:cstheme="majorBidi"/>
        </w:rPr>
      </w:pPr>
      <w:r w:rsidRPr="00950D73">
        <w:rPr>
          <w:rFonts w:asciiTheme="majorBidi" w:hAnsiTheme="majorBidi" w:cstheme="majorBidi"/>
        </w:rPr>
        <w:t>« A10.5.1.9</w:t>
      </w:r>
      <w:r w:rsidRPr="00950D73">
        <w:rPr>
          <w:rFonts w:asciiTheme="majorBidi" w:hAnsiTheme="majorBidi" w:cstheme="majorBidi"/>
        </w:rPr>
        <w:tab/>
        <w:t xml:space="preserve">Durant l’essai de transformation/dissolution, l’agitation du milieu devra être suffisante pour maintenir la vitesse de passage du liquide sur la substance et préserver l’intégrité de la surface de la substance d’essai et de tous les produits de réaction solides susceptibles de se former à la surface de celle-ci. À cette fin, on aura recours, pour un litre de milieu aqueux, à un flacon de 1,0 à 3,0 l fermé par un bouchon en caoutchouc et placé sur un agitateur hélicoïdal ou un </w:t>
      </w:r>
      <w:r w:rsidRPr="00950D73">
        <w:rPr>
          <w:rFonts w:asciiTheme="majorBidi" w:hAnsiTheme="majorBidi" w:cstheme="majorBidi"/>
        </w:rPr>
        <w:lastRenderedPageBreak/>
        <w:t>agitateur de laboratoire réglé à 100 tours par minute. D’autres méthodes d’agitation douce peuvent être utilisées à condition de respecter l’intégrité de la surface de la substance d’essai et l’homogénéité de la solution. ».</w:t>
      </w:r>
    </w:p>
    <w:p w14:paraId="79868B04" w14:textId="77777777" w:rsidR="005649CF" w:rsidRPr="00950D73" w:rsidRDefault="005649CF" w:rsidP="005649CF">
      <w:pPr>
        <w:pStyle w:val="SingleTxtG"/>
        <w:ind w:left="2268" w:hanging="1134"/>
        <w:rPr>
          <w:rFonts w:asciiTheme="majorBidi" w:eastAsia="SimSun" w:hAnsiTheme="majorBidi" w:cstheme="majorBidi"/>
        </w:rPr>
      </w:pPr>
      <w:r w:rsidRPr="00950D73">
        <w:rPr>
          <w:rFonts w:asciiTheme="majorBidi" w:hAnsiTheme="majorBidi" w:cstheme="majorBidi"/>
        </w:rPr>
        <w:t>A10.5.1.10</w:t>
      </w:r>
      <w:r w:rsidRPr="00950D73">
        <w:rPr>
          <w:rFonts w:asciiTheme="majorBidi" w:hAnsiTheme="majorBidi" w:cstheme="majorBidi"/>
        </w:rPr>
        <w:tab/>
        <w:t xml:space="preserve">Modifier la fin de la première phrase du paragraphe comme suit : « ... ce qui dépendra de la distribution des dimensions particulaires ainsi que de la forme et de la densité des particules. ». </w:t>
      </w:r>
    </w:p>
    <w:p w14:paraId="39900879"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Remplacer la dernière phrase par : </w:t>
      </w:r>
    </w:p>
    <w:p w14:paraId="65A1D2B6"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Des techniques de remplacement peuvent être envisagées dans le cas de particules plus fines. Si l’on craint que les particules restent en suspension, il conviendra de contrôler l’efficacité de la filtration avant de procéder à un essai. Pour une filtration plus efficace, on peut notamment centrifuger puis filtrer la solution, ou attendre environ 5 min pour que la suspension se redépose avant de prélever un échantillon de solution. ».</w:t>
      </w:r>
    </w:p>
    <w:p w14:paraId="0C1D7845"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A10.5.2.1</w:t>
      </w:r>
      <w:r w:rsidRPr="00950D73">
        <w:rPr>
          <w:rFonts w:asciiTheme="majorBidi" w:hAnsiTheme="majorBidi" w:cstheme="majorBidi"/>
        </w:rPr>
        <w:tab/>
        <w:t>Modifier le premier paragraphe comme suit :</w:t>
      </w:r>
    </w:p>
    <w:p w14:paraId="619BB4F9"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 Il est capital pour l’étude que l’analyse des métaux dissous totaux repose sur une méthode appropriée et validée. La limite de détection analytique devrait, de préférence, être cinq fois moins élevée que la valeur de référence </w:t>
      </w:r>
      <w:proofErr w:type="spellStart"/>
      <w:r w:rsidRPr="00950D73">
        <w:rPr>
          <w:rFonts w:asciiTheme="majorBidi" w:hAnsiTheme="majorBidi" w:cstheme="majorBidi"/>
        </w:rPr>
        <w:t>écotoxicologique</w:t>
      </w:r>
      <w:proofErr w:type="spellEnd"/>
      <w:r w:rsidRPr="00950D73">
        <w:rPr>
          <w:rFonts w:asciiTheme="majorBidi" w:hAnsiTheme="majorBidi" w:cstheme="majorBidi"/>
        </w:rPr>
        <w:t xml:space="preserve"> de toxicité chronique applicable, ou que la valeur de référence </w:t>
      </w:r>
      <w:proofErr w:type="spellStart"/>
      <w:r w:rsidRPr="00950D73">
        <w:rPr>
          <w:rFonts w:asciiTheme="majorBidi" w:hAnsiTheme="majorBidi" w:cstheme="majorBidi"/>
        </w:rPr>
        <w:t>écotoxicologique</w:t>
      </w:r>
      <w:proofErr w:type="spellEnd"/>
      <w:r w:rsidRPr="00950D73">
        <w:rPr>
          <w:rFonts w:asciiTheme="majorBidi" w:hAnsiTheme="majorBidi" w:cstheme="majorBidi"/>
        </w:rPr>
        <w:t xml:space="preserve"> de toxicité aiguë dans le cas d’un essai de 7 jours. ».</w:t>
      </w:r>
    </w:p>
    <w:p w14:paraId="2D7AA05B"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A10.5.2.3.1</w:t>
      </w:r>
      <w:r w:rsidRPr="00950D73">
        <w:rPr>
          <w:rFonts w:asciiTheme="majorBidi" w:hAnsiTheme="majorBidi" w:cstheme="majorBidi"/>
        </w:rPr>
        <w:tab/>
        <w:t>Supprimer « (par exemple 37-44 µm) » et ajouter la phrase suivante à la fin du paragraphe : « Cette variation peut être plus importante pour des quantités inférieures. ».</w:t>
      </w:r>
    </w:p>
    <w:p w14:paraId="54668C1D"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A10.5.2.3.3</w:t>
      </w:r>
      <w:r w:rsidRPr="00950D73">
        <w:rPr>
          <w:rFonts w:asciiTheme="majorBidi" w:hAnsiTheme="majorBidi" w:cstheme="majorBidi"/>
        </w:rPr>
        <w:tab/>
        <w:t>Modification sans objet en français.</w:t>
      </w:r>
    </w:p>
    <w:p w14:paraId="7D1A1231"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A10.5.2.3.5</w:t>
      </w:r>
      <w:r w:rsidRPr="00950D73">
        <w:rPr>
          <w:rFonts w:asciiTheme="majorBidi" w:hAnsiTheme="majorBidi" w:cstheme="majorBidi"/>
        </w:rPr>
        <w:tab/>
        <w:t>Modifier la dernière phrase comme suit : « La surface spécifique des échantillons de poudre doit être contrôlée. ».</w:t>
      </w:r>
    </w:p>
    <w:p w14:paraId="6C38E3F3"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lastRenderedPageBreak/>
        <w:t>A10.5.3.1</w:t>
      </w:r>
      <w:r w:rsidRPr="00950D73">
        <w:rPr>
          <w:rFonts w:asciiTheme="majorBidi" w:hAnsiTheme="majorBidi" w:cstheme="majorBidi"/>
        </w:rPr>
        <w:tab/>
        <w:t>Modifier l’intitulé comme suit : « </w:t>
      </w:r>
      <w:r w:rsidRPr="00950D73">
        <w:rPr>
          <w:rFonts w:asciiTheme="majorBidi" w:hAnsiTheme="majorBidi" w:cstheme="majorBidi"/>
          <w:i/>
          <w:iCs/>
        </w:rPr>
        <w:t>Essai préliminaire de transformation/dissolution − composés métalliques peu solubles</w:t>
      </w:r>
      <w:r w:rsidRPr="00950D73">
        <w:rPr>
          <w:rFonts w:asciiTheme="majorBidi" w:hAnsiTheme="majorBidi" w:cstheme="majorBidi"/>
        </w:rPr>
        <w:t> ».</w:t>
      </w:r>
    </w:p>
    <w:p w14:paraId="5D8DCEBF"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A10.5.3.1.1</w:t>
      </w:r>
      <w:r w:rsidRPr="00950D73">
        <w:rPr>
          <w:rFonts w:asciiTheme="majorBidi" w:hAnsiTheme="majorBidi" w:cstheme="majorBidi"/>
        </w:rPr>
        <w:tab/>
        <w:t>Dans le texte entre parenthèses de la dernière phrase, remplacer « addition des matières solides à tester » par « ajout de la substance d’essai ».</w:t>
      </w:r>
    </w:p>
    <w:p w14:paraId="24415DC4"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A10.5.3.1.2</w:t>
      </w:r>
      <w:r w:rsidRPr="00950D73">
        <w:rPr>
          <w:rFonts w:asciiTheme="majorBidi" w:hAnsiTheme="majorBidi" w:cstheme="majorBidi"/>
        </w:rPr>
        <w:tab/>
        <w:t>Modifier la fin de la première phrase comme suit : « rapidement et vigoureusement (par exemple sur un agitateur hélicoïdal à 200 tours par minute, si les conditions le permettent) ».</w:t>
      </w:r>
    </w:p>
    <w:p w14:paraId="7AB6DCA6"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A10.5.3.2</w:t>
      </w:r>
      <w:r w:rsidRPr="00950D73">
        <w:rPr>
          <w:rFonts w:asciiTheme="majorBidi" w:hAnsiTheme="majorBidi" w:cstheme="majorBidi"/>
        </w:rPr>
        <w:tab/>
        <w:t xml:space="preserve">Modifier l’intitulé comme suit : </w:t>
      </w:r>
    </w:p>
    <w:p w14:paraId="543BD233" w14:textId="13D21483" w:rsidR="005649CF" w:rsidRPr="00950D73" w:rsidRDefault="005649CF" w:rsidP="00541706">
      <w:pPr>
        <w:pStyle w:val="SingleTxtG"/>
        <w:ind w:left="2268"/>
        <w:rPr>
          <w:rFonts w:asciiTheme="majorBidi" w:hAnsiTheme="majorBidi" w:cstheme="majorBidi"/>
        </w:rPr>
      </w:pPr>
      <w:r w:rsidRPr="00950D73">
        <w:rPr>
          <w:rFonts w:asciiTheme="majorBidi" w:hAnsiTheme="majorBidi" w:cstheme="majorBidi"/>
        </w:rPr>
        <w:t>« A10.5.3.2</w:t>
      </w:r>
      <w:r w:rsidRPr="00950D73">
        <w:rPr>
          <w:rFonts w:asciiTheme="majorBidi" w:hAnsiTheme="majorBidi" w:cstheme="majorBidi"/>
        </w:rPr>
        <w:tab/>
      </w:r>
      <w:r w:rsidRPr="00950D73">
        <w:rPr>
          <w:rFonts w:asciiTheme="majorBidi" w:hAnsiTheme="majorBidi" w:cstheme="majorBidi"/>
          <w:i/>
          <w:iCs/>
        </w:rPr>
        <w:t>Essai de transformation/dissolution − métaux et composés métalliques </w:t>
      </w:r>
      <w:r w:rsidRPr="00950D73">
        <w:rPr>
          <w:rFonts w:asciiTheme="majorBidi" w:hAnsiTheme="majorBidi" w:cstheme="majorBidi"/>
        </w:rPr>
        <w:t>»</w:t>
      </w:r>
    </w:p>
    <w:p w14:paraId="15FBDF26" w14:textId="77777777" w:rsidR="005649CF" w:rsidRPr="00950D73" w:rsidRDefault="005649CF" w:rsidP="005649CF">
      <w:pPr>
        <w:pStyle w:val="SingleTxtG"/>
        <w:ind w:left="2268" w:hanging="1134"/>
        <w:rPr>
          <w:rFonts w:asciiTheme="majorBidi" w:hAnsiTheme="majorBidi" w:cstheme="majorBidi"/>
        </w:rPr>
      </w:pPr>
      <w:r w:rsidRPr="00950D73">
        <w:rPr>
          <w:rFonts w:asciiTheme="majorBidi" w:hAnsiTheme="majorBidi" w:cstheme="majorBidi"/>
        </w:rPr>
        <w:t>A10.5.3.2.2</w:t>
      </w:r>
      <w:r w:rsidRPr="00950D73">
        <w:rPr>
          <w:rFonts w:asciiTheme="majorBidi" w:hAnsiTheme="majorBidi" w:cstheme="majorBidi"/>
        </w:rPr>
        <w:tab/>
        <w:t xml:space="preserve">Modifier comme suit : </w:t>
      </w:r>
    </w:p>
    <w:p w14:paraId="7AAC6881"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xml:space="preserve">« Pour l’essai de 7 jours, la substance est introduite à des concentrations de 1, 10 et 100 mg/l dans les récipients expérimentaux (dont le nombre dépend de la reproductibilité, laquelle aura été établie conformément au A10.5.2.3) contenant le milieu aqueux. Ces récipients sont fermés (mais permettent un équilibrage avec l’air, si nécessaire) et agités selon les instructions du A10.5.1.9. Si un essai de 28 jours est requis, il peut être effectué avec une concentration de 0,01 mg/l, 0,1 mg/l ou 1 mg/l selon la vitesse de transformation. L’essai à une concentration de 1 mg/l peut être prolongé jusqu’à 28 jours, à condition qu’il soit pratiqué au même pH que l’essai de 7 jours. Les essais de 7 jours ne sont réalisés qu’à des pH compris entre 6 et 8,5. En revanche, il est recommandé d’effectuer les essais de 28 jours sur une gamme de pH un peu plus étendue (5,5/6 à 8,5), si les conditions techniques le permettent. Il faut inclure un témoin en parallèle ne renfermant pas la substance à tester (milieu d’essai seul). À l’issue d’intervalles de temps déterminés (par exemple 2 heures, 6 heures, 1 jour, 4 jours et 7 jours, pour l’essai à court terme, ainsi qu’à 14, 21 et 28 jours, par exemple, pour l’essai à long terme), on mesure </w:t>
      </w:r>
      <w:r w:rsidRPr="00950D73">
        <w:rPr>
          <w:rFonts w:asciiTheme="majorBidi" w:hAnsiTheme="majorBidi" w:cstheme="majorBidi"/>
        </w:rPr>
        <w:lastRenderedPageBreak/>
        <w:t>la température, le pH et la concentration d’O</w:t>
      </w:r>
      <w:r w:rsidRPr="00950D73">
        <w:rPr>
          <w:rFonts w:asciiTheme="majorBidi" w:hAnsiTheme="majorBidi" w:cstheme="majorBidi"/>
          <w:vertAlign w:val="subscript"/>
        </w:rPr>
        <w:t>2</w:t>
      </w:r>
      <w:r w:rsidRPr="00950D73">
        <w:rPr>
          <w:rFonts w:asciiTheme="majorBidi" w:hAnsiTheme="majorBidi" w:cstheme="majorBidi"/>
        </w:rPr>
        <w:t xml:space="preserve"> dissous dans chaque récipient, et on prélève au moins deux échantillons (par exemple 10 à 15 ml) à la seringue dans chacun d’entre eux. Il faut ensuite séparer les fractions... [</w:t>
      </w:r>
      <w:r w:rsidRPr="00950D73">
        <w:rPr>
          <w:rFonts w:asciiTheme="majorBidi" w:hAnsiTheme="majorBidi" w:cstheme="majorBidi"/>
          <w:i/>
          <w:iCs/>
        </w:rPr>
        <w:t>le reste du texte demeure inchangé</w:t>
      </w:r>
      <w:r w:rsidRPr="00950D73">
        <w:rPr>
          <w:rFonts w:asciiTheme="majorBidi" w:hAnsiTheme="majorBidi" w:cstheme="majorBidi"/>
        </w:rPr>
        <w:t>]. ».</w:t>
      </w:r>
    </w:p>
    <w:p w14:paraId="43320371" w14:textId="77777777" w:rsidR="005649CF" w:rsidRPr="00950D73" w:rsidRDefault="005649CF" w:rsidP="005649CF">
      <w:pPr>
        <w:pStyle w:val="SingleTxtG"/>
        <w:ind w:left="2268" w:hanging="1134"/>
        <w:rPr>
          <w:rFonts w:asciiTheme="majorBidi" w:eastAsia="SimSun" w:hAnsiTheme="majorBidi" w:cstheme="majorBidi"/>
        </w:rPr>
      </w:pPr>
      <w:r w:rsidRPr="00950D73">
        <w:rPr>
          <w:rFonts w:asciiTheme="majorBidi" w:hAnsiTheme="majorBidi" w:cstheme="majorBidi"/>
        </w:rPr>
        <w:t>A10.6.2.1</w:t>
      </w:r>
      <w:r w:rsidRPr="00950D73">
        <w:rPr>
          <w:rFonts w:asciiTheme="majorBidi" w:hAnsiTheme="majorBidi" w:cstheme="majorBidi"/>
        </w:rPr>
        <w:tab/>
        <w:t>Ajouter le nouveau paragraphe suivant à la fin de la section :</w:t>
      </w:r>
    </w:p>
    <w:p w14:paraId="70BAD326" w14:textId="77777777" w:rsidR="005649CF" w:rsidRPr="00950D73" w:rsidRDefault="005649CF" w:rsidP="005649CF">
      <w:pPr>
        <w:pStyle w:val="SingleTxtG"/>
        <w:ind w:left="2268"/>
        <w:rPr>
          <w:rFonts w:asciiTheme="majorBidi" w:hAnsiTheme="majorBidi" w:cstheme="majorBidi"/>
        </w:rPr>
      </w:pPr>
      <w:r w:rsidRPr="00950D73">
        <w:rPr>
          <w:rFonts w:asciiTheme="majorBidi" w:hAnsiTheme="majorBidi" w:cstheme="majorBidi"/>
        </w:rPr>
        <w:t>« Le taux de libération peut également être exprimé en fonction de la surface de la substance d’essai (par exemple, µg/mm</w:t>
      </w:r>
      <w:r w:rsidRPr="00950D73">
        <w:rPr>
          <w:rFonts w:asciiTheme="majorBidi" w:hAnsiTheme="majorBidi" w:cstheme="majorBidi"/>
          <w:vertAlign w:val="superscript"/>
        </w:rPr>
        <w:t>2</w:t>
      </w:r>
      <w:r w:rsidRPr="00950D73">
        <w:rPr>
          <w:rFonts w:asciiTheme="majorBidi" w:hAnsiTheme="majorBidi" w:cstheme="majorBidi"/>
        </w:rPr>
        <w:t>) pour permettre une comparaison des taux de libération entre différentes surfaces et dimensions de particules. ».</w:t>
      </w:r>
    </w:p>
    <w:p w14:paraId="5997265B" w14:textId="77777777" w:rsidR="007F7CB4" w:rsidRDefault="00091DC8" w:rsidP="007F7CB4">
      <w:pPr>
        <w:pStyle w:val="SingleTxtG"/>
        <w:rPr>
          <w:rFonts w:asciiTheme="majorBidi" w:hAnsiTheme="majorBidi" w:cstheme="majorBidi"/>
        </w:rPr>
      </w:pPr>
      <w:r>
        <w:rPr>
          <w:rFonts w:asciiTheme="majorBidi" w:hAnsiTheme="majorBidi" w:cstheme="majorBidi"/>
        </w:rPr>
        <w:t>A10.6.2.2</w:t>
      </w:r>
      <w:r>
        <w:rPr>
          <w:rFonts w:asciiTheme="majorBidi" w:hAnsiTheme="majorBidi" w:cstheme="majorBidi"/>
        </w:rPr>
        <w:tab/>
      </w:r>
      <w:r w:rsidR="007F7CB4">
        <w:rPr>
          <w:rFonts w:asciiTheme="majorBidi" w:hAnsiTheme="majorBidi" w:cstheme="majorBidi"/>
        </w:rPr>
        <w:t>Modifier pour lire comme suit :</w:t>
      </w:r>
    </w:p>
    <w:p w14:paraId="1433597B" w14:textId="2DA5EC0F" w:rsidR="005649CF" w:rsidRPr="00950D73" w:rsidRDefault="007F7CB4" w:rsidP="007F7CB4">
      <w:pPr>
        <w:pStyle w:val="SingleTxtG"/>
        <w:rPr>
          <w:rFonts w:asciiTheme="majorBidi" w:eastAsia="SimSun" w:hAnsiTheme="majorBidi" w:cstheme="majorBidi"/>
        </w:rPr>
      </w:pPr>
      <w:r>
        <w:rPr>
          <w:rFonts w:asciiTheme="majorBidi" w:hAnsiTheme="majorBidi" w:cstheme="majorBidi"/>
        </w:rPr>
        <w:tab/>
      </w:r>
      <w:r>
        <w:rPr>
          <w:rFonts w:asciiTheme="majorBidi" w:hAnsiTheme="majorBidi" w:cstheme="majorBidi"/>
        </w:rPr>
        <w:tab/>
      </w:r>
      <w:r w:rsidR="005649CF" w:rsidRPr="00950D73">
        <w:rPr>
          <w:rFonts w:asciiTheme="majorBidi" w:hAnsiTheme="majorBidi" w:cstheme="majorBidi"/>
        </w:rPr>
        <w:t>« A10.6.2.2</w:t>
      </w:r>
      <w:r w:rsidR="005649CF" w:rsidRPr="00950D73">
        <w:rPr>
          <w:rFonts w:asciiTheme="majorBidi" w:hAnsiTheme="majorBidi" w:cstheme="majorBidi"/>
        </w:rPr>
        <w:tab/>
      </w:r>
      <w:r w:rsidR="005649CF" w:rsidRPr="00950D73">
        <w:rPr>
          <w:rFonts w:asciiTheme="majorBidi" w:hAnsiTheme="majorBidi" w:cstheme="majorBidi"/>
          <w:i/>
          <w:iCs/>
        </w:rPr>
        <w:t>Essai à long terme</w:t>
      </w:r>
    </w:p>
    <w:p w14:paraId="10FC7896" w14:textId="77777777" w:rsidR="005649CF" w:rsidRPr="00950D73" w:rsidRDefault="005649CF" w:rsidP="005649CF">
      <w:pPr>
        <w:pStyle w:val="SingleTxtG"/>
        <w:ind w:left="2268"/>
        <w:rPr>
          <w:rFonts w:asciiTheme="majorBidi" w:eastAsia="SimSun" w:hAnsiTheme="majorBidi" w:cstheme="majorBidi"/>
        </w:rPr>
      </w:pPr>
      <w:r w:rsidRPr="00950D73">
        <w:rPr>
          <w:rFonts w:asciiTheme="majorBidi" w:hAnsiTheme="majorBidi" w:cstheme="majorBidi"/>
        </w:rPr>
        <w:t>Il faut tracer la courbe des concentrations de métal dissous, à partir d’une concentration de 1 mg/l durant l’essai de 28 jours, en fonction du temps et déterminer, si possible, la cinétique de transformation/dissolution, conformément aux dispositions du A10.6.2.1. ».</w:t>
      </w:r>
    </w:p>
    <w:p w14:paraId="40AACF1C" w14:textId="77777777" w:rsidR="005649CF" w:rsidRPr="00950D73" w:rsidRDefault="005649CF" w:rsidP="005649CF">
      <w:pPr>
        <w:pStyle w:val="H1G"/>
        <w:rPr>
          <w:rFonts w:asciiTheme="majorBidi" w:eastAsia="SimSun" w:hAnsiTheme="majorBidi" w:cstheme="majorBidi"/>
        </w:rPr>
      </w:pPr>
      <w:r w:rsidRPr="00950D73">
        <w:rPr>
          <w:rFonts w:asciiTheme="majorBidi" w:hAnsiTheme="majorBidi" w:cstheme="majorBidi"/>
        </w:rPr>
        <w:tab/>
      </w:r>
      <w:r w:rsidRPr="00950D73">
        <w:rPr>
          <w:rFonts w:asciiTheme="majorBidi" w:hAnsiTheme="majorBidi" w:cstheme="majorBidi"/>
        </w:rPr>
        <w:tab/>
        <w:t>Annexe 10, appendice</w:t>
      </w:r>
    </w:p>
    <w:p w14:paraId="73D83CFC" w14:textId="77777777" w:rsidR="005649CF" w:rsidRPr="00950D73" w:rsidRDefault="005649CF" w:rsidP="005649CF">
      <w:pPr>
        <w:pStyle w:val="SingleTxtG"/>
        <w:rPr>
          <w:rFonts w:asciiTheme="majorBidi" w:eastAsia="SimSun" w:hAnsiTheme="majorBidi" w:cstheme="majorBidi"/>
        </w:rPr>
      </w:pPr>
      <w:r w:rsidRPr="00950D73">
        <w:rPr>
          <w:rFonts w:asciiTheme="majorBidi" w:hAnsiTheme="majorBidi" w:cstheme="majorBidi"/>
        </w:rPr>
        <w:t>Insérer les références supplémentaires suivantes :</w:t>
      </w:r>
    </w:p>
    <w:p w14:paraId="49A88B41" w14:textId="01C71637" w:rsidR="005649CF" w:rsidRPr="00464F7A" w:rsidRDefault="005649CF" w:rsidP="00DE1AB4">
      <w:pPr>
        <w:pStyle w:val="SingleTxtG"/>
        <w:rPr>
          <w:rFonts w:asciiTheme="majorBidi" w:eastAsia="SimSun" w:hAnsiTheme="majorBidi" w:cstheme="majorBidi"/>
          <w:lang w:val="en-US"/>
        </w:rPr>
      </w:pPr>
      <w:r w:rsidRPr="00464F7A">
        <w:rPr>
          <w:rFonts w:asciiTheme="majorBidi" w:hAnsiTheme="majorBidi" w:cstheme="majorBidi"/>
          <w:lang w:val="en-US"/>
        </w:rPr>
        <w:t>12.</w:t>
      </w:r>
      <w:r w:rsidRPr="00464F7A">
        <w:rPr>
          <w:rFonts w:asciiTheme="majorBidi" w:hAnsiTheme="majorBidi" w:cstheme="majorBidi"/>
          <w:lang w:val="en-US"/>
        </w:rPr>
        <w:tab/>
      </w:r>
      <w:proofErr w:type="spellStart"/>
      <w:r w:rsidRPr="00464F7A">
        <w:rPr>
          <w:rFonts w:asciiTheme="majorBidi" w:hAnsiTheme="majorBidi" w:cstheme="majorBidi"/>
          <w:lang w:val="en-US"/>
        </w:rPr>
        <w:t>Skeaff</w:t>
      </w:r>
      <w:proofErr w:type="spellEnd"/>
      <w:r w:rsidRPr="00464F7A">
        <w:rPr>
          <w:rFonts w:asciiTheme="majorBidi" w:hAnsiTheme="majorBidi" w:cstheme="majorBidi"/>
          <w:lang w:val="en-US"/>
        </w:rPr>
        <w:t xml:space="preserve">, J. M., Hardy, D. J. et King, P. (2008), A new approach to the hazard classification of alloys based on transformation/dissolution. </w:t>
      </w:r>
      <w:proofErr w:type="spellStart"/>
      <w:r w:rsidRPr="00464F7A">
        <w:rPr>
          <w:rFonts w:asciiTheme="majorBidi" w:hAnsiTheme="majorBidi" w:cstheme="majorBidi"/>
          <w:lang w:val="en-US"/>
        </w:rPr>
        <w:t>Integr</w:t>
      </w:r>
      <w:proofErr w:type="spellEnd"/>
      <w:r w:rsidRPr="00464F7A">
        <w:rPr>
          <w:rFonts w:asciiTheme="majorBidi" w:hAnsiTheme="majorBidi" w:cstheme="majorBidi"/>
          <w:lang w:val="en-US"/>
        </w:rPr>
        <w:t xml:space="preserve"> Environ Assess </w:t>
      </w:r>
      <w:proofErr w:type="spellStart"/>
      <w:r w:rsidRPr="00464F7A">
        <w:rPr>
          <w:rFonts w:asciiTheme="majorBidi" w:hAnsiTheme="majorBidi" w:cstheme="majorBidi"/>
          <w:lang w:val="en-US"/>
        </w:rPr>
        <w:t>Manag</w:t>
      </w:r>
      <w:proofErr w:type="spellEnd"/>
      <w:r w:rsidRPr="00464F7A">
        <w:rPr>
          <w:rFonts w:asciiTheme="majorBidi" w:hAnsiTheme="majorBidi" w:cstheme="majorBidi"/>
          <w:lang w:val="en-US"/>
        </w:rPr>
        <w:t xml:space="preserve">, 4: 75-93. </w:t>
      </w:r>
      <w:hyperlink r:id="rId63" w:history="1">
        <w:r w:rsidR="00FA5931" w:rsidRPr="00464F7A">
          <w:rPr>
            <w:rStyle w:val="Lienhypertexte"/>
            <w:rFonts w:asciiTheme="majorBidi" w:hAnsiTheme="majorBidi" w:cstheme="majorBidi"/>
            <w:lang w:val="en-US"/>
          </w:rPr>
          <w:t>https://Doi.org/10.1897/IEAM_2007-050.1</w:t>
        </w:r>
      </w:hyperlink>
      <w:r w:rsidRPr="00464F7A">
        <w:rPr>
          <w:rFonts w:asciiTheme="majorBidi" w:hAnsiTheme="majorBidi" w:cstheme="majorBidi"/>
          <w:lang w:val="en-US"/>
        </w:rPr>
        <w:t>.</w:t>
      </w:r>
    </w:p>
    <w:p w14:paraId="61F31241" w14:textId="4DABFE4B" w:rsidR="005649CF" w:rsidRPr="00464F7A" w:rsidRDefault="005649CF" w:rsidP="00DE1AB4">
      <w:pPr>
        <w:pStyle w:val="SingleTxtG"/>
        <w:rPr>
          <w:rFonts w:asciiTheme="majorBidi" w:eastAsia="SimSun" w:hAnsiTheme="majorBidi" w:cstheme="majorBidi"/>
          <w:lang w:val="en-US"/>
        </w:rPr>
      </w:pPr>
      <w:r w:rsidRPr="00464F7A">
        <w:rPr>
          <w:rFonts w:asciiTheme="majorBidi" w:hAnsiTheme="majorBidi" w:cstheme="majorBidi"/>
          <w:lang w:val="en-US"/>
        </w:rPr>
        <w:t>13.</w:t>
      </w:r>
      <w:r w:rsidRPr="00464F7A">
        <w:rPr>
          <w:rFonts w:asciiTheme="majorBidi" w:hAnsiTheme="majorBidi" w:cstheme="majorBidi"/>
          <w:lang w:val="en-US"/>
        </w:rPr>
        <w:tab/>
      </w:r>
      <w:proofErr w:type="spellStart"/>
      <w:r w:rsidRPr="00464F7A">
        <w:rPr>
          <w:rFonts w:asciiTheme="majorBidi" w:hAnsiTheme="majorBidi" w:cstheme="majorBidi"/>
          <w:lang w:val="en-US"/>
        </w:rPr>
        <w:t>Skeaff</w:t>
      </w:r>
      <w:proofErr w:type="spellEnd"/>
      <w:r w:rsidRPr="00464F7A">
        <w:rPr>
          <w:rFonts w:asciiTheme="majorBidi" w:hAnsiTheme="majorBidi" w:cstheme="majorBidi"/>
          <w:lang w:val="en-US"/>
        </w:rPr>
        <w:t xml:space="preserve">, J., Adams, W. J., Rodriguez, P., Brouwers, T. et </w:t>
      </w:r>
      <w:proofErr w:type="spellStart"/>
      <w:r w:rsidRPr="00464F7A">
        <w:rPr>
          <w:rFonts w:asciiTheme="majorBidi" w:hAnsiTheme="majorBidi" w:cstheme="majorBidi"/>
          <w:lang w:val="en-US"/>
        </w:rPr>
        <w:t>Waeterschoot</w:t>
      </w:r>
      <w:proofErr w:type="spellEnd"/>
      <w:r w:rsidRPr="00464F7A">
        <w:rPr>
          <w:rFonts w:asciiTheme="majorBidi" w:hAnsiTheme="majorBidi" w:cstheme="majorBidi"/>
          <w:lang w:val="en-US"/>
        </w:rPr>
        <w:t xml:space="preserve">, H. (2011), Advances in metals classification under the </w:t>
      </w:r>
      <w:r w:rsidRPr="00464F7A">
        <w:rPr>
          <w:rFonts w:asciiTheme="majorBidi" w:hAnsiTheme="majorBidi" w:cstheme="majorBidi"/>
          <w:lang w:val="en-US"/>
        </w:rPr>
        <w:lastRenderedPageBreak/>
        <w:t xml:space="preserve">United Nations globally harmonized system of classification and labeling. </w:t>
      </w:r>
      <w:proofErr w:type="spellStart"/>
      <w:r w:rsidRPr="00464F7A">
        <w:rPr>
          <w:rFonts w:asciiTheme="majorBidi" w:hAnsiTheme="majorBidi" w:cstheme="majorBidi"/>
          <w:lang w:val="en-US"/>
        </w:rPr>
        <w:t>Integr</w:t>
      </w:r>
      <w:proofErr w:type="spellEnd"/>
      <w:r w:rsidRPr="00464F7A">
        <w:rPr>
          <w:rFonts w:asciiTheme="majorBidi" w:hAnsiTheme="majorBidi" w:cstheme="majorBidi"/>
          <w:lang w:val="en-US"/>
        </w:rPr>
        <w:t xml:space="preserve"> Environ Assess </w:t>
      </w:r>
      <w:proofErr w:type="spellStart"/>
      <w:r w:rsidRPr="00464F7A">
        <w:rPr>
          <w:rFonts w:asciiTheme="majorBidi" w:hAnsiTheme="majorBidi" w:cstheme="majorBidi"/>
          <w:lang w:val="en-US"/>
        </w:rPr>
        <w:t>Manag</w:t>
      </w:r>
      <w:proofErr w:type="spellEnd"/>
      <w:r w:rsidRPr="00464F7A">
        <w:rPr>
          <w:rFonts w:asciiTheme="majorBidi" w:hAnsiTheme="majorBidi" w:cstheme="majorBidi"/>
          <w:lang w:val="en-US"/>
        </w:rPr>
        <w:t xml:space="preserve">, 7: 559-576. </w:t>
      </w:r>
      <w:hyperlink r:id="rId64" w:history="1">
        <w:r w:rsidR="00FA5931" w:rsidRPr="00464F7A">
          <w:rPr>
            <w:rStyle w:val="Lienhypertexte"/>
            <w:rFonts w:asciiTheme="majorBidi" w:hAnsiTheme="majorBidi" w:cstheme="majorBidi"/>
            <w:lang w:val="en-US"/>
          </w:rPr>
          <w:t>https://Doi.org/10.1002/ieam.194</w:t>
        </w:r>
      </w:hyperlink>
      <w:r w:rsidRPr="00464F7A">
        <w:rPr>
          <w:rFonts w:asciiTheme="majorBidi" w:hAnsiTheme="majorBidi" w:cstheme="majorBidi"/>
          <w:lang w:val="en-US"/>
        </w:rPr>
        <w:t>.</w:t>
      </w:r>
    </w:p>
    <w:p w14:paraId="4510390E" w14:textId="5A475392" w:rsidR="005649CF" w:rsidRPr="00464F7A" w:rsidRDefault="005649CF" w:rsidP="00DE1AB4">
      <w:pPr>
        <w:pStyle w:val="SingleTxtG"/>
        <w:rPr>
          <w:rFonts w:asciiTheme="majorBidi" w:eastAsia="SimSun" w:hAnsiTheme="majorBidi" w:cstheme="majorBidi"/>
          <w:lang w:val="en-US"/>
        </w:rPr>
      </w:pPr>
      <w:r w:rsidRPr="00464F7A">
        <w:rPr>
          <w:rFonts w:asciiTheme="majorBidi" w:hAnsiTheme="majorBidi" w:cstheme="majorBidi"/>
          <w:lang w:val="en-US"/>
        </w:rPr>
        <w:t>14.</w:t>
      </w:r>
      <w:r w:rsidRPr="00464F7A">
        <w:rPr>
          <w:rFonts w:asciiTheme="majorBidi" w:hAnsiTheme="majorBidi" w:cstheme="majorBidi"/>
          <w:lang w:val="en-US"/>
        </w:rPr>
        <w:tab/>
      </w:r>
      <w:proofErr w:type="spellStart"/>
      <w:r w:rsidRPr="00464F7A">
        <w:rPr>
          <w:rFonts w:asciiTheme="majorBidi" w:hAnsiTheme="majorBidi" w:cstheme="majorBidi"/>
          <w:lang w:val="en-US"/>
        </w:rPr>
        <w:t>Skeaff</w:t>
      </w:r>
      <w:proofErr w:type="spellEnd"/>
      <w:r w:rsidRPr="00464F7A">
        <w:rPr>
          <w:rFonts w:asciiTheme="majorBidi" w:hAnsiTheme="majorBidi" w:cstheme="majorBidi"/>
          <w:lang w:val="en-US"/>
        </w:rPr>
        <w:t xml:space="preserve">, J. M. et Beaudoin, R. (2015), Transformation/dissolution characteristics of a nickel matte and nickel concentrates for acute and chronic hazard classification. </w:t>
      </w:r>
      <w:proofErr w:type="spellStart"/>
      <w:r w:rsidRPr="00464F7A">
        <w:rPr>
          <w:rFonts w:asciiTheme="majorBidi" w:hAnsiTheme="majorBidi" w:cstheme="majorBidi"/>
          <w:lang w:val="en-US"/>
        </w:rPr>
        <w:t>Integr</w:t>
      </w:r>
      <w:proofErr w:type="spellEnd"/>
      <w:r w:rsidRPr="00464F7A">
        <w:rPr>
          <w:rFonts w:asciiTheme="majorBidi" w:hAnsiTheme="majorBidi" w:cstheme="majorBidi"/>
          <w:lang w:val="en-US"/>
        </w:rPr>
        <w:t xml:space="preserve"> Environ Assess </w:t>
      </w:r>
      <w:proofErr w:type="spellStart"/>
      <w:r w:rsidRPr="00464F7A">
        <w:rPr>
          <w:rFonts w:asciiTheme="majorBidi" w:hAnsiTheme="majorBidi" w:cstheme="majorBidi"/>
          <w:lang w:val="en-US"/>
        </w:rPr>
        <w:t>Manag</w:t>
      </w:r>
      <w:proofErr w:type="spellEnd"/>
      <w:r w:rsidRPr="00464F7A">
        <w:rPr>
          <w:rFonts w:asciiTheme="majorBidi" w:hAnsiTheme="majorBidi" w:cstheme="majorBidi"/>
          <w:lang w:val="en-US"/>
        </w:rPr>
        <w:t xml:space="preserve">, 11: 130-142. </w:t>
      </w:r>
      <w:hyperlink r:id="rId65" w:history="1">
        <w:r w:rsidR="00FA5931" w:rsidRPr="00464F7A">
          <w:rPr>
            <w:rStyle w:val="Lienhypertexte"/>
            <w:rFonts w:asciiTheme="majorBidi" w:hAnsiTheme="majorBidi" w:cstheme="majorBidi"/>
            <w:lang w:val="en-US"/>
          </w:rPr>
          <w:t>https://Doi.org/10.1002/ieam.1573</w:t>
        </w:r>
      </w:hyperlink>
      <w:r w:rsidRPr="00464F7A">
        <w:rPr>
          <w:rFonts w:asciiTheme="majorBidi" w:hAnsiTheme="majorBidi" w:cstheme="majorBidi"/>
          <w:lang w:val="en-US"/>
        </w:rPr>
        <w:t>.</w:t>
      </w:r>
    </w:p>
    <w:p w14:paraId="1A69A814" w14:textId="7D5DEE17" w:rsidR="005649CF" w:rsidRPr="00950D73" w:rsidRDefault="005649CF" w:rsidP="00DE1AB4">
      <w:pPr>
        <w:pStyle w:val="SingleTxtG"/>
        <w:rPr>
          <w:rFonts w:asciiTheme="majorBidi" w:eastAsia="SimSun" w:hAnsiTheme="majorBidi" w:cstheme="majorBidi"/>
        </w:rPr>
      </w:pPr>
      <w:r w:rsidRPr="00464F7A">
        <w:rPr>
          <w:rFonts w:asciiTheme="majorBidi" w:hAnsiTheme="majorBidi" w:cstheme="majorBidi"/>
          <w:lang w:val="en-US"/>
        </w:rPr>
        <w:t>15.</w:t>
      </w:r>
      <w:r w:rsidRPr="00464F7A">
        <w:rPr>
          <w:rFonts w:asciiTheme="majorBidi" w:hAnsiTheme="majorBidi" w:cstheme="majorBidi"/>
          <w:lang w:val="en-US"/>
        </w:rPr>
        <w:tab/>
        <w:t>Huntsman-</w:t>
      </w:r>
      <w:proofErr w:type="spellStart"/>
      <w:r w:rsidRPr="00464F7A">
        <w:rPr>
          <w:rFonts w:asciiTheme="majorBidi" w:hAnsiTheme="majorBidi" w:cstheme="majorBidi"/>
          <w:lang w:val="en-US"/>
        </w:rPr>
        <w:t>Mapila</w:t>
      </w:r>
      <w:proofErr w:type="spellEnd"/>
      <w:r w:rsidRPr="00464F7A">
        <w:rPr>
          <w:rFonts w:asciiTheme="majorBidi" w:hAnsiTheme="majorBidi" w:cstheme="majorBidi"/>
          <w:lang w:val="en-US"/>
        </w:rPr>
        <w:t xml:space="preserve">, P., </w:t>
      </w:r>
      <w:proofErr w:type="spellStart"/>
      <w:r w:rsidRPr="00464F7A">
        <w:rPr>
          <w:rFonts w:asciiTheme="majorBidi" w:hAnsiTheme="majorBidi" w:cstheme="majorBidi"/>
          <w:lang w:val="en-US"/>
        </w:rPr>
        <w:t>Skeaff</w:t>
      </w:r>
      <w:proofErr w:type="spellEnd"/>
      <w:r w:rsidRPr="00464F7A">
        <w:rPr>
          <w:rFonts w:asciiTheme="majorBidi" w:hAnsiTheme="majorBidi" w:cstheme="majorBidi"/>
          <w:lang w:val="en-US"/>
        </w:rPr>
        <w:t xml:space="preserve">, J. M., Pawlak, M. et Beaudoin, R. (2016), Addressing aquatic hazard classification for metals, metal compounds and alloys in marine systems, Marine Pollution Bulletin 109:550-557. </w:t>
      </w:r>
      <w:hyperlink r:id="rId66" w:history="1">
        <w:r w:rsidR="00FA5931" w:rsidRPr="00950D73">
          <w:rPr>
            <w:rStyle w:val="Lienhypertexte"/>
            <w:rFonts w:asciiTheme="majorBidi" w:hAnsiTheme="majorBidi" w:cstheme="majorBidi"/>
          </w:rPr>
          <w:t>https://Doi.org/10.1016/j.marpolbul.2016.03.055</w:t>
        </w:r>
      </w:hyperlink>
      <w:r w:rsidRPr="00950D73">
        <w:rPr>
          <w:rFonts w:asciiTheme="majorBidi" w:hAnsiTheme="majorBidi" w:cstheme="majorBidi"/>
        </w:rPr>
        <w:t>.</w:t>
      </w:r>
    </w:p>
    <w:p w14:paraId="2EEF0B6B" w14:textId="6261C082" w:rsidR="005649CF" w:rsidRPr="00464F7A" w:rsidRDefault="005649CF" w:rsidP="00DE1AB4">
      <w:pPr>
        <w:pStyle w:val="Bullet1G"/>
        <w:numPr>
          <w:ilvl w:val="0"/>
          <w:numId w:val="0"/>
        </w:numPr>
        <w:ind w:left="1134"/>
        <w:rPr>
          <w:rFonts w:asciiTheme="majorBidi" w:hAnsiTheme="majorBidi" w:cstheme="majorBidi"/>
          <w:lang w:val="en-US"/>
        </w:rPr>
      </w:pPr>
      <w:r w:rsidRPr="00950D73">
        <w:rPr>
          <w:rFonts w:asciiTheme="majorBidi" w:hAnsiTheme="majorBidi" w:cstheme="majorBidi"/>
        </w:rPr>
        <w:t>16.</w:t>
      </w:r>
      <w:r w:rsidRPr="00950D73">
        <w:rPr>
          <w:rFonts w:asciiTheme="majorBidi" w:hAnsiTheme="majorBidi" w:cstheme="majorBidi"/>
        </w:rPr>
        <w:tab/>
        <w:t xml:space="preserve">Publications de l’OCDE sur l’environnement, la santé et la sécurité ; série sur les essais et l’évaluation </w:t>
      </w:r>
      <w:r w:rsidRPr="00950D73">
        <w:rPr>
          <w:rFonts w:asciiTheme="majorBidi" w:eastAsia="MS Mincho" w:hAnsiTheme="majorBidi" w:cstheme="majorBidi"/>
        </w:rPr>
        <w:t>n</w:t>
      </w:r>
      <w:r w:rsidRPr="00950D73">
        <w:rPr>
          <w:rFonts w:asciiTheme="majorBidi" w:eastAsia="MS Mincho" w:hAnsiTheme="majorBidi" w:cstheme="majorBidi"/>
          <w:vertAlign w:val="superscript"/>
        </w:rPr>
        <w:t>o</w:t>
      </w:r>
      <w:r w:rsidRPr="00950D73">
        <w:rPr>
          <w:rFonts w:asciiTheme="majorBidi" w:hAnsiTheme="majorBidi" w:cstheme="majorBidi"/>
        </w:rPr>
        <w:t xml:space="preserve"> 29. </w:t>
      </w:r>
      <w:r w:rsidRPr="00464F7A">
        <w:rPr>
          <w:rFonts w:asciiTheme="majorBidi" w:hAnsiTheme="majorBidi" w:cstheme="majorBidi"/>
          <w:lang w:val="en-US"/>
        </w:rPr>
        <w:t xml:space="preserve">Guidance document on Transformation Dissolution of Metals and Metal Compounds in Aqueous media, </w:t>
      </w:r>
      <w:proofErr w:type="spellStart"/>
      <w:r w:rsidRPr="00464F7A">
        <w:rPr>
          <w:rFonts w:asciiTheme="majorBidi" w:hAnsiTheme="majorBidi" w:cstheme="majorBidi"/>
          <w:lang w:val="en-US"/>
        </w:rPr>
        <w:t>juillet</w:t>
      </w:r>
      <w:proofErr w:type="spellEnd"/>
      <w:r w:rsidRPr="00464F7A">
        <w:rPr>
          <w:rFonts w:asciiTheme="majorBidi" w:hAnsiTheme="majorBidi" w:cstheme="majorBidi"/>
          <w:lang w:val="en-US"/>
        </w:rPr>
        <w:t xml:space="preserve"> 2001.</w:t>
      </w:r>
    </w:p>
    <w:p w14:paraId="34E1314F" w14:textId="3E2D7359" w:rsidR="00BA7102" w:rsidRPr="00464F7A" w:rsidRDefault="00BA7102" w:rsidP="00BA7102">
      <w:pPr>
        <w:spacing w:before="240"/>
        <w:jc w:val="center"/>
        <w:rPr>
          <w:rFonts w:asciiTheme="majorBidi" w:hAnsiTheme="majorBidi" w:cstheme="majorBidi"/>
          <w:u w:val="single"/>
          <w:lang w:val="en-US"/>
        </w:rPr>
      </w:pPr>
      <w:r w:rsidRPr="00464F7A">
        <w:rPr>
          <w:rFonts w:asciiTheme="majorBidi" w:hAnsiTheme="majorBidi" w:cstheme="majorBidi"/>
          <w:u w:val="single"/>
          <w:lang w:val="en-US"/>
        </w:rPr>
        <w:tab/>
      </w:r>
      <w:r w:rsidRPr="00464F7A">
        <w:rPr>
          <w:rFonts w:asciiTheme="majorBidi" w:hAnsiTheme="majorBidi" w:cstheme="majorBidi"/>
          <w:u w:val="single"/>
          <w:lang w:val="en-US"/>
        </w:rPr>
        <w:tab/>
      </w:r>
      <w:r w:rsidRPr="00464F7A">
        <w:rPr>
          <w:rFonts w:asciiTheme="majorBidi" w:hAnsiTheme="majorBidi" w:cstheme="majorBidi"/>
          <w:u w:val="single"/>
          <w:lang w:val="en-US"/>
        </w:rPr>
        <w:tab/>
      </w:r>
    </w:p>
    <w:sectPr w:rsidR="00BA7102" w:rsidRPr="00464F7A" w:rsidSect="00BA7102">
      <w:headerReference w:type="even" r:id="rId67"/>
      <w:headerReference w:type="default" r:id="rId68"/>
      <w:footerReference w:type="even" r:id="rId69"/>
      <w:footerReference w:type="default" r:id="rId70"/>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20626" w14:textId="77777777" w:rsidR="00C7211E" w:rsidRDefault="00C7211E" w:rsidP="00F95C08">
      <w:pPr>
        <w:spacing w:line="240" w:lineRule="auto"/>
      </w:pPr>
    </w:p>
  </w:endnote>
  <w:endnote w:type="continuationSeparator" w:id="0">
    <w:p w14:paraId="57A55E49" w14:textId="77777777" w:rsidR="00C7211E" w:rsidRPr="00AC3823" w:rsidRDefault="00C7211E" w:rsidP="00AC3823">
      <w:pPr>
        <w:pStyle w:val="Pieddepage"/>
      </w:pPr>
    </w:p>
  </w:endnote>
  <w:endnote w:type="continuationNotice" w:id="1">
    <w:p w14:paraId="076483A7" w14:textId="77777777" w:rsidR="00C7211E" w:rsidRDefault="00C721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73541116"/>
      <w:docPartObj>
        <w:docPartGallery w:val="Page Numbers (Bottom of Page)"/>
        <w:docPartUnique/>
      </w:docPartObj>
    </w:sdtPr>
    <w:sdtEndPr>
      <w:rPr>
        <w:noProof/>
      </w:rPr>
    </w:sdtEndPr>
    <w:sdtContent>
      <w:p w14:paraId="05572A90" w14:textId="712007F8" w:rsidR="00A7351A" w:rsidRPr="00A7351A" w:rsidRDefault="00A7351A">
        <w:pPr>
          <w:pStyle w:val="Pieddepage"/>
          <w:rPr>
            <w:b/>
            <w:bCs/>
          </w:rPr>
        </w:pPr>
        <w:r w:rsidRPr="00A7351A">
          <w:rPr>
            <w:b/>
            <w:bCs/>
          </w:rPr>
          <w:fldChar w:fldCharType="begin"/>
        </w:r>
        <w:r w:rsidRPr="00A7351A">
          <w:rPr>
            <w:b/>
            <w:bCs/>
          </w:rPr>
          <w:instrText xml:space="preserve"> PAGE   \* MERGEFORMAT </w:instrText>
        </w:r>
        <w:r w:rsidRPr="00A7351A">
          <w:rPr>
            <w:b/>
            <w:bCs/>
          </w:rPr>
          <w:fldChar w:fldCharType="separate"/>
        </w:r>
        <w:r w:rsidRPr="00A7351A">
          <w:rPr>
            <w:b/>
            <w:bCs/>
            <w:noProof/>
          </w:rPr>
          <w:t>2</w:t>
        </w:r>
        <w:r w:rsidRPr="00A7351A">
          <w:rPr>
            <w:b/>
            <w:bCs/>
            <w:noProof/>
          </w:rPr>
          <w:fldChar w:fldCharType="end"/>
        </w:r>
      </w:p>
    </w:sdtContent>
  </w:sdt>
  <w:p w14:paraId="38E443FB" w14:textId="5F957FDD" w:rsidR="004C4E9E" w:rsidRPr="0088169F" w:rsidRDefault="004C4E9E" w:rsidP="0088169F">
    <w:pPr>
      <w:pStyle w:val="Pieddepage"/>
      <w:tabs>
        <w:tab w:val="right" w:pos="9638"/>
      </w:tabs>
      <w:rPr>
        <w:b/>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7C86" w14:textId="2685D77A" w:rsidR="00BA7102" w:rsidRPr="00BA7102" w:rsidRDefault="00BA7102" w:rsidP="00BA7102">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61</w:t>
    </w:r>
    <w:r>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433744732"/>
      <w:docPartObj>
        <w:docPartGallery w:val="Page Numbers (Bottom of Page)"/>
        <w:docPartUnique/>
      </w:docPartObj>
    </w:sdtPr>
    <w:sdtEndPr>
      <w:rPr>
        <w:noProof/>
      </w:rPr>
    </w:sdtEndPr>
    <w:sdtContent>
      <w:p w14:paraId="4A12D582" w14:textId="20385B49" w:rsidR="00BA7102" w:rsidRPr="007E44E1" w:rsidRDefault="0077596C" w:rsidP="007E44E1">
        <w:pPr>
          <w:pStyle w:val="Pieddepage"/>
          <w:jc w:val="right"/>
          <w:rPr>
            <w:b/>
            <w:bCs/>
          </w:rPr>
        </w:pPr>
        <w:r w:rsidRPr="007E44E1">
          <w:rPr>
            <w:b/>
            <w:bCs/>
            <w:sz w:val="18"/>
            <w:szCs w:val="18"/>
          </w:rPr>
          <w:fldChar w:fldCharType="begin"/>
        </w:r>
        <w:r w:rsidRPr="007E44E1">
          <w:rPr>
            <w:b/>
            <w:bCs/>
            <w:sz w:val="18"/>
            <w:szCs w:val="18"/>
          </w:rPr>
          <w:instrText xml:space="preserve"> PAGE   \* MERGEFORMAT </w:instrText>
        </w:r>
        <w:r w:rsidRPr="007E44E1">
          <w:rPr>
            <w:b/>
            <w:bCs/>
            <w:sz w:val="18"/>
            <w:szCs w:val="18"/>
          </w:rPr>
          <w:fldChar w:fldCharType="separate"/>
        </w:r>
        <w:r w:rsidRPr="007E44E1">
          <w:rPr>
            <w:b/>
            <w:bCs/>
            <w:noProof/>
            <w:sz w:val="18"/>
            <w:szCs w:val="18"/>
          </w:rPr>
          <w:t>2</w:t>
        </w:r>
        <w:r w:rsidRPr="007E44E1">
          <w:rPr>
            <w:b/>
            <w:bCs/>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551491330"/>
      <w:docPartObj>
        <w:docPartGallery w:val="Page Numbers (Bottom of Page)"/>
        <w:docPartUnique/>
      </w:docPartObj>
    </w:sdtPr>
    <w:sdtEndPr>
      <w:rPr>
        <w:noProof/>
      </w:rPr>
    </w:sdtEndPr>
    <w:sdtContent>
      <w:p w14:paraId="38E02F2C" w14:textId="01838974" w:rsidR="00A7351A" w:rsidRPr="00A7351A" w:rsidRDefault="00A7351A">
        <w:pPr>
          <w:pStyle w:val="Pieddepage"/>
          <w:jc w:val="right"/>
          <w:rPr>
            <w:b/>
            <w:bCs/>
          </w:rPr>
        </w:pPr>
        <w:r w:rsidRPr="00A7351A">
          <w:rPr>
            <w:b/>
            <w:bCs/>
          </w:rPr>
          <w:fldChar w:fldCharType="begin"/>
        </w:r>
        <w:r w:rsidRPr="00A7351A">
          <w:rPr>
            <w:b/>
            <w:bCs/>
          </w:rPr>
          <w:instrText xml:space="preserve"> PAGE   \* MERGEFORMAT </w:instrText>
        </w:r>
        <w:r w:rsidRPr="00A7351A">
          <w:rPr>
            <w:b/>
            <w:bCs/>
          </w:rPr>
          <w:fldChar w:fldCharType="separate"/>
        </w:r>
        <w:r w:rsidRPr="00A7351A">
          <w:rPr>
            <w:b/>
            <w:bCs/>
            <w:noProof/>
          </w:rPr>
          <w:t>2</w:t>
        </w:r>
        <w:r w:rsidRPr="00A7351A">
          <w:rPr>
            <w:b/>
            <w:bCs/>
            <w:noProof/>
          </w:rPr>
          <w:fldChar w:fldCharType="end"/>
        </w:r>
      </w:p>
    </w:sdtContent>
  </w:sdt>
  <w:p w14:paraId="6BFAF764" w14:textId="117E6472" w:rsidR="004C4E9E" w:rsidRPr="0088169F" w:rsidRDefault="004C4E9E" w:rsidP="0088169F">
    <w:pPr>
      <w:pStyle w:val="Pieddepage"/>
      <w:tabs>
        <w:tab w:val="right" w:pos="9638"/>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2230" w14:textId="7982AA56" w:rsidR="00767D85" w:rsidRPr="00767D85" w:rsidRDefault="00767D85" w:rsidP="00767D85">
    <w:pPr>
      <w:pStyle w:val="Pieddepage"/>
      <w:tabs>
        <w:tab w:val="left" w:pos="6520"/>
        <w:tab w:val="right" w:pos="9638"/>
      </w:tabs>
      <w:spacing w:before="120"/>
      <w:rPr>
        <w:sz w:val="20"/>
      </w:rPr>
    </w:pPr>
    <w:r>
      <w:rPr>
        <w:sz w:val="20"/>
      </w:rPr>
      <w:t>GE.23-03421  (F)</w:t>
    </w:r>
    <w:bookmarkStart w:id="11" w:name="_GoBack"/>
    <w:bookmarkEnd w:id="11"/>
    <w:r>
      <w:rPr>
        <w:sz w:val="20"/>
      </w:rPr>
      <w:tab/>
    </w:r>
    <w:r w:rsidRPr="00767D85">
      <w:rPr>
        <w:noProof/>
        <w:sz w:val="20"/>
        <w:lang w:eastAsia="fr-CH"/>
      </w:rPr>
      <w:drawing>
        <wp:inline distT="0" distB="0" distL="0" distR="0" wp14:anchorId="40A67EC3" wp14:editId="4E59DA07">
          <wp:extent cx="1105200" cy="234000"/>
          <wp:effectExtent l="0" t="0" r="0" b="0"/>
          <wp:docPr id="10" name="Image 10"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inline>
      </w:drawing>
    </w:r>
    <w:r>
      <w:rPr>
        <w:sz w:val="20"/>
      </w:rPr>
      <w:tab/>
    </w:r>
    <w:r>
      <w:rPr>
        <w:noProof/>
        <w:sz w:val="20"/>
      </w:rPr>
      <w:drawing>
        <wp:inline distT="0" distB="0" distL="0" distR="0" wp14:anchorId="09FE0AA7" wp14:editId="245217EF">
          <wp:extent cx="561975" cy="5619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E7CE" w14:textId="21F514A9" w:rsidR="001A0D08" w:rsidRPr="001A0D08" w:rsidRDefault="001A0D08" w:rsidP="001A0D0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773E" w14:textId="7B3AFE68" w:rsidR="001A0D08" w:rsidRPr="001A0D08" w:rsidRDefault="001A0D08" w:rsidP="001A0D0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0D7D" w14:textId="7BB464A0" w:rsidR="00E871C6" w:rsidRPr="00E871C6" w:rsidRDefault="00E871C6" w:rsidP="00E871C6">
    <w:pPr>
      <w:pStyle w:val="Pieddepage"/>
      <w:tabs>
        <w:tab w:val="right" w:pos="9638"/>
      </w:tabs>
      <w:rPr>
        <w:b/>
        <w:sz w:val="18"/>
        <w:lang w:val="en-US"/>
      </w:rPr>
    </w:pPr>
    <w:r>
      <w:rPr>
        <w:b/>
        <w:sz w:val="18"/>
      </w:rPr>
      <w:fldChar w:fldCharType="begin"/>
    </w:r>
    <w:r w:rsidRPr="00E871C6">
      <w:rPr>
        <w:b/>
        <w:sz w:val="18"/>
        <w:lang w:val="en-US"/>
      </w:rPr>
      <w:instrText xml:space="preserve"> PAGE  \* MERGEFORMAT </w:instrText>
    </w:r>
    <w:r>
      <w:rPr>
        <w:b/>
        <w:sz w:val="18"/>
      </w:rPr>
      <w:fldChar w:fldCharType="separate"/>
    </w:r>
    <w:r w:rsidRPr="00E871C6">
      <w:rPr>
        <w:b/>
        <w:noProof/>
        <w:sz w:val="18"/>
        <w:lang w:val="en-US"/>
      </w:rPr>
      <w:t>24</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309C" w14:textId="7EE6DE4B" w:rsidR="00E871C6" w:rsidRPr="00E871C6" w:rsidRDefault="00E871C6" w:rsidP="00E871C6">
    <w:pPr>
      <w:pStyle w:val="Pieddepage"/>
      <w:tabs>
        <w:tab w:val="right" w:pos="9638"/>
      </w:tabs>
      <w:rPr>
        <w:b/>
        <w:sz w:val="18"/>
        <w:lang w:val="en-US"/>
      </w:rPr>
    </w:pPr>
    <w:r w:rsidRPr="00E871C6">
      <w:rPr>
        <w:lang w:val="en-US"/>
      </w:rPr>
      <w:tab/>
    </w:r>
    <w:r>
      <w:rPr>
        <w:b/>
        <w:sz w:val="18"/>
      </w:rPr>
      <w:fldChar w:fldCharType="begin"/>
    </w:r>
    <w:r w:rsidRPr="00E871C6">
      <w:rPr>
        <w:b/>
        <w:sz w:val="18"/>
        <w:lang w:val="en-US"/>
      </w:rPr>
      <w:instrText xml:space="preserve"> PAGE  \* MERGEFORMAT </w:instrText>
    </w:r>
    <w:r>
      <w:rPr>
        <w:b/>
        <w:sz w:val="18"/>
      </w:rPr>
      <w:fldChar w:fldCharType="separate"/>
    </w:r>
    <w:r w:rsidRPr="00E871C6">
      <w:rPr>
        <w:b/>
        <w:noProof/>
        <w:sz w:val="18"/>
        <w:lang w:val="en-US"/>
      </w:rPr>
      <w:t>25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B73E" w14:textId="52C4654C" w:rsidR="001E1F03" w:rsidRPr="001E1F03" w:rsidRDefault="001E1F03" w:rsidP="001E1F03">
    <w:pPr>
      <w:pStyle w:val="Pieddepage"/>
    </w:pPr>
    <w:r>
      <w:rPr>
        <w:noProof/>
      </w:rPr>
      <mc:AlternateContent>
        <mc:Choice Requires="wps">
          <w:drawing>
            <wp:anchor distT="0" distB="0" distL="114300" distR="114300" simplePos="0" relativeHeight="251658247" behindDoc="0" locked="0" layoutInCell="1" allowOverlap="1" wp14:anchorId="536F0440" wp14:editId="65786BDD">
              <wp:simplePos x="0" y="0"/>
              <wp:positionH relativeFrom="margin">
                <wp:posOffset>-431800</wp:posOffset>
              </wp:positionH>
              <wp:positionV relativeFrom="margin">
                <wp:posOffset>0</wp:posOffset>
              </wp:positionV>
              <wp:extent cx="215900" cy="612013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4F0CA76" w14:textId="77777777" w:rsidR="001E1F03" w:rsidRPr="00E871C6" w:rsidRDefault="001E1F03" w:rsidP="001E1F03">
                          <w:pPr>
                            <w:pStyle w:val="Pieddepage"/>
                            <w:tabs>
                              <w:tab w:val="right" w:pos="9638"/>
                            </w:tabs>
                            <w:rPr>
                              <w:b/>
                              <w:sz w:val="18"/>
                              <w:lang w:val="en-US"/>
                            </w:rPr>
                          </w:pPr>
                          <w:r>
                            <w:rPr>
                              <w:b/>
                              <w:sz w:val="18"/>
                            </w:rPr>
                            <w:fldChar w:fldCharType="begin"/>
                          </w:r>
                          <w:r w:rsidRPr="00E871C6">
                            <w:rPr>
                              <w:b/>
                              <w:sz w:val="18"/>
                              <w:lang w:val="en-US"/>
                            </w:rPr>
                            <w:instrText xml:space="preserve"> PAGE  \* MERGEFORMAT </w:instrText>
                          </w:r>
                          <w:r>
                            <w:rPr>
                              <w:b/>
                              <w:sz w:val="18"/>
                            </w:rPr>
                            <w:fldChar w:fldCharType="separate"/>
                          </w:r>
                          <w:r>
                            <w:rPr>
                              <w:b/>
                              <w:sz w:val="18"/>
                            </w:rPr>
                            <w:t>58</w:t>
                          </w:r>
                          <w:r>
                            <w:rPr>
                              <w:b/>
                              <w:sz w:val="18"/>
                            </w:rPr>
                            <w:fldChar w:fldCharType="end"/>
                          </w:r>
                        </w:p>
                        <w:p w14:paraId="4E29E6DA" w14:textId="77777777" w:rsidR="001E1F03" w:rsidRDefault="001E1F0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36F0440" id="_x0000_t202" coordsize="21600,21600" o:spt="202" path="m,l,21600r21600,l21600,xe">
              <v:stroke joinstyle="miter"/>
              <v:path gradientshapeok="t" o:connecttype="rect"/>
            </v:shapetype>
            <v:shape id="Text Box 9" o:spid="_x0000_s1032"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4F0CA76" w14:textId="77777777" w:rsidR="001E1F03" w:rsidRPr="00E871C6" w:rsidRDefault="001E1F03" w:rsidP="001E1F03">
                    <w:pPr>
                      <w:pStyle w:val="Pieddepage"/>
                      <w:tabs>
                        <w:tab w:val="right" w:pos="9638"/>
                      </w:tabs>
                      <w:rPr>
                        <w:b/>
                        <w:sz w:val="18"/>
                        <w:lang w:val="en-US"/>
                      </w:rPr>
                    </w:pPr>
                    <w:r>
                      <w:rPr>
                        <w:b/>
                        <w:sz w:val="18"/>
                      </w:rPr>
                      <w:fldChar w:fldCharType="begin"/>
                    </w:r>
                    <w:r w:rsidRPr="00E871C6">
                      <w:rPr>
                        <w:b/>
                        <w:sz w:val="18"/>
                        <w:lang w:val="en-US"/>
                      </w:rPr>
                      <w:instrText xml:space="preserve"> PAGE  \* MERGEFORMAT </w:instrText>
                    </w:r>
                    <w:r>
                      <w:rPr>
                        <w:b/>
                        <w:sz w:val="18"/>
                      </w:rPr>
                      <w:fldChar w:fldCharType="separate"/>
                    </w:r>
                    <w:r>
                      <w:rPr>
                        <w:b/>
                        <w:sz w:val="18"/>
                      </w:rPr>
                      <w:t>58</w:t>
                    </w:r>
                    <w:r>
                      <w:rPr>
                        <w:b/>
                        <w:sz w:val="18"/>
                      </w:rPr>
                      <w:fldChar w:fldCharType="end"/>
                    </w:r>
                  </w:p>
                  <w:p w14:paraId="4E29E6DA" w14:textId="77777777" w:rsidR="001E1F03" w:rsidRDefault="001E1F03"/>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CC7F" w14:textId="4A4D51E9" w:rsidR="001E1F03" w:rsidRPr="001E1F03" w:rsidRDefault="001E1F03" w:rsidP="001E1F03">
    <w:pPr>
      <w:pStyle w:val="Pieddepage"/>
    </w:pPr>
    <w:r>
      <w:rPr>
        <w:noProof/>
      </w:rPr>
      <mc:AlternateContent>
        <mc:Choice Requires="wps">
          <w:drawing>
            <wp:anchor distT="0" distB="0" distL="114300" distR="114300" simplePos="0" relativeHeight="251658245" behindDoc="0" locked="0" layoutInCell="1" allowOverlap="1" wp14:anchorId="134C426C" wp14:editId="42E041B5">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A3F1083" w14:textId="77777777" w:rsidR="001E1F03" w:rsidRPr="00E871C6" w:rsidRDefault="001E1F03" w:rsidP="001E1F03">
                          <w:pPr>
                            <w:pStyle w:val="Pieddepage"/>
                            <w:tabs>
                              <w:tab w:val="right" w:pos="9638"/>
                            </w:tabs>
                            <w:rPr>
                              <w:b/>
                              <w:sz w:val="18"/>
                              <w:lang w:val="en-US"/>
                            </w:rPr>
                          </w:pPr>
                          <w:r w:rsidRPr="00E871C6">
                            <w:rPr>
                              <w:lang w:val="en-US"/>
                            </w:rPr>
                            <w:tab/>
                          </w:r>
                          <w:r>
                            <w:rPr>
                              <w:b/>
                              <w:sz w:val="18"/>
                            </w:rPr>
                            <w:fldChar w:fldCharType="begin"/>
                          </w:r>
                          <w:r w:rsidRPr="00E871C6">
                            <w:rPr>
                              <w:b/>
                              <w:sz w:val="18"/>
                              <w:lang w:val="en-US"/>
                            </w:rPr>
                            <w:instrText xml:space="preserve"> PAGE  \* MERGEFORMAT </w:instrText>
                          </w:r>
                          <w:r>
                            <w:rPr>
                              <w:b/>
                              <w:sz w:val="18"/>
                            </w:rPr>
                            <w:fldChar w:fldCharType="separate"/>
                          </w:r>
                          <w:r>
                            <w:rPr>
                              <w:b/>
                              <w:sz w:val="18"/>
                            </w:rPr>
                            <w:t>57</w:t>
                          </w:r>
                          <w:r>
                            <w:rPr>
                              <w:b/>
                              <w:sz w:val="18"/>
                            </w:rPr>
                            <w:fldChar w:fldCharType="end"/>
                          </w:r>
                        </w:p>
                        <w:p w14:paraId="3FE5E0EC" w14:textId="77777777" w:rsidR="001E1F03" w:rsidRDefault="001E1F0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34C426C" id="_x0000_t202" coordsize="21600,21600" o:spt="202" path="m,l,21600r21600,l21600,xe">
              <v:stroke joinstyle="miter"/>
              <v:path gradientshapeok="t" o:connecttype="rect"/>
            </v:shapetype>
            <v:shape id="Text Box 7" o:spid="_x0000_s1033"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9eAIAAAYFAAAOAAAAZHJzL2Uyb0RvYy54bWysVMFu2zAMvQ/YPwi6r05atFu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ryb/1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5A3F1083" w14:textId="77777777" w:rsidR="001E1F03" w:rsidRPr="00E871C6" w:rsidRDefault="001E1F03" w:rsidP="001E1F03">
                    <w:pPr>
                      <w:pStyle w:val="Pieddepage"/>
                      <w:tabs>
                        <w:tab w:val="right" w:pos="9638"/>
                      </w:tabs>
                      <w:rPr>
                        <w:b/>
                        <w:sz w:val="18"/>
                        <w:lang w:val="en-US"/>
                      </w:rPr>
                    </w:pPr>
                    <w:r w:rsidRPr="00E871C6">
                      <w:rPr>
                        <w:lang w:val="en-US"/>
                      </w:rPr>
                      <w:tab/>
                    </w:r>
                    <w:r>
                      <w:rPr>
                        <w:b/>
                        <w:sz w:val="18"/>
                      </w:rPr>
                      <w:fldChar w:fldCharType="begin"/>
                    </w:r>
                    <w:r w:rsidRPr="00E871C6">
                      <w:rPr>
                        <w:b/>
                        <w:sz w:val="18"/>
                        <w:lang w:val="en-US"/>
                      </w:rPr>
                      <w:instrText xml:space="preserve"> PAGE  \* MERGEFORMAT </w:instrText>
                    </w:r>
                    <w:r>
                      <w:rPr>
                        <w:b/>
                        <w:sz w:val="18"/>
                      </w:rPr>
                      <w:fldChar w:fldCharType="separate"/>
                    </w:r>
                    <w:r>
                      <w:rPr>
                        <w:b/>
                        <w:sz w:val="18"/>
                      </w:rPr>
                      <w:t>57</w:t>
                    </w:r>
                    <w:r>
                      <w:rPr>
                        <w:b/>
                        <w:sz w:val="18"/>
                      </w:rPr>
                      <w:fldChar w:fldCharType="end"/>
                    </w:r>
                  </w:p>
                  <w:p w14:paraId="3FE5E0EC" w14:textId="77777777" w:rsidR="001E1F03" w:rsidRDefault="001E1F0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6AC40" w14:textId="77777777" w:rsidR="00C7211E" w:rsidRPr="00AC3823" w:rsidRDefault="00C7211E" w:rsidP="00AC3823">
      <w:pPr>
        <w:pStyle w:val="Pieddepage"/>
        <w:tabs>
          <w:tab w:val="right" w:pos="2155"/>
        </w:tabs>
        <w:spacing w:after="80" w:line="240" w:lineRule="atLeast"/>
        <w:ind w:left="680"/>
        <w:rPr>
          <w:u w:val="single"/>
        </w:rPr>
      </w:pPr>
      <w:r>
        <w:rPr>
          <w:u w:val="single"/>
        </w:rPr>
        <w:tab/>
      </w:r>
    </w:p>
  </w:footnote>
  <w:footnote w:type="continuationSeparator" w:id="0">
    <w:p w14:paraId="1D28EC08" w14:textId="77777777" w:rsidR="00C7211E" w:rsidRPr="00AC3823" w:rsidRDefault="00C7211E" w:rsidP="00AC3823">
      <w:pPr>
        <w:pStyle w:val="Pieddepage"/>
        <w:tabs>
          <w:tab w:val="right" w:pos="2155"/>
        </w:tabs>
        <w:spacing w:after="80" w:line="240" w:lineRule="atLeast"/>
        <w:ind w:left="680"/>
        <w:rPr>
          <w:u w:val="single"/>
        </w:rPr>
      </w:pPr>
      <w:r>
        <w:rPr>
          <w:u w:val="single"/>
        </w:rPr>
        <w:tab/>
      </w:r>
    </w:p>
  </w:footnote>
  <w:footnote w:type="continuationNotice" w:id="1">
    <w:p w14:paraId="313E7D88" w14:textId="77777777" w:rsidR="00C7211E" w:rsidRPr="00AC3823" w:rsidRDefault="00C7211E">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1EBF" w14:textId="25C3D99A" w:rsidR="004C4E9E" w:rsidRPr="0088169F" w:rsidRDefault="00AC2A81" w:rsidP="00A7351A">
    <w:pPr>
      <w:pStyle w:val="En-tte"/>
    </w:pPr>
    <w:r>
      <w:fldChar w:fldCharType="begin"/>
    </w:r>
    <w:r>
      <w:instrText xml:space="preserve"> TITLE  \* MERGEFORMAT </w:instrText>
    </w:r>
    <w:r>
      <w:fldChar w:fldCharType="separate"/>
    </w:r>
    <w:r>
      <w:t>ST/SG/AC.10/50/Add.3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D2CF" w14:textId="407350BD" w:rsidR="00BA7102" w:rsidRPr="00BA7102" w:rsidRDefault="00AC2A81" w:rsidP="0077596C">
    <w:pPr>
      <w:pStyle w:val="En-tte"/>
      <w:jc w:val="right"/>
    </w:pPr>
    <w:r>
      <w:fldChar w:fldCharType="begin"/>
    </w:r>
    <w:r>
      <w:instrText xml:space="preserve"> TITLE  \* MERGEFORMAT </w:instrText>
    </w:r>
    <w:r>
      <w:fldChar w:fldCharType="separate"/>
    </w:r>
    <w:r>
      <w:t>ST/SG/AC.10/50/Add.3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E757" w14:textId="6E722C71" w:rsidR="004C4E9E" w:rsidRPr="0088169F" w:rsidRDefault="00AC2A81" w:rsidP="00A7351A">
    <w:pPr>
      <w:pStyle w:val="En-tte"/>
      <w:jc w:val="right"/>
    </w:pPr>
    <w:r>
      <w:fldChar w:fldCharType="begin"/>
    </w:r>
    <w:r>
      <w:instrText xml:space="preserve"> TITLE  \* MERGEFORMAT </w:instrText>
    </w:r>
    <w:r>
      <w:fldChar w:fldCharType="separate"/>
    </w:r>
    <w:r>
      <w:t>ST/SG/AC.10/50/Add.3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2054" w14:textId="52266C70" w:rsidR="001A0D08" w:rsidRPr="001A0D08" w:rsidRDefault="00A86EB7" w:rsidP="001A0D08">
    <w:r>
      <w:rPr>
        <w:noProof/>
      </w:rPr>
      <mc:AlternateContent>
        <mc:Choice Requires="wps">
          <w:drawing>
            <wp:anchor distT="0" distB="0" distL="114300" distR="114300" simplePos="0" relativeHeight="251658241" behindDoc="0" locked="0" layoutInCell="1" allowOverlap="1" wp14:anchorId="226705BB" wp14:editId="3CE81E46">
              <wp:simplePos x="0" y="0"/>
              <wp:positionH relativeFrom="margin">
                <wp:posOffset>-440690</wp:posOffset>
              </wp:positionH>
              <wp:positionV relativeFrom="margin">
                <wp:posOffset>-92710</wp:posOffset>
              </wp:positionV>
              <wp:extent cx="215900" cy="6210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21030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3817294" w14:textId="3E14EC82" w:rsidR="001A0D08" w:rsidRPr="0088169F" w:rsidRDefault="001A0D08" w:rsidP="001A0D08">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22</w:t>
                          </w:r>
                          <w:r>
                            <w:rPr>
                              <w:b/>
                              <w:sz w:val="18"/>
                            </w:rPr>
                            <w:fldChar w:fldCharType="end"/>
                          </w:r>
                        </w:p>
                        <w:p w14:paraId="4D4C42F9" w14:textId="77777777" w:rsidR="001A0D08" w:rsidRDefault="001A0D0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6705BB" id="_x0000_t202" coordsize="21600,21600" o:spt="202" path="m,l,21600r21600,l21600,xe">
              <v:stroke joinstyle="miter"/>
              <v:path gradientshapeok="t" o:connecttype="rect"/>
            </v:shapetype>
            <v:shape id="Text Box 3" o:spid="_x0000_s1026" type="#_x0000_t202" style="position:absolute;margin-left:-34.7pt;margin-top:-7.3pt;width:17pt;height:489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" fillcolor="#4f81bd [3204]" stroked="f" strokeweight=".5pt">
              <v:fill opacity="0"/>
              <v:stroke joinstyle="round"/>
              <v:textbox style="layout-flow:vertical" inset="0,0,0,0">
                <w:txbxContent>
                  <w:p w14:paraId="23817294" w14:textId="3E14EC82" w:rsidR="001A0D08" w:rsidRPr="0088169F" w:rsidRDefault="001A0D08" w:rsidP="001A0D08">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22</w:t>
                    </w:r>
                    <w:r>
                      <w:rPr>
                        <w:b/>
                        <w:sz w:val="18"/>
                      </w:rPr>
                      <w:fldChar w:fldCharType="end"/>
                    </w:r>
                  </w:p>
                  <w:p w14:paraId="4D4C42F9" w14:textId="77777777" w:rsidR="001A0D08" w:rsidRDefault="001A0D08"/>
                </w:txbxContent>
              </v:textbox>
              <w10:wrap anchorx="margin" anchory="margin"/>
            </v:shape>
          </w:pict>
        </mc:Fallback>
      </mc:AlternateContent>
    </w:r>
    <w:r w:rsidR="001A0D08">
      <w:rPr>
        <w:noProof/>
      </w:rPr>
      <mc:AlternateContent>
        <mc:Choice Requires="wps">
          <w:drawing>
            <wp:anchor distT="0" distB="0" distL="114300" distR="114300" simplePos="0" relativeHeight="251658240" behindDoc="0" locked="0" layoutInCell="1" allowOverlap="1" wp14:anchorId="412F8C07" wp14:editId="58B87057">
              <wp:simplePos x="0" y="0"/>
              <wp:positionH relativeFrom="page">
                <wp:posOffset>9935845</wp:posOffset>
              </wp:positionH>
              <wp:positionV relativeFrom="margin">
                <wp:posOffset>0</wp:posOffset>
              </wp:positionV>
              <wp:extent cx="215900" cy="612013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5509CB" w14:textId="02172D99" w:rsidR="001A0D08" w:rsidRPr="0088169F" w:rsidRDefault="00AC2A81" w:rsidP="00A86EB7">
                          <w:pPr>
                            <w:pStyle w:val="En-tte"/>
                            <w:tabs>
                              <w:tab w:val="left" w:pos="1237"/>
                              <w:tab w:val="right" w:pos="9638"/>
                            </w:tabs>
                            <w:jc w:val="both"/>
                          </w:pPr>
                          <w:r>
                            <w:fldChar w:fldCharType="begin"/>
                          </w:r>
                          <w:r>
                            <w:instrText xml:space="preserve"> TITLE  \* MERGEFORMAT </w:instrText>
                          </w:r>
                          <w:r>
                            <w:fldChar w:fldCharType="separate"/>
                          </w:r>
                          <w:r>
                            <w:t>ST/SG/AC.10/50/Add.3</w:t>
                          </w:r>
                          <w:r>
                            <w:fldChar w:fldCharType="end"/>
                          </w:r>
                        </w:p>
                        <w:p w14:paraId="7850467B" w14:textId="77777777" w:rsidR="001A0D08" w:rsidRDefault="001A0D0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12F8C07" id="Text Box 2" o:spid="_x0000_s1027"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555509CB" w14:textId="02172D99" w:rsidR="001A0D08" w:rsidRPr="0088169F" w:rsidRDefault="00AC2A81" w:rsidP="00A86EB7">
                    <w:pPr>
                      <w:pStyle w:val="En-tte"/>
                      <w:tabs>
                        <w:tab w:val="left" w:pos="1237"/>
                        <w:tab w:val="right" w:pos="9638"/>
                      </w:tabs>
                      <w:jc w:val="both"/>
                    </w:pPr>
                    <w:r>
                      <w:fldChar w:fldCharType="begin"/>
                    </w:r>
                    <w:r>
                      <w:instrText xml:space="preserve"> TITLE  \* MERGEFORMAT </w:instrText>
                    </w:r>
                    <w:r>
                      <w:fldChar w:fldCharType="separate"/>
                    </w:r>
                    <w:r>
                      <w:t>ST/SG/AC.10/50/Add.3</w:t>
                    </w:r>
                    <w:r>
                      <w:fldChar w:fldCharType="end"/>
                    </w:r>
                  </w:p>
                  <w:p w14:paraId="7850467B" w14:textId="77777777" w:rsidR="001A0D08" w:rsidRDefault="001A0D08"/>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3258" w14:textId="213EC6B5" w:rsidR="001A0D08" w:rsidRPr="001A0D08" w:rsidRDefault="00A86EB7" w:rsidP="001A0D08">
    <w:r>
      <w:rPr>
        <w:noProof/>
      </w:rPr>
      <mc:AlternateContent>
        <mc:Choice Requires="wps">
          <w:drawing>
            <wp:anchor distT="0" distB="0" distL="114300" distR="114300" simplePos="0" relativeHeight="251658243" behindDoc="0" locked="0" layoutInCell="1" allowOverlap="1" wp14:anchorId="15BD8EDC" wp14:editId="04AE72CE">
              <wp:simplePos x="0" y="0"/>
              <wp:positionH relativeFrom="margin">
                <wp:posOffset>-431800</wp:posOffset>
              </wp:positionH>
              <wp:positionV relativeFrom="margin">
                <wp:posOffset>-133350</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5CD3BC2" w14:textId="6D3005D6" w:rsidR="001A0D08" w:rsidRPr="0088169F" w:rsidRDefault="001A0D08" w:rsidP="00A86EB7">
                          <w:pPr>
                            <w:pStyle w:val="Pieddepage"/>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23</w:t>
                          </w:r>
                          <w:r>
                            <w:rPr>
                              <w:b/>
                              <w:sz w:val="18"/>
                            </w:rPr>
                            <w:fldChar w:fldCharType="end"/>
                          </w:r>
                        </w:p>
                        <w:p w14:paraId="3D76D6E5" w14:textId="77777777" w:rsidR="001A0D08" w:rsidRDefault="001A0D0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5BD8EDC" id="_x0000_t202" coordsize="21600,21600" o:spt="202" path="m,l,21600r21600,l21600,xe">
              <v:stroke joinstyle="miter"/>
              <v:path gradientshapeok="t" o:connecttype="rect"/>
            </v:shapetype>
            <v:shape id="Text Box 5" o:spid="_x0000_s1028" type="#_x0000_t202" style="position:absolute;margin-left:-34pt;margin-top:-10.5pt;width:17pt;height:481.9pt;z-index:251658243;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" fillcolor="#4f81bd [3204]" stroked="f" strokeweight=".5pt">
              <v:fill opacity="0"/>
              <v:stroke joinstyle="round"/>
              <v:textbox style="layout-flow:vertical" inset="0,0,0,0">
                <w:txbxContent>
                  <w:p w14:paraId="75CD3BC2" w14:textId="6D3005D6" w:rsidR="001A0D08" w:rsidRPr="0088169F" w:rsidRDefault="001A0D08" w:rsidP="00A86EB7">
                    <w:pPr>
                      <w:pStyle w:val="Pieddepage"/>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23</w:t>
                    </w:r>
                    <w:r>
                      <w:rPr>
                        <w:b/>
                        <w:sz w:val="18"/>
                      </w:rPr>
                      <w:fldChar w:fldCharType="end"/>
                    </w:r>
                  </w:p>
                  <w:p w14:paraId="3D76D6E5" w14:textId="77777777" w:rsidR="001A0D08" w:rsidRDefault="001A0D08"/>
                </w:txbxContent>
              </v:textbox>
              <w10:wrap anchorx="margin" anchory="margin"/>
            </v:shape>
          </w:pict>
        </mc:Fallback>
      </mc:AlternateContent>
    </w:r>
    <w:r w:rsidR="001A0D08">
      <w:rPr>
        <w:noProof/>
      </w:rPr>
      <mc:AlternateContent>
        <mc:Choice Requires="wps">
          <w:drawing>
            <wp:anchor distT="0" distB="0" distL="114300" distR="114300" simplePos="0" relativeHeight="251658242" behindDoc="0" locked="0" layoutInCell="1" allowOverlap="1" wp14:anchorId="47C505F7" wp14:editId="41C669F7">
              <wp:simplePos x="0" y="0"/>
              <wp:positionH relativeFrom="page">
                <wp:posOffset>9935845</wp:posOffset>
              </wp:positionH>
              <wp:positionV relativeFrom="margin">
                <wp:posOffset>0</wp:posOffset>
              </wp:positionV>
              <wp:extent cx="215900" cy="61201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A7CAC8F" w14:textId="154BF7E0" w:rsidR="001A0D08" w:rsidRPr="0088169F" w:rsidRDefault="00AC2A81" w:rsidP="00A86EB7">
                          <w:pPr>
                            <w:pStyle w:val="En-tte"/>
                            <w:ind w:left="567" w:firstLine="567"/>
                            <w:jc w:val="right"/>
                          </w:pPr>
                          <w:r>
                            <w:fldChar w:fldCharType="begin"/>
                          </w:r>
                          <w:r>
                            <w:instrText xml:space="preserve"> TITLE  \* MERGEFORMAT </w:instrText>
                          </w:r>
                          <w:r>
                            <w:fldChar w:fldCharType="separate"/>
                          </w:r>
                          <w:r>
                            <w:t>ST/SG/AC.10/50/Add.3</w:t>
                          </w:r>
                          <w:r>
                            <w:fldChar w:fldCharType="end"/>
                          </w:r>
                        </w:p>
                        <w:p w14:paraId="3F361F4C" w14:textId="77777777" w:rsidR="001A0D08" w:rsidRDefault="001A0D0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7C505F7" id="Text Box 4" o:spid="_x0000_s1029" type="#_x0000_t202" style="position:absolute;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A7CAC8F" w14:textId="154BF7E0" w:rsidR="001A0D08" w:rsidRPr="0088169F" w:rsidRDefault="00AC2A81" w:rsidP="00A86EB7">
                    <w:pPr>
                      <w:pStyle w:val="En-tte"/>
                      <w:ind w:left="567" w:firstLine="567"/>
                      <w:jc w:val="right"/>
                    </w:pPr>
                    <w:r>
                      <w:fldChar w:fldCharType="begin"/>
                    </w:r>
                    <w:r>
                      <w:instrText xml:space="preserve"> TITLE  \* MERGEFORMAT </w:instrText>
                    </w:r>
                    <w:r>
                      <w:fldChar w:fldCharType="separate"/>
                    </w:r>
                    <w:r>
                      <w:t>ST/SG/AC.10/50/Add.3</w:t>
                    </w:r>
                    <w:r>
                      <w:fldChar w:fldCharType="end"/>
                    </w:r>
                  </w:p>
                  <w:p w14:paraId="3F361F4C" w14:textId="77777777" w:rsidR="001A0D08" w:rsidRDefault="001A0D08"/>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106C" w14:textId="3CB64C9B" w:rsidR="00E871C6" w:rsidRPr="00E871C6" w:rsidRDefault="00AC2A81" w:rsidP="00E871C6">
    <w:pPr>
      <w:pStyle w:val="En-tte"/>
    </w:pPr>
    <w:r>
      <w:fldChar w:fldCharType="begin"/>
    </w:r>
    <w:r>
      <w:instrText xml:space="preserve"> TITLE  \* MERGEFORMAT </w:instrText>
    </w:r>
    <w:r>
      <w:fldChar w:fldCharType="separate"/>
    </w:r>
    <w:r>
      <w:t>ST/SG/AC.10/50/Add.3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5133" w14:textId="450AAE81" w:rsidR="00E871C6" w:rsidRPr="00E871C6" w:rsidRDefault="00AC2A81" w:rsidP="00E871C6">
    <w:pPr>
      <w:pStyle w:val="En-tte"/>
      <w:jc w:val="right"/>
    </w:pPr>
    <w:r>
      <w:fldChar w:fldCharType="begin"/>
    </w:r>
    <w:r>
      <w:instrText xml:space="preserve"> TITLE  \* MERGEFORMAT </w:instrText>
    </w:r>
    <w:r>
      <w:fldChar w:fldCharType="separate"/>
    </w:r>
    <w:r>
      <w:t>ST/SG/AC.10/50/Add.3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6912" w14:textId="39D982DE" w:rsidR="001E1F03" w:rsidRPr="001E1F03" w:rsidRDefault="001E1F03" w:rsidP="001E1F03">
    <w:r>
      <w:rPr>
        <w:noProof/>
      </w:rPr>
      <mc:AlternateContent>
        <mc:Choice Requires="wps">
          <w:drawing>
            <wp:anchor distT="0" distB="0" distL="114300" distR="114300" simplePos="0" relativeHeight="251658246" behindDoc="0" locked="0" layoutInCell="1" allowOverlap="1" wp14:anchorId="687E6333" wp14:editId="2C06EFAE">
              <wp:simplePos x="0" y="0"/>
              <wp:positionH relativeFrom="page">
                <wp:posOffset>9935845</wp:posOffset>
              </wp:positionH>
              <wp:positionV relativeFrom="margin">
                <wp:posOffset>0</wp:posOffset>
              </wp:positionV>
              <wp:extent cx="215900" cy="612013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AE07A89" w14:textId="71788FD4" w:rsidR="001E1F03" w:rsidRPr="00E871C6" w:rsidRDefault="00AC2A81" w:rsidP="001E1F03">
                          <w:pPr>
                            <w:pStyle w:val="En-tte"/>
                          </w:pPr>
                          <w:r>
                            <w:fldChar w:fldCharType="begin"/>
                          </w:r>
                          <w:r>
                            <w:instrText xml:space="preserve"> TITLE  \* MERGEFORMAT </w:instrText>
                          </w:r>
                          <w:r>
                            <w:fldChar w:fldCharType="separate"/>
                          </w:r>
                          <w:r>
                            <w:t>ST/SG/AC.10/50/Add.3</w:t>
                          </w:r>
                          <w:r>
                            <w:fldChar w:fldCharType="end"/>
                          </w:r>
                        </w:p>
                        <w:p w14:paraId="386E6B0A" w14:textId="77777777" w:rsidR="001E1F03" w:rsidRDefault="001E1F0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87E6333" id="_x0000_t202" coordsize="21600,21600" o:spt="202" path="m,l,21600r21600,l21600,xe">
              <v:stroke joinstyle="miter"/>
              <v:path gradientshapeok="t" o:connecttype="rect"/>
            </v:shapetype>
            <v:shape id="Text Box 8"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1AE07A89" w14:textId="71788FD4" w:rsidR="001E1F03" w:rsidRPr="00E871C6" w:rsidRDefault="00AC2A81" w:rsidP="001E1F03">
                    <w:pPr>
                      <w:pStyle w:val="En-tte"/>
                    </w:pPr>
                    <w:r>
                      <w:fldChar w:fldCharType="begin"/>
                    </w:r>
                    <w:r>
                      <w:instrText xml:space="preserve"> TITLE  \* MERGEFORMAT </w:instrText>
                    </w:r>
                    <w:r>
                      <w:fldChar w:fldCharType="separate"/>
                    </w:r>
                    <w:r>
                      <w:t>ST/SG/AC.10/50/Add.3</w:t>
                    </w:r>
                    <w:r>
                      <w:fldChar w:fldCharType="end"/>
                    </w:r>
                  </w:p>
                  <w:p w14:paraId="386E6B0A" w14:textId="77777777" w:rsidR="001E1F03" w:rsidRDefault="001E1F03"/>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4FFA" w14:textId="4F97F374" w:rsidR="001E1F03" w:rsidRPr="001E1F03" w:rsidRDefault="001E1F03" w:rsidP="001E1F03">
    <w:r>
      <w:rPr>
        <w:noProof/>
      </w:rPr>
      <mc:AlternateContent>
        <mc:Choice Requires="wps">
          <w:drawing>
            <wp:anchor distT="0" distB="0" distL="114300" distR="114300" simplePos="0" relativeHeight="251658244" behindDoc="0" locked="0" layoutInCell="1" allowOverlap="1" wp14:anchorId="13637FB0" wp14:editId="2A0AF039">
              <wp:simplePos x="0" y="0"/>
              <wp:positionH relativeFrom="page">
                <wp:posOffset>9935845</wp:posOffset>
              </wp:positionH>
              <wp:positionV relativeFrom="margin">
                <wp:posOffset>0</wp:posOffset>
              </wp:positionV>
              <wp:extent cx="215900" cy="612013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6F47FBF" w14:textId="67E96413" w:rsidR="001E1F03" w:rsidRPr="00E871C6" w:rsidRDefault="00AC2A81" w:rsidP="001E1F03">
                          <w:pPr>
                            <w:pStyle w:val="En-tte"/>
                            <w:jc w:val="right"/>
                          </w:pPr>
                          <w:r>
                            <w:fldChar w:fldCharType="begin"/>
                          </w:r>
                          <w:r>
                            <w:instrText xml:space="preserve"> TITLE  \* MERGEFORMAT </w:instrText>
                          </w:r>
                          <w:r>
                            <w:fldChar w:fldCharType="separate"/>
                          </w:r>
                          <w:r>
                            <w:t>ST/SG/AC.10/50/Add.3</w:t>
                          </w:r>
                          <w:r>
                            <w:fldChar w:fldCharType="end"/>
                          </w:r>
                        </w:p>
                        <w:p w14:paraId="1D3619A8" w14:textId="77777777" w:rsidR="001E1F03" w:rsidRDefault="001E1F0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3637FB0" id="_x0000_t202" coordsize="21600,21600" o:spt="202" path="m,l,21600r21600,l21600,xe">
              <v:stroke joinstyle="miter"/>
              <v:path gradientshapeok="t" o:connecttype="rect"/>
            </v:shapetype>
            <v:shape id="Text Box 6" o:spid="_x0000_s1031" type="#_x0000_t202" style="position:absolute;margin-left:782.35pt;margin-top:0;width:17pt;height:481.9pt;z-index:25165824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C4vSa3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76F47FBF" w14:textId="67E96413" w:rsidR="001E1F03" w:rsidRPr="00E871C6" w:rsidRDefault="00AC2A81" w:rsidP="001E1F03">
                    <w:pPr>
                      <w:pStyle w:val="En-tte"/>
                      <w:jc w:val="right"/>
                    </w:pPr>
                    <w:r>
                      <w:fldChar w:fldCharType="begin"/>
                    </w:r>
                    <w:r>
                      <w:instrText xml:space="preserve"> TITLE  \* MERGEFORMAT </w:instrText>
                    </w:r>
                    <w:r>
                      <w:fldChar w:fldCharType="separate"/>
                    </w:r>
                    <w:r>
                      <w:t>ST/SG/AC.10/50/Add.3</w:t>
                    </w:r>
                    <w:r>
                      <w:fldChar w:fldCharType="end"/>
                    </w:r>
                  </w:p>
                  <w:p w14:paraId="1D3619A8" w14:textId="77777777" w:rsidR="001E1F03" w:rsidRDefault="001E1F03"/>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A699" w14:textId="290BE1F7" w:rsidR="00BA7102" w:rsidRPr="00BA7102" w:rsidRDefault="00AC2A81" w:rsidP="0077596C">
    <w:pPr>
      <w:pStyle w:val="En-tte"/>
    </w:pPr>
    <w:r>
      <w:fldChar w:fldCharType="begin"/>
    </w:r>
    <w:r>
      <w:instrText xml:space="preserve"> TITLE  \* MERGEFORMAT </w:instrText>
    </w:r>
    <w:r>
      <w:fldChar w:fldCharType="separate"/>
    </w:r>
    <w:r>
      <w:t>ST/SG/AC.10/50/Add.3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996BCA"/>
    <w:multiLevelType w:val="hybridMultilevel"/>
    <w:tmpl w:val="D5BE7F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0D274494"/>
    <w:multiLevelType w:val="hybridMultilevel"/>
    <w:tmpl w:val="25EAC64A"/>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0F3E7E69"/>
    <w:multiLevelType w:val="hybridMultilevel"/>
    <w:tmpl w:val="0C8498A6"/>
    <w:lvl w:ilvl="0" w:tplc="040C0017">
      <w:start w:val="1"/>
      <w:numFmt w:val="lowerLetter"/>
      <w:lvlText w:val="%1)"/>
      <w:lvlJc w:val="left"/>
      <w:pPr>
        <w:ind w:left="2132" w:hanging="360"/>
      </w:pPr>
    </w:lvl>
    <w:lvl w:ilvl="1" w:tplc="04100019">
      <w:start w:val="1"/>
      <w:numFmt w:val="lowerLetter"/>
      <w:lvlText w:val="%2."/>
      <w:lvlJc w:val="left"/>
      <w:pPr>
        <w:ind w:left="2852" w:hanging="360"/>
      </w:pPr>
    </w:lvl>
    <w:lvl w:ilvl="2" w:tplc="0410001B">
      <w:start w:val="1"/>
      <w:numFmt w:val="lowerRoman"/>
      <w:lvlText w:val="%3."/>
      <w:lvlJc w:val="right"/>
      <w:pPr>
        <w:ind w:left="3572" w:hanging="180"/>
      </w:pPr>
    </w:lvl>
    <w:lvl w:ilvl="3" w:tplc="0410000F">
      <w:start w:val="1"/>
      <w:numFmt w:val="decimal"/>
      <w:lvlText w:val="%4."/>
      <w:lvlJc w:val="left"/>
      <w:pPr>
        <w:ind w:left="4292" w:hanging="360"/>
      </w:pPr>
    </w:lvl>
    <w:lvl w:ilvl="4" w:tplc="04100019">
      <w:start w:val="1"/>
      <w:numFmt w:val="lowerLetter"/>
      <w:lvlText w:val="%5."/>
      <w:lvlJc w:val="left"/>
      <w:pPr>
        <w:ind w:left="5012" w:hanging="360"/>
      </w:pPr>
    </w:lvl>
    <w:lvl w:ilvl="5" w:tplc="0410001B">
      <w:start w:val="1"/>
      <w:numFmt w:val="lowerRoman"/>
      <w:lvlText w:val="%6."/>
      <w:lvlJc w:val="right"/>
      <w:pPr>
        <w:ind w:left="5732" w:hanging="180"/>
      </w:pPr>
    </w:lvl>
    <w:lvl w:ilvl="6" w:tplc="0410000F">
      <w:start w:val="1"/>
      <w:numFmt w:val="decimal"/>
      <w:lvlText w:val="%7."/>
      <w:lvlJc w:val="left"/>
      <w:pPr>
        <w:ind w:left="6452" w:hanging="360"/>
      </w:pPr>
    </w:lvl>
    <w:lvl w:ilvl="7" w:tplc="04100019">
      <w:start w:val="1"/>
      <w:numFmt w:val="lowerLetter"/>
      <w:lvlText w:val="%8."/>
      <w:lvlJc w:val="left"/>
      <w:pPr>
        <w:ind w:left="7172" w:hanging="360"/>
      </w:pPr>
    </w:lvl>
    <w:lvl w:ilvl="8" w:tplc="0410001B">
      <w:start w:val="1"/>
      <w:numFmt w:val="lowerRoman"/>
      <w:lvlText w:val="%9."/>
      <w:lvlJc w:val="right"/>
      <w:pPr>
        <w:ind w:left="7892" w:hanging="180"/>
      </w:pPr>
    </w:lvl>
  </w:abstractNum>
  <w:abstractNum w:abstractNumId="16"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3DCB4684"/>
    <w:multiLevelType w:val="hybridMultilevel"/>
    <w:tmpl w:val="8B30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A093E"/>
    <w:multiLevelType w:val="hybridMultilevel"/>
    <w:tmpl w:val="7EC49F1C"/>
    <w:lvl w:ilvl="0" w:tplc="77EE69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4C17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DA5016F"/>
    <w:multiLevelType w:val="hybridMultilevel"/>
    <w:tmpl w:val="807C86BE"/>
    <w:lvl w:ilvl="0" w:tplc="08090001">
      <w:start w:val="1"/>
      <w:numFmt w:val="bullet"/>
      <w:lvlText w:val=""/>
      <w:lvlJc w:val="left"/>
      <w:pPr>
        <w:ind w:left="2475" w:hanging="360"/>
      </w:pPr>
      <w:rPr>
        <w:rFonts w:ascii="Symbol" w:hAnsi="Symbol" w:hint="default"/>
      </w:rPr>
    </w:lvl>
    <w:lvl w:ilvl="1" w:tplc="08090003">
      <w:start w:val="1"/>
      <w:numFmt w:val="bullet"/>
      <w:lvlText w:val="o"/>
      <w:lvlJc w:val="left"/>
      <w:pPr>
        <w:ind w:left="3195" w:hanging="360"/>
      </w:pPr>
      <w:rPr>
        <w:rFonts w:ascii="Courier New" w:hAnsi="Courier New" w:cs="Courier New" w:hint="default"/>
      </w:rPr>
    </w:lvl>
    <w:lvl w:ilvl="2" w:tplc="08090005" w:tentative="1">
      <w:start w:val="1"/>
      <w:numFmt w:val="bullet"/>
      <w:lvlText w:val=""/>
      <w:lvlJc w:val="left"/>
      <w:pPr>
        <w:ind w:left="3915" w:hanging="360"/>
      </w:pPr>
      <w:rPr>
        <w:rFonts w:ascii="Wingdings" w:hAnsi="Wingdings" w:hint="default"/>
      </w:rPr>
    </w:lvl>
    <w:lvl w:ilvl="3" w:tplc="08090001" w:tentative="1">
      <w:start w:val="1"/>
      <w:numFmt w:val="bullet"/>
      <w:lvlText w:val=""/>
      <w:lvlJc w:val="left"/>
      <w:pPr>
        <w:ind w:left="4635" w:hanging="360"/>
      </w:pPr>
      <w:rPr>
        <w:rFonts w:ascii="Symbol" w:hAnsi="Symbol" w:hint="default"/>
      </w:rPr>
    </w:lvl>
    <w:lvl w:ilvl="4" w:tplc="08090003" w:tentative="1">
      <w:start w:val="1"/>
      <w:numFmt w:val="bullet"/>
      <w:lvlText w:val="o"/>
      <w:lvlJc w:val="left"/>
      <w:pPr>
        <w:ind w:left="5355" w:hanging="360"/>
      </w:pPr>
      <w:rPr>
        <w:rFonts w:ascii="Courier New" w:hAnsi="Courier New" w:cs="Courier New" w:hint="default"/>
      </w:rPr>
    </w:lvl>
    <w:lvl w:ilvl="5" w:tplc="08090005" w:tentative="1">
      <w:start w:val="1"/>
      <w:numFmt w:val="bullet"/>
      <w:lvlText w:val=""/>
      <w:lvlJc w:val="left"/>
      <w:pPr>
        <w:ind w:left="6075" w:hanging="360"/>
      </w:pPr>
      <w:rPr>
        <w:rFonts w:ascii="Wingdings" w:hAnsi="Wingdings" w:hint="default"/>
      </w:rPr>
    </w:lvl>
    <w:lvl w:ilvl="6" w:tplc="08090001" w:tentative="1">
      <w:start w:val="1"/>
      <w:numFmt w:val="bullet"/>
      <w:lvlText w:val=""/>
      <w:lvlJc w:val="left"/>
      <w:pPr>
        <w:ind w:left="6795" w:hanging="360"/>
      </w:pPr>
      <w:rPr>
        <w:rFonts w:ascii="Symbol" w:hAnsi="Symbol" w:hint="default"/>
      </w:rPr>
    </w:lvl>
    <w:lvl w:ilvl="7" w:tplc="08090003" w:tentative="1">
      <w:start w:val="1"/>
      <w:numFmt w:val="bullet"/>
      <w:lvlText w:val="o"/>
      <w:lvlJc w:val="left"/>
      <w:pPr>
        <w:ind w:left="7515" w:hanging="360"/>
      </w:pPr>
      <w:rPr>
        <w:rFonts w:ascii="Courier New" w:hAnsi="Courier New" w:cs="Courier New" w:hint="default"/>
      </w:rPr>
    </w:lvl>
    <w:lvl w:ilvl="8" w:tplc="08090005" w:tentative="1">
      <w:start w:val="1"/>
      <w:numFmt w:val="bullet"/>
      <w:lvlText w:val=""/>
      <w:lvlJc w:val="left"/>
      <w:pPr>
        <w:ind w:left="8235" w:hanging="360"/>
      </w:pPr>
      <w:rPr>
        <w:rFonts w:ascii="Wingdings" w:hAnsi="Wingdings" w:hint="default"/>
      </w:rPr>
    </w:lvl>
  </w:abstractNum>
  <w:abstractNum w:abstractNumId="2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423D3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3947D66"/>
    <w:multiLevelType w:val="hybridMultilevel"/>
    <w:tmpl w:val="115EAA74"/>
    <w:lvl w:ilvl="0" w:tplc="BA32A3A2">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7"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6F892037"/>
    <w:multiLevelType w:val="hybridMultilevel"/>
    <w:tmpl w:val="B57A7A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3D46148"/>
    <w:multiLevelType w:val="hybridMultilevel"/>
    <w:tmpl w:val="1634271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760F6BBD"/>
    <w:multiLevelType w:val="hybridMultilevel"/>
    <w:tmpl w:val="2136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6179D5"/>
    <w:multiLevelType w:val="multilevel"/>
    <w:tmpl w:val="6706A8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F8A20FE"/>
    <w:multiLevelType w:val="hybridMultilevel"/>
    <w:tmpl w:val="44DAEA48"/>
    <w:lvl w:ilvl="0" w:tplc="040C0017">
      <w:start w:val="1"/>
      <w:numFmt w:val="lowerLetter"/>
      <w:lvlText w:val="%1)"/>
      <w:lvlJc w:val="left"/>
      <w:pPr>
        <w:ind w:left="2138" w:hanging="360"/>
      </w:pPr>
    </w:lvl>
    <w:lvl w:ilvl="1" w:tplc="08090019">
      <w:start w:val="1"/>
      <w:numFmt w:val="lowerLetter"/>
      <w:lvlText w:val="%2."/>
      <w:lvlJc w:val="left"/>
      <w:pPr>
        <w:ind w:left="2858" w:hanging="360"/>
      </w:pPr>
    </w:lvl>
    <w:lvl w:ilvl="2" w:tplc="0809001B">
      <w:start w:val="1"/>
      <w:numFmt w:val="lowerRoman"/>
      <w:lvlText w:val="%3."/>
      <w:lvlJc w:val="right"/>
      <w:pPr>
        <w:ind w:left="3578" w:hanging="180"/>
      </w:pPr>
    </w:lvl>
    <w:lvl w:ilvl="3" w:tplc="0809000F">
      <w:start w:val="1"/>
      <w:numFmt w:val="decimal"/>
      <w:lvlText w:val="%4."/>
      <w:lvlJc w:val="left"/>
      <w:pPr>
        <w:ind w:left="4298" w:hanging="360"/>
      </w:pPr>
    </w:lvl>
    <w:lvl w:ilvl="4" w:tplc="08090019">
      <w:start w:val="1"/>
      <w:numFmt w:val="lowerLetter"/>
      <w:lvlText w:val="%5."/>
      <w:lvlJc w:val="left"/>
      <w:pPr>
        <w:ind w:left="5018" w:hanging="360"/>
      </w:pPr>
    </w:lvl>
    <w:lvl w:ilvl="5" w:tplc="0809001B">
      <w:start w:val="1"/>
      <w:numFmt w:val="lowerRoman"/>
      <w:lvlText w:val="%6."/>
      <w:lvlJc w:val="right"/>
      <w:pPr>
        <w:ind w:left="5738" w:hanging="180"/>
      </w:pPr>
    </w:lvl>
    <w:lvl w:ilvl="6" w:tplc="0809000F">
      <w:start w:val="1"/>
      <w:numFmt w:val="decimal"/>
      <w:lvlText w:val="%7."/>
      <w:lvlJc w:val="left"/>
      <w:pPr>
        <w:ind w:left="6458" w:hanging="360"/>
      </w:pPr>
    </w:lvl>
    <w:lvl w:ilvl="7" w:tplc="08090019">
      <w:start w:val="1"/>
      <w:numFmt w:val="lowerLetter"/>
      <w:lvlText w:val="%8."/>
      <w:lvlJc w:val="left"/>
      <w:pPr>
        <w:ind w:left="7178" w:hanging="360"/>
      </w:pPr>
    </w:lvl>
    <w:lvl w:ilvl="8" w:tplc="0809001B">
      <w:start w:val="1"/>
      <w:numFmt w:val="lowerRoman"/>
      <w:lvlText w:val="%9."/>
      <w:lvlJc w:val="right"/>
      <w:pPr>
        <w:ind w:left="7898" w:hanging="180"/>
      </w:pPr>
    </w:lvl>
  </w:abstractNum>
  <w:num w:numId="1" w16cid:durableId="1082483051">
    <w:abstractNumId w:val="28"/>
  </w:num>
  <w:num w:numId="2" w16cid:durableId="955330829">
    <w:abstractNumId w:val="19"/>
  </w:num>
  <w:num w:numId="3" w16cid:durableId="1515265139">
    <w:abstractNumId w:val="14"/>
  </w:num>
  <w:num w:numId="4" w16cid:durableId="1062170548">
    <w:abstractNumId w:val="8"/>
  </w:num>
  <w:num w:numId="5" w16cid:durableId="843593003">
    <w:abstractNumId w:val="3"/>
  </w:num>
  <w:num w:numId="6" w16cid:durableId="1355615114">
    <w:abstractNumId w:val="2"/>
  </w:num>
  <w:num w:numId="7" w16cid:durableId="1557936439">
    <w:abstractNumId w:val="1"/>
  </w:num>
  <w:num w:numId="8" w16cid:durableId="1930893155">
    <w:abstractNumId w:val="0"/>
  </w:num>
  <w:num w:numId="9" w16cid:durableId="1914318112">
    <w:abstractNumId w:val="9"/>
  </w:num>
  <w:num w:numId="10" w16cid:durableId="276643750">
    <w:abstractNumId w:val="7"/>
  </w:num>
  <w:num w:numId="11" w16cid:durableId="1546481757">
    <w:abstractNumId w:val="6"/>
  </w:num>
  <w:num w:numId="12" w16cid:durableId="952830108">
    <w:abstractNumId w:val="5"/>
  </w:num>
  <w:num w:numId="13" w16cid:durableId="1038777352">
    <w:abstractNumId w:val="4"/>
  </w:num>
  <w:num w:numId="14" w16cid:durableId="254755097">
    <w:abstractNumId w:val="28"/>
  </w:num>
  <w:num w:numId="15" w16cid:durableId="1235816762">
    <w:abstractNumId w:val="19"/>
  </w:num>
  <w:num w:numId="16" w16cid:durableId="403988394">
    <w:abstractNumId w:val="14"/>
  </w:num>
  <w:num w:numId="17" w16cid:durableId="56562693">
    <w:abstractNumId w:val="11"/>
  </w:num>
  <w:num w:numId="18" w16cid:durableId="1300644336">
    <w:abstractNumId w:val="32"/>
  </w:num>
  <w:num w:numId="19" w16cid:durableId="1550260666">
    <w:abstractNumId w:val="18"/>
  </w:num>
  <w:num w:numId="20" w16cid:durableId="574559303">
    <w:abstractNumId w:val="17"/>
  </w:num>
  <w:num w:numId="21" w16cid:durableId="1845388817">
    <w:abstractNumId w:val="10"/>
  </w:num>
  <w:num w:numId="22" w16cid:durableId="1045061835">
    <w:abstractNumId w:val="24"/>
  </w:num>
  <w:num w:numId="23" w16cid:durableId="1846626570">
    <w:abstractNumId w:val="25"/>
  </w:num>
  <w:num w:numId="24" w16cid:durableId="157112924">
    <w:abstractNumId w:val="22"/>
  </w:num>
  <w:num w:numId="25" w16cid:durableId="940529330">
    <w:abstractNumId w:val="16"/>
  </w:num>
  <w:num w:numId="26" w16cid:durableId="2132699220">
    <w:abstractNumId w:val="27"/>
  </w:num>
  <w:num w:numId="27" w16cid:durableId="2096896188">
    <w:abstractNumId w:val="21"/>
  </w:num>
  <w:num w:numId="28" w16cid:durableId="1451440026">
    <w:abstractNumId w:val="33"/>
  </w:num>
  <w:num w:numId="29" w16cid:durableId="1772817511">
    <w:abstractNumId w:val="15"/>
  </w:num>
  <w:num w:numId="30" w16cid:durableId="1989044193">
    <w:abstractNumId w:val="12"/>
  </w:num>
  <w:num w:numId="31" w16cid:durableId="1937397636">
    <w:abstractNumId w:val="23"/>
  </w:num>
  <w:num w:numId="32" w16cid:durableId="215050458">
    <w:abstractNumId w:val="13"/>
  </w:num>
  <w:num w:numId="33" w16cid:durableId="1332290165">
    <w:abstractNumId w:val="29"/>
  </w:num>
  <w:num w:numId="34" w16cid:durableId="375354078">
    <w:abstractNumId w:val="20"/>
  </w:num>
  <w:num w:numId="35" w16cid:durableId="91167271">
    <w:abstractNumId w:val="31"/>
  </w:num>
  <w:num w:numId="36" w16cid:durableId="800659056">
    <w:abstractNumId w:val="30"/>
  </w:num>
  <w:num w:numId="37" w16cid:durableId="1540507746">
    <w:abstractNumId w:val="26"/>
  </w:num>
  <w:num w:numId="38" w16cid:durableId="1156803094">
    <w:abstractNumId w:val="28"/>
  </w:num>
  <w:num w:numId="39" w16cid:durableId="979925358">
    <w:abstractNumId w:val="28"/>
  </w:num>
  <w:num w:numId="40" w16cid:durableId="1874267654">
    <w:abstractNumId w:val="27"/>
  </w:num>
  <w:num w:numId="41" w16cid:durableId="1662806542">
    <w:abstractNumId w:val="28"/>
  </w:num>
  <w:num w:numId="42" w16cid:durableId="19470807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567"/>
  <w:hyphenationZone w:val="425"/>
  <w:evenAndOddHeaders/>
  <w:characterSpacingControl w:val="doNotCompress"/>
  <w:hdrShapeDefaults>
    <o:shapedefaults v:ext="edit" spidmax="206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A4"/>
    <w:rsid w:val="00000709"/>
    <w:rsid w:val="00001622"/>
    <w:rsid w:val="000071FE"/>
    <w:rsid w:val="000101E8"/>
    <w:rsid w:val="000109AF"/>
    <w:rsid w:val="000115FC"/>
    <w:rsid w:val="00013366"/>
    <w:rsid w:val="000143C4"/>
    <w:rsid w:val="0001645A"/>
    <w:rsid w:val="000167A4"/>
    <w:rsid w:val="00017F94"/>
    <w:rsid w:val="00020FB9"/>
    <w:rsid w:val="000226FB"/>
    <w:rsid w:val="00022DBC"/>
    <w:rsid w:val="00023842"/>
    <w:rsid w:val="00024105"/>
    <w:rsid w:val="000244C6"/>
    <w:rsid w:val="000266DD"/>
    <w:rsid w:val="000305D3"/>
    <w:rsid w:val="00030934"/>
    <w:rsid w:val="000334F9"/>
    <w:rsid w:val="0003401F"/>
    <w:rsid w:val="00034CC1"/>
    <w:rsid w:val="00035505"/>
    <w:rsid w:val="00036E03"/>
    <w:rsid w:val="00037D8C"/>
    <w:rsid w:val="00037F0C"/>
    <w:rsid w:val="000416BF"/>
    <w:rsid w:val="00044558"/>
    <w:rsid w:val="00045822"/>
    <w:rsid w:val="00045FB3"/>
    <w:rsid w:val="000501D2"/>
    <w:rsid w:val="00051BDD"/>
    <w:rsid w:val="000548AD"/>
    <w:rsid w:val="00063EE7"/>
    <w:rsid w:val="00067B87"/>
    <w:rsid w:val="00067BA3"/>
    <w:rsid w:val="00067CD4"/>
    <w:rsid w:val="000714BF"/>
    <w:rsid w:val="00071B27"/>
    <w:rsid w:val="00073D0A"/>
    <w:rsid w:val="00074DB0"/>
    <w:rsid w:val="00077117"/>
    <w:rsid w:val="0007796D"/>
    <w:rsid w:val="000801B8"/>
    <w:rsid w:val="000832DD"/>
    <w:rsid w:val="00083D5A"/>
    <w:rsid w:val="00085D64"/>
    <w:rsid w:val="00087E0B"/>
    <w:rsid w:val="000903BA"/>
    <w:rsid w:val="000915FB"/>
    <w:rsid w:val="00091DC8"/>
    <w:rsid w:val="00096FA9"/>
    <w:rsid w:val="000A2184"/>
    <w:rsid w:val="000A430D"/>
    <w:rsid w:val="000A4423"/>
    <w:rsid w:val="000A46F2"/>
    <w:rsid w:val="000B0D07"/>
    <w:rsid w:val="000B444F"/>
    <w:rsid w:val="000B46C2"/>
    <w:rsid w:val="000B6C04"/>
    <w:rsid w:val="000B7790"/>
    <w:rsid w:val="000B7F5F"/>
    <w:rsid w:val="000B7F7F"/>
    <w:rsid w:val="000C1DD8"/>
    <w:rsid w:val="000C57AE"/>
    <w:rsid w:val="000C5E5D"/>
    <w:rsid w:val="000C6AF2"/>
    <w:rsid w:val="000D16A4"/>
    <w:rsid w:val="000D3B28"/>
    <w:rsid w:val="000D6E97"/>
    <w:rsid w:val="000D7EB9"/>
    <w:rsid w:val="000E0489"/>
    <w:rsid w:val="000E3545"/>
    <w:rsid w:val="000E35F3"/>
    <w:rsid w:val="000E3862"/>
    <w:rsid w:val="000F4706"/>
    <w:rsid w:val="001008EE"/>
    <w:rsid w:val="00106F46"/>
    <w:rsid w:val="00111737"/>
    <w:rsid w:val="00111F2F"/>
    <w:rsid w:val="0011357E"/>
    <w:rsid w:val="00113A5F"/>
    <w:rsid w:val="0011527B"/>
    <w:rsid w:val="00116009"/>
    <w:rsid w:val="0012015F"/>
    <w:rsid w:val="00122D0D"/>
    <w:rsid w:val="00123A47"/>
    <w:rsid w:val="001241F8"/>
    <w:rsid w:val="00124EF5"/>
    <w:rsid w:val="001263CB"/>
    <w:rsid w:val="001271AB"/>
    <w:rsid w:val="0012782F"/>
    <w:rsid w:val="00127D8A"/>
    <w:rsid w:val="00132EA9"/>
    <w:rsid w:val="00134FEF"/>
    <w:rsid w:val="00135D7E"/>
    <w:rsid w:val="001364F4"/>
    <w:rsid w:val="00137CF2"/>
    <w:rsid w:val="00141BF3"/>
    <w:rsid w:val="00142881"/>
    <w:rsid w:val="00143555"/>
    <w:rsid w:val="0014365E"/>
    <w:rsid w:val="00143ED4"/>
    <w:rsid w:val="00144AAC"/>
    <w:rsid w:val="00146D79"/>
    <w:rsid w:val="001508F7"/>
    <w:rsid w:val="0015461C"/>
    <w:rsid w:val="00157290"/>
    <w:rsid w:val="0015736F"/>
    <w:rsid w:val="00167865"/>
    <w:rsid w:val="001709B7"/>
    <w:rsid w:val="001726C7"/>
    <w:rsid w:val="00172AA0"/>
    <w:rsid w:val="00173826"/>
    <w:rsid w:val="00173FA0"/>
    <w:rsid w:val="00176178"/>
    <w:rsid w:val="0017692C"/>
    <w:rsid w:val="00180AF0"/>
    <w:rsid w:val="00182C41"/>
    <w:rsid w:val="00184C9D"/>
    <w:rsid w:val="00185BEA"/>
    <w:rsid w:val="00186289"/>
    <w:rsid w:val="001867E4"/>
    <w:rsid w:val="00187DCD"/>
    <w:rsid w:val="00191B1A"/>
    <w:rsid w:val="0019486B"/>
    <w:rsid w:val="001A0D08"/>
    <w:rsid w:val="001A1EC4"/>
    <w:rsid w:val="001A25ED"/>
    <w:rsid w:val="001A3C45"/>
    <w:rsid w:val="001A6EBA"/>
    <w:rsid w:val="001B02CC"/>
    <w:rsid w:val="001B1710"/>
    <w:rsid w:val="001B3216"/>
    <w:rsid w:val="001B5E58"/>
    <w:rsid w:val="001B62A4"/>
    <w:rsid w:val="001B7DE2"/>
    <w:rsid w:val="001C0903"/>
    <w:rsid w:val="001C2444"/>
    <w:rsid w:val="001C2991"/>
    <w:rsid w:val="001C428D"/>
    <w:rsid w:val="001C46DD"/>
    <w:rsid w:val="001C640B"/>
    <w:rsid w:val="001D3399"/>
    <w:rsid w:val="001D38A2"/>
    <w:rsid w:val="001D4376"/>
    <w:rsid w:val="001D4C34"/>
    <w:rsid w:val="001D5005"/>
    <w:rsid w:val="001D5785"/>
    <w:rsid w:val="001D64F4"/>
    <w:rsid w:val="001D71BC"/>
    <w:rsid w:val="001E1F03"/>
    <w:rsid w:val="001E3B2B"/>
    <w:rsid w:val="001E45D2"/>
    <w:rsid w:val="001E4ED9"/>
    <w:rsid w:val="001E549B"/>
    <w:rsid w:val="001E5552"/>
    <w:rsid w:val="001E64EA"/>
    <w:rsid w:val="001F031B"/>
    <w:rsid w:val="001F0699"/>
    <w:rsid w:val="001F0D5D"/>
    <w:rsid w:val="001F2161"/>
    <w:rsid w:val="001F22E5"/>
    <w:rsid w:val="001F2695"/>
    <w:rsid w:val="001F32DB"/>
    <w:rsid w:val="001F332C"/>
    <w:rsid w:val="001F525A"/>
    <w:rsid w:val="001F712E"/>
    <w:rsid w:val="0020127C"/>
    <w:rsid w:val="00201DC2"/>
    <w:rsid w:val="00201F69"/>
    <w:rsid w:val="002040E5"/>
    <w:rsid w:val="002045A2"/>
    <w:rsid w:val="0020471B"/>
    <w:rsid w:val="0020659F"/>
    <w:rsid w:val="00216CE9"/>
    <w:rsid w:val="0022207A"/>
    <w:rsid w:val="00223272"/>
    <w:rsid w:val="002300E4"/>
    <w:rsid w:val="002306A2"/>
    <w:rsid w:val="00230AB9"/>
    <w:rsid w:val="00234699"/>
    <w:rsid w:val="0023739C"/>
    <w:rsid w:val="002373CC"/>
    <w:rsid w:val="00241A8A"/>
    <w:rsid w:val="00246371"/>
    <w:rsid w:val="00246EA5"/>
    <w:rsid w:val="0024779E"/>
    <w:rsid w:val="002523C6"/>
    <w:rsid w:val="002528CA"/>
    <w:rsid w:val="00252D51"/>
    <w:rsid w:val="002563F3"/>
    <w:rsid w:val="002574D3"/>
    <w:rsid w:val="00260C99"/>
    <w:rsid w:val="00260E77"/>
    <w:rsid w:val="00262382"/>
    <w:rsid w:val="00263324"/>
    <w:rsid w:val="00265D25"/>
    <w:rsid w:val="00265F23"/>
    <w:rsid w:val="00272534"/>
    <w:rsid w:val="0027260F"/>
    <w:rsid w:val="0027301E"/>
    <w:rsid w:val="00273A4B"/>
    <w:rsid w:val="0027408D"/>
    <w:rsid w:val="0027494A"/>
    <w:rsid w:val="00275A1C"/>
    <w:rsid w:val="002777B3"/>
    <w:rsid w:val="00277A33"/>
    <w:rsid w:val="00277A3C"/>
    <w:rsid w:val="00281BEC"/>
    <w:rsid w:val="00283190"/>
    <w:rsid w:val="002832AC"/>
    <w:rsid w:val="00283AEA"/>
    <w:rsid w:val="0028446F"/>
    <w:rsid w:val="00285883"/>
    <w:rsid w:val="00290690"/>
    <w:rsid w:val="00293674"/>
    <w:rsid w:val="0029467D"/>
    <w:rsid w:val="00294D1A"/>
    <w:rsid w:val="002A0A6D"/>
    <w:rsid w:val="002A1CEF"/>
    <w:rsid w:val="002A401D"/>
    <w:rsid w:val="002A43FC"/>
    <w:rsid w:val="002A45A5"/>
    <w:rsid w:val="002A6DF1"/>
    <w:rsid w:val="002A6DF4"/>
    <w:rsid w:val="002B0406"/>
    <w:rsid w:val="002B053E"/>
    <w:rsid w:val="002B0985"/>
    <w:rsid w:val="002B13D0"/>
    <w:rsid w:val="002B17EA"/>
    <w:rsid w:val="002B1FAE"/>
    <w:rsid w:val="002B6428"/>
    <w:rsid w:val="002B6EF8"/>
    <w:rsid w:val="002B75AC"/>
    <w:rsid w:val="002C0394"/>
    <w:rsid w:val="002C16B0"/>
    <w:rsid w:val="002C1FD1"/>
    <w:rsid w:val="002C4F37"/>
    <w:rsid w:val="002C5CF6"/>
    <w:rsid w:val="002C6422"/>
    <w:rsid w:val="002D1460"/>
    <w:rsid w:val="002D2F90"/>
    <w:rsid w:val="002D5211"/>
    <w:rsid w:val="002D52DE"/>
    <w:rsid w:val="002D7365"/>
    <w:rsid w:val="002D7C93"/>
    <w:rsid w:val="002E00F3"/>
    <w:rsid w:val="002E1029"/>
    <w:rsid w:val="002E2D69"/>
    <w:rsid w:val="002E4A9E"/>
    <w:rsid w:val="002E75E9"/>
    <w:rsid w:val="002E791C"/>
    <w:rsid w:val="002F1E8D"/>
    <w:rsid w:val="002F2192"/>
    <w:rsid w:val="002F50F9"/>
    <w:rsid w:val="002F7067"/>
    <w:rsid w:val="0030191F"/>
    <w:rsid w:val="00303444"/>
    <w:rsid w:val="003047EB"/>
    <w:rsid w:val="00307E72"/>
    <w:rsid w:val="003109FA"/>
    <w:rsid w:val="003112BC"/>
    <w:rsid w:val="00311C6C"/>
    <w:rsid w:val="00313A6F"/>
    <w:rsid w:val="00313DB9"/>
    <w:rsid w:val="00314545"/>
    <w:rsid w:val="003149F6"/>
    <w:rsid w:val="00317061"/>
    <w:rsid w:val="003175D2"/>
    <w:rsid w:val="00320FCE"/>
    <w:rsid w:val="003229BF"/>
    <w:rsid w:val="00322D81"/>
    <w:rsid w:val="00323AA7"/>
    <w:rsid w:val="003263EB"/>
    <w:rsid w:val="00326607"/>
    <w:rsid w:val="0032726B"/>
    <w:rsid w:val="00330C7A"/>
    <w:rsid w:val="00332B7E"/>
    <w:rsid w:val="0033522A"/>
    <w:rsid w:val="00335E59"/>
    <w:rsid w:val="0034362E"/>
    <w:rsid w:val="00343B5F"/>
    <w:rsid w:val="00343C85"/>
    <w:rsid w:val="00343E9D"/>
    <w:rsid w:val="003442D7"/>
    <w:rsid w:val="003457EB"/>
    <w:rsid w:val="0035084C"/>
    <w:rsid w:val="003513CF"/>
    <w:rsid w:val="00352236"/>
    <w:rsid w:val="00357C0F"/>
    <w:rsid w:val="003608EC"/>
    <w:rsid w:val="00360DFC"/>
    <w:rsid w:val="00362278"/>
    <w:rsid w:val="003623DD"/>
    <w:rsid w:val="003631B2"/>
    <w:rsid w:val="00363217"/>
    <w:rsid w:val="00363665"/>
    <w:rsid w:val="0036378B"/>
    <w:rsid w:val="00365B9A"/>
    <w:rsid w:val="00366848"/>
    <w:rsid w:val="0036713C"/>
    <w:rsid w:val="00371441"/>
    <w:rsid w:val="00371BF1"/>
    <w:rsid w:val="003720D1"/>
    <w:rsid w:val="00372943"/>
    <w:rsid w:val="003744F4"/>
    <w:rsid w:val="00376996"/>
    <w:rsid w:val="00380374"/>
    <w:rsid w:val="0038422F"/>
    <w:rsid w:val="00386ADF"/>
    <w:rsid w:val="00392977"/>
    <w:rsid w:val="00394AF6"/>
    <w:rsid w:val="00396A06"/>
    <w:rsid w:val="003A3828"/>
    <w:rsid w:val="003A384C"/>
    <w:rsid w:val="003A5251"/>
    <w:rsid w:val="003A52B0"/>
    <w:rsid w:val="003B0039"/>
    <w:rsid w:val="003B107D"/>
    <w:rsid w:val="003B3A47"/>
    <w:rsid w:val="003B5C29"/>
    <w:rsid w:val="003B625C"/>
    <w:rsid w:val="003B6A50"/>
    <w:rsid w:val="003C00D8"/>
    <w:rsid w:val="003C0440"/>
    <w:rsid w:val="003C3480"/>
    <w:rsid w:val="003C4A11"/>
    <w:rsid w:val="003C561F"/>
    <w:rsid w:val="003C575F"/>
    <w:rsid w:val="003C5B47"/>
    <w:rsid w:val="003C6B91"/>
    <w:rsid w:val="003D0CD3"/>
    <w:rsid w:val="003D1DAA"/>
    <w:rsid w:val="003E19D1"/>
    <w:rsid w:val="003E3A23"/>
    <w:rsid w:val="003E71E5"/>
    <w:rsid w:val="003F1901"/>
    <w:rsid w:val="003F2AF7"/>
    <w:rsid w:val="003F6C70"/>
    <w:rsid w:val="00401999"/>
    <w:rsid w:val="004043CA"/>
    <w:rsid w:val="004049E1"/>
    <w:rsid w:val="00406854"/>
    <w:rsid w:val="004072A2"/>
    <w:rsid w:val="004073F1"/>
    <w:rsid w:val="00410B9E"/>
    <w:rsid w:val="00410BC1"/>
    <w:rsid w:val="004117C7"/>
    <w:rsid w:val="00412A4E"/>
    <w:rsid w:val="004147AD"/>
    <w:rsid w:val="00415568"/>
    <w:rsid w:val="00417764"/>
    <w:rsid w:val="00421EF6"/>
    <w:rsid w:val="00422F16"/>
    <w:rsid w:val="00424265"/>
    <w:rsid w:val="00425362"/>
    <w:rsid w:val="00426BE6"/>
    <w:rsid w:val="004279B7"/>
    <w:rsid w:val="00430041"/>
    <w:rsid w:val="00431CD5"/>
    <w:rsid w:val="00431EC5"/>
    <w:rsid w:val="004352F0"/>
    <w:rsid w:val="00437F2D"/>
    <w:rsid w:val="00441253"/>
    <w:rsid w:val="0044195C"/>
    <w:rsid w:val="00441C3B"/>
    <w:rsid w:val="00445C24"/>
    <w:rsid w:val="00446D76"/>
    <w:rsid w:val="00446FE5"/>
    <w:rsid w:val="00447962"/>
    <w:rsid w:val="00452396"/>
    <w:rsid w:val="00452D5C"/>
    <w:rsid w:val="004547C8"/>
    <w:rsid w:val="004569EE"/>
    <w:rsid w:val="00456FF3"/>
    <w:rsid w:val="0045732F"/>
    <w:rsid w:val="00460402"/>
    <w:rsid w:val="004618CB"/>
    <w:rsid w:val="0046440B"/>
    <w:rsid w:val="00464F7A"/>
    <w:rsid w:val="00471BD2"/>
    <w:rsid w:val="004746F1"/>
    <w:rsid w:val="00474761"/>
    <w:rsid w:val="00474765"/>
    <w:rsid w:val="004846A2"/>
    <w:rsid w:val="0048643C"/>
    <w:rsid w:val="004918C0"/>
    <w:rsid w:val="004923D1"/>
    <w:rsid w:val="0049590C"/>
    <w:rsid w:val="004959FE"/>
    <w:rsid w:val="0049669C"/>
    <w:rsid w:val="00496957"/>
    <w:rsid w:val="004A3950"/>
    <w:rsid w:val="004A3B56"/>
    <w:rsid w:val="004A4330"/>
    <w:rsid w:val="004A4D39"/>
    <w:rsid w:val="004A519E"/>
    <w:rsid w:val="004A6B02"/>
    <w:rsid w:val="004A7C71"/>
    <w:rsid w:val="004B106E"/>
    <w:rsid w:val="004B1910"/>
    <w:rsid w:val="004B2A28"/>
    <w:rsid w:val="004B3F5F"/>
    <w:rsid w:val="004B4230"/>
    <w:rsid w:val="004B4DDA"/>
    <w:rsid w:val="004B54DF"/>
    <w:rsid w:val="004B63E6"/>
    <w:rsid w:val="004B715F"/>
    <w:rsid w:val="004C0F6E"/>
    <w:rsid w:val="004C1849"/>
    <w:rsid w:val="004C35FC"/>
    <w:rsid w:val="004C4E9E"/>
    <w:rsid w:val="004C623D"/>
    <w:rsid w:val="004D2BB6"/>
    <w:rsid w:val="004D6275"/>
    <w:rsid w:val="004D6DC3"/>
    <w:rsid w:val="004E1345"/>
    <w:rsid w:val="004E14FD"/>
    <w:rsid w:val="004E1A44"/>
    <w:rsid w:val="004E468C"/>
    <w:rsid w:val="004E53E3"/>
    <w:rsid w:val="004F1128"/>
    <w:rsid w:val="004F23CD"/>
    <w:rsid w:val="004F242F"/>
    <w:rsid w:val="004F4758"/>
    <w:rsid w:val="004F6C26"/>
    <w:rsid w:val="005000A3"/>
    <w:rsid w:val="0050105E"/>
    <w:rsid w:val="0050110F"/>
    <w:rsid w:val="00503921"/>
    <w:rsid w:val="00503FCC"/>
    <w:rsid w:val="00504129"/>
    <w:rsid w:val="0050429B"/>
    <w:rsid w:val="005050B6"/>
    <w:rsid w:val="00506B05"/>
    <w:rsid w:val="0051045E"/>
    <w:rsid w:val="00510CA5"/>
    <w:rsid w:val="00510F29"/>
    <w:rsid w:val="00512EE6"/>
    <w:rsid w:val="00514BB4"/>
    <w:rsid w:val="005153C6"/>
    <w:rsid w:val="005157ED"/>
    <w:rsid w:val="00521E1A"/>
    <w:rsid w:val="005263CC"/>
    <w:rsid w:val="00527059"/>
    <w:rsid w:val="0053051C"/>
    <w:rsid w:val="00530777"/>
    <w:rsid w:val="005317D1"/>
    <w:rsid w:val="00534006"/>
    <w:rsid w:val="00534C50"/>
    <w:rsid w:val="0053682A"/>
    <w:rsid w:val="00537082"/>
    <w:rsid w:val="00541706"/>
    <w:rsid w:val="00542896"/>
    <w:rsid w:val="00543F2A"/>
    <w:rsid w:val="00545947"/>
    <w:rsid w:val="005474DD"/>
    <w:rsid w:val="00547629"/>
    <w:rsid w:val="00547B3F"/>
    <w:rsid w:val="005505B7"/>
    <w:rsid w:val="00551B13"/>
    <w:rsid w:val="005527E5"/>
    <w:rsid w:val="0055284B"/>
    <w:rsid w:val="00554BC7"/>
    <w:rsid w:val="00554D3B"/>
    <w:rsid w:val="005558EA"/>
    <w:rsid w:val="00555AE8"/>
    <w:rsid w:val="00557614"/>
    <w:rsid w:val="00560CB5"/>
    <w:rsid w:val="00563E21"/>
    <w:rsid w:val="00564743"/>
    <w:rsid w:val="00564760"/>
    <w:rsid w:val="005649CF"/>
    <w:rsid w:val="00565F7E"/>
    <w:rsid w:val="005670FC"/>
    <w:rsid w:val="00573BE5"/>
    <w:rsid w:val="00574E47"/>
    <w:rsid w:val="00575728"/>
    <w:rsid w:val="005766D7"/>
    <w:rsid w:val="00584C53"/>
    <w:rsid w:val="00584DC4"/>
    <w:rsid w:val="005854C0"/>
    <w:rsid w:val="00586BB8"/>
    <w:rsid w:val="00586DED"/>
    <w:rsid w:val="00586ED3"/>
    <w:rsid w:val="005879F3"/>
    <w:rsid w:val="005900F4"/>
    <w:rsid w:val="00594092"/>
    <w:rsid w:val="00596AA9"/>
    <w:rsid w:val="005979FE"/>
    <w:rsid w:val="005A4ABC"/>
    <w:rsid w:val="005A4FA4"/>
    <w:rsid w:val="005A5EF1"/>
    <w:rsid w:val="005B0180"/>
    <w:rsid w:val="005B0ABA"/>
    <w:rsid w:val="005B24CE"/>
    <w:rsid w:val="005B2798"/>
    <w:rsid w:val="005B2DBF"/>
    <w:rsid w:val="005B40AB"/>
    <w:rsid w:val="005B6837"/>
    <w:rsid w:val="005B6C0B"/>
    <w:rsid w:val="005B717D"/>
    <w:rsid w:val="005C0986"/>
    <w:rsid w:val="005C2358"/>
    <w:rsid w:val="005C324D"/>
    <w:rsid w:val="005C4C1F"/>
    <w:rsid w:val="005C5A45"/>
    <w:rsid w:val="005D00EA"/>
    <w:rsid w:val="005D2F9E"/>
    <w:rsid w:val="005D4DA8"/>
    <w:rsid w:val="005D5401"/>
    <w:rsid w:val="005D5C00"/>
    <w:rsid w:val="005D6944"/>
    <w:rsid w:val="005E0561"/>
    <w:rsid w:val="005E1A6B"/>
    <w:rsid w:val="005E22F5"/>
    <w:rsid w:val="005E317E"/>
    <w:rsid w:val="005E358B"/>
    <w:rsid w:val="005E7605"/>
    <w:rsid w:val="005F1887"/>
    <w:rsid w:val="005F440F"/>
    <w:rsid w:val="005F4461"/>
    <w:rsid w:val="005F56ED"/>
    <w:rsid w:val="005F610F"/>
    <w:rsid w:val="006016A0"/>
    <w:rsid w:val="006024A9"/>
    <w:rsid w:val="00604EBF"/>
    <w:rsid w:val="00606AB9"/>
    <w:rsid w:val="00607437"/>
    <w:rsid w:val="00607890"/>
    <w:rsid w:val="00607AE6"/>
    <w:rsid w:val="00610214"/>
    <w:rsid w:val="006104D1"/>
    <w:rsid w:val="006145DF"/>
    <w:rsid w:val="0061593E"/>
    <w:rsid w:val="00615AB5"/>
    <w:rsid w:val="006205AF"/>
    <w:rsid w:val="00620BDD"/>
    <w:rsid w:val="00620CCE"/>
    <w:rsid w:val="00622A9E"/>
    <w:rsid w:val="00625A21"/>
    <w:rsid w:val="00632194"/>
    <w:rsid w:val="00632986"/>
    <w:rsid w:val="00632E24"/>
    <w:rsid w:val="00635408"/>
    <w:rsid w:val="00635620"/>
    <w:rsid w:val="00635ED2"/>
    <w:rsid w:val="00646B2E"/>
    <w:rsid w:val="00647EC6"/>
    <w:rsid w:val="00650795"/>
    <w:rsid w:val="00651DA9"/>
    <w:rsid w:val="006552DD"/>
    <w:rsid w:val="006575B2"/>
    <w:rsid w:val="00661C77"/>
    <w:rsid w:val="006622E6"/>
    <w:rsid w:val="0066360A"/>
    <w:rsid w:val="00663A0F"/>
    <w:rsid w:val="00663FC0"/>
    <w:rsid w:val="006674DF"/>
    <w:rsid w:val="00674859"/>
    <w:rsid w:val="006753F0"/>
    <w:rsid w:val="006754E7"/>
    <w:rsid w:val="00676C50"/>
    <w:rsid w:val="0067735C"/>
    <w:rsid w:val="00681E93"/>
    <w:rsid w:val="00683C53"/>
    <w:rsid w:val="0068456F"/>
    <w:rsid w:val="00684626"/>
    <w:rsid w:val="00684B92"/>
    <w:rsid w:val="00685DEC"/>
    <w:rsid w:val="0068709C"/>
    <w:rsid w:val="00690068"/>
    <w:rsid w:val="00690BB0"/>
    <w:rsid w:val="0069309E"/>
    <w:rsid w:val="006940E0"/>
    <w:rsid w:val="00697DD5"/>
    <w:rsid w:val="006A4337"/>
    <w:rsid w:val="006A4703"/>
    <w:rsid w:val="006B0253"/>
    <w:rsid w:val="006B2121"/>
    <w:rsid w:val="006B2E19"/>
    <w:rsid w:val="006B47CF"/>
    <w:rsid w:val="006B715E"/>
    <w:rsid w:val="006C01FC"/>
    <w:rsid w:val="006C190A"/>
    <w:rsid w:val="006C348D"/>
    <w:rsid w:val="006C37CC"/>
    <w:rsid w:val="006C3BD1"/>
    <w:rsid w:val="006C4D60"/>
    <w:rsid w:val="006C6C5F"/>
    <w:rsid w:val="006D210F"/>
    <w:rsid w:val="006D2162"/>
    <w:rsid w:val="006D4EC1"/>
    <w:rsid w:val="006D50B5"/>
    <w:rsid w:val="006E05ED"/>
    <w:rsid w:val="006E0730"/>
    <w:rsid w:val="006E0E37"/>
    <w:rsid w:val="006E1D17"/>
    <w:rsid w:val="006E2664"/>
    <w:rsid w:val="006E3B9A"/>
    <w:rsid w:val="006E3D26"/>
    <w:rsid w:val="006E4ED5"/>
    <w:rsid w:val="006E630C"/>
    <w:rsid w:val="006F0BC1"/>
    <w:rsid w:val="006F4DDC"/>
    <w:rsid w:val="006F60A9"/>
    <w:rsid w:val="006F6E42"/>
    <w:rsid w:val="00702742"/>
    <w:rsid w:val="0070318D"/>
    <w:rsid w:val="00703F56"/>
    <w:rsid w:val="00704E52"/>
    <w:rsid w:val="007070E4"/>
    <w:rsid w:val="00707E89"/>
    <w:rsid w:val="007114E2"/>
    <w:rsid w:val="007155D2"/>
    <w:rsid w:val="007158F6"/>
    <w:rsid w:val="0071601D"/>
    <w:rsid w:val="00717055"/>
    <w:rsid w:val="007177A2"/>
    <w:rsid w:val="00717F51"/>
    <w:rsid w:val="00721CBC"/>
    <w:rsid w:val="007221B1"/>
    <w:rsid w:val="0072263B"/>
    <w:rsid w:val="00724B73"/>
    <w:rsid w:val="007254A8"/>
    <w:rsid w:val="00725E8D"/>
    <w:rsid w:val="00727637"/>
    <w:rsid w:val="0073027D"/>
    <w:rsid w:val="00730796"/>
    <w:rsid w:val="007330DA"/>
    <w:rsid w:val="0073394B"/>
    <w:rsid w:val="007339DF"/>
    <w:rsid w:val="0073540C"/>
    <w:rsid w:val="00742944"/>
    <w:rsid w:val="00742F86"/>
    <w:rsid w:val="00743331"/>
    <w:rsid w:val="00743859"/>
    <w:rsid w:val="00743D22"/>
    <w:rsid w:val="00745C08"/>
    <w:rsid w:val="00746C90"/>
    <w:rsid w:val="007478FD"/>
    <w:rsid w:val="0074799E"/>
    <w:rsid w:val="00747A7A"/>
    <w:rsid w:val="007513FE"/>
    <w:rsid w:val="007516C5"/>
    <w:rsid w:val="00753BC7"/>
    <w:rsid w:val="0075407E"/>
    <w:rsid w:val="00755D57"/>
    <w:rsid w:val="007562D0"/>
    <w:rsid w:val="00756440"/>
    <w:rsid w:val="00764532"/>
    <w:rsid w:val="00764567"/>
    <w:rsid w:val="00764D0B"/>
    <w:rsid w:val="00767D85"/>
    <w:rsid w:val="007709FD"/>
    <w:rsid w:val="007719DE"/>
    <w:rsid w:val="0077278A"/>
    <w:rsid w:val="00773E7F"/>
    <w:rsid w:val="00775256"/>
    <w:rsid w:val="0077596C"/>
    <w:rsid w:val="00777D61"/>
    <w:rsid w:val="007801DF"/>
    <w:rsid w:val="007831E0"/>
    <w:rsid w:val="0078324E"/>
    <w:rsid w:val="00785065"/>
    <w:rsid w:val="00785B12"/>
    <w:rsid w:val="0078666A"/>
    <w:rsid w:val="00786EA6"/>
    <w:rsid w:val="00786FF4"/>
    <w:rsid w:val="007907EB"/>
    <w:rsid w:val="00792244"/>
    <w:rsid w:val="0079406D"/>
    <w:rsid w:val="0079701E"/>
    <w:rsid w:val="007A0613"/>
    <w:rsid w:val="007A285C"/>
    <w:rsid w:val="007A2A1A"/>
    <w:rsid w:val="007A2AF7"/>
    <w:rsid w:val="007A427A"/>
    <w:rsid w:val="007A56EB"/>
    <w:rsid w:val="007A62E6"/>
    <w:rsid w:val="007A64F5"/>
    <w:rsid w:val="007A6D10"/>
    <w:rsid w:val="007A795F"/>
    <w:rsid w:val="007B024C"/>
    <w:rsid w:val="007B0A59"/>
    <w:rsid w:val="007B1D37"/>
    <w:rsid w:val="007B5998"/>
    <w:rsid w:val="007C1EA7"/>
    <w:rsid w:val="007C28AC"/>
    <w:rsid w:val="007C304D"/>
    <w:rsid w:val="007C463A"/>
    <w:rsid w:val="007C5CD5"/>
    <w:rsid w:val="007C69EF"/>
    <w:rsid w:val="007D0004"/>
    <w:rsid w:val="007D0AA3"/>
    <w:rsid w:val="007D111D"/>
    <w:rsid w:val="007D2782"/>
    <w:rsid w:val="007D2B82"/>
    <w:rsid w:val="007D5878"/>
    <w:rsid w:val="007D6DCC"/>
    <w:rsid w:val="007E0836"/>
    <w:rsid w:val="007E0916"/>
    <w:rsid w:val="007E0A25"/>
    <w:rsid w:val="007E0FAF"/>
    <w:rsid w:val="007E19B1"/>
    <w:rsid w:val="007E2830"/>
    <w:rsid w:val="007E28B2"/>
    <w:rsid w:val="007E2A32"/>
    <w:rsid w:val="007E44E1"/>
    <w:rsid w:val="007E5566"/>
    <w:rsid w:val="007F0BCB"/>
    <w:rsid w:val="007F7CB4"/>
    <w:rsid w:val="00801418"/>
    <w:rsid w:val="00802FB7"/>
    <w:rsid w:val="00803C7A"/>
    <w:rsid w:val="00804B63"/>
    <w:rsid w:val="0080684C"/>
    <w:rsid w:val="0081636A"/>
    <w:rsid w:val="008177B9"/>
    <w:rsid w:val="00820A8B"/>
    <w:rsid w:val="00823EE6"/>
    <w:rsid w:val="00824190"/>
    <w:rsid w:val="00824D1C"/>
    <w:rsid w:val="00824F9A"/>
    <w:rsid w:val="00825D95"/>
    <w:rsid w:val="00826A72"/>
    <w:rsid w:val="008329E4"/>
    <w:rsid w:val="00832AD1"/>
    <w:rsid w:val="00836AE9"/>
    <w:rsid w:val="0084064C"/>
    <w:rsid w:val="00840983"/>
    <w:rsid w:val="00842A2E"/>
    <w:rsid w:val="00844D64"/>
    <w:rsid w:val="00847F63"/>
    <w:rsid w:val="0085144A"/>
    <w:rsid w:val="008515D6"/>
    <w:rsid w:val="008539B6"/>
    <w:rsid w:val="00853C78"/>
    <w:rsid w:val="008541C5"/>
    <w:rsid w:val="0085786A"/>
    <w:rsid w:val="0086122F"/>
    <w:rsid w:val="00861447"/>
    <w:rsid w:val="00861FFD"/>
    <w:rsid w:val="00862043"/>
    <w:rsid w:val="00862DB5"/>
    <w:rsid w:val="008646D2"/>
    <w:rsid w:val="008664C8"/>
    <w:rsid w:val="0086678B"/>
    <w:rsid w:val="00867C06"/>
    <w:rsid w:val="00871C75"/>
    <w:rsid w:val="00872E19"/>
    <w:rsid w:val="0087304C"/>
    <w:rsid w:val="00874F64"/>
    <w:rsid w:val="00875198"/>
    <w:rsid w:val="00875C26"/>
    <w:rsid w:val="008776DC"/>
    <w:rsid w:val="00877BBF"/>
    <w:rsid w:val="0088169F"/>
    <w:rsid w:val="00890014"/>
    <w:rsid w:val="008911D8"/>
    <w:rsid w:val="00892348"/>
    <w:rsid w:val="00893F0D"/>
    <w:rsid w:val="0089662C"/>
    <w:rsid w:val="008A7460"/>
    <w:rsid w:val="008A7ED3"/>
    <w:rsid w:val="008B1A42"/>
    <w:rsid w:val="008B1ED6"/>
    <w:rsid w:val="008B227F"/>
    <w:rsid w:val="008B3B98"/>
    <w:rsid w:val="008B3E2C"/>
    <w:rsid w:val="008B40CD"/>
    <w:rsid w:val="008B65FC"/>
    <w:rsid w:val="008B7FA3"/>
    <w:rsid w:val="008C1927"/>
    <w:rsid w:val="008C2A3D"/>
    <w:rsid w:val="008C3966"/>
    <w:rsid w:val="008C6980"/>
    <w:rsid w:val="008D0024"/>
    <w:rsid w:val="008D05B9"/>
    <w:rsid w:val="008D0698"/>
    <w:rsid w:val="008D1004"/>
    <w:rsid w:val="008D2C49"/>
    <w:rsid w:val="008D33D4"/>
    <w:rsid w:val="008E376D"/>
    <w:rsid w:val="008E6A84"/>
    <w:rsid w:val="008F03CE"/>
    <w:rsid w:val="008F16AF"/>
    <w:rsid w:val="008F1DC6"/>
    <w:rsid w:val="008F5068"/>
    <w:rsid w:val="008F60C7"/>
    <w:rsid w:val="008F6146"/>
    <w:rsid w:val="008F7115"/>
    <w:rsid w:val="008F756B"/>
    <w:rsid w:val="009013C6"/>
    <w:rsid w:val="009021F0"/>
    <w:rsid w:val="0090550E"/>
    <w:rsid w:val="009104C4"/>
    <w:rsid w:val="00910CB3"/>
    <w:rsid w:val="009114FA"/>
    <w:rsid w:val="00911D44"/>
    <w:rsid w:val="009147B6"/>
    <w:rsid w:val="00915055"/>
    <w:rsid w:val="00915368"/>
    <w:rsid w:val="009160A0"/>
    <w:rsid w:val="00917000"/>
    <w:rsid w:val="00920176"/>
    <w:rsid w:val="00921353"/>
    <w:rsid w:val="009219BD"/>
    <w:rsid w:val="0092270A"/>
    <w:rsid w:val="009234A6"/>
    <w:rsid w:val="009260D4"/>
    <w:rsid w:val="00926218"/>
    <w:rsid w:val="00927330"/>
    <w:rsid w:val="009343B4"/>
    <w:rsid w:val="00935BEA"/>
    <w:rsid w:val="0093647A"/>
    <w:rsid w:val="00936527"/>
    <w:rsid w:val="0093677A"/>
    <w:rsid w:val="00940F29"/>
    <w:rsid w:val="00942D31"/>
    <w:rsid w:val="00943596"/>
    <w:rsid w:val="00950D73"/>
    <w:rsid w:val="00955949"/>
    <w:rsid w:val="00955CDF"/>
    <w:rsid w:val="00956D48"/>
    <w:rsid w:val="009572B9"/>
    <w:rsid w:val="00960044"/>
    <w:rsid w:val="0096009D"/>
    <w:rsid w:val="0096271D"/>
    <w:rsid w:val="009645D2"/>
    <w:rsid w:val="00964A24"/>
    <w:rsid w:val="009705C8"/>
    <w:rsid w:val="00971195"/>
    <w:rsid w:val="00971DE3"/>
    <w:rsid w:val="00972365"/>
    <w:rsid w:val="00974038"/>
    <w:rsid w:val="0097411F"/>
    <w:rsid w:val="009744DF"/>
    <w:rsid w:val="00976004"/>
    <w:rsid w:val="0097693E"/>
    <w:rsid w:val="00981BAB"/>
    <w:rsid w:val="00981E54"/>
    <w:rsid w:val="00983DCD"/>
    <w:rsid w:val="009924E4"/>
    <w:rsid w:val="0099258A"/>
    <w:rsid w:val="009930DE"/>
    <w:rsid w:val="009931F6"/>
    <w:rsid w:val="00994CCC"/>
    <w:rsid w:val="0099599D"/>
    <w:rsid w:val="009967E8"/>
    <w:rsid w:val="00996B60"/>
    <w:rsid w:val="009A030B"/>
    <w:rsid w:val="009A11BF"/>
    <w:rsid w:val="009A383C"/>
    <w:rsid w:val="009A3898"/>
    <w:rsid w:val="009A60BB"/>
    <w:rsid w:val="009A6EEB"/>
    <w:rsid w:val="009B03A8"/>
    <w:rsid w:val="009B2983"/>
    <w:rsid w:val="009B3DAA"/>
    <w:rsid w:val="009B4275"/>
    <w:rsid w:val="009B494C"/>
    <w:rsid w:val="009B5281"/>
    <w:rsid w:val="009C0690"/>
    <w:rsid w:val="009C1332"/>
    <w:rsid w:val="009C1CF4"/>
    <w:rsid w:val="009C5BA4"/>
    <w:rsid w:val="009C6AD0"/>
    <w:rsid w:val="009C736C"/>
    <w:rsid w:val="009D5413"/>
    <w:rsid w:val="009D6D48"/>
    <w:rsid w:val="009E12B3"/>
    <w:rsid w:val="009E16FF"/>
    <w:rsid w:val="009E2891"/>
    <w:rsid w:val="009E5FDD"/>
    <w:rsid w:val="009F28CF"/>
    <w:rsid w:val="009F36A3"/>
    <w:rsid w:val="009F3CAF"/>
    <w:rsid w:val="009F3E23"/>
    <w:rsid w:val="009F5096"/>
    <w:rsid w:val="009F51AA"/>
    <w:rsid w:val="00A03F7D"/>
    <w:rsid w:val="00A05487"/>
    <w:rsid w:val="00A065C1"/>
    <w:rsid w:val="00A077E9"/>
    <w:rsid w:val="00A10EEF"/>
    <w:rsid w:val="00A1160A"/>
    <w:rsid w:val="00A13162"/>
    <w:rsid w:val="00A13386"/>
    <w:rsid w:val="00A14F40"/>
    <w:rsid w:val="00A2341E"/>
    <w:rsid w:val="00A24F43"/>
    <w:rsid w:val="00A269BF"/>
    <w:rsid w:val="00A30353"/>
    <w:rsid w:val="00A33A36"/>
    <w:rsid w:val="00A3440A"/>
    <w:rsid w:val="00A35695"/>
    <w:rsid w:val="00A372DA"/>
    <w:rsid w:val="00A37B98"/>
    <w:rsid w:val="00A40A74"/>
    <w:rsid w:val="00A4166F"/>
    <w:rsid w:val="00A41E11"/>
    <w:rsid w:val="00A44687"/>
    <w:rsid w:val="00A446A6"/>
    <w:rsid w:val="00A447FF"/>
    <w:rsid w:val="00A501E5"/>
    <w:rsid w:val="00A51E8B"/>
    <w:rsid w:val="00A52D79"/>
    <w:rsid w:val="00A57153"/>
    <w:rsid w:val="00A57FCB"/>
    <w:rsid w:val="00A60A28"/>
    <w:rsid w:val="00A64911"/>
    <w:rsid w:val="00A65870"/>
    <w:rsid w:val="00A708BB"/>
    <w:rsid w:val="00A70D3B"/>
    <w:rsid w:val="00A7207D"/>
    <w:rsid w:val="00A7351A"/>
    <w:rsid w:val="00A73BE0"/>
    <w:rsid w:val="00A740A9"/>
    <w:rsid w:val="00A768B7"/>
    <w:rsid w:val="00A77517"/>
    <w:rsid w:val="00A8149D"/>
    <w:rsid w:val="00A81BA9"/>
    <w:rsid w:val="00A81F45"/>
    <w:rsid w:val="00A835AD"/>
    <w:rsid w:val="00A8399F"/>
    <w:rsid w:val="00A848A9"/>
    <w:rsid w:val="00A86EB7"/>
    <w:rsid w:val="00A90B7E"/>
    <w:rsid w:val="00A961A2"/>
    <w:rsid w:val="00A9790A"/>
    <w:rsid w:val="00AA0FB3"/>
    <w:rsid w:val="00AA0FBB"/>
    <w:rsid w:val="00AA1C21"/>
    <w:rsid w:val="00AA6504"/>
    <w:rsid w:val="00AB2D25"/>
    <w:rsid w:val="00AB5A3F"/>
    <w:rsid w:val="00AC1A53"/>
    <w:rsid w:val="00AC20B5"/>
    <w:rsid w:val="00AC2A81"/>
    <w:rsid w:val="00AC3823"/>
    <w:rsid w:val="00AC435E"/>
    <w:rsid w:val="00AC4914"/>
    <w:rsid w:val="00AD1C7E"/>
    <w:rsid w:val="00AD2D7C"/>
    <w:rsid w:val="00AD2FB9"/>
    <w:rsid w:val="00AD3F70"/>
    <w:rsid w:val="00AD505E"/>
    <w:rsid w:val="00AE0E8A"/>
    <w:rsid w:val="00AE323C"/>
    <w:rsid w:val="00AE4582"/>
    <w:rsid w:val="00AE526C"/>
    <w:rsid w:val="00AE5881"/>
    <w:rsid w:val="00AE60A9"/>
    <w:rsid w:val="00AE6E00"/>
    <w:rsid w:val="00AF009C"/>
    <w:rsid w:val="00AF34AB"/>
    <w:rsid w:val="00AF5238"/>
    <w:rsid w:val="00B00181"/>
    <w:rsid w:val="00B00B0D"/>
    <w:rsid w:val="00B0344A"/>
    <w:rsid w:val="00B0448C"/>
    <w:rsid w:val="00B05551"/>
    <w:rsid w:val="00B06CD8"/>
    <w:rsid w:val="00B06DCF"/>
    <w:rsid w:val="00B07008"/>
    <w:rsid w:val="00B07D24"/>
    <w:rsid w:val="00B104A7"/>
    <w:rsid w:val="00B1063A"/>
    <w:rsid w:val="00B13B1A"/>
    <w:rsid w:val="00B14301"/>
    <w:rsid w:val="00B200BF"/>
    <w:rsid w:val="00B2171D"/>
    <w:rsid w:val="00B22502"/>
    <w:rsid w:val="00B22639"/>
    <w:rsid w:val="00B23308"/>
    <w:rsid w:val="00B23BA7"/>
    <w:rsid w:val="00B24916"/>
    <w:rsid w:val="00B26F6E"/>
    <w:rsid w:val="00B30609"/>
    <w:rsid w:val="00B315BF"/>
    <w:rsid w:val="00B32455"/>
    <w:rsid w:val="00B332EE"/>
    <w:rsid w:val="00B35CF5"/>
    <w:rsid w:val="00B36299"/>
    <w:rsid w:val="00B416EA"/>
    <w:rsid w:val="00B44801"/>
    <w:rsid w:val="00B50558"/>
    <w:rsid w:val="00B51B80"/>
    <w:rsid w:val="00B51E14"/>
    <w:rsid w:val="00B53B0B"/>
    <w:rsid w:val="00B53F87"/>
    <w:rsid w:val="00B557A6"/>
    <w:rsid w:val="00B55C40"/>
    <w:rsid w:val="00B55C7E"/>
    <w:rsid w:val="00B6226C"/>
    <w:rsid w:val="00B628BC"/>
    <w:rsid w:val="00B62E8D"/>
    <w:rsid w:val="00B636A3"/>
    <w:rsid w:val="00B65F7B"/>
    <w:rsid w:val="00B70A65"/>
    <w:rsid w:val="00B70D33"/>
    <w:rsid w:val="00B7226E"/>
    <w:rsid w:val="00B7461D"/>
    <w:rsid w:val="00B764CB"/>
    <w:rsid w:val="00B765F7"/>
    <w:rsid w:val="00B77638"/>
    <w:rsid w:val="00B815EC"/>
    <w:rsid w:val="00B815F7"/>
    <w:rsid w:val="00B8354C"/>
    <w:rsid w:val="00B85658"/>
    <w:rsid w:val="00B85F87"/>
    <w:rsid w:val="00B90134"/>
    <w:rsid w:val="00B90C01"/>
    <w:rsid w:val="00B9296E"/>
    <w:rsid w:val="00B94898"/>
    <w:rsid w:val="00B96B5B"/>
    <w:rsid w:val="00B976FE"/>
    <w:rsid w:val="00BA0CA9"/>
    <w:rsid w:val="00BA3227"/>
    <w:rsid w:val="00BA4A96"/>
    <w:rsid w:val="00BA6DCB"/>
    <w:rsid w:val="00BA7102"/>
    <w:rsid w:val="00BB2AAC"/>
    <w:rsid w:val="00BB2B22"/>
    <w:rsid w:val="00BB4EE2"/>
    <w:rsid w:val="00BB539B"/>
    <w:rsid w:val="00BB6742"/>
    <w:rsid w:val="00BC08FB"/>
    <w:rsid w:val="00BC1AC5"/>
    <w:rsid w:val="00BC1BD1"/>
    <w:rsid w:val="00BC1C1A"/>
    <w:rsid w:val="00BC241D"/>
    <w:rsid w:val="00BC63AF"/>
    <w:rsid w:val="00BC7E62"/>
    <w:rsid w:val="00BD0173"/>
    <w:rsid w:val="00BD36CC"/>
    <w:rsid w:val="00BD3B50"/>
    <w:rsid w:val="00BD5402"/>
    <w:rsid w:val="00BD6753"/>
    <w:rsid w:val="00BD6DE4"/>
    <w:rsid w:val="00BE09E9"/>
    <w:rsid w:val="00BE1FDC"/>
    <w:rsid w:val="00BE379D"/>
    <w:rsid w:val="00BE396F"/>
    <w:rsid w:val="00BE3B7C"/>
    <w:rsid w:val="00BE3BFD"/>
    <w:rsid w:val="00BE477E"/>
    <w:rsid w:val="00BF02E4"/>
    <w:rsid w:val="00BF648E"/>
    <w:rsid w:val="00C00BB7"/>
    <w:rsid w:val="00C015EE"/>
    <w:rsid w:val="00C02897"/>
    <w:rsid w:val="00C03BB5"/>
    <w:rsid w:val="00C03BB8"/>
    <w:rsid w:val="00C03C11"/>
    <w:rsid w:val="00C0485D"/>
    <w:rsid w:val="00C058BD"/>
    <w:rsid w:val="00C10303"/>
    <w:rsid w:val="00C10359"/>
    <w:rsid w:val="00C1224B"/>
    <w:rsid w:val="00C1405C"/>
    <w:rsid w:val="00C149CA"/>
    <w:rsid w:val="00C15991"/>
    <w:rsid w:val="00C20316"/>
    <w:rsid w:val="00C20E2C"/>
    <w:rsid w:val="00C21586"/>
    <w:rsid w:val="00C22ADB"/>
    <w:rsid w:val="00C237B0"/>
    <w:rsid w:val="00C2421A"/>
    <w:rsid w:val="00C2486B"/>
    <w:rsid w:val="00C26055"/>
    <w:rsid w:val="00C260EB"/>
    <w:rsid w:val="00C2677B"/>
    <w:rsid w:val="00C301C9"/>
    <w:rsid w:val="00C32ECB"/>
    <w:rsid w:val="00C358D1"/>
    <w:rsid w:val="00C35FE7"/>
    <w:rsid w:val="00C368D6"/>
    <w:rsid w:val="00C37CC6"/>
    <w:rsid w:val="00C40DE1"/>
    <w:rsid w:val="00C426D1"/>
    <w:rsid w:val="00C458F1"/>
    <w:rsid w:val="00C460D8"/>
    <w:rsid w:val="00C54462"/>
    <w:rsid w:val="00C54B01"/>
    <w:rsid w:val="00C54D3E"/>
    <w:rsid w:val="00C559DF"/>
    <w:rsid w:val="00C60AFE"/>
    <w:rsid w:val="00C60CDD"/>
    <w:rsid w:val="00C61A65"/>
    <w:rsid w:val="00C70D5A"/>
    <w:rsid w:val="00C7211E"/>
    <w:rsid w:val="00C800D7"/>
    <w:rsid w:val="00C81A97"/>
    <w:rsid w:val="00C82F2C"/>
    <w:rsid w:val="00C86D9D"/>
    <w:rsid w:val="00C86DCB"/>
    <w:rsid w:val="00C90DD5"/>
    <w:rsid w:val="00C91A78"/>
    <w:rsid w:val="00C94714"/>
    <w:rsid w:val="00C94CB8"/>
    <w:rsid w:val="00C94ECF"/>
    <w:rsid w:val="00C95AD1"/>
    <w:rsid w:val="00C95D06"/>
    <w:rsid w:val="00C95FA6"/>
    <w:rsid w:val="00C966D3"/>
    <w:rsid w:val="00C96CEE"/>
    <w:rsid w:val="00CA2D5D"/>
    <w:rsid w:val="00CA3AB4"/>
    <w:rsid w:val="00CA3B89"/>
    <w:rsid w:val="00CA5109"/>
    <w:rsid w:val="00CA62FE"/>
    <w:rsid w:val="00CB0482"/>
    <w:rsid w:val="00CB0844"/>
    <w:rsid w:val="00CB2921"/>
    <w:rsid w:val="00CC0BE2"/>
    <w:rsid w:val="00CC128D"/>
    <w:rsid w:val="00CC5822"/>
    <w:rsid w:val="00CC5A65"/>
    <w:rsid w:val="00CD0AAE"/>
    <w:rsid w:val="00CD24D6"/>
    <w:rsid w:val="00CD3C39"/>
    <w:rsid w:val="00CD6A57"/>
    <w:rsid w:val="00CE1681"/>
    <w:rsid w:val="00CE20A1"/>
    <w:rsid w:val="00CE3CB8"/>
    <w:rsid w:val="00CE7046"/>
    <w:rsid w:val="00CF50C1"/>
    <w:rsid w:val="00CF54CA"/>
    <w:rsid w:val="00D02340"/>
    <w:rsid w:val="00D03097"/>
    <w:rsid w:val="00D06ACC"/>
    <w:rsid w:val="00D11C19"/>
    <w:rsid w:val="00D12896"/>
    <w:rsid w:val="00D21C44"/>
    <w:rsid w:val="00D23565"/>
    <w:rsid w:val="00D2523E"/>
    <w:rsid w:val="00D31BCE"/>
    <w:rsid w:val="00D3374C"/>
    <w:rsid w:val="00D33948"/>
    <w:rsid w:val="00D3439C"/>
    <w:rsid w:val="00D3496A"/>
    <w:rsid w:val="00D35A69"/>
    <w:rsid w:val="00D373CA"/>
    <w:rsid w:val="00D37D4E"/>
    <w:rsid w:val="00D37D83"/>
    <w:rsid w:val="00D41BA8"/>
    <w:rsid w:val="00D4656D"/>
    <w:rsid w:val="00D5455E"/>
    <w:rsid w:val="00D54AA2"/>
    <w:rsid w:val="00D5515E"/>
    <w:rsid w:val="00D5527A"/>
    <w:rsid w:val="00D55D5D"/>
    <w:rsid w:val="00D57C63"/>
    <w:rsid w:val="00D57C7D"/>
    <w:rsid w:val="00D635EB"/>
    <w:rsid w:val="00D63F56"/>
    <w:rsid w:val="00D66CA4"/>
    <w:rsid w:val="00D66DC3"/>
    <w:rsid w:val="00D7024E"/>
    <w:rsid w:val="00D729A5"/>
    <w:rsid w:val="00D72F13"/>
    <w:rsid w:val="00D73388"/>
    <w:rsid w:val="00D73DCD"/>
    <w:rsid w:val="00D7442E"/>
    <w:rsid w:val="00D759C3"/>
    <w:rsid w:val="00D767ED"/>
    <w:rsid w:val="00D76D15"/>
    <w:rsid w:val="00D77AEB"/>
    <w:rsid w:val="00D80539"/>
    <w:rsid w:val="00D80961"/>
    <w:rsid w:val="00D8310A"/>
    <w:rsid w:val="00D903C8"/>
    <w:rsid w:val="00D90C6C"/>
    <w:rsid w:val="00D93B09"/>
    <w:rsid w:val="00D93D08"/>
    <w:rsid w:val="00D955F3"/>
    <w:rsid w:val="00DA0828"/>
    <w:rsid w:val="00DA296E"/>
    <w:rsid w:val="00DB1831"/>
    <w:rsid w:val="00DB37CB"/>
    <w:rsid w:val="00DB49DA"/>
    <w:rsid w:val="00DB5CBB"/>
    <w:rsid w:val="00DB7F31"/>
    <w:rsid w:val="00DC1065"/>
    <w:rsid w:val="00DC1B32"/>
    <w:rsid w:val="00DC1C0A"/>
    <w:rsid w:val="00DC2EC6"/>
    <w:rsid w:val="00DC30AB"/>
    <w:rsid w:val="00DC3438"/>
    <w:rsid w:val="00DC38E1"/>
    <w:rsid w:val="00DC41F5"/>
    <w:rsid w:val="00DC6286"/>
    <w:rsid w:val="00DC69A1"/>
    <w:rsid w:val="00DD30E2"/>
    <w:rsid w:val="00DD3B8B"/>
    <w:rsid w:val="00DD3BFD"/>
    <w:rsid w:val="00DD7461"/>
    <w:rsid w:val="00DD789A"/>
    <w:rsid w:val="00DE00BF"/>
    <w:rsid w:val="00DE11DD"/>
    <w:rsid w:val="00DE1AB4"/>
    <w:rsid w:val="00DE2C0F"/>
    <w:rsid w:val="00DE64DD"/>
    <w:rsid w:val="00DE7B88"/>
    <w:rsid w:val="00DE7EB9"/>
    <w:rsid w:val="00DF4816"/>
    <w:rsid w:val="00DF4CAC"/>
    <w:rsid w:val="00DF6678"/>
    <w:rsid w:val="00DF7B76"/>
    <w:rsid w:val="00DF7F12"/>
    <w:rsid w:val="00E03C23"/>
    <w:rsid w:val="00E066DB"/>
    <w:rsid w:val="00E06FC0"/>
    <w:rsid w:val="00E07005"/>
    <w:rsid w:val="00E10A18"/>
    <w:rsid w:val="00E12540"/>
    <w:rsid w:val="00E1476B"/>
    <w:rsid w:val="00E1672F"/>
    <w:rsid w:val="00E175F1"/>
    <w:rsid w:val="00E1776E"/>
    <w:rsid w:val="00E2102E"/>
    <w:rsid w:val="00E21632"/>
    <w:rsid w:val="00E22843"/>
    <w:rsid w:val="00E230F5"/>
    <w:rsid w:val="00E27129"/>
    <w:rsid w:val="00E27964"/>
    <w:rsid w:val="00E3143B"/>
    <w:rsid w:val="00E3248D"/>
    <w:rsid w:val="00E342DC"/>
    <w:rsid w:val="00E34A31"/>
    <w:rsid w:val="00E354AE"/>
    <w:rsid w:val="00E37B1C"/>
    <w:rsid w:val="00E40640"/>
    <w:rsid w:val="00E44B8D"/>
    <w:rsid w:val="00E51A79"/>
    <w:rsid w:val="00E52C47"/>
    <w:rsid w:val="00E5306D"/>
    <w:rsid w:val="00E534A8"/>
    <w:rsid w:val="00E53B93"/>
    <w:rsid w:val="00E572AD"/>
    <w:rsid w:val="00E61653"/>
    <w:rsid w:val="00E61CB2"/>
    <w:rsid w:val="00E62C1F"/>
    <w:rsid w:val="00E65539"/>
    <w:rsid w:val="00E6694D"/>
    <w:rsid w:val="00E67912"/>
    <w:rsid w:val="00E67CDA"/>
    <w:rsid w:val="00E71F66"/>
    <w:rsid w:val="00E736C7"/>
    <w:rsid w:val="00E74683"/>
    <w:rsid w:val="00E76A97"/>
    <w:rsid w:val="00E77B2C"/>
    <w:rsid w:val="00E77F98"/>
    <w:rsid w:val="00E84306"/>
    <w:rsid w:val="00E86751"/>
    <w:rsid w:val="00E871C6"/>
    <w:rsid w:val="00EA1E3D"/>
    <w:rsid w:val="00EA36C0"/>
    <w:rsid w:val="00EA4E6A"/>
    <w:rsid w:val="00EA6486"/>
    <w:rsid w:val="00EB0FD7"/>
    <w:rsid w:val="00EB15F6"/>
    <w:rsid w:val="00EB4384"/>
    <w:rsid w:val="00EB43C2"/>
    <w:rsid w:val="00EB6D98"/>
    <w:rsid w:val="00EB7C6C"/>
    <w:rsid w:val="00EC0640"/>
    <w:rsid w:val="00EC1060"/>
    <w:rsid w:val="00EC18CC"/>
    <w:rsid w:val="00EC3FCF"/>
    <w:rsid w:val="00ED026C"/>
    <w:rsid w:val="00ED1673"/>
    <w:rsid w:val="00ED1B4E"/>
    <w:rsid w:val="00ED2D4C"/>
    <w:rsid w:val="00ED6321"/>
    <w:rsid w:val="00ED669B"/>
    <w:rsid w:val="00ED7B4A"/>
    <w:rsid w:val="00EE056D"/>
    <w:rsid w:val="00EE12D9"/>
    <w:rsid w:val="00EE232A"/>
    <w:rsid w:val="00EE29F7"/>
    <w:rsid w:val="00EE5889"/>
    <w:rsid w:val="00EE65CC"/>
    <w:rsid w:val="00EE690C"/>
    <w:rsid w:val="00EF12D6"/>
    <w:rsid w:val="00EF2E22"/>
    <w:rsid w:val="00EF6944"/>
    <w:rsid w:val="00F0008F"/>
    <w:rsid w:val="00F01738"/>
    <w:rsid w:val="00F01C46"/>
    <w:rsid w:val="00F05BB7"/>
    <w:rsid w:val="00F0622C"/>
    <w:rsid w:val="00F07183"/>
    <w:rsid w:val="00F112B1"/>
    <w:rsid w:val="00F11F10"/>
    <w:rsid w:val="00F140A6"/>
    <w:rsid w:val="00F14402"/>
    <w:rsid w:val="00F20189"/>
    <w:rsid w:val="00F221EB"/>
    <w:rsid w:val="00F23E9A"/>
    <w:rsid w:val="00F26121"/>
    <w:rsid w:val="00F26C7E"/>
    <w:rsid w:val="00F26DB0"/>
    <w:rsid w:val="00F26E13"/>
    <w:rsid w:val="00F275A5"/>
    <w:rsid w:val="00F27825"/>
    <w:rsid w:val="00F3031B"/>
    <w:rsid w:val="00F31D2E"/>
    <w:rsid w:val="00F32E7A"/>
    <w:rsid w:val="00F33F0A"/>
    <w:rsid w:val="00F343FD"/>
    <w:rsid w:val="00F42F3B"/>
    <w:rsid w:val="00F45E2E"/>
    <w:rsid w:val="00F5030C"/>
    <w:rsid w:val="00F51A90"/>
    <w:rsid w:val="00F51DAE"/>
    <w:rsid w:val="00F54095"/>
    <w:rsid w:val="00F5448D"/>
    <w:rsid w:val="00F55277"/>
    <w:rsid w:val="00F55C1F"/>
    <w:rsid w:val="00F6430F"/>
    <w:rsid w:val="00F660DF"/>
    <w:rsid w:val="00F668BA"/>
    <w:rsid w:val="00F66CD6"/>
    <w:rsid w:val="00F6722A"/>
    <w:rsid w:val="00F702BF"/>
    <w:rsid w:val="00F70809"/>
    <w:rsid w:val="00F715EE"/>
    <w:rsid w:val="00F71735"/>
    <w:rsid w:val="00F730C8"/>
    <w:rsid w:val="00F7356E"/>
    <w:rsid w:val="00F76A98"/>
    <w:rsid w:val="00F81DCD"/>
    <w:rsid w:val="00F81ED3"/>
    <w:rsid w:val="00F822A4"/>
    <w:rsid w:val="00F8234D"/>
    <w:rsid w:val="00F8510D"/>
    <w:rsid w:val="00F874D4"/>
    <w:rsid w:val="00F87612"/>
    <w:rsid w:val="00F91CA1"/>
    <w:rsid w:val="00F924DA"/>
    <w:rsid w:val="00F929E2"/>
    <w:rsid w:val="00F95C08"/>
    <w:rsid w:val="00F96544"/>
    <w:rsid w:val="00FA5931"/>
    <w:rsid w:val="00FB0B5D"/>
    <w:rsid w:val="00FB339C"/>
    <w:rsid w:val="00FB3D66"/>
    <w:rsid w:val="00FB446B"/>
    <w:rsid w:val="00FB6869"/>
    <w:rsid w:val="00FB766C"/>
    <w:rsid w:val="00FC04D8"/>
    <w:rsid w:val="00FC10AB"/>
    <w:rsid w:val="00FC36AC"/>
    <w:rsid w:val="00FC56F7"/>
    <w:rsid w:val="00FD268B"/>
    <w:rsid w:val="00FD5480"/>
    <w:rsid w:val="00FE211F"/>
    <w:rsid w:val="00FE23A6"/>
    <w:rsid w:val="00FE2B0A"/>
    <w:rsid w:val="00FE4D7C"/>
    <w:rsid w:val="00FE5841"/>
    <w:rsid w:val="00FE5A22"/>
    <w:rsid w:val="00FF3740"/>
    <w:rsid w:val="00FF5FF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1D8D25E"/>
  <w15:docId w15:val="{B3756480-64AA-4460-AECA-02E83FD4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1A"/>
  </w:style>
  <w:style w:type="paragraph" w:styleId="Titre1">
    <w:name w:val="heading 1"/>
    <w:aliases w:val="Table_G"/>
    <w:basedOn w:val="SingleTxtG"/>
    <w:next w:val="SingleTxtG"/>
    <w:link w:val="Titre1Car"/>
    <w:qFormat/>
    <w:rsid w:val="00584DC4"/>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uiPriority w:val="99"/>
    <w:qFormat/>
    <w:rsid w:val="00584DC4"/>
    <w:pPr>
      <w:pBdr>
        <w:bottom w:val="single" w:sz="4" w:space="4" w:color="auto"/>
      </w:pBdr>
      <w:spacing w:line="240" w:lineRule="auto"/>
    </w:pPr>
    <w:rPr>
      <w:b/>
      <w:sz w:val="18"/>
    </w:rPr>
  </w:style>
  <w:style w:type="character" w:customStyle="1" w:styleId="En-tteCar">
    <w:name w:val="En-tête Car"/>
    <w:aliases w:val="6_G Car"/>
    <w:basedOn w:val="Policepardfaut"/>
    <w:link w:val="En-tte"/>
    <w:uiPriority w:val="99"/>
    <w:rsid w:val="00584DC4"/>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584DC4"/>
    <w:pPr>
      <w:spacing w:line="240" w:lineRule="auto"/>
    </w:pPr>
    <w:rPr>
      <w:sz w:val="16"/>
    </w:rPr>
  </w:style>
  <w:style w:type="character" w:customStyle="1" w:styleId="PieddepageCar">
    <w:name w:val="Pied de page Car"/>
    <w:aliases w:val="3_G Car"/>
    <w:basedOn w:val="Policepardfaut"/>
    <w:link w:val="Pieddepage"/>
    <w:uiPriority w:val="99"/>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uiPriority w:val="99"/>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Appelnotedebasdep">
    <w:name w:val="footnote reference"/>
    <w:aliases w:val="4_G,Footnote Reference/"/>
    <w:basedOn w:val="Policepardfaut"/>
    <w:qFormat/>
    <w:rsid w:val="00584DC4"/>
    <w:rPr>
      <w:rFonts w:ascii="Times New Roman" w:hAnsi="Times New Roman"/>
      <w:sz w:val="18"/>
      <w:vertAlign w:val="superscript"/>
      <w:lang w:val="fr-CH"/>
    </w:rPr>
  </w:style>
  <w:style w:type="character" w:styleId="Appeldenotedefin">
    <w:name w:val="endnote reference"/>
    <w:aliases w:val="1_G"/>
    <w:basedOn w:val="Appelnotedebasdep"/>
    <w:qFormat/>
    <w:rsid w:val="00584DC4"/>
    <w:rPr>
      <w:rFonts w:ascii="Times New Roman" w:hAnsi="Times New Roman"/>
      <w:sz w:val="18"/>
      <w:vertAlign w:val="superscript"/>
      <w:lang w:val="fr-CH"/>
    </w:rPr>
  </w:style>
  <w:style w:type="table" w:styleId="Grilledutableau">
    <w:name w:val="Table Grid"/>
    <w:basedOn w:val="TableauNormal"/>
    <w:uiPriority w:val="39"/>
    <w:rsid w:val="00584DC4"/>
    <w:pPr>
      <w:suppressAutoHyphens/>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584DC4"/>
    <w:rPr>
      <w:color w:val="0000FF"/>
      <w:u w:val="none"/>
    </w:rPr>
  </w:style>
  <w:style w:type="character" w:styleId="Lienhypertextesuivivisit">
    <w:name w:val="FollowedHyperlink"/>
    <w:basedOn w:val="Policepardfaut"/>
    <w:unhideWhenUsed/>
    <w:rsid w:val="00584DC4"/>
    <w:rPr>
      <w:color w:val="0000FF"/>
      <w:u w:val="none"/>
    </w:rPr>
  </w:style>
  <w:style w:type="paragraph" w:styleId="Notedebasdepage">
    <w:name w:val="footnote text"/>
    <w:aliases w:val="5_G"/>
    <w:basedOn w:val="Normal"/>
    <w:link w:val="NotedebasdepageCar"/>
    <w:qFormat/>
    <w:rsid w:val="00584DC4"/>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584DC4"/>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584DC4"/>
  </w:style>
  <w:style w:type="character" w:customStyle="1" w:styleId="NotedefinCar">
    <w:name w:val="Note de fin Car"/>
    <w:aliases w:val="2_G Car"/>
    <w:basedOn w:val="Policepardfaut"/>
    <w:link w:val="Notedefin"/>
    <w:rsid w:val="00584DC4"/>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584DC4"/>
    <w:rPr>
      <w:rFonts w:ascii="Times New Roman" w:hAnsi="Times New Roman"/>
      <w:b/>
      <w:sz w:val="18"/>
      <w:lang w:val="fr-CH"/>
    </w:rPr>
  </w:style>
  <w:style w:type="character" w:customStyle="1" w:styleId="Titre1Car">
    <w:name w:val="Titre 1 Car"/>
    <w:aliases w:val="Table_G Car"/>
    <w:basedOn w:val="Policepardfaut"/>
    <w:link w:val="Titre1"/>
    <w:rsid w:val="00584DC4"/>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unhideWhenUsed/>
    <w:rsid w:val="00132EA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132EA9"/>
    <w:rPr>
      <w:rFonts w:ascii="Tahoma" w:hAnsi="Tahoma" w:cs="Tahoma"/>
      <w:sz w:val="16"/>
      <w:szCs w:val="16"/>
      <w:lang w:eastAsia="en-US"/>
    </w:rPr>
  </w:style>
  <w:style w:type="character" w:customStyle="1" w:styleId="SingleTxtGChar">
    <w:name w:val="_ Single Txt_G Char"/>
    <w:link w:val="SingleTxtG"/>
    <w:uiPriority w:val="99"/>
    <w:qFormat/>
    <w:locked/>
    <w:rsid w:val="004746F1"/>
  </w:style>
  <w:style w:type="character" w:customStyle="1" w:styleId="H1GChar">
    <w:name w:val="_ H_1_G Char"/>
    <w:link w:val="H1G"/>
    <w:locked/>
    <w:rsid w:val="004746F1"/>
    <w:rPr>
      <w:b/>
      <w:sz w:val="24"/>
    </w:rPr>
  </w:style>
  <w:style w:type="character" w:customStyle="1" w:styleId="H23GChar">
    <w:name w:val="_ H_2/3_G Char"/>
    <w:link w:val="H23G"/>
    <w:locked/>
    <w:rsid w:val="004746F1"/>
    <w:rPr>
      <w:b/>
    </w:rPr>
  </w:style>
  <w:style w:type="character" w:customStyle="1" w:styleId="HChGChar">
    <w:name w:val="_ H _Ch_G Char"/>
    <w:link w:val="HChG"/>
    <w:rsid w:val="00C94ECF"/>
    <w:rPr>
      <w:b/>
      <w:sz w:val="28"/>
    </w:rPr>
  </w:style>
  <w:style w:type="paragraph" w:styleId="Date">
    <w:name w:val="Date"/>
    <w:basedOn w:val="Normal"/>
    <w:next w:val="Normal"/>
    <w:link w:val="DateCar"/>
    <w:uiPriority w:val="99"/>
    <w:semiHidden/>
    <w:unhideWhenUsed/>
    <w:rsid w:val="00C37CC6"/>
  </w:style>
  <w:style w:type="character" w:customStyle="1" w:styleId="DateCar">
    <w:name w:val="Date Car"/>
    <w:basedOn w:val="Policepardfaut"/>
    <w:link w:val="Date"/>
    <w:uiPriority w:val="99"/>
    <w:semiHidden/>
    <w:rsid w:val="00C37CC6"/>
  </w:style>
  <w:style w:type="character" w:styleId="Marquedecommentaire">
    <w:name w:val="annotation reference"/>
    <w:basedOn w:val="Policepardfaut"/>
    <w:uiPriority w:val="99"/>
    <w:unhideWhenUsed/>
    <w:rsid w:val="007C1EA7"/>
    <w:rPr>
      <w:sz w:val="16"/>
      <w:szCs w:val="16"/>
    </w:rPr>
  </w:style>
  <w:style w:type="paragraph" w:styleId="Commentaire">
    <w:name w:val="annotation text"/>
    <w:basedOn w:val="Normal"/>
    <w:link w:val="CommentaireCar"/>
    <w:uiPriority w:val="99"/>
    <w:unhideWhenUsed/>
    <w:rsid w:val="007C1EA7"/>
    <w:pPr>
      <w:spacing w:line="240" w:lineRule="auto"/>
    </w:pPr>
  </w:style>
  <w:style w:type="character" w:customStyle="1" w:styleId="CommentaireCar">
    <w:name w:val="Commentaire Car"/>
    <w:basedOn w:val="Policepardfaut"/>
    <w:link w:val="Commentaire"/>
    <w:uiPriority w:val="99"/>
    <w:rsid w:val="007C1EA7"/>
  </w:style>
  <w:style w:type="paragraph" w:styleId="Objetducommentaire">
    <w:name w:val="annotation subject"/>
    <w:basedOn w:val="Commentaire"/>
    <w:next w:val="Commentaire"/>
    <w:link w:val="ObjetducommentaireCar"/>
    <w:uiPriority w:val="99"/>
    <w:semiHidden/>
    <w:unhideWhenUsed/>
    <w:rsid w:val="007C1EA7"/>
    <w:rPr>
      <w:b/>
      <w:bCs/>
    </w:rPr>
  </w:style>
  <w:style w:type="character" w:customStyle="1" w:styleId="ObjetducommentaireCar">
    <w:name w:val="Objet du commentaire Car"/>
    <w:basedOn w:val="CommentaireCar"/>
    <w:link w:val="Objetducommentaire"/>
    <w:uiPriority w:val="99"/>
    <w:semiHidden/>
    <w:rsid w:val="007C1EA7"/>
    <w:rPr>
      <w:b/>
      <w:bCs/>
    </w:rPr>
  </w:style>
  <w:style w:type="paragraph" w:styleId="NormalWeb">
    <w:name w:val="Normal (Web)"/>
    <w:basedOn w:val="Normal"/>
    <w:uiPriority w:val="99"/>
    <w:semiHidden/>
    <w:unhideWhenUsed/>
    <w:rsid w:val="0084064C"/>
    <w:pPr>
      <w:spacing w:before="100" w:beforeAutospacing="1" w:after="100" w:afterAutospacing="1" w:line="240" w:lineRule="auto"/>
    </w:pPr>
    <w:rPr>
      <w:sz w:val="24"/>
      <w:szCs w:val="24"/>
      <w:lang w:eastAsia="en-GB"/>
    </w:rPr>
  </w:style>
  <w:style w:type="paragraph" w:customStyle="1" w:styleId="Default">
    <w:name w:val="Default"/>
    <w:uiPriority w:val="99"/>
    <w:rsid w:val="0084064C"/>
    <w:pPr>
      <w:autoSpaceDE w:val="0"/>
      <w:autoSpaceDN w:val="0"/>
      <w:adjustRightInd w:val="0"/>
      <w:spacing w:line="240" w:lineRule="auto"/>
    </w:pPr>
    <w:rPr>
      <w:rFonts w:eastAsiaTheme="minorHAnsi"/>
      <w:color w:val="000000"/>
      <w:sz w:val="24"/>
      <w:szCs w:val="24"/>
      <w:lang w:val="en-GB" w:eastAsia="en-US"/>
    </w:rPr>
  </w:style>
  <w:style w:type="character" w:styleId="Mentionnonrsolue">
    <w:name w:val="Unresolved Mention"/>
    <w:basedOn w:val="Policepardfaut"/>
    <w:uiPriority w:val="99"/>
    <w:semiHidden/>
    <w:unhideWhenUsed/>
    <w:rsid w:val="0084064C"/>
    <w:rPr>
      <w:color w:val="605E5C"/>
      <w:shd w:val="clear" w:color="auto" w:fill="E1DFDD"/>
    </w:rPr>
  </w:style>
  <w:style w:type="character" w:customStyle="1" w:styleId="normaltextrun">
    <w:name w:val="normaltextrun"/>
    <w:basedOn w:val="Policepardfaut"/>
    <w:rsid w:val="00C35FE7"/>
  </w:style>
  <w:style w:type="paragraph" w:styleId="Rvision">
    <w:name w:val="Revision"/>
    <w:hidden/>
    <w:uiPriority w:val="99"/>
    <w:semiHidden/>
    <w:rsid w:val="004547C8"/>
    <w:pPr>
      <w:spacing w:line="240" w:lineRule="auto"/>
    </w:pPr>
  </w:style>
  <w:style w:type="character" w:customStyle="1" w:styleId="SingleTxtGCar">
    <w:name w:val="_ Single Txt_G Car"/>
    <w:rsid w:val="001008EE"/>
    <w:rPr>
      <w:rFonts w:ascii="Times New Roman" w:eastAsiaTheme="minorHAnsi" w:hAnsi="Times New Roman" w:cs="Times New Roman"/>
      <w:sz w:val="20"/>
      <w:szCs w:val="20"/>
      <w:lang w:eastAsia="en-US"/>
    </w:rPr>
  </w:style>
  <w:style w:type="paragraph" w:customStyle="1" w:styleId="GHSbodytext">
    <w:name w:val="GHS body text"/>
    <w:basedOn w:val="Normal"/>
    <w:link w:val="GHSbodytextChar"/>
    <w:qFormat/>
    <w:rsid w:val="00586BB8"/>
    <w:pPr>
      <w:tabs>
        <w:tab w:val="left" w:pos="1418"/>
        <w:tab w:val="left" w:pos="1985"/>
        <w:tab w:val="left" w:pos="2552"/>
        <w:tab w:val="left" w:pos="3119"/>
      </w:tabs>
      <w:spacing w:after="240" w:line="240" w:lineRule="auto"/>
      <w:jc w:val="both"/>
    </w:pPr>
    <w:rPr>
      <w:szCs w:val="24"/>
      <w:lang w:val="fr-FR" w:eastAsia="en-US"/>
    </w:rPr>
  </w:style>
  <w:style w:type="character" w:customStyle="1" w:styleId="GHSbodytextChar">
    <w:name w:val="GHS body text Char"/>
    <w:link w:val="GHSbodytext"/>
    <w:rsid w:val="00586BB8"/>
    <w:rPr>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267789">
      <w:bodyDiv w:val="1"/>
      <w:marLeft w:val="0"/>
      <w:marRight w:val="0"/>
      <w:marTop w:val="0"/>
      <w:marBottom w:val="0"/>
      <w:divBdr>
        <w:top w:val="none" w:sz="0" w:space="0" w:color="auto"/>
        <w:left w:val="none" w:sz="0" w:space="0" w:color="auto"/>
        <w:bottom w:val="none" w:sz="0" w:space="0" w:color="auto"/>
        <w:right w:val="none" w:sz="0" w:space="0" w:color="auto"/>
      </w:divBdr>
    </w:div>
    <w:div w:id="751588160">
      <w:bodyDiv w:val="1"/>
      <w:marLeft w:val="0"/>
      <w:marRight w:val="0"/>
      <w:marTop w:val="0"/>
      <w:marBottom w:val="0"/>
      <w:divBdr>
        <w:top w:val="none" w:sz="0" w:space="0" w:color="auto"/>
        <w:left w:val="none" w:sz="0" w:space="0" w:color="auto"/>
        <w:bottom w:val="none" w:sz="0" w:space="0" w:color="auto"/>
        <w:right w:val="none" w:sz="0" w:space="0" w:color="auto"/>
      </w:divBdr>
    </w:div>
    <w:div w:id="1104299318">
      <w:bodyDiv w:val="1"/>
      <w:marLeft w:val="0"/>
      <w:marRight w:val="0"/>
      <w:marTop w:val="0"/>
      <w:marBottom w:val="0"/>
      <w:divBdr>
        <w:top w:val="none" w:sz="0" w:space="0" w:color="auto"/>
        <w:left w:val="none" w:sz="0" w:space="0" w:color="auto"/>
        <w:bottom w:val="none" w:sz="0" w:space="0" w:color="auto"/>
        <w:right w:val="none" w:sz="0" w:space="0" w:color="auto"/>
      </w:divBdr>
    </w:div>
    <w:div w:id="1113749151">
      <w:bodyDiv w:val="1"/>
      <w:marLeft w:val="0"/>
      <w:marRight w:val="0"/>
      <w:marTop w:val="0"/>
      <w:marBottom w:val="0"/>
      <w:divBdr>
        <w:top w:val="none" w:sz="0" w:space="0" w:color="auto"/>
        <w:left w:val="none" w:sz="0" w:space="0" w:color="auto"/>
        <w:bottom w:val="none" w:sz="0" w:space="0" w:color="auto"/>
        <w:right w:val="none" w:sz="0" w:space="0" w:color="auto"/>
      </w:divBdr>
    </w:div>
    <w:div w:id="1262563560">
      <w:bodyDiv w:val="1"/>
      <w:marLeft w:val="0"/>
      <w:marRight w:val="0"/>
      <w:marTop w:val="0"/>
      <w:marBottom w:val="0"/>
      <w:divBdr>
        <w:top w:val="none" w:sz="0" w:space="0" w:color="auto"/>
        <w:left w:val="none" w:sz="0" w:space="0" w:color="auto"/>
        <w:bottom w:val="none" w:sz="0" w:space="0" w:color="auto"/>
        <w:right w:val="none" w:sz="0" w:space="0" w:color="auto"/>
      </w:divBdr>
    </w:div>
    <w:div w:id="212410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https://tsar.jrc.ec.europa.eu/test-method/tm2004-01" TargetMode="External"/><Relationship Id="rId21" Type="http://schemas.openxmlformats.org/officeDocument/2006/relationships/package" Target="embeddings/Microsoft_Visio_Drawing4.vsdx"/><Relationship Id="rId34" Type="http://schemas.openxmlformats.org/officeDocument/2006/relationships/header" Target="header4.xml"/><Relationship Id="rId42" Type="http://schemas.openxmlformats.org/officeDocument/2006/relationships/package" Target="embeddings/Microsoft_Visio_Drawing8.vsdx"/><Relationship Id="rId47" Type="http://schemas.openxmlformats.org/officeDocument/2006/relationships/header" Target="header7.xml"/><Relationship Id="rId50" Type="http://schemas.openxmlformats.org/officeDocument/2006/relationships/footer" Target="footer9.xml"/><Relationship Id="rId55" Type="http://schemas.openxmlformats.org/officeDocument/2006/relationships/image" Target="media/image14.emf"/><Relationship Id="rId63" Type="http://schemas.openxmlformats.org/officeDocument/2006/relationships/hyperlink" Target="https://Doi.org/10.1897/IEAM_2007-050.1" TargetMode="External"/><Relationship Id="rId68"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emf"/><Relationship Id="rId32" Type="http://schemas.openxmlformats.org/officeDocument/2006/relationships/footer" Target="footer3.xml"/><Relationship Id="rId37" Type="http://schemas.openxmlformats.org/officeDocument/2006/relationships/hyperlink" Target="https://echa.europa.eu/guidance-documents/guidance-on-clp" TargetMode="External"/><Relationship Id="rId40" Type="http://schemas.openxmlformats.org/officeDocument/2006/relationships/hyperlink" Target="https://tsar.jrc.ec.europa.eu/test-method/tm2004-03" TargetMode="External"/><Relationship Id="rId45" Type="http://schemas.openxmlformats.org/officeDocument/2006/relationships/footer" Target="footer6.xml"/><Relationship Id="rId53" Type="http://schemas.openxmlformats.org/officeDocument/2006/relationships/image" Target="media/image13.emf"/><Relationship Id="rId58" Type="http://schemas.openxmlformats.org/officeDocument/2006/relationships/package" Target="embeddings/Microsoft_Visio_Drawing11.vsdx"/><Relationship Id="rId66" Type="http://schemas.openxmlformats.org/officeDocument/2006/relationships/hyperlink" Target="https://Doi.org/10.1016/j.marpolbul.2016.03.055" TargetMode="External"/><Relationship Id="rId5" Type="http://schemas.openxmlformats.org/officeDocument/2006/relationships/numbering" Target="numbering.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footer" Target="footer8.xml"/><Relationship Id="rId57" Type="http://schemas.openxmlformats.org/officeDocument/2006/relationships/image" Target="media/image15.emf"/><Relationship Id="rId61"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package" Target="embeddings/Microsoft_Visio_Drawing3.vsdx"/><Relationship Id="rId31" Type="http://schemas.openxmlformats.org/officeDocument/2006/relationships/footer" Target="footer2.xml"/><Relationship Id="rId44" Type="http://schemas.openxmlformats.org/officeDocument/2006/relationships/header" Target="header6.xml"/><Relationship Id="rId52" Type="http://schemas.openxmlformats.org/officeDocument/2006/relationships/hyperlink" Target="https://pubmed.ncbi.nlm.nih.gov/27965148/" TargetMode="External"/><Relationship Id="rId60" Type="http://schemas.openxmlformats.org/officeDocument/2006/relationships/package" Target="embeddings/Microsoft_Visio_Drawing12.vsdx"/><Relationship Id="rId65" Type="http://schemas.openxmlformats.org/officeDocument/2006/relationships/hyperlink" Target="https://Doi.org/10.1002/ieam.157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7.vsdx"/><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package" Target="embeddings/Microsoft_Visio_Drawing10.vsdx"/><Relationship Id="rId64" Type="http://schemas.openxmlformats.org/officeDocument/2006/relationships/hyperlink" Target="https://Doi.org/10.1002/ieam.194" TargetMode="External"/><Relationship Id="rId69"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file://conf-share1/LS/FRA/COMMON/FINAL/https/doi.org/10.1787/9789264221444-e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header" Target="header3.xml"/><Relationship Id="rId38" Type="http://schemas.openxmlformats.org/officeDocument/2006/relationships/hyperlink" Target="https://ec.europa.eu/jrc/sites/jrcsh/files/esac31_lvet_20090922.pdf" TargetMode="External"/><Relationship Id="rId46" Type="http://schemas.openxmlformats.org/officeDocument/2006/relationships/footer" Target="footer7.xml"/><Relationship Id="rId59" Type="http://schemas.openxmlformats.org/officeDocument/2006/relationships/image" Target="media/image16.emf"/><Relationship Id="rId67" Type="http://schemas.openxmlformats.org/officeDocument/2006/relationships/header" Target="header9.xml"/><Relationship Id="rId20" Type="http://schemas.openxmlformats.org/officeDocument/2006/relationships/image" Target="media/image6.emf"/><Relationship Id="rId41" Type="http://schemas.openxmlformats.org/officeDocument/2006/relationships/image" Target="media/image12.emf"/><Relationship Id="rId54" Type="http://schemas.openxmlformats.org/officeDocument/2006/relationships/package" Target="embeddings/Microsoft_Visio_Drawing9.vsdx"/><Relationship Id="rId62" Type="http://schemas.openxmlformats.org/officeDocument/2006/relationships/package" Target="embeddings/Microsoft_Visio_Drawing13.vsdx"/><Relationship Id="rId70" Type="http://schemas.openxmlformats.org/officeDocument/2006/relationships/footer" Target="footer1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Couto\United%20Nations\UNOG_DCM-Macros%20-%20UNECE\Templates\ST\SGAC10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ée un document." ma:contentTypeScope="" ma:versionID="d593cc96c5d428f23a5351564b268b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76aafa040e38551359a67edc98402bf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7CFC0A-AD73-4249-8BA2-6563CF96A8BC}">
  <ds:schemaRefs>
    <ds:schemaRef ds:uri="http://schemas.microsoft.com/sharepoint/v3/contenttype/forms"/>
  </ds:schemaRefs>
</ds:datastoreItem>
</file>

<file path=customXml/itemProps2.xml><?xml version="1.0" encoding="utf-8"?>
<ds:datastoreItem xmlns:ds="http://schemas.openxmlformats.org/officeDocument/2006/customXml" ds:itemID="{B4094D0C-BAE8-409B-8569-1E606FE5DF44}">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CFFADE9-2AEC-4624-85DE-CAAFC6EAAC12}">
  <ds:schemaRefs>
    <ds:schemaRef ds:uri="http://schemas.openxmlformats.org/officeDocument/2006/bibliography"/>
  </ds:schemaRefs>
</ds:datastoreItem>
</file>

<file path=customXml/itemProps4.xml><?xml version="1.0" encoding="utf-8"?>
<ds:datastoreItem xmlns:ds="http://schemas.openxmlformats.org/officeDocument/2006/customXml" ds:itemID="{28AE5AB9-0393-4626-89BE-FB6897DAB37F}"/>
</file>

<file path=docProps/app.xml><?xml version="1.0" encoding="utf-8"?>
<Properties xmlns="http://schemas.openxmlformats.org/officeDocument/2006/extended-properties" xmlns:vt="http://schemas.openxmlformats.org/officeDocument/2006/docPropsVTypes">
  <Template>SGAC10_F.dotm</Template>
  <TotalTime>2</TotalTime>
  <Pages>88</Pages>
  <Words>37663</Words>
  <Characters>206023</Characters>
  <Application>Microsoft Office Word</Application>
  <DocSecurity>0</DocSecurity>
  <Lines>4383</Lines>
  <Paragraphs>1441</Paragraphs>
  <ScaleCrop>false</ScaleCrop>
  <HeadingPairs>
    <vt:vector size="6" baseType="variant">
      <vt:variant>
        <vt:lpstr>Title</vt:lpstr>
      </vt:variant>
      <vt:variant>
        <vt:i4>1</vt:i4>
      </vt:variant>
      <vt:variant>
        <vt:lpstr>Headings</vt:lpstr>
      </vt:variant>
      <vt:variant>
        <vt:i4>24</vt:i4>
      </vt:variant>
      <vt:variant>
        <vt:lpstr>Titre</vt:lpstr>
      </vt:variant>
      <vt:variant>
        <vt:i4>1</vt:i4>
      </vt:variant>
    </vt:vector>
  </HeadingPairs>
  <TitlesOfParts>
    <vt:vector size="26" baseType="lpstr">
      <vt:lpstr>ST/SG/AC.10/50/Add.3</vt:lpstr>
      <vt:lpstr>        Chapitre 1.2</vt:lpstr>
      <vt:lpstr>        Chapitre 1.3</vt:lpstr>
      <vt:lpstr>        Chapitre 2.1</vt:lpstr>
      <vt:lpstr>        Chapitre 2.2</vt:lpstr>
      <vt:lpstr>        Chapitre 2.3</vt:lpstr>
      <vt:lpstr>        Chapitre 2.4</vt:lpstr>
      <vt:lpstr>        Chapitre 2.5</vt:lpstr>
      <vt:lpstr>        Chapitre 2.6</vt:lpstr>
      <vt:lpstr>        Chapitre 2.7</vt:lpstr>
      <vt:lpstr>        Chapitre 2.8</vt:lpstr>
      <vt:lpstr>        Chapitre 2.9</vt:lpstr>
      <vt:lpstr>        Chapitre 2.10</vt:lpstr>
      <vt:lpstr>        Chapitre 2.11</vt:lpstr>
      <vt:lpstr>        Chapitre 2.12</vt:lpstr>
      <vt:lpstr>        Chapitre 2.13</vt:lpstr>
      <vt:lpstr>        Chapitre 2.14</vt:lpstr>
      <vt:lpstr>        Chapitre 2.15</vt:lpstr>
      <vt:lpstr>        Chapitre 2.16</vt:lpstr>
      <vt:lpstr>        Chapitre 2.17</vt:lpstr>
      <vt:lpstr>        Chapitre 3.1</vt:lpstr>
      <vt:lpstr>Figure 3.2.2 Étapes de la classification des mélanges pour la corrosion ou l’irr</vt:lpstr>
      <vt:lpstr>        *  Références : J. R. Young, M. J. How, A. P. Walker et W. M. Worth. 1988. Class</vt:lpstr>
      <vt:lpstr>        </vt:lpstr>
      <vt:lpstr>        </vt:lpstr>
      <vt:lpstr/>
    </vt:vector>
  </TitlesOfParts>
  <Company>DCM</Company>
  <LinksUpToDate>false</LinksUpToDate>
  <CharactersWithSpaces>242245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ST/SG/AC.10/50/Add.3</dc:title>
  <dc:subject/>
  <dc:creator>Rosa Garcia-Couto</dc:creator>
  <cp:keywords/>
  <cp:lastModifiedBy>Valerie Bertin</cp:lastModifiedBy>
  <cp:revision>3</cp:revision>
  <cp:lastPrinted>2023-05-08T06:37:00Z</cp:lastPrinted>
  <dcterms:created xsi:type="dcterms:W3CDTF">2023-05-08T06:36:00Z</dcterms:created>
  <dcterms:modified xsi:type="dcterms:W3CDTF">2023-05-08T06:38:00Z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