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C19A8DE" w14:textId="77777777" w:rsidTr="00D5211F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6F5258" w14:textId="77777777" w:rsidR="002D5AAC" w:rsidRDefault="002D5AAC" w:rsidP="000B6B8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2B6DC7F" w14:textId="77777777" w:rsidR="002D5AAC" w:rsidRPr="00BD33EE" w:rsidRDefault="00DF71B9" w:rsidP="00D5211F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C35EEDE" w14:textId="74D80624" w:rsidR="002D5AAC" w:rsidRDefault="000B6B88" w:rsidP="000B6B88">
            <w:pPr>
              <w:jc w:val="right"/>
            </w:pPr>
            <w:r w:rsidRPr="000B6B88">
              <w:rPr>
                <w:sz w:val="40"/>
              </w:rPr>
              <w:t>ST</w:t>
            </w:r>
            <w:r>
              <w:t>/SG/AC.10/50/Add.2</w:t>
            </w:r>
          </w:p>
        </w:tc>
      </w:tr>
      <w:tr w:rsidR="002D5AAC" w14:paraId="2E8C625C" w14:textId="77777777" w:rsidTr="00D5211F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702DFB" w14:textId="77777777" w:rsidR="002D5AAC" w:rsidRDefault="002E5067" w:rsidP="00D5211F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5893086" wp14:editId="6B174D3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A0CE39" w14:textId="77777777" w:rsidR="002D5AAC" w:rsidRPr="00033EE1" w:rsidRDefault="000F27D6" w:rsidP="00D5211F">
            <w:pPr>
              <w:spacing w:before="200" w:line="360" w:lineRule="exact"/>
              <w:rPr>
                <w:b/>
                <w:sz w:val="34"/>
                <w:szCs w:val="34"/>
              </w:rPr>
            </w:pPr>
            <w:r w:rsidRPr="005E11A6">
              <w:rPr>
                <w:b/>
                <w:spacing w:val="-4"/>
                <w:sz w:val="40"/>
                <w:szCs w:val="40"/>
              </w:rPr>
              <w:t>Секретариат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0701D59" w14:textId="77777777" w:rsidR="002D5AAC" w:rsidRDefault="000B6B88" w:rsidP="00D5211F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F5A83A6" w14:textId="77777777" w:rsidR="000B6B88" w:rsidRDefault="000B6B88" w:rsidP="000B6B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March 2023</w:t>
            </w:r>
          </w:p>
          <w:p w14:paraId="0A48577B" w14:textId="77777777" w:rsidR="000B6B88" w:rsidRDefault="000B6B88" w:rsidP="000B6B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D144AF5" w14:textId="79D16FEA" w:rsidR="000B6B88" w:rsidRPr="00133FDC" w:rsidRDefault="000B6B88" w:rsidP="000B6B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125DC648" w14:textId="5891E047" w:rsidR="000B6B88" w:rsidRPr="000B6B88" w:rsidRDefault="000B6B88" w:rsidP="000B6B88">
      <w:pPr>
        <w:spacing w:before="120"/>
        <w:rPr>
          <w:b/>
          <w:sz w:val="24"/>
          <w:szCs w:val="24"/>
        </w:rPr>
      </w:pPr>
      <w:r w:rsidRPr="000B6B88">
        <w:rPr>
          <w:b/>
          <w:bCs/>
          <w:sz w:val="24"/>
          <w:szCs w:val="24"/>
        </w:rPr>
        <w:t>Комитет экспертов по перевозке опасных</w:t>
      </w:r>
      <w:r>
        <w:rPr>
          <w:b/>
          <w:bCs/>
          <w:sz w:val="24"/>
          <w:szCs w:val="24"/>
        </w:rPr>
        <w:br/>
      </w:r>
      <w:r w:rsidRPr="000B6B88">
        <w:rPr>
          <w:b/>
          <w:bCs/>
          <w:sz w:val="24"/>
          <w:szCs w:val="24"/>
        </w:rPr>
        <w:t>грузов и Согласованной на глобальном уровне</w:t>
      </w:r>
      <w:r>
        <w:rPr>
          <w:b/>
          <w:bCs/>
          <w:sz w:val="24"/>
          <w:szCs w:val="24"/>
        </w:rPr>
        <w:br/>
      </w:r>
      <w:r w:rsidRPr="000B6B88">
        <w:rPr>
          <w:b/>
          <w:bCs/>
          <w:sz w:val="24"/>
          <w:szCs w:val="24"/>
        </w:rPr>
        <w:t>системе классификации опасности</w:t>
      </w:r>
      <w:r>
        <w:rPr>
          <w:b/>
          <w:bCs/>
          <w:sz w:val="24"/>
          <w:szCs w:val="24"/>
        </w:rPr>
        <w:br/>
      </w:r>
      <w:r w:rsidRPr="000B6B88">
        <w:rPr>
          <w:b/>
          <w:bCs/>
          <w:sz w:val="24"/>
          <w:szCs w:val="24"/>
        </w:rPr>
        <w:t>и маркировки химической продукции</w:t>
      </w:r>
    </w:p>
    <w:p w14:paraId="328C6A49" w14:textId="77777777" w:rsidR="000B6B88" w:rsidRPr="003D3D8F" w:rsidRDefault="000B6B88" w:rsidP="000B6B88">
      <w:pPr>
        <w:pStyle w:val="HChG"/>
        <w:rPr>
          <w:bCs/>
        </w:rPr>
      </w:pPr>
      <w:r>
        <w:tab/>
      </w:r>
      <w:r>
        <w:tab/>
      </w:r>
      <w:r>
        <w:rPr>
          <w:bCs/>
        </w:rPr>
        <w:t>Доклад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о работе его одиннадцатой сессии</w:t>
      </w:r>
      <w:r w:rsidRPr="000B6B88">
        <w:rPr>
          <w:b w:val="0"/>
        </w:rPr>
        <w:t>,</w:t>
      </w:r>
    </w:p>
    <w:p w14:paraId="4FD639DA" w14:textId="77777777" w:rsidR="000B6B88" w:rsidRPr="003D3D8F" w:rsidRDefault="000B6B88" w:rsidP="000B6B88">
      <w:pPr>
        <w:pStyle w:val="SingleTxtG"/>
      </w:pPr>
      <w:r>
        <w:t>состоявшейся в Женеве 9 декабря 2022 года</w:t>
      </w:r>
    </w:p>
    <w:p w14:paraId="68763709" w14:textId="77777777" w:rsidR="000B6B88" w:rsidRPr="003D3D8F" w:rsidRDefault="000B6B88" w:rsidP="000B6B88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14:paraId="1A2A421E" w14:textId="77777777" w:rsidR="000B6B88" w:rsidRPr="003D3D8F" w:rsidRDefault="000B6B88" w:rsidP="000B6B88">
      <w:pPr>
        <w:pStyle w:val="H1G"/>
      </w:pPr>
      <w:r>
        <w:tab/>
      </w:r>
      <w:r>
        <w:tab/>
      </w:r>
      <w:r>
        <w:rPr>
          <w:bCs/>
        </w:rPr>
        <w:t>Приложение II</w:t>
      </w:r>
    </w:p>
    <w:p w14:paraId="62373750" w14:textId="7EB5EB2D" w:rsidR="000B6B88" w:rsidRPr="003D3D8F" w:rsidRDefault="000B6B88" w:rsidP="000B6B88">
      <w:pPr>
        <w:pStyle w:val="H1G"/>
      </w:pPr>
      <w:r>
        <w:tab/>
      </w:r>
      <w:r>
        <w:tab/>
      </w:r>
      <w:r>
        <w:rPr>
          <w:bCs/>
        </w:rPr>
        <w:t>Поправки к седьмому пересмотренному изданию Руководства по</w:t>
      </w:r>
      <w:r>
        <w:rPr>
          <w:bCs/>
        </w:rPr>
        <w:t> </w:t>
      </w:r>
      <w:r>
        <w:rPr>
          <w:bCs/>
        </w:rPr>
        <w:t>испытаниям и критериям (ST/SG/AC.10/11/Rev.7 и Amend.1)</w:t>
      </w:r>
    </w:p>
    <w:p w14:paraId="7B51DDA9" w14:textId="77777777" w:rsidR="000B6B88" w:rsidRPr="003D3D8F" w:rsidRDefault="000B6B88" w:rsidP="000B6B88">
      <w:pPr>
        <w:suppressAutoHyphens w:val="0"/>
        <w:spacing w:after="200" w:line="276" w:lineRule="auto"/>
      </w:pPr>
      <w:r w:rsidRPr="003D3D8F">
        <w:br w:type="page"/>
      </w:r>
    </w:p>
    <w:p w14:paraId="0EB1A84A" w14:textId="77777777" w:rsidR="000B6B88" w:rsidRPr="003D3D8F" w:rsidRDefault="000B6B88" w:rsidP="000B6B88">
      <w:pPr>
        <w:pStyle w:val="H1G"/>
        <w:keepNext w:val="0"/>
        <w:keepLines w:val="0"/>
      </w:pPr>
      <w:r>
        <w:lastRenderedPageBreak/>
        <w:tab/>
      </w:r>
      <w:r>
        <w:tab/>
      </w:r>
      <w:r>
        <w:rPr>
          <w:bCs/>
        </w:rPr>
        <w:t>Раздел 1</w:t>
      </w:r>
    </w:p>
    <w:p w14:paraId="5091D727" w14:textId="318F30F8" w:rsidR="000B6B88" w:rsidRPr="00245906" w:rsidRDefault="000B6B88" w:rsidP="00245906">
      <w:pPr>
        <w:pStyle w:val="SingleTxtG"/>
        <w:ind w:left="2268" w:hanging="1134"/>
        <w:rPr>
          <w:lang w:val="en-US"/>
        </w:rPr>
      </w:pPr>
      <w:r>
        <w:t>1.2.1.4.3</w:t>
      </w:r>
      <w:r>
        <w:tab/>
        <w:t>Изменить начало первого предложения следующим образом: «Самореактивные вещества (типов А</w:t>
      </w:r>
      <w:r w:rsidR="00245906" w:rsidRPr="009667A8">
        <w:t>‒</w:t>
      </w:r>
      <w:r>
        <w:t>G), органические пероксиды (типов А</w:t>
      </w:r>
      <w:r w:rsidR="009667A8" w:rsidRPr="009667A8">
        <w:t>‒</w:t>
      </w:r>
      <w:r>
        <w:t>G) или полимеризующиеся вещества не должны...». В первом предложении после «термическим разложением» добавить «или полимеризацией».</w:t>
      </w:r>
    </w:p>
    <w:p w14:paraId="05F7DCD2" w14:textId="77777777" w:rsidR="000B6B88" w:rsidRPr="003D3D8F" w:rsidRDefault="000B6B88" w:rsidP="000B6B88">
      <w:pPr>
        <w:pStyle w:val="H1G"/>
      </w:pPr>
      <w:r>
        <w:tab/>
      </w:r>
      <w:r>
        <w:tab/>
      </w:r>
      <w:r>
        <w:rPr>
          <w:bCs/>
        </w:rPr>
        <w:t>Раздел 10</w:t>
      </w:r>
    </w:p>
    <w:p w14:paraId="10DF1C1D" w14:textId="77777777" w:rsidR="000B6B88" w:rsidRPr="003D3D8F" w:rsidRDefault="000B6B88" w:rsidP="000B6B88">
      <w:pPr>
        <w:pStyle w:val="SingleTxtG"/>
        <w:ind w:left="2268" w:hanging="1134"/>
      </w:pPr>
      <w:r>
        <w:t>Рис. 10.6 a)</w:t>
      </w:r>
      <w:r>
        <w:tab/>
        <w:t>В строке 8 заменить «ВРЕМЕННО ПРИНЯТЬ В ЭТОТ КЛАСС» на «ВРЕМЕННО КЛАССИФИЦИРОВАТЬ КАК ВЗРЫВЧАТОЕ ВЕЩЕСТВО</w:t>
      </w:r>
      <w:r w:rsidRPr="003D3D8F">
        <w:t xml:space="preserve"> </w:t>
      </w:r>
      <w:r w:rsidRPr="002565E4">
        <w:t>ИЛИ ИЗДЕЛИЕ</w:t>
      </w:r>
      <w:r>
        <w:t>».</w:t>
      </w:r>
    </w:p>
    <w:p w14:paraId="5A46445F" w14:textId="77777777" w:rsidR="000B6B88" w:rsidRPr="002565E4" w:rsidRDefault="000B6B88" w:rsidP="000B6B88">
      <w:pPr>
        <w:pStyle w:val="SingleTxtG"/>
        <w:ind w:left="2268" w:hanging="1134"/>
      </w:pPr>
      <w:r>
        <w:t>Рис. 10.7 a)</w:t>
      </w:r>
      <w:r>
        <w:tab/>
        <w:t xml:space="preserve">В строке 12 заменить «ВРЕМЕННО ПРИНЯТЬ В ЭТОТ КЛАСС» на «ВРЕМЕННО КЛАССИФИЦИРОВАТЬ КАК ВЗРЫВЧАТОЕ ВЕЩЕСТВО </w:t>
      </w:r>
      <w:r w:rsidRPr="002565E4">
        <w:t>ИЛИ ИЗДЕЛИЕ</w:t>
      </w:r>
      <w:r>
        <w:t>».</w:t>
      </w:r>
    </w:p>
    <w:p w14:paraId="54B9E76C" w14:textId="77777777" w:rsidR="000B6B88" w:rsidRPr="003D3D8F" w:rsidRDefault="000B6B88" w:rsidP="000B6B88">
      <w:pPr>
        <w:pStyle w:val="H1G"/>
      </w:pPr>
      <w:r>
        <w:tab/>
      </w:r>
      <w:r>
        <w:tab/>
      </w:r>
      <w:r>
        <w:rPr>
          <w:bCs/>
        </w:rPr>
        <w:t>Раздел 20</w:t>
      </w:r>
    </w:p>
    <w:p w14:paraId="7AEFFE2F" w14:textId="773E60CB" w:rsidR="000B6B88" w:rsidRPr="003D3D8F" w:rsidRDefault="000B6B88" w:rsidP="000B6B88">
      <w:pPr>
        <w:pStyle w:val="SingleTxtG"/>
        <w:ind w:left="2268" w:hanging="1134"/>
      </w:pPr>
      <w:r>
        <w:t>20.2.5</w:t>
      </w:r>
      <w:r>
        <w:tab/>
      </w:r>
      <w:r w:rsidR="001E4316">
        <w:tab/>
      </w:r>
      <w:r>
        <w:t xml:space="preserve">Изменить начало первого предложения следующим образом: </w:t>
      </w:r>
      <w:r>
        <w:rPr>
          <w:lang w:bidi="ar-TN"/>
        </w:rPr>
        <w:t>«</w:t>
      </w:r>
      <w:r>
        <w:t>Любое вещество, обнаруживающее свойства самореактивного вещества</w:t>
      </w:r>
      <w:r w:rsidR="001E4316">
        <w:br/>
      </w:r>
      <w:r>
        <w:t>(типов А–G), органического пероксида (типов А</w:t>
      </w:r>
      <w:r w:rsidR="00BB56EE" w:rsidRPr="009667A8">
        <w:t>‒</w:t>
      </w:r>
      <w:r>
        <w:t>G) или полимеризующегося вещества не должно...». В конце после «термического разложения» добавить «или полимеризации».</w:t>
      </w:r>
    </w:p>
    <w:p w14:paraId="63F75D1D" w14:textId="77777777" w:rsidR="000B6B88" w:rsidRPr="003D3D8F" w:rsidRDefault="000B6B88" w:rsidP="000B6B88">
      <w:pPr>
        <w:pStyle w:val="H1G"/>
      </w:pPr>
      <w:r>
        <w:tab/>
      </w:r>
      <w:r>
        <w:tab/>
      </w:r>
      <w:r>
        <w:rPr>
          <w:bCs/>
        </w:rPr>
        <w:t>Раздел 32</w:t>
      </w:r>
    </w:p>
    <w:p w14:paraId="23BC0E1C" w14:textId="36EDD592" w:rsidR="000B6B88" w:rsidRPr="003D3D8F" w:rsidRDefault="000B6B88" w:rsidP="000B6B88">
      <w:pPr>
        <w:pStyle w:val="SingleTxtG"/>
        <w:ind w:left="2268" w:hanging="1134"/>
      </w:pPr>
      <w:r>
        <w:t>32.2.2</w:t>
      </w:r>
      <w:r>
        <w:tab/>
      </w:r>
      <w:r w:rsidR="001E4316">
        <w:tab/>
      </w:r>
      <w:r>
        <w:t>В первом предложении заменить «60 °C» на «93 °C» и исключить следующую за этим часть предложения.</w:t>
      </w:r>
    </w:p>
    <w:p w14:paraId="00760338" w14:textId="5D270CD1" w:rsidR="000B6B88" w:rsidRPr="003D3D8F" w:rsidRDefault="000B6B88" w:rsidP="000B6B88">
      <w:pPr>
        <w:pStyle w:val="SingleTxtG"/>
        <w:ind w:left="2268" w:hanging="1134"/>
      </w:pPr>
      <w:r>
        <w:tab/>
      </w:r>
      <w:r w:rsidR="001E4316">
        <w:tab/>
      </w:r>
      <w:r>
        <w:t>В конце первого абзаца добавить следующий текст:</w:t>
      </w:r>
    </w:p>
    <w:p w14:paraId="4A6633EA" w14:textId="39D07F4C" w:rsidR="000B6B88" w:rsidRPr="003D3D8F" w:rsidRDefault="000B6B88" w:rsidP="000B6B88">
      <w:pPr>
        <w:pStyle w:val="SingleTxtG"/>
        <w:ind w:left="2268" w:hanging="1134"/>
      </w:pPr>
      <w:r>
        <w:t>«Для целей перевозки дополнительно применяются следующие требования:</w:t>
      </w:r>
    </w:p>
    <w:p w14:paraId="4DE2772B" w14:textId="77777777" w:rsidR="000B6B88" w:rsidRPr="003D3D8F" w:rsidRDefault="000B6B88" w:rsidP="000B6B88">
      <w:pPr>
        <w:pStyle w:val="SingleTxtG"/>
        <w:ind w:left="2835" w:hanging="567"/>
      </w:pPr>
      <w:r>
        <w:t>a)</w:t>
      </w:r>
      <w:r>
        <w:tab/>
        <w:t>вещества классифицируются как легковоспламеняющиеся жидкости только в том случае, если их температура вспышки составляет не более 60 ºС (не включены воспламеняющиеся жидкости класса опасности 4 в соответствии СГС);</w:t>
      </w:r>
    </w:p>
    <w:p w14:paraId="040285CA" w14:textId="77777777" w:rsidR="000B6B88" w:rsidRPr="003D3D8F" w:rsidRDefault="000B6B88" w:rsidP="000B6B88">
      <w:pPr>
        <w:pStyle w:val="SingleTxtG"/>
        <w:ind w:left="2835" w:hanging="567"/>
      </w:pPr>
      <w:r>
        <w:t>b)</w:t>
      </w:r>
      <w:r>
        <w:tab/>
        <w:t>помимо этого, вещества, перевозимые или предъявляемые к перевозке при повышенных температурах, классифицируются как легковоспламеняющиеся жидкости, когда они выделяют воспламеняющиеся пары при температуре, не превышающей максимальную температуру при перевозке».</w:t>
      </w:r>
    </w:p>
    <w:p w14:paraId="6FD34FB3" w14:textId="0EB057FC" w:rsidR="000B6B88" w:rsidRPr="003D3D8F" w:rsidRDefault="000B6B88" w:rsidP="000B6B88">
      <w:pPr>
        <w:pStyle w:val="SingleTxtG"/>
        <w:ind w:left="2268" w:hanging="1134"/>
      </w:pPr>
      <w:r>
        <w:t>32.2.3</w:t>
      </w:r>
      <w:r>
        <w:tab/>
      </w:r>
      <w:r w:rsidR="001E4316">
        <w:tab/>
      </w:r>
      <w:r>
        <w:t>В третьем предложении после «60 ºC» исключить слова «при испытании в закрытом сосуде или выше 65,6 ºС при испытании в открытом сосуде».</w:t>
      </w:r>
    </w:p>
    <w:p w14:paraId="18A58482" w14:textId="1E2C1C11" w:rsidR="000B6B88" w:rsidRPr="003D3D8F" w:rsidRDefault="000B6B88" w:rsidP="000B6B88">
      <w:pPr>
        <w:pStyle w:val="SingleTxtG"/>
        <w:ind w:left="2268" w:hanging="1134"/>
      </w:pPr>
      <w:r>
        <w:t>32.4</w:t>
      </w:r>
      <w:r>
        <w:tab/>
      </w:r>
      <w:r w:rsidR="001E4316">
        <w:tab/>
      </w:r>
      <w:r>
        <w:t>Добавить под заголовком следующий новый абзац:</w:t>
      </w:r>
    </w:p>
    <w:p w14:paraId="20D93A15" w14:textId="4F5DA166" w:rsidR="000B6B88" w:rsidRPr="003D3D8F" w:rsidRDefault="000B6B88" w:rsidP="000B6B88">
      <w:pPr>
        <w:pStyle w:val="SingleTxtG"/>
      </w:pPr>
      <w:r>
        <w:t>«Для определения температуры вспышки рекомендуется использовать методы испытания в закрытом сосуде. Методы испытаний в открытом сосуде приемлемы для жидкостей, которые не могут подвергаться испытаниям в закрытом сосуде (например, из-за их вязкости), или если данные испытаний в открытом сосуде уже имеются в наличии. В этих случаях из измеренного значения следует вычесть 5,6 °C, поскольку методы испытания в открытом сосуде</w:t>
      </w:r>
      <w:r w:rsidR="00495BD0">
        <w:t>,</w:t>
      </w:r>
      <w:r>
        <w:t xml:space="preserve"> как правило</w:t>
      </w:r>
      <w:r w:rsidR="00495BD0">
        <w:t>,</w:t>
      </w:r>
      <w:r>
        <w:t xml:space="preserve"> дают более высокие значения, чем методы испытания в закрытом сосуде».</w:t>
      </w:r>
    </w:p>
    <w:p w14:paraId="4895FCB6" w14:textId="77777777" w:rsidR="000B6B88" w:rsidRPr="003D3D8F" w:rsidRDefault="000B6B88" w:rsidP="000B6B88">
      <w:pPr>
        <w:pStyle w:val="H1G"/>
      </w:pPr>
      <w:r>
        <w:lastRenderedPageBreak/>
        <w:tab/>
      </w:r>
      <w:r>
        <w:tab/>
      </w:r>
      <w:r>
        <w:rPr>
          <w:bCs/>
        </w:rPr>
        <w:t>Раздел 33</w:t>
      </w:r>
    </w:p>
    <w:p w14:paraId="3D0CBE17" w14:textId="1D3D7086" w:rsidR="000B6B88" w:rsidRPr="003D3D8F" w:rsidRDefault="000B6B88" w:rsidP="000B6B88">
      <w:pPr>
        <w:pStyle w:val="SingleTxtG"/>
        <w:ind w:left="2268" w:hanging="1134"/>
      </w:pPr>
      <w:r>
        <w:t>33.2</w:t>
      </w:r>
      <w:r>
        <w:tab/>
      </w:r>
      <w:r w:rsidR="001E4316">
        <w:tab/>
      </w:r>
      <w:r>
        <w:t>Добавить под заголовком новое примечание следующего содержания:</w:t>
      </w:r>
    </w:p>
    <w:p w14:paraId="2CE54861" w14:textId="6085AA96" w:rsidR="000B6B88" w:rsidRPr="003D3D8F" w:rsidRDefault="000B6B88" w:rsidP="001E4316">
      <w:pPr>
        <w:pStyle w:val="SingleTxtG"/>
        <w:tabs>
          <w:tab w:val="clear" w:pos="2835"/>
          <w:tab w:val="left" w:pos="3119"/>
        </w:tabs>
      </w:pPr>
      <w:r>
        <w:t>«</w:t>
      </w:r>
      <w:r w:rsidRPr="00E0239E">
        <w:rPr>
          <w:b/>
          <w:bCs/>
          <w:i/>
          <w:iCs/>
        </w:rPr>
        <w:t>ПРИМЕЧАНИЕ</w:t>
      </w:r>
      <w:r w:rsidRPr="00E0239E">
        <w:rPr>
          <w:i/>
          <w:iCs/>
        </w:rPr>
        <w:t>:</w:t>
      </w:r>
      <w:r w:rsidRPr="00E0239E">
        <w:rPr>
          <w:i/>
          <w:iCs/>
        </w:rPr>
        <w:tab/>
        <w:t xml:space="preserve">Термин </w:t>
      </w:r>
      <w:r w:rsidR="001E4316" w:rsidRPr="001E4316">
        <w:rPr>
          <w:i/>
          <w:iCs/>
        </w:rPr>
        <w:t>“</w:t>
      </w:r>
      <w:r w:rsidRPr="00E0239E">
        <w:rPr>
          <w:i/>
          <w:iCs/>
        </w:rPr>
        <w:t>металлические порошки</w:t>
      </w:r>
      <w:r w:rsidR="001E4316" w:rsidRPr="001E4316">
        <w:rPr>
          <w:i/>
          <w:iCs/>
        </w:rPr>
        <w:t>”</w:t>
      </w:r>
      <w:r w:rsidRPr="00E0239E">
        <w:rPr>
          <w:i/>
          <w:iCs/>
        </w:rPr>
        <w:t xml:space="preserve"> охватывает порошки металлов или металлических сплавов</w:t>
      </w:r>
      <w:r>
        <w:t>».</w:t>
      </w:r>
    </w:p>
    <w:p w14:paraId="73168AC6" w14:textId="77777777" w:rsidR="000B6B88" w:rsidRPr="003D3D8F" w:rsidRDefault="000B6B88" w:rsidP="000B6B88">
      <w:pPr>
        <w:pStyle w:val="SingleTxtG"/>
        <w:ind w:left="2268" w:hanging="1134"/>
      </w:pPr>
      <w:r>
        <w:t>33.2.4.3.1</w:t>
      </w:r>
      <w:r>
        <w:tab/>
        <w:t>Во втором предложении заменить «порошков металлов или металлических сплавов» на «металлических порошков».</w:t>
      </w:r>
    </w:p>
    <w:p w14:paraId="42D6D074" w14:textId="77777777" w:rsidR="000B6B88" w:rsidRPr="003D3D8F" w:rsidRDefault="000B6B88" w:rsidP="000B6B88">
      <w:pPr>
        <w:pStyle w:val="SingleTxtG"/>
        <w:ind w:left="2268" w:hanging="1134"/>
      </w:pPr>
      <w:r>
        <w:t>33.2.4.4.1</w:t>
      </w:r>
      <w:r>
        <w:tab/>
        <w:t>Во втором предложении заменить «Порошки металлов или металлических сплавов» на «Металлические порошки».</w:t>
      </w:r>
    </w:p>
    <w:p w14:paraId="4607DC2A" w14:textId="77777777" w:rsidR="000B6B88" w:rsidRPr="003D3D8F" w:rsidRDefault="000B6B88" w:rsidP="000B6B88">
      <w:pPr>
        <w:pStyle w:val="SingleTxtG"/>
        <w:ind w:left="2268" w:hanging="1134"/>
      </w:pPr>
      <w:r>
        <w:t>33.2.4.4.2</w:t>
      </w:r>
      <w:r>
        <w:tab/>
        <w:t>Во втором предложении заменить «Порошки металлов или металлических сплавов» на «Металлические порошки».</w:t>
      </w:r>
    </w:p>
    <w:p w14:paraId="369611EC" w14:textId="77777777" w:rsidR="000B6B88" w:rsidRPr="003D3D8F" w:rsidRDefault="000B6B88" w:rsidP="000B6B88">
      <w:pPr>
        <w:pStyle w:val="H1G"/>
      </w:pPr>
      <w:r>
        <w:tab/>
      </w:r>
      <w:r>
        <w:tab/>
      </w:r>
      <w:r>
        <w:rPr>
          <w:bCs/>
        </w:rPr>
        <w:t>Раздел 37</w:t>
      </w:r>
    </w:p>
    <w:p w14:paraId="363A5C55" w14:textId="02EE1E6D" w:rsidR="000B6B88" w:rsidRPr="003D3D8F" w:rsidRDefault="000B6B88" w:rsidP="000B6B88">
      <w:pPr>
        <w:pStyle w:val="SingleTxtG"/>
        <w:keepNext/>
        <w:ind w:left="2268" w:hanging="1134"/>
      </w:pPr>
      <w:r>
        <w:t>37.1.2</w:t>
      </w:r>
      <w:r w:rsidR="001E4316">
        <w:tab/>
      </w:r>
      <w:r>
        <w:tab/>
        <w:t>В конце первого предложения заменить «для целей классификации» на «для целей классификации применительно к перевозке».</w:t>
      </w:r>
    </w:p>
    <w:p w14:paraId="77F4FB4C" w14:textId="77777777" w:rsidR="000B6B88" w:rsidRPr="003D3D8F" w:rsidRDefault="000B6B88" w:rsidP="000B6B88">
      <w:pPr>
        <w:pStyle w:val="H1G"/>
      </w:pPr>
      <w:r>
        <w:tab/>
      </w:r>
      <w:r>
        <w:tab/>
      </w:r>
      <w:r>
        <w:rPr>
          <w:bCs/>
        </w:rPr>
        <w:t>Раздел 38</w:t>
      </w:r>
    </w:p>
    <w:p w14:paraId="0C598B53" w14:textId="0411FE96" w:rsidR="000B6B88" w:rsidRPr="003D3D8F" w:rsidRDefault="000B6B88" w:rsidP="000B6B88">
      <w:pPr>
        <w:pStyle w:val="SingleTxtG"/>
        <w:ind w:left="2268" w:hanging="1134"/>
      </w:pPr>
      <w:r>
        <w:t>38.3</w:t>
      </w:r>
      <w:r>
        <w:tab/>
      </w:r>
      <w:r w:rsidR="001E4316">
        <w:tab/>
      </w:r>
      <w:r>
        <w:t>В заголовке заменить «</w:t>
      </w:r>
      <w:r w:rsidRPr="00913AD9">
        <w:rPr>
          <w:b/>
          <w:bCs/>
        </w:rPr>
        <w:t>и</w:t>
      </w:r>
      <w:r>
        <w:t>» запятой, а после слова «</w:t>
      </w:r>
      <w:r w:rsidRPr="00913AD9">
        <w:rPr>
          <w:b/>
          <w:bCs/>
        </w:rPr>
        <w:t>литий-ионные</w:t>
      </w:r>
      <w:r>
        <w:t>» добавить «</w:t>
      </w:r>
      <w:r w:rsidRPr="00913AD9">
        <w:rPr>
          <w:b/>
          <w:bCs/>
        </w:rPr>
        <w:t>и натрий-ионные</w:t>
      </w:r>
      <w:r>
        <w:t>».</w:t>
      </w:r>
    </w:p>
    <w:p w14:paraId="6242943D" w14:textId="416082CE" w:rsidR="000B6B88" w:rsidRPr="003D3D8F" w:rsidRDefault="000B6B88" w:rsidP="000B6B88">
      <w:pPr>
        <w:pStyle w:val="SingleTxtG"/>
        <w:ind w:left="2268" w:hanging="1134"/>
      </w:pPr>
      <w:r>
        <w:t>38.3.1</w:t>
      </w:r>
      <w:r>
        <w:tab/>
      </w:r>
      <w:r w:rsidR="001E4316">
        <w:tab/>
      </w:r>
      <w:r>
        <w:t>Заменить «литий-металлических и литий-ионных» на «литий-металлических, литий-ионных и натрий-ионных», а «3480 и 3481» на «3480, 3481, 3551 и 3552».</w:t>
      </w:r>
    </w:p>
    <w:p w14:paraId="2F3DE4FE" w14:textId="2E870027" w:rsidR="000B6B88" w:rsidRPr="003D3D8F" w:rsidRDefault="000B6B88" w:rsidP="000B6B88">
      <w:pPr>
        <w:pStyle w:val="SingleTxtG"/>
        <w:ind w:left="2268" w:hanging="1134"/>
      </w:pPr>
      <w:r>
        <w:tab/>
      </w:r>
      <w:r w:rsidR="001E4316">
        <w:tab/>
      </w:r>
      <w:r>
        <w:t>В конце добавить новое примечание следующего содержания:</w:t>
      </w:r>
    </w:p>
    <w:p w14:paraId="7486AF46" w14:textId="2C69DFEA" w:rsidR="000B6B88" w:rsidRPr="003D3D8F" w:rsidRDefault="000B6B88" w:rsidP="001E4316">
      <w:pPr>
        <w:pStyle w:val="SingleTxtG"/>
        <w:tabs>
          <w:tab w:val="clear" w:pos="2835"/>
          <w:tab w:val="left" w:pos="3119"/>
        </w:tabs>
        <w:rPr>
          <w:i/>
          <w:iCs/>
        </w:rPr>
      </w:pPr>
      <w:r w:rsidRPr="00913AD9">
        <w:rPr>
          <w:i/>
          <w:iCs/>
        </w:rPr>
        <w:t>«</w:t>
      </w:r>
      <w:r w:rsidRPr="00913AD9">
        <w:rPr>
          <w:b/>
          <w:bCs/>
          <w:i/>
          <w:iCs/>
        </w:rPr>
        <w:t>ПРИМЕЧАНИЕ</w:t>
      </w:r>
      <w:r w:rsidRPr="00913AD9">
        <w:rPr>
          <w:i/>
          <w:iCs/>
        </w:rPr>
        <w:t>:</w:t>
      </w:r>
      <w:r w:rsidRPr="00913AD9">
        <w:rPr>
          <w:i/>
          <w:iCs/>
        </w:rPr>
        <w:tab/>
        <w:t xml:space="preserve">В данном разделе слова </w:t>
      </w:r>
      <w:r w:rsidR="004B61AB" w:rsidRPr="004B61AB">
        <w:rPr>
          <w:i/>
          <w:iCs/>
        </w:rPr>
        <w:t>“</w:t>
      </w:r>
      <w:r w:rsidRPr="00913AD9">
        <w:rPr>
          <w:i/>
          <w:iCs/>
        </w:rPr>
        <w:t>натрий-ионные элементы или батареи</w:t>
      </w:r>
      <w:r w:rsidR="004B61AB" w:rsidRPr="004B61AB">
        <w:rPr>
          <w:i/>
          <w:iCs/>
        </w:rPr>
        <w:t>”</w:t>
      </w:r>
      <w:r w:rsidRPr="00913AD9">
        <w:rPr>
          <w:i/>
          <w:iCs/>
        </w:rPr>
        <w:t xml:space="preserve"> означают натрий-ионные элементы или батареи с органическим электролитом».</w:t>
      </w:r>
    </w:p>
    <w:p w14:paraId="6DFF09D0" w14:textId="17D9DC25" w:rsidR="000B6B88" w:rsidRPr="003D3D8F" w:rsidRDefault="000B6B88" w:rsidP="000B6B88">
      <w:pPr>
        <w:pStyle w:val="SingleTxtG"/>
        <w:ind w:left="2268" w:hanging="1134"/>
      </w:pPr>
      <w:r>
        <w:t>38.3.2.1</w:t>
      </w:r>
      <w:r>
        <w:tab/>
        <w:t xml:space="preserve">В первом предложении перед «элементов» добавить «литиевых». Во </w:t>
      </w:r>
      <w:r w:rsidR="001E4316">
        <w:rPr>
          <w:lang w:val="en-US"/>
        </w:rPr>
        <w:t> </w:t>
      </w:r>
      <w:r>
        <w:t>втором предложении перед «батарей» добавить «литиевых». В</w:t>
      </w:r>
      <w:r w:rsidR="001E4316">
        <w:rPr>
          <w:lang w:val="en-US"/>
        </w:rPr>
        <w:t> </w:t>
      </w:r>
      <w:r>
        <w:t>третьем предложении перед «батарей» добавить «литиевых». В</w:t>
      </w:r>
      <w:r w:rsidR="001E4316">
        <w:rPr>
          <w:lang w:val="en-US"/>
        </w:rPr>
        <w:t> </w:t>
      </w:r>
      <w:r>
        <w:t>четвертом предложении перед «батареи» добавить «литиевые». В</w:t>
      </w:r>
      <w:r w:rsidR="001E4316">
        <w:rPr>
          <w:lang w:val="en-US"/>
        </w:rPr>
        <w:t> </w:t>
      </w:r>
      <w:r>
        <w:t>пятом предложении перед «элемент» добавить «литиевый». В шестом предложении перед «элемент» добавить «литиевый». В седьмом предложении заменить «</w:t>
      </w:r>
      <w:r w:rsidRPr="002E636F">
        <w:rPr>
          <w:lang w:bidi="ru-RU"/>
        </w:rPr>
        <w:t>Элемент или батарея</w:t>
      </w:r>
      <w:r>
        <w:t>» на «Литиевые элемент или батарея».</w:t>
      </w:r>
    </w:p>
    <w:p w14:paraId="6C28544A" w14:textId="1BDF2F44" w:rsidR="000B6B88" w:rsidRPr="003D3D8F" w:rsidRDefault="000B6B88" w:rsidP="000B6B88">
      <w:pPr>
        <w:pStyle w:val="SingleTxtG"/>
        <w:ind w:left="2268" w:hanging="1134"/>
      </w:pPr>
      <w:r>
        <w:tab/>
      </w:r>
      <w:r w:rsidR="001E4316">
        <w:tab/>
      </w:r>
      <w:r>
        <w:t>В конце добавить новый абзац следующего содержания:</w:t>
      </w:r>
    </w:p>
    <w:p w14:paraId="62369218" w14:textId="15A4E625" w:rsidR="000B6B88" w:rsidRPr="003D3D8F" w:rsidRDefault="000B6B88" w:rsidP="000B6B88">
      <w:pPr>
        <w:pStyle w:val="SingleTxtG"/>
      </w:pPr>
      <w:r>
        <w:t>«Все типы натрий-ионных элементов подлежат испытаниям Т.1−Т.6. Все типы перезаряжаемых натрий-ионных батарей, включая батареи, состоящие из ранее испытанных элементов, подлежат испытаниям Т.1−Т.5 и Т.7. Помимо этого перезаряжаемые натрий-ионные батареи с единственным элементом, имеющие защиту от перегрузки, подлежат испытанию Т.7. Составной натрий-ионный элемент, который не перевозится отдельно от батареи, неотъемлемой частью которой он является, проходит лишь испытание Т.6. Составной натрий-ионный элемент батареи, который перевозится отдельно от батареи, проходит испытания Т.1</w:t>
      </w:r>
      <w:r w:rsidR="0063570E" w:rsidRPr="009667A8">
        <w:t>‒</w:t>
      </w:r>
      <w:r>
        <w:t>T.6. Натрий-ионные элемент или батарея, являющиеся составной частью оборудования, для питания которого они предназначены, и перевозимые только тогда, когда они установлены в данном оборудовании, могут испытываться в соответствии с требованиями применимых испытаний, когда они установлены в данном оборудовании».</w:t>
      </w:r>
    </w:p>
    <w:p w14:paraId="628F7C42" w14:textId="77777777" w:rsidR="000B6B88" w:rsidRPr="003D3D8F" w:rsidRDefault="000B6B88" w:rsidP="000B6B88">
      <w:pPr>
        <w:pStyle w:val="SingleTxtG"/>
        <w:ind w:left="2268" w:hanging="1134"/>
      </w:pPr>
      <w:r>
        <w:t>38.3.2.2</w:t>
      </w:r>
      <w:r>
        <w:tab/>
        <w:t>В начале предложения заменить «литий-металлических и литий-ионных» на «литий-металлических, литий-ионных и натрий-ионных».</w:t>
      </w:r>
    </w:p>
    <w:p w14:paraId="359ECC24" w14:textId="7FD77C2C" w:rsidR="000B6B88" w:rsidRPr="003D3D8F" w:rsidRDefault="000B6B88" w:rsidP="000B6B88">
      <w:pPr>
        <w:pStyle w:val="SingleTxtG"/>
        <w:ind w:left="2268" w:hanging="1134"/>
      </w:pPr>
      <w:r>
        <w:lastRenderedPageBreak/>
        <w:t>38.3.2.3</w:t>
      </w:r>
      <w:r>
        <w:tab/>
        <w:t>В определении термина «</w:t>
      </w:r>
      <w:r w:rsidRPr="007E24E6">
        <w:rPr>
          <w:i/>
          <w:iCs/>
        </w:rPr>
        <w:t>Большая батарея</w:t>
      </w:r>
      <w:r>
        <w:t>» исключить слова</w:t>
      </w:r>
      <w:r w:rsidR="0063570E">
        <w:br/>
      </w:r>
      <w:r>
        <w:t>«литий-металлическую или литий-ионную».</w:t>
      </w:r>
    </w:p>
    <w:p w14:paraId="280A4497" w14:textId="54C39414" w:rsidR="000B6B88" w:rsidRPr="003D3D8F" w:rsidRDefault="000B6B88" w:rsidP="000B6B88">
      <w:pPr>
        <w:pStyle w:val="SingleTxtG"/>
        <w:ind w:left="2268" w:hanging="1134"/>
      </w:pPr>
      <w:r>
        <w:tab/>
      </w:r>
      <w:r w:rsidR="001E4316">
        <w:tab/>
      </w:r>
      <w:r>
        <w:t>В определении термина «</w:t>
      </w:r>
      <w:r w:rsidRPr="007E24E6">
        <w:rPr>
          <w:i/>
          <w:iCs/>
        </w:rPr>
        <w:t>Малая батарея</w:t>
      </w:r>
      <w:r>
        <w:t>» исключить слова</w:t>
      </w:r>
      <w:r w:rsidR="0063570E">
        <w:br/>
      </w:r>
      <w:r>
        <w:t>«литий-металлическую или литий-ионную».</w:t>
      </w:r>
    </w:p>
    <w:p w14:paraId="2CF62195" w14:textId="5E0BD5F3" w:rsidR="000B6B88" w:rsidRPr="003D3D8F" w:rsidRDefault="000B6B88" w:rsidP="000B6B88">
      <w:pPr>
        <w:pStyle w:val="SingleTxtG"/>
        <w:ind w:left="2268" w:hanging="1134"/>
      </w:pPr>
      <w:r>
        <w:tab/>
      </w:r>
      <w:r w:rsidR="001E4316">
        <w:tab/>
      </w:r>
      <w:r>
        <w:t>Добавить новое определение следующего содержания:</w:t>
      </w:r>
    </w:p>
    <w:p w14:paraId="79732AF7" w14:textId="77777777" w:rsidR="000B6B88" w:rsidRPr="003D3D8F" w:rsidRDefault="000B6B88" w:rsidP="000B6B88">
      <w:pPr>
        <w:pStyle w:val="SingleTxtG"/>
      </w:pPr>
      <w:r>
        <w:t>«</w:t>
      </w:r>
      <w:r w:rsidRPr="007E24E6">
        <w:rPr>
          <w:i/>
          <w:iCs/>
        </w:rPr>
        <w:t>Натрий-ионные элемент или батарея</w:t>
      </w:r>
      <w:r>
        <w:t xml:space="preserve"> означают перезаряжаемый электрохимический элемент или батарею, в которых как положительный, так и отрицательный электроды являются продуктами интеркалирования или внедрения (интеркалированный натрий существует в ионной или квазиатомной форме внутри решетки вещества, из которого состоит электрод), не содержащими металлического натрия (или натриевого сплава), а в качестве электролита используется неводное органическое соединение».</w:t>
      </w:r>
    </w:p>
    <w:p w14:paraId="52443DC4" w14:textId="071BB0F5" w:rsidR="000B6B88" w:rsidRPr="003D3D8F" w:rsidRDefault="000B6B88" w:rsidP="000B6B88">
      <w:pPr>
        <w:pStyle w:val="SingleTxtG"/>
        <w:keepNext/>
        <w:keepLines/>
        <w:ind w:left="2268" w:hanging="1134"/>
      </w:pPr>
      <w:r>
        <w:t>38.3.3</w:t>
      </w:r>
      <w:r>
        <w:tab/>
      </w:r>
      <w:r w:rsidR="001E4316">
        <w:tab/>
      </w:r>
      <w:r>
        <w:t>Включить новый подраздел 38.3.3 следующего содержания:</w:t>
      </w:r>
    </w:p>
    <w:p w14:paraId="1F0261BF" w14:textId="77777777" w:rsidR="000B6B88" w:rsidRPr="003D3D8F" w:rsidRDefault="000B6B88" w:rsidP="000B6B88">
      <w:pPr>
        <w:pStyle w:val="SingleTxtG"/>
        <w:keepNext/>
        <w:keepLines/>
        <w:rPr>
          <w:b/>
          <w:bCs/>
          <w:i/>
          <w:iCs/>
        </w:rPr>
      </w:pPr>
      <w:r>
        <w:t>«</w:t>
      </w:r>
      <w:r>
        <w:rPr>
          <w:b/>
          <w:bCs/>
        </w:rPr>
        <w:t>38.3.3</w:t>
      </w:r>
      <w:r>
        <w:tab/>
      </w:r>
      <w:r>
        <w:rPr>
          <w:b/>
          <w:bCs/>
          <w:i/>
          <w:iCs/>
        </w:rPr>
        <w:t>Число и состояние испытуемых элементов и батарей</w:t>
      </w:r>
    </w:p>
    <w:p w14:paraId="396C9230" w14:textId="4C606D23" w:rsidR="000B6B88" w:rsidRPr="003D3D8F" w:rsidRDefault="000B6B88" w:rsidP="001E4316">
      <w:pPr>
        <w:pStyle w:val="SingleTxtG"/>
        <w:keepNext/>
        <w:keepLines/>
        <w:ind w:left="2268" w:hanging="1134"/>
      </w:pPr>
      <w:r>
        <w:tab/>
      </w:r>
      <w:r w:rsidR="001E4316">
        <w:tab/>
      </w:r>
      <w:r>
        <w:t>Когда в соответствии с положениями этого подраздела должен испытываться какой-либо тип элемента или батареи, число и состояние элементов и батарей каждого испытуемого типа должны быть следующими:».</w:t>
      </w:r>
    </w:p>
    <w:p w14:paraId="1530FEF3" w14:textId="2EA38EE2" w:rsidR="000B6B88" w:rsidRPr="003D3D8F" w:rsidRDefault="000B6B88" w:rsidP="000B6B88">
      <w:pPr>
        <w:pStyle w:val="SingleTxtG"/>
        <w:ind w:left="2268" w:hanging="1134"/>
      </w:pPr>
      <w:r>
        <w:tab/>
      </w:r>
      <w:r w:rsidR="001E4316">
        <w:tab/>
      </w:r>
      <w:r>
        <w:t>Изменить нумерацию существующего подраздела 38.3.3 на 38.3.3.1 и внести следующие поправки:</w:t>
      </w:r>
    </w:p>
    <w:p w14:paraId="13B17D02" w14:textId="3899FEFC" w:rsidR="000B6B88" w:rsidRPr="003D3D8F" w:rsidRDefault="001E4316" w:rsidP="000B6B88">
      <w:pPr>
        <w:pStyle w:val="SingleTxtG"/>
        <w:ind w:left="2835" w:hanging="567"/>
      </w:pPr>
      <w:r>
        <w:t>—</w:t>
      </w:r>
      <w:r w:rsidR="000B6B88">
        <w:tab/>
        <w:t>Добавить новый заголовок следующего содержания: «</w:t>
      </w:r>
      <w:r w:rsidR="000B6B88" w:rsidRPr="007E24E6">
        <w:rPr>
          <w:i/>
          <w:iCs/>
        </w:rPr>
        <w:t>Испытание литиевых элементов и батарей</w:t>
      </w:r>
      <w:r w:rsidR="000B6B88">
        <w:t>».</w:t>
      </w:r>
    </w:p>
    <w:p w14:paraId="1B156934" w14:textId="7E8A1995" w:rsidR="000B6B88" w:rsidRPr="003D3D8F" w:rsidRDefault="001E4316" w:rsidP="000B6B88">
      <w:pPr>
        <w:pStyle w:val="SingleTxtG"/>
        <w:ind w:left="2835" w:hanging="567"/>
      </w:pPr>
      <w:r>
        <w:t>—</w:t>
      </w:r>
      <w:r w:rsidR="000B6B88">
        <w:tab/>
        <w:t>Исключить первый абзац после заголовка.</w:t>
      </w:r>
    </w:p>
    <w:p w14:paraId="1F71C191" w14:textId="28F3CE87" w:rsidR="000B6B88" w:rsidRPr="003D3D8F" w:rsidRDefault="001E4316" w:rsidP="000B6B88">
      <w:pPr>
        <w:pStyle w:val="SingleTxtG"/>
        <w:ind w:left="2835" w:hanging="567"/>
      </w:pPr>
      <w:r>
        <w:t>—</w:t>
      </w:r>
      <w:r w:rsidR="000B6B88">
        <w:tab/>
        <w:t>В пунктах a), b) и c) во вводном предложении перед «элементов» добавить «литиевых».</w:t>
      </w:r>
    </w:p>
    <w:p w14:paraId="6A1B8AB3" w14:textId="34E1F1FA" w:rsidR="000B6B88" w:rsidRPr="003D3D8F" w:rsidRDefault="001E4316" w:rsidP="000B6B88">
      <w:pPr>
        <w:pStyle w:val="SingleTxtG"/>
        <w:ind w:left="2835" w:hanging="567"/>
      </w:pPr>
      <w:r>
        <w:t>—</w:t>
      </w:r>
      <w:r w:rsidR="000B6B88">
        <w:tab/>
        <w:t>В пункте d) во вводном предложении перед «батарей» добавить «литиевых» (два раза).</w:t>
      </w:r>
    </w:p>
    <w:p w14:paraId="3DA4E99E" w14:textId="161C5F87" w:rsidR="000B6B88" w:rsidRPr="003D3D8F" w:rsidRDefault="001E4316" w:rsidP="000B6B88">
      <w:pPr>
        <w:pStyle w:val="SingleTxtG"/>
        <w:ind w:left="2835" w:hanging="567"/>
      </w:pPr>
      <w:r>
        <w:t>—</w:t>
      </w:r>
      <w:r w:rsidR="000B6B88">
        <w:tab/>
        <w:t>В пункте e) во вводном предложении перед «элементов и составных элементов» добавить «литиевых».</w:t>
      </w:r>
    </w:p>
    <w:p w14:paraId="7AA31E26" w14:textId="0BA64C88" w:rsidR="000B6B88" w:rsidRPr="003D3D8F" w:rsidRDefault="001E4316" w:rsidP="000B6B88">
      <w:pPr>
        <w:pStyle w:val="SingleTxtG"/>
        <w:ind w:left="2835" w:hanging="567"/>
      </w:pPr>
      <w:r>
        <w:t>—</w:t>
      </w:r>
      <w:r w:rsidR="000B6B88">
        <w:tab/>
        <w:t>В пункте f) заменить «сборки батарей» на «сборки литиевых</w:t>
      </w:r>
      <w:r w:rsidR="000B6B88" w:rsidRPr="0066022E">
        <w:t xml:space="preserve"> </w:t>
      </w:r>
      <w:r w:rsidR="000B6B88">
        <w:t>батарей».</w:t>
      </w:r>
    </w:p>
    <w:p w14:paraId="5EC88A25" w14:textId="7EFDFE17" w:rsidR="000B6B88" w:rsidRPr="003D3D8F" w:rsidRDefault="001E4316" w:rsidP="000B6B88">
      <w:pPr>
        <w:pStyle w:val="SingleTxtG"/>
        <w:ind w:left="2835" w:hanging="567"/>
      </w:pPr>
      <w:r>
        <w:t>—</w:t>
      </w:r>
      <w:r w:rsidR="000B6B88">
        <w:tab/>
        <w:t>В пункте g) в первом абзаце заменить «Батареи» на «Литиевые батареи». В абзаце после подпункта iii) заменить «собранной батареи» на «собранной литиевой батареи».</w:t>
      </w:r>
    </w:p>
    <w:p w14:paraId="4E688E79" w14:textId="7109A8E5" w:rsidR="000B6B88" w:rsidRPr="003D3D8F" w:rsidRDefault="000B6B88" w:rsidP="000B6B88">
      <w:pPr>
        <w:pStyle w:val="SingleTxtG"/>
        <w:ind w:left="2268" w:hanging="1134"/>
      </w:pPr>
      <w:r>
        <w:tab/>
      </w:r>
      <w:r w:rsidR="001E4316">
        <w:tab/>
      </w:r>
      <w:r>
        <w:t>Включить новый подраздел 38.3.3.2 следующего содержания:</w:t>
      </w:r>
    </w:p>
    <w:p w14:paraId="1C2E9A6A" w14:textId="77777777" w:rsidR="000B6B88" w:rsidRPr="003D3D8F" w:rsidRDefault="000B6B88" w:rsidP="000B6B88">
      <w:pPr>
        <w:pStyle w:val="SingleTxtG"/>
      </w:pPr>
      <w:r>
        <w:t>«38.3.3.2</w:t>
      </w:r>
      <w:r>
        <w:tab/>
      </w:r>
      <w:r>
        <w:rPr>
          <w:i/>
          <w:iCs/>
        </w:rPr>
        <w:t>Испытание натрий-ионных элементов и батарей</w:t>
      </w:r>
    </w:p>
    <w:p w14:paraId="42E6A1E9" w14:textId="77777777" w:rsidR="000B6B88" w:rsidRPr="003D3D8F" w:rsidRDefault="000B6B88" w:rsidP="000B6B88">
      <w:pPr>
        <w:pStyle w:val="SingleTxtG"/>
        <w:ind w:left="2835" w:hanging="567"/>
      </w:pPr>
      <w:r>
        <w:t>a)</w:t>
      </w:r>
      <w:r>
        <w:tab/>
        <w:t>При испытании перезаряжаемых натрий-ионных элементов и батарей в соответствии с требованиями испытаний Т.1−Т.5 испытания проводятся на следующем количестве образцов:</w:t>
      </w:r>
    </w:p>
    <w:p w14:paraId="24DE3379" w14:textId="77777777" w:rsidR="000B6B88" w:rsidRPr="003D3D8F" w:rsidRDefault="000B6B88" w:rsidP="000B6B88">
      <w:pPr>
        <w:pStyle w:val="SingleTxtG"/>
        <w:ind w:left="3402" w:hanging="567"/>
      </w:pPr>
      <w:r>
        <w:t>i)</w:t>
      </w:r>
      <w:r>
        <w:tab/>
        <w:t>пять элементов в первом цикле, в полностью заряженном состоянии;</w:t>
      </w:r>
    </w:p>
    <w:p w14:paraId="7B697BE6" w14:textId="77777777" w:rsidR="000B6B88" w:rsidRPr="003D3D8F" w:rsidRDefault="000B6B88" w:rsidP="000B6B88">
      <w:pPr>
        <w:pStyle w:val="SingleTxtG"/>
        <w:ind w:left="3402" w:hanging="567"/>
      </w:pPr>
      <w:r>
        <w:t>ii)</w:t>
      </w:r>
      <w:r>
        <w:tab/>
        <w:t>пять элементов, отработавших 25 циклов, по завершении которых элементы находятся в полностью заряженном состоянии;</w:t>
      </w:r>
    </w:p>
    <w:p w14:paraId="18C329AF" w14:textId="77777777" w:rsidR="000B6B88" w:rsidRPr="003D3D8F" w:rsidRDefault="000B6B88" w:rsidP="000B6B88">
      <w:pPr>
        <w:pStyle w:val="SingleTxtG"/>
        <w:ind w:left="3402" w:hanging="567"/>
      </w:pPr>
      <w:r>
        <w:t>iii)</w:t>
      </w:r>
      <w:r>
        <w:tab/>
        <w:t>четыре малые батареи в первом цикле, в полностью заряженном состоянии;</w:t>
      </w:r>
    </w:p>
    <w:p w14:paraId="1222CD42" w14:textId="77777777" w:rsidR="000B6B88" w:rsidRPr="003D3D8F" w:rsidRDefault="000B6B88" w:rsidP="000B6B88">
      <w:pPr>
        <w:pStyle w:val="SingleTxtG"/>
        <w:ind w:left="3402" w:hanging="567"/>
      </w:pPr>
      <w:r>
        <w:t>iv)</w:t>
      </w:r>
      <w:r>
        <w:tab/>
        <w:t>четыре малые батареи, отработавшие 25 циклов, по завершении которых батареи находятся в полностью заряженном состоянии;</w:t>
      </w:r>
    </w:p>
    <w:p w14:paraId="5C2916AC" w14:textId="77777777" w:rsidR="000B6B88" w:rsidRPr="003D3D8F" w:rsidRDefault="000B6B88" w:rsidP="000B6B88">
      <w:pPr>
        <w:pStyle w:val="SingleTxtG"/>
        <w:ind w:left="3402" w:hanging="567"/>
      </w:pPr>
      <w:r>
        <w:lastRenderedPageBreak/>
        <w:t>v)</w:t>
      </w:r>
      <w:r>
        <w:tab/>
        <w:t>две большие батареи в первом цикле, в полностью заряженном состоянии; и</w:t>
      </w:r>
    </w:p>
    <w:p w14:paraId="2F579914" w14:textId="77777777" w:rsidR="000B6B88" w:rsidRPr="003D3D8F" w:rsidRDefault="000B6B88" w:rsidP="000B6B88">
      <w:pPr>
        <w:pStyle w:val="SingleTxtG"/>
        <w:ind w:left="3402" w:hanging="567"/>
      </w:pPr>
      <w:r>
        <w:t>vi)</w:t>
      </w:r>
      <w:r>
        <w:tab/>
        <w:t>две большие батареи, отработавшие 25 циклов, по завершении которых батареи находятся в полностью заряженном состоянии.</w:t>
      </w:r>
    </w:p>
    <w:p w14:paraId="4E9870E0" w14:textId="77777777" w:rsidR="000B6B88" w:rsidRPr="003D3D8F" w:rsidRDefault="000B6B88" w:rsidP="000B6B88">
      <w:pPr>
        <w:pStyle w:val="SingleTxtG"/>
        <w:ind w:left="2835" w:hanging="567"/>
      </w:pPr>
      <w:r>
        <w:t>b)</w:t>
      </w:r>
      <w:r>
        <w:tab/>
        <w:t>При испытании перезаряжаемых натрий-ионных элементов или перезаряжаемых одноэлементных натрий-ионных батарей в соответствии с требованиями испытания T.6 испытания проводятся на следующем количестве образцов:</w:t>
      </w:r>
    </w:p>
    <w:p w14:paraId="492F2EB2" w14:textId="77777777" w:rsidR="000B6B88" w:rsidRPr="003D3D8F" w:rsidRDefault="000B6B88" w:rsidP="000B6B88">
      <w:pPr>
        <w:pStyle w:val="SingleTxtG"/>
        <w:ind w:left="3402" w:hanging="567"/>
      </w:pPr>
      <w:r>
        <w:t>i)</w:t>
      </w:r>
      <w:r>
        <w:tab/>
        <w:t>пять элементов или одноэлементных батарей в первом цикле, в полностью заряженном состоянии;</w:t>
      </w:r>
    </w:p>
    <w:p w14:paraId="321F3D07" w14:textId="77777777" w:rsidR="000B6B88" w:rsidRPr="003D3D8F" w:rsidRDefault="000B6B88" w:rsidP="000B6B88">
      <w:pPr>
        <w:pStyle w:val="SingleTxtG"/>
        <w:ind w:left="3402" w:hanging="567"/>
      </w:pPr>
      <w:r>
        <w:t>ii)</w:t>
      </w:r>
      <w:r>
        <w:tab/>
        <w:t>пять элементов или одноэлементных батарей, отработавших 25 циклов, по завершении которых батареи находятся в полностью заряженном состоянии; и</w:t>
      </w:r>
    </w:p>
    <w:p w14:paraId="737511A1" w14:textId="1F74BA9F" w:rsidR="000B6B88" w:rsidRPr="003D3D8F" w:rsidRDefault="000B6B88" w:rsidP="000B6B88">
      <w:pPr>
        <w:pStyle w:val="SingleTxtG"/>
        <w:ind w:left="3402" w:hanging="567"/>
      </w:pPr>
      <w:r>
        <w:t>iii)</w:t>
      </w:r>
      <w:r>
        <w:tab/>
        <w:t xml:space="preserve">в случае составных элементов перезаряжаемых батарей </w:t>
      </w:r>
      <w:r w:rsidR="001E4316">
        <w:t>—</w:t>
      </w:r>
      <w:r>
        <w:t xml:space="preserve"> пять элементов в первом цикле, заряженных на 50</w:t>
      </w:r>
      <w:r w:rsidR="001E4316" w:rsidRPr="001E4316">
        <w:t xml:space="preserve"> </w:t>
      </w:r>
      <w:r>
        <w:t>% конструктивно предусмотренной номинальной емкости, и пять элементов, отработавших 25 циклов, по завершении которых элементы заряжены на 50</w:t>
      </w:r>
      <w:r w:rsidR="001E4316" w:rsidRPr="001E4316">
        <w:t xml:space="preserve"> </w:t>
      </w:r>
      <w:r>
        <w:t>% конструктивно предусмотренной номинальной емкости.</w:t>
      </w:r>
    </w:p>
    <w:p w14:paraId="6D323064" w14:textId="77777777" w:rsidR="000B6B88" w:rsidRPr="003D3D8F" w:rsidRDefault="000B6B88" w:rsidP="000B6B88">
      <w:pPr>
        <w:pStyle w:val="SingleTxtG"/>
        <w:ind w:left="2835" w:hanging="567"/>
      </w:pPr>
      <w:r>
        <w:t>c)</w:t>
      </w:r>
      <w:r>
        <w:tab/>
        <w:t>При испытании перезаряжаемых натрий-ионных батарей или перезаряжаемых одноэлементных натрий-ионных батарей в соответствии с требованиями испытания T.7 испытания проводятся на следующем количестве образцов:</w:t>
      </w:r>
    </w:p>
    <w:p w14:paraId="3977638A" w14:textId="77777777" w:rsidR="000B6B88" w:rsidRPr="003D3D8F" w:rsidRDefault="000B6B88" w:rsidP="000B6B88">
      <w:pPr>
        <w:pStyle w:val="SingleTxtG"/>
        <w:ind w:left="3402" w:hanging="567"/>
      </w:pPr>
      <w:r>
        <w:t>i)</w:t>
      </w:r>
      <w:r>
        <w:tab/>
        <w:t>четыре малые батареи в первом цикле, в полностью заряженном состоянии;</w:t>
      </w:r>
    </w:p>
    <w:p w14:paraId="34327EAC" w14:textId="77777777" w:rsidR="000B6B88" w:rsidRPr="003D3D8F" w:rsidRDefault="000B6B88" w:rsidP="000B6B88">
      <w:pPr>
        <w:pStyle w:val="SingleTxtG"/>
        <w:ind w:left="3402" w:hanging="567"/>
      </w:pPr>
      <w:r>
        <w:t>ii)</w:t>
      </w:r>
      <w:r>
        <w:tab/>
        <w:t>четыре малые батареи, отработавшие 25 циклов, по завершении которых батареи находятся в полностью заряженном состоянии;</w:t>
      </w:r>
    </w:p>
    <w:p w14:paraId="103268A6" w14:textId="77777777" w:rsidR="000B6B88" w:rsidRPr="003D3D8F" w:rsidRDefault="000B6B88" w:rsidP="000B6B88">
      <w:pPr>
        <w:pStyle w:val="SingleTxtG"/>
        <w:ind w:left="3402" w:hanging="567"/>
      </w:pPr>
      <w:r>
        <w:t>iii)</w:t>
      </w:r>
      <w:r>
        <w:tab/>
        <w:t>две большие батареи в первом цикле, в полностью заряженном состоянии;</w:t>
      </w:r>
    </w:p>
    <w:p w14:paraId="78E56BD0" w14:textId="77777777" w:rsidR="000B6B88" w:rsidRPr="003D3D8F" w:rsidRDefault="000B6B88" w:rsidP="000B6B88">
      <w:pPr>
        <w:pStyle w:val="SingleTxtG"/>
        <w:ind w:left="3402" w:hanging="567"/>
      </w:pPr>
      <w:r>
        <w:t>iv)</w:t>
      </w:r>
      <w:r>
        <w:tab/>
        <w:t>две большие батареи, отработавшие 25 циклов, по завершении которых батареи находятся в полностью заряженном состоянии; и</w:t>
      </w:r>
    </w:p>
    <w:p w14:paraId="1465FDA8" w14:textId="77777777" w:rsidR="000B6B88" w:rsidRPr="003D3D8F" w:rsidRDefault="000B6B88" w:rsidP="000B6B88">
      <w:pPr>
        <w:pStyle w:val="SingleTxtG"/>
        <w:ind w:left="2835"/>
      </w:pPr>
      <w:r>
        <w:t>батареи или одноэлементные батареи, не оснащенные защитой от избыточного электрического заряда, предназначенные для использования только в качестве составного элемента в другой батарее или в оборудовании, которые обеспечивают такую защиту, не подпадают под действие требований этого испытания.</w:t>
      </w:r>
    </w:p>
    <w:p w14:paraId="27C0C982" w14:textId="2B42DF4C" w:rsidR="000B6B88" w:rsidRPr="003D3D8F" w:rsidRDefault="000B6B88" w:rsidP="000B6B88">
      <w:pPr>
        <w:pStyle w:val="SingleTxtG"/>
        <w:ind w:left="2835" w:hanging="567"/>
      </w:pPr>
      <w:r>
        <w:t>d)</w:t>
      </w:r>
      <w:r>
        <w:tab/>
        <w:t xml:space="preserve">При испытании сборки натрий-ионных батарей мощностью не более 6200 ватт-часов, которая собрана из батарей, прошедших все соответствующие испытания, одна сборка батарей в полностью заряженном состоянии испытывается в соответствии с требованиями испытаний Т.3, Т.4 и T.5 и, кроме того, если речь идет о перезаряжаемой батарее, </w:t>
      </w:r>
      <w:r w:rsidR="0063570E">
        <w:t>—</w:t>
      </w:r>
      <w:r>
        <w:t xml:space="preserve"> в соответствии с требованиями испытания T.7.</w:t>
      </w:r>
    </w:p>
    <w:p w14:paraId="29FF51E6" w14:textId="77777777" w:rsidR="000B6B88" w:rsidRPr="003D3D8F" w:rsidRDefault="000B6B88" w:rsidP="000B6B88">
      <w:pPr>
        <w:pStyle w:val="SingleTxtG"/>
        <w:ind w:left="2835" w:hanging="567"/>
      </w:pPr>
      <w:r>
        <w:t>e)</w:t>
      </w:r>
      <w:r>
        <w:tab/>
        <w:t xml:space="preserve">Если натрий-ионные батареи, прошедшие все соответствующие испытания, электрически соединены в сборку мощностью более 6200 ватт-часов, то данная </w:t>
      </w:r>
      <w:r w:rsidRPr="005B5FFB">
        <w:t>собранн</w:t>
      </w:r>
      <w:r>
        <w:t>ая</w:t>
      </w:r>
      <w:r w:rsidRPr="005B5FFB">
        <w:t xml:space="preserve"> батаре</w:t>
      </w:r>
      <w:r>
        <w:t>я</w:t>
      </w:r>
      <w:r w:rsidRPr="005B5FFB">
        <w:t xml:space="preserve"> </w:t>
      </w:r>
      <w:r>
        <w:t xml:space="preserve">не подвергается испытаниям, если </w:t>
      </w:r>
      <w:r w:rsidRPr="00436E43">
        <w:t>тип собранной батареи по результатам испытания был признан обеспечивающим предупреждение следующих неисправностей</w:t>
      </w:r>
      <w:r>
        <w:t>:</w:t>
      </w:r>
    </w:p>
    <w:p w14:paraId="42F5BDF2" w14:textId="77777777" w:rsidR="000B6B88" w:rsidRPr="003D3D8F" w:rsidRDefault="000B6B88" w:rsidP="000B6B88">
      <w:pPr>
        <w:pStyle w:val="SingleTxtG"/>
        <w:ind w:left="3402" w:hanging="567"/>
      </w:pPr>
      <w:r>
        <w:lastRenderedPageBreak/>
        <w:t>i)</w:t>
      </w:r>
      <w:r>
        <w:tab/>
        <w:t>перегрузка;</w:t>
      </w:r>
    </w:p>
    <w:p w14:paraId="6884BB23" w14:textId="77777777" w:rsidR="000B6B88" w:rsidRPr="003D3D8F" w:rsidRDefault="000B6B88" w:rsidP="000B6B88">
      <w:pPr>
        <w:pStyle w:val="SingleTxtG"/>
        <w:ind w:left="3402" w:hanging="567"/>
      </w:pPr>
      <w:r>
        <w:t>ii)</w:t>
      </w:r>
      <w:r>
        <w:tab/>
        <w:t>короткие замыкания; и</w:t>
      </w:r>
    </w:p>
    <w:p w14:paraId="470C1FD5" w14:textId="77777777" w:rsidR="000B6B88" w:rsidRPr="003D3D8F" w:rsidRDefault="000B6B88" w:rsidP="000B6B88">
      <w:pPr>
        <w:pStyle w:val="SingleTxtG"/>
        <w:ind w:left="3402" w:hanging="567"/>
      </w:pPr>
      <w:r>
        <w:t>iii)</w:t>
      </w:r>
      <w:r>
        <w:tab/>
        <w:t>глубокий разряд между батареями.</w:t>
      </w:r>
    </w:p>
    <w:p w14:paraId="372DFA5B" w14:textId="5B06BC25" w:rsidR="000B6B88" w:rsidRPr="003D3D8F" w:rsidRDefault="000B6B88" w:rsidP="000B6B88">
      <w:pPr>
        <w:pStyle w:val="SingleTxtG"/>
        <w:ind w:left="2835" w:hanging="567"/>
      </w:pPr>
      <w:r>
        <w:tab/>
        <w:t>Для собранной натрий-ионной батареи, не оснащенной защитой от избыточного электрического заряда, предназначенной для использования только в качестве компонента других батаре</w:t>
      </w:r>
      <w:r w:rsidR="009A4A68">
        <w:t>й</w:t>
      </w:r>
      <w:r>
        <w:t>, оборудования или транспортного средства, которые обеспечивают такую защиту:</w:t>
      </w:r>
    </w:p>
    <w:p w14:paraId="79EA55F0" w14:textId="0D81BB1D" w:rsidR="000B6B88" w:rsidRPr="003D3D8F" w:rsidRDefault="001E4316" w:rsidP="000B6B88">
      <w:pPr>
        <w:tabs>
          <w:tab w:val="left" w:pos="1701"/>
          <w:tab w:val="left" w:pos="2268"/>
          <w:tab w:val="left" w:pos="2835"/>
        </w:tabs>
        <w:spacing w:after="120"/>
        <w:ind w:left="3402" w:right="1134" w:hanging="567"/>
        <w:jc w:val="both"/>
      </w:pPr>
      <w:r>
        <w:t>—</w:t>
      </w:r>
      <w:r w:rsidR="000B6B88">
        <w:tab/>
      </w:r>
      <w:r w:rsidR="000B6B88" w:rsidRPr="003D3D8F">
        <w:t>защита от избыточного электрического заряда проверяется на уровне батареи, оборудования или транспортного средства, в зависимости от того, что из перечисленного является применимым, и</w:t>
      </w:r>
    </w:p>
    <w:p w14:paraId="2DEFD312" w14:textId="60F3FC9C" w:rsidR="000B6B88" w:rsidRPr="003D3D8F" w:rsidRDefault="001E4316" w:rsidP="000B6B88">
      <w:pPr>
        <w:tabs>
          <w:tab w:val="left" w:pos="1701"/>
          <w:tab w:val="left" w:pos="2268"/>
          <w:tab w:val="left" w:pos="2835"/>
        </w:tabs>
        <w:spacing w:after="120"/>
        <w:ind w:left="3402" w:right="1134" w:hanging="567"/>
        <w:jc w:val="both"/>
      </w:pPr>
      <w:r>
        <w:t>—</w:t>
      </w:r>
      <w:r w:rsidR="000B6B88">
        <w:tab/>
      </w:r>
      <w:r w:rsidR="000B6B88" w:rsidRPr="003D3D8F">
        <w:t>использование систем зарядки без защиты от избыточного электрического заряда предотвращается с помощью физической системы или управления процессом».</w:t>
      </w:r>
    </w:p>
    <w:p w14:paraId="64812F2E" w14:textId="4B24E292" w:rsidR="000B6B88" w:rsidRPr="003D3D8F" w:rsidRDefault="001E4316" w:rsidP="001E4316">
      <w:pPr>
        <w:pStyle w:val="SingleTxtG"/>
        <w:ind w:left="2268" w:hanging="567"/>
      </w:pPr>
      <w:r>
        <w:tab/>
      </w:r>
      <w:r>
        <w:tab/>
      </w:r>
      <w:r w:rsidR="000B6B88">
        <w:t>Изменить нумерацию существующего подраздела 38.3.3.1 на 38.3.3.3 и внести следующие поправки:</w:t>
      </w:r>
    </w:p>
    <w:p w14:paraId="4AFBE927" w14:textId="7A176C4D" w:rsidR="000B6B88" w:rsidRPr="003D3D8F" w:rsidRDefault="001E4316" w:rsidP="000B6B88">
      <w:pPr>
        <w:pStyle w:val="SingleTxtG"/>
        <w:ind w:left="2835" w:hanging="567"/>
      </w:pPr>
      <w:r>
        <w:t>—</w:t>
      </w:r>
      <w:r w:rsidR="000B6B88">
        <w:tab/>
        <w:t>Заменить «и 38.3.3» на «, 38.3.3.1 и 38.3.3.2», а «приведенной ниже таблице» на «приведенных ниже таблицах».</w:t>
      </w:r>
    </w:p>
    <w:p w14:paraId="3D2C5728" w14:textId="4FA85FFA" w:rsidR="000B6B88" w:rsidRPr="003D3D8F" w:rsidRDefault="001E4316" w:rsidP="000B6B88">
      <w:pPr>
        <w:pStyle w:val="SingleTxtG"/>
        <w:ind w:left="2835" w:hanging="567"/>
      </w:pPr>
      <w:r>
        <w:t>—</w:t>
      </w:r>
      <w:r w:rsidR="000B6B88">
        <w:tab/>
        <w:t>В заголовке таблицы 38.3.2 перед «первичные» добавить «литиевые».</w:t>
      </w:r>
    </w:p>
    <w:p w14:paraId="69187923" w14:textId="3074771E" w:rsidR="000B6B88" w:rsidRPr="003D3D8F" w:rsidRDefault="001E4316" w:rsidP="000B6B88">
      <w:pPr>
        <w:pStyle w:val="SingleTxtG"/>
        <w:ind w:left="2835" w:hanging="567"/>
      </w:pPr>
      <w:r>
        <w:t>—</w:t>
      </w:r>
      <w:r w:rsidR="000B6B88">
        <w:tab/>
        <w:t>В заголовке таблицы 38.3.3 перед «перезаряжаемые» добавить «литиевые».</w:t>
      </w:r>
    </w:p>
    <w:p w14:paraId="6AEC2B39" w14:textId="517126C0" w:rsidR="000B6B88" w:rsidRPr="003D3D8F" w:rsidRDefault="001E4316" w:rsidP="000B6B88">
      <w:pPr>
        <w:pStyle w:val="SingleTxtG"/>
        <w:ind w:left="2835" w:hanging="567"/>
      </w:pPr>
      <w:r>
        <w:t>—</w:t>
      </w:r>
      <w:r w:rsidR="000B6B88">
        <w:tab/>
        <w:t>После таблицы 38.3.3 добавить новую таблицу 38.3.4 следующего содержания:</w:t>
      </w:r>
    </w:p>
    <w:p w14:paraId="01431F0D" w14:textId="4C65CBCF" w:rsidR="000B6B88" w:rsidRPr="003D3D8F" w:rsidRDefault="000B6B88" w:rsidP="001E4316">
      <w:pPr>
        <w:pStyle w:val="H23G"/>
        <w:ind w:left="0" w:right="0" w:firstLine="0"/>
        <w:rPr>
          <w:rFonts w:ascii="Liberation Serif;Times New Roma" w:eastAsia="NSimSun" w:hAnsi="Liberation Serif;Times New Roma" w:hint="eastAsia"/>
        </w:rPr>
      </w:pPr>
      <w:r w:rsidRPr="001E4316">
        <w:rPr>
          <w:b w:val="0"/>
          <w:bCs/>
        </w:rPr>
        <w:t>«</w:t>
      </w:r>
      <w:r>
        <w:t>Таблица 38.3.4</w:t>
      </w:r>
      <w:r w:rsidR="001E4316">
        <w:br/>
      </w:r>
      <w:r>
        <w:t>Сводная таблица испытаний, требуемых для натрий-ионных перезаряжаемых элементов и батарей</w:t>
      </w:r>
    </w:p>
    <w:tbl>
      <w:tblPr>
        <w:tblW w:w="96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47"/>
        <w:gridCol w:w="476"/>
        <w:gridCol w:w="503"/>
        <w:gridCol w:w="490"/>
        <w:gridCol w:w="504"/>
        <w:gridCol w:w="518"/>
        <w:gridCol w:w="588"/>
        <w:gridCol w:w="588"/>
        <w:gridCol w:w="532"/>
        <w:gridCol w:w="725"/>
      </w:tblGrid>
      <w:tr w:rsidR="000B6B88" w:rsidRPr="005A08F3" w14:paraId="457C3F69" w14:textId="77777777" w:rsidTr="007D2BF4">
        <w:trPr>
          <w:trHeight w:val="20"/>
          <w:tblHeader/>
        </w:trPr>
        <w:tc>
          <w:tcPr>
            <w:tcW w:w="965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70AD439" w14:textId="77777777" w:rsidR="000B6B88" w:rsidRPr="005A08F3" w:rsidRDefault="000B6B88" w:rsidP="00F053C0">
            <w:pPr>
              <w:keepNext/>
              <w:keepLines/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b/>
                <w:bCs/>
                <w:sz w:val="18"/>
                <w:szCs w:val="18"/>
              </w:rPr>
              <w:t>Перезаряжаемые элементы и батареи</w:t>
            </w:r>
          </w:p>
        </w:tc>
      </w:tr>
      <w:tr w:rsidR="007D2BF4" w:rsidRPr="005A08F3" w14:paraId="0B8DA4EF" w14:textId="77777777" w:rsidTr="007D2BF4">
        <w:trPr>
          <w:trHeight w:val="20"/>
          <w:tblHeader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A998708" w14:textId="77777777" w:rsidR="000B6B88" w:rsidRPr="005A08F3" w:rsidRDefault="000B6B88" w:rsidP="007D2BF4">
            <w:pPr>
              <w:keepNext/>
              <w:keepLines/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bidi="hi-IN"/>
              </w:rPr>
            </w:pPr>
            <w:r w:rsidRPr="005A08F3">
              <w:rPr>
                <w:rFonts w:asciiTheme="majorBidi" w:hAnsiTheme="majorBidi" w:cstheme="majorBidi"/>
                <w:sz w:val="18"/>
                <w:szCs w:val="18"/>
                <w:lang w:eastAsia="fr-FR" w:bidi="hi-IN"/>
              </w:rPr>
              <w:t> 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EDE2501" w14:textId="77777777" w:rsidR="000B6B88" w:rsidRPr="005A08F3" w:rsidRDefault="000B6B88" w:rsidP="007D2BF4">
            <w:pPr>
              <w:keepNext/>
              <w:keepLines/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bidi="hi-IN"/>
              </w:rPr>
            </w:pPr>
            <w:r w:rsidRPr="005A08F3">
              <w:rPr>
                <w:rFonts w:asciiTheme="majorBidi" w:hAnsiTheme="majorBidi" w:cstheme="majorBidi"/>
                <w:sz w:val="18"/>
                <w:szCs w:val="18"/>
                <w:lang w:eastAsia="fr-FR" w:bidi="hi-IN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B3E952B" w14:textId="77777777" w:rsidR="000B6B88" w:rsidRPr="005A08F3" w:rsidRDefault="000B6B88" w:rsidP="007D2BF4">
            <w:pPr>
              <w:keepNext/>
              <w:keepLines/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T.1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AED6B90" w14:textId="77777777" w:rsidR="000B6B88" w:rsidRPr="005A08F3" w:rsidRDefault="000B6B88" w:rsidP="007D2BF4">
            <w:pPr>
              <w:keepNext/>
              <w:keepLines/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T.2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1443E18" w14:textId="77777777" w:rsidR="000B6B88" w:rsidRPr="005A08F3" w:rsidRDefault="000B6B88" w:rsidP="007D2BF4">
            <w:pPr>
              <w:keepNext/>
              <w:keepLines/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T.3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20EDCD5" w14:textId="77777777" w:rsidR="000B6B88" w:rsidRPr="005A08F3" w:rsidRDefault="000B6B88" w:rsidP="007D2BF4">
            <w:pPr>
              <w:keepNext/>
              <w:keepLines/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T.4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F3AC779" w14:textId="77777777" w:rsidR="000B6B88" w:rsidRPr="005A08F3" w:rsidRDefault="000B6B88" w:rsidP="007D2BF4">
            <w:pPr>
              <w:keepNext/>
              <w:keepLines/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T.5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D033C9B" w14:textId="77777777" w:rsidR="000B6B88" w:rsidRPr="005A08F3" w:rsidRDefault="000B6B88" w:rsidP="007D2BF4">
            <w:pPr>
              <w:keepNext/>
              <w:keepLines/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T.6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038E35E" w14:textId="77777777" w:rsidR="000B6B88" w:rsidRPr="005A08F3" w:rsidRDefault="000B6B88" w:rsidP="007D2BF4">
            <w:pPr>
              <w:keepNext/>
              <w:keepLines/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T.7</w:t>
            </w:r>
            <w:r w:rsidRPr="005A08F3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1777DEA" w14:textId="77777777" w:rsidR="000B6B88" w:rsidRPr="005A08F3" w:rsidRDefault="000B6B88" w:rsidP="007D2BF4">
            <w:pPr>
              <w:keepNext/>
              <w:keepLines/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T.8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0266215" w14:textId="6336F9AB" w:rsidR="000B6B88" w:rsidRPr="007D2BF4" w:rsidRDefault="000B6B88" w:rsidP="007D2BF4">
            <w:pPr>
              <w:keepNext/>
              <w:keepLines/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pacing w:val="-2"/>
                <w:sz w:val="18"/>
                <w:szCs w:val="18"/>
              </w:rPr>
            </w:pPr>
            <w:r w:rsidRPr="007D2BF4">
              <w:rPr>
                <w:spacing w:val="-2"/>
                <w:sz w:val="18"/>
                <w:szCs w:val="18"/>
              </w:rPr>
              <w:t>Всег</w:t>
            </w:r>
            <w:r w:rsidR="007D2BF4">
              <w:rPr>
                <w:spacing w:val="-2"/>
                <w:sz w:val="18"/>
                <w:szCs w:val="18"/>
              </w:rPr>
              <w:t>о</w:t>
            </w:r>
            <w:r w:rsidRPr="007D2BF4">
              <w:rPr>
                <w:spacing w:val="-2"/>
                <w:sz w:val="18"/>
                <w:szCs w:val="18"/>
                <w:vertAlign w:val="superscript"/>
              </w:rPr>
              <w:t>d</w:t>
            </w:r>
          </w:p>
        </w:tc>
      </w:tr>
      <w:tr w:rsidR="007D2BF4" w:rsidRPr="005A08F3" w14:paraId="0E124365" w14:textId="77777777" w:rsidTr="007D2BF4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FD2E7A" w14:textId="77777777" w:rsidR="000B6B88" w:rsidRPr="003D3D8F" w:rsidRDefault="000B6B88" w:rsidP="007D2BF4">
            <w:pPr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Элементы, которые не перевозятся отдельно от батареи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2ECED5D" w14:textId="0C0EC1F9" w:rsidR="000B6B88" w:rsidRPr="005A08F3" w:rsidRDefault="000B6B88" w:rsidP="007D2BF4">
            <w:pPr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первый цикл, заряжены на 50</w:t>
            </w:r>
            <w:r w:rsidR="007D2BF4">
              <w:rPr>
                <w:sz w:val="18"/>
                <w:szCs w:val="18"/>
              </w:rPr>
              <w:t xml:space="preserve"> </w:t>
            </w:r>
            <w:r w:rsidRPr="005A08F3">
              <w:rPr>
                <w:sz w:val="18"/>
                <w:szCs w:val="18"/>
              </w:rPr>
              <w:t>%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65AE9F8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8CE9920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8D525C9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4175C99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F48257C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bidi="hi-IN"/>
              </w:rPr>
            </w:pP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DD2DFF7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DE6B902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75456FE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9A433C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10</w:t>
            </w:r>
          </w:p>
        </w:tc>
      </w:tr>
      <w:tr w:rsidR="007D2BF4" w:rsidRPr="005A08F3" w14:paraId="2F3D129A" w14:textId="77777777" w:rsidTr="007D2BF4">
        <w:trPr>
          <w:trHeight w:val="20"/>
        </w:trPr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B03110" w14:textId="77777777" w:rsidR="000B6B88" w:rsidRPr="005A08F3" w:rsidRDefault="000B6B88" w:rsidP="007D2BF4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B571592" w14:textId="2D3416AB" w:rsidR="000B6B88" w:rsidRPr="005A08F3" w:rsidRDefault="000B6B88" w:rsidP="007D2BF4">
            <w:pPr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25-й цикл, заряжены на 50</w:t>
            </w:r>
            <w:r w:rsidR="007D2BF4">
              <w:rPr>
                <w:sz w:val="18"/>
                <w:szCs w:val="18"/>
              </w:rPr>
              <w:t xml:space="preserve"> </w:t>
            </w:r>
            <w:r w:rsidRPr="005A08F3">
              <w:rPr>
                <w:sz w:val="18"/>
                <w:szCs w:val="18"/>
              </w:rPr>
              <w:t>%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6E34519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7DEBFBB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76E0EED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43F5119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C16EBFF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bidi="hi-IN"/>
              </w:rPr>
            </w:pP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6686D28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F305100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BA0530E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9F02D9" w14:textId="77777777" w:rsidR="000B6B88" w:rsidRPr="005A08F3" w:rsidRDefault="000B6B88" w:rsidP="007D2BF4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</w:p>
        </w:tc>
      </w:tr>
      <w:tr w:rsidR="007D2BF4" w:rsidRPr="005A08F3" w14:paraId="62AFB2F8" w14:textId="77777777" w:rsidTr="009A4A68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FF7AA1" w14:textId="77777777" w:rsidR="000B6B88" w:rsidRPr="005A08F3" w:rsidRDefault="000B6B88" w:rsidP="007D2BF4">
            <w:pPr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Элементы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1066C6" w14:textId="77777777" w:rsidR="000B6B88" w:rsidRPr="003D3D8F" w:rsidRDefault="000B6B88" w:rsidP="009A4A68">
            <w:pPr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первый цикл, в полностью заряженном состоянии</w:t>
            </w:r>
          </w:p>
        </w:tc>
        <w:tc>
          <w:tcPr>
            <w:tcW w:w="24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43B689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BE823B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96F0D0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A16488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9A90BF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20</w:t>
            </w:r>
          </w:p>
        </w:tc>
      </w:tr>
      <w:tr w:rsidR="007D2BF4" w:rsidRPr="005A08F3" w14:paraId="6AF25318" w14:textId="77777777" w:rsidTr="009A4A68">
        <w:trPr>
          <w:trHeight w:val="20"/>
        </w:trPr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71CE28" w14:textId="77777777" w:rsidR="000B6B88" w:rsidRPr="005A08F3" w:rsidRDefault="000B6B88" w:rsidP="007D2BF4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FE83E2" w14:textId="77777777" w:rsidR="000B6B88" w:rsidRPr="003D3D8F" w:rsidRDefault="000B6B88" w:rsidP="009A4A68">
            <w:pPr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25-й цикл, в полностью заряженном состоянии</w:t>
            </w:r>
          </w:p>
        </w:tc>
        <w:tc>
          <w:tcPr>
            <w:tcW w:w="24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166D83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741088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AB185B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D24B15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9706F3" w14:textId="77777777" w:rsidR="000B6B88" w:rsidRPr="005A08F3" w:rsidRDefault="000B6B88" w:rsidP="007D2BF4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</w:p>
        </w:tc>
      </w:tr>
      <w:tr w:rsidR="007D2BF4" w:rsidRPr="005A08F3" w14:paraId="7804DC0A" w14:textId="77777777" w:rsidTr="009A4A68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6AB01C" w14:textId="77777777" w:rsidR="000B6B88" w:rsidRPr="005A08F3" w:rsidRDefault="000B6B88" w:rsidP="007D2BF4">
            <w:pPr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Одноэлементные батареи</w:t>
            </w:r>
            <w:r w:rsidRPr="005A08F3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F30DB2" w14:textId="77777777" w:rsidR="000B6B88" w:rsidRPr="003D3D8F" w:rsidRDefault="000B6B88" w:rsidP="009A4A68">
            <w:pPr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первый цикл, в полностью заряженном состоянии</w:t>
            </w:r>
          </w:p>
        </w:tc>
        <w:tc>
          <w:tcPr>
            <w:tcW w:w="24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613250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D4204B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E7D98D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91DD2D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DED100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28</w:t>
            </w:r>
          </w:p>
        </w:tc>
      </w:tr>
      <w:tr w:rsidR="007D2BF4" w:rsidRPr="005A08F3" w14:paraId="4CBD457C" w14:textId="77777777" w:rsidTr="009A4A68">
        <w:trPr>
          <w:trHeight w:val="20"/>
        </w:trPr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7A732D" w14:textId="77777777" w:rsidR="000B6B88" w:rsidRPr="005A08F3" w:rsidRDefault="000B6B88" w:rsidP="007D2BF4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A175D2" w14:textId="77777777" w:rsidR="000B6B88" w:rsidRPr="003D3D8F" w:rsidRDefault="000B6B88" w:rsidP="009A4A68">
            <w:pPr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25-й цикл, в полностью заряженном состоянии</w:t>
            </w:r>
          </w:p>
        </w:tc>
        <w:tc>
          <w:tcPr>
            <w:tcW w:w="24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319F22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B2846A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8E9EAA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69B687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8C198E" w14:textId="77777777" w:rsidR="000B6B88" w:rsidRPr="005A08F3" w:rsidRDefault="000B6B88" w:rsidP="007D2BF4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</w:p>
        </w:tc>
      </w:tr>
      <w:tr w:rsidR="007D2BF4" w:rsidRPr="005A08F3" w14:paraId="7329BDB8" w14:textId="77777777" w:rsidTr="009A4A68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1F96BE" w14:textId="77777777" w:rsidR="000B6B88" w:rsidRPr="005A08F3" w:rsidRDefault="000B6B88" w:rsidP="007D2BF4">
            <w:pPr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Малые батареи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E6B1B2" w14:textId="77777777" w:rsidR="000B6B88" w:rsidRPr="003D3D8F" w:rsidRDefault="000B6B88" w:rsidP="009A4A68">
            <w:pPr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первый цикл, в полностью заряженном состоянии</w:t>
            </w:r>
          </w:p>
        </w:tc>
        <w:tc>
          <w:tcPr>
            <w:tcW w:w="24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3BB5C2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B8A0E0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00A391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8FC49E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76E486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16</w:t>
            </w:r>
          </w:p>
        </w:tc>
      </w:tr>
      <w:tr w:rsidR="007D2BF4" w:rsidRPr="005A08F3" w14:paraId="34E7AF85" w14:textId="77777777" w:rsidTr="009A4A68">
        <w:trPr>
          <w:trHeight w:val="20"/>
        </w:trPr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604244" w14:textId="77777777" w:rsidR="000B6B88" w:rsidRPr="005A08F3" w:rsidRDefault="000B6B88" w:rsidP="007D2BF4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DAFF73" w14:textId="77777777" w:rsidR="000B6B88" w:rsidRPr="003D3D8F" w:rsidRDefault="000B6B88" w:rsidP="009A4A68">
            <w:pPr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25-й цикл, в полностью заряженном состоянии</w:t>
            </w:r>
          </w:p>
        </w:tc>
        <w:tc>
          <w:tcPr>
            <w:tcW w:w="24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86A2F6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269C72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4C9C9B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209BF5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0BE1F0" w14:textId="77777777" w:rsidR="000B6B88" w:rsidRPr="005A08F3" w:rsidRDefault="000B6B88" w:rsidP="007D2BF4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</w:p>
        </w:tc>
      </w:tr>
      <w:tr w:rsidR="007D2BF4" w:rsidRPr="005A08F3" w14:paraId="759EABC8" w14:textId="77777777" w:rsidTr="009A4A68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455A8F" w14:textId="77777777" w:rsidR="000B6B88" w:rsidRPr="005A08F3" w:rsidRDefault="000B6B88" w:rsidP="007D2BF4">
            <w:pPr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Большие батареи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AFE03C" w14:textId="77777777" w:rsidR="000B6B88" w:rsidRPr="003D3D8F" w:rsidRDefault="000B6B88" w:rsidP="009A4A68">
            <w:pPr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первый цикл, в полностью заряженном состоянии</w:t>
            </w:r>
          </w:p>
        </w:tc>
        <w:tc>
          <w:tcPr>
            <w:tcW w:w="24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3A5828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54C1D7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9CF746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C70BAD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17C99F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8</w:t>
            </w:r>
          </w:p>
        </w:tc>
      </w:tr>
      <w:tr w:rsidR="007D2BF4" w:rsidRPr="005A08F3" w14:paraId="5D2417D4" w14:textId="77777777" w:rsidTr="009A4A68">
        <w:trPr>
          <w:trHeight w:val="20"/>
        </w:trPr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30FB62" w14:textId="77777777" w:rsidR="000B6B88" w:rsidRPr="005A08F3" w:rsidRDefault="000B6B88" w:rsidP="007D2BF4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28D5CF" w14:textId="77777777" w:rsidR="000B6B88" w:rsidRPr="003D3D8F" w:rsidRDefault="000B6B88" w:rsidP="009A4A68">
            <w:pPr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25-й цикл, в полностью заряженном состоянии</w:t>
            </w:r>
          </w:p>
        </w:tc>
        <w:tc>
          <w:tcPr>
            <w:tcW w:w="24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9F6606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19EFBD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0EED4B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B22299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E624F2" w14:textId="77777777" w:rsidR="000B6B88" w:rsidRPr="005A08F3" w:rsidRDefault="000B6B88" w:rsidP="007D2BF4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</w:p>
        </w:tc>
      </w:tr>
      <w:tr w:rsidR="007D2BF4" w:rsidRPr="005A08F3" w14:paraId="4E774D86" w14:textId="77777777" w:rsidTr="009A4A68">
        <w:trPr>
          <w:trHeight w:val="20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B2F788" w14:textId="21D4C685" w:rsidR="000B6B88" w:rsidRPr="003D3D8F" w:rsidRDefault="000B6B88" w:rsidP="007D2BF4">
            <w:pPr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lastRenderedPageBreak/>
              <w:t xml:space="preserve">Батареи, собранные из испытанных </w:t>
            </w:r>
            <w:r>
              <w:rPr>
                <w:sz w:val="18"/>
                <w:szCs w:val="18"/>
              </w:rPr>
              <w:t>батарей</w:t>
            </w:r>
            <w:r w:rsidR="007D2BF4">
              <w:rPr>
                <w:sz w:val="18"/>
                <w:szCs w:val="18"/>
              </w:rPr>
              <w:br/>
            </w:r>
            <w:r w:rsidRPr="005A08F3">
              <w:rPr>
                <w:sz w:val="18"/>
                <w:szCs w:val="18"/>
              </w:rPr>
              <w:t>≤ 6200 Вт·ч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CEFC3E" w14:textId="77777777" w:rsidR="000B6B88" w:rsidRPr="005A08F3" w:rsidRDefault="000B6B88" w:rsidP="009A4A68">
            <w:pPr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в полностью заряженном состоянии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AF9637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227E97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5F530E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01FEA6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9319D7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5350E7" w14:textId="77777777" w:rsidR="000B6B88" w:rsidRPr="005A08F3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539B3E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2</w:t>
            </w:r>
          </w:p>
        </w:tc>
      </w:tr>
      <w:tr w:rsidR="007D2BF4" w:rsidRPr="005A08F3" w14:paraId="38C9891B" w14:textId="77777777" w:rsidTr="009A4A68">
        <w:trPr>
          <w:trHeight w:val="20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E5E9C4" w14:textId="2F1D856D" w:rsidR="000B6B88" w:rsidRPr="003D3D8F" w:rsidRDefault="000B6B88" w:rsidP="007D2BF4">
            <w:pPr>
              <w:spacing w:before="60" w:after="60" w:line="240" w:lineRule="auto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 xml:space="preserve">Батареи, собранные из испытанных </w:t>
            </w:r>
            <w:r>
              <w:rPr>
                <w:sz w:val="18"/>
                <w:szCs w:val="18"/>
              </w:rPr>
              <w:t>батарей</w:t>
            </w:r>
            <w:r w:rsidR="007D2BF4">
              <w:rPr>
                <w:sz w:val="18"/>
                <w:szCs w:val="18"/>
              </w:rPr>
              <w:br/>
            </w:r>
            <w:r w:rsidRPr="005A08F3">
              <w:rPr>
                <w:sz w:val="18"/>
                <w:szCs w:val="18"/>
              </w:rPr>
              <w:t>&gt; 6200 Вт·ч</w:t>
            </w:r>
            <w:r w:rsidRPr="005A08F3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C45E71B" w14:textId="77777777" w:rsidR="000B6B88" w:rsidRPr="003D3D8F" w:rsidRDefault="000B6B88" w:rsidP="007D2BF4">
            <w:pPr>
              <w:spacing w:before="60" w:after="60" w:line="240" w:lineRule="auto"/>
              <w:jc w:val="both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bidi="hi-IN"/>
              </w:rPr>
            </w:pPr>
            <w:r w:rsidRPr="005A08F3">
              <w:rPr>
                <w:rFonts w:asciiTheme="majorBidi" w:hAnsiTheme="majorBidi" w:cstheme="majorBidi"/>
                <w:sz w:val="18"/>
                <w:szCs w:val="18"/>
                <w:lang w:eastAsia="fr-FR" w:bidi="hi-IN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BFEE06" w14:textId="77777777" w:rsidR="000B6B88" w:rsidRPr="003D3D8F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1B0F5A" w14:textId="77777777" w:rsidR="000B6B88" w:rsidRPr="003D3D8F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28F238" w14:textId="77777777" w:rsidR="000B6B88" w:rsidRPr="003D3D8F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E1385F" w14:textId="77777777" w:rsidR="000B6B88" w:rsidRPr="003D3D8F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3C48E3" w14:textId="77777777" w:rsidR="000B6B88" w:rsidRPr="003D3D8F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C50508" w14:textId="77777777" w:rsidR="000B6B88" w:rsidRPr="003D3D8F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5ED235" w14:textId="77777777" w:rsidR="000B6B88" w:rsidRPr="003D3D8F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B30DFA" w14:textId="77777777" w:rsidR="000B6B88" w:rsidRPr="003D3D8F" w:rsidRDefault="000B6B88" w:rsidP="009A4A68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  <w:lang w:eastAsia="fr-FR" w:bidi="hi-IN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2BF7AD" w14:textId="77777777" w:rsidR="000B6B88" w:rsidRPr="005A08F3" w:rsidRDefault="000B6B88" w:rsidP="007D2BF4">
            <w:pPr>
              <w:spacing w:before="60" w:after="60" w:line="240" w:lineRule="auto"/>
              <w:jc w:val="center"/>
              <w:textAlignment w:val="baseline"/>
              <w:rPr>
                <w:rFonts w:asciiTheme="majorBidi" w:eastAsia="NSimSun" w:hAnsiTheme="majorBidi" w:cstheme="majorBidi"/>
                <w:sz w:val="18"/>
                <w:szCs w:val="18"/>
              </w:rPr>
            </w:pPr>
            <w:r w:rsidRPr="005A08F3">
              <w:rPr>
                <w:sz w:val="18"/>
                <w:szCs w:val="18"/>
              </w:rPr>
              <w:t>0</w:t>
            </w:r>
          </w:p>
        </w:tc>
      </w:tr>
    </w:tbl>
    <w:p w14:paraId="269DA1CF" w14:textId="77777777" w:rsidR="000B6B88" w:rsidRPr="007D2BF4" w:rsidRDefault="000B6B88" w:rsidP="007D2BF4">
      <w:pPr>
        <w:spacing w:before="120" w:line="220" w:lineRule="exact"/>
        <w:ind w:left="567" w:hanging="397"/>
        <w:rPr>
          <w:sz w:val="18"/>
          <w:szCs w:val="18"/>
        </w:rPr>
      </w:pPr>
      <w:r w:rsidRPr="007D2BF4">
        <w:rPr>
          <w:b/>
          <w:bCs/>
          <w:sz w:val="18"/>
          <w:szCs w:val="18"/>
          <w:vertAlign w:val="superscript"/>
        </w:rPr>
        <w:t>à</w:t>
      </w:r>
      <w:r w:rsidRPr="007D2BF4">
        <w:rPr>
          <w:sz w:val="18"/>
          <w:szCs w:val="18"/>
        </w:rPr>
        <w:tab/>
      </w:r>
      <w:r w:rsidRPr="007D2BF4">
        <w:rPr>
          <w:i/>
          <w:iCs/>
          <w:sz w:val="18"/>
          <w:szCs w:val="18"/>
        </w:rPr>
        <w:t>Батареи или одноэлементные батареи, не оснащенные защитой от избыточного электрического заряда, предназначенные для использования только в качестве составного элемента в другой батарее или в оборудовании, которые обеспечивают такую защиту, не подпадают под действие требований этого испытания.</w:t>
      </w:r>
    </w:p>
    <w:p w14:paraId="0855433E" w14:textId="77777777" w:rsidR="000B6B88" w:rsidRPr="007D2BF4" w:rsidRDefault="000B6B88" w:rsidP="007D2BF4">
      <w:pPr>
        <w:spacing w:line="220" w:lineRule="exact"/>
        <w:ind w:left="567" w:hanging="397"/>
        <w:rPr>
          <w:sz w:val="18"/>
          <w:szCs w:val="18"/>
        </w:rPr>
      </w:pPr>
      <w:r w:rsidRPr="007D2BF4">
        <w:rPr>
          <w:b/>
          <w:bCs/>
          <w:sz w:val="18"/>
          <w:szCs w:val="18"/>
          <w:vertAlign w:val="superscript"/>
        </w:rPr>
        <w:t>b</w:t>
      </w:r>
      <w:r w:rsidRPr="007D2BF4">
        <w:rPr>
          <w:sz w:val="18"/>
          <w:szCs w:val="18"/>
        </w:rPr>
        <w:tab/>
      </w:r>
      <w:r w:rsidRPr="007D2BF4">
        <w:rPr>
          <w:i/>
          <w:iCs/>
          <w:sz w:val="18"/>
          <w:szCs w:val="18"/>
        </w:rPr>
        <w:t>За исключением испытания T.7: Избыточный заряд, одноэлементная батарея, содержащая один испытанный элемент, не требует испытания, кроме тех случаев, когда изменение конструкции элемента может привести к негативному результату любого из испытаний.</w:t>
      </w:r>
    </w:p>
    <w:p w14:paraId="4A01481C" w14:textId="77777777" w:rsidR="000B6B88" w:rsidRPr="007D2BF4" w:rsidRDefault="000B6B88" w:rsidP="007D2BF4">
      <w:pPr>
        <w:spacing w:line="220" w:lineRule="exact"/>
        <w:ind w:left="567" w:hanging="397"/>
        <w:rPr>
          <w:sz w:val="18"/>
          <w:szCs w:val="18"/>
        </w:rPr>
      </w:pPr>
      <w:r w:rsidRPr="007D2BF4">
        <w:rPr>
          <w:b/>
          <w:bCs/>
          <w:sz w:val="18"/>
          <w:szCs w:val="18"/>
          <w:vertAlign w:val="superscript"/>
        </w:rPr>
        <w:t>c</w:t>
      </w:r>
      <w:r w:rsidRPr="007D2BF4">
        <w:rPr>
          <w:sz w:val="18"/>
          <w:szCs w:val="18"/>
        </w:rPr>
        <w:tab/>
      </w:r>
      <w:r w:rsidRPr="007D2BF4">
        <w:rPr>
          <w:i/>
          <w:iCs/>
          <w:sz w:val="18"/>
          <w:szCs w:val="18"/>
        </w:rPr>
        <w:t>Если тип собранной батареи по результатам испытания был признан обеспечивающим предупреждение следующих неисправностей:</w:t>
      </w:r>
    </w:p>
    <w:p w14:paraId="2E3848EB" w14:textId="77777777" w:rsidR="000B6B88" w:rsidRPr="007D2BF4" w:rsidRDefault="000B6B88" w:rsidP="007D2BF4">
      <w:pPr>
        <w:spacing w:line="220" w:lineRule="exact"/>
        <w:ind w:firstLine="567"/>
        <w:rPr>
          <w:i/>
          <w:iCs/>
          <w:sz w:val="18"/>
          <w:szCs w:val="18"/>
        </w:rPr>
      </w:pPr>
      <w:r w:rsidRPr="007D2BF4">
        <w:rPr>
          <w:i/>
          <w:iCs/>
          <w:sz w:val="18"/>
          <w:szCs w:val="18"/>
        </w:rPr>
        <w:t>i)</w:t>
      </w:r>
      <w:r w:rsidRPr="007D2BF4">
        <w:rPr>
          <w:i/>
          <w:iCs/>
          <w:sz w:val="18"/>
          <w:szCs w:val="18"/>
        </w:rPr>
        <w:tab/>
        <w:t>перегрузка;</w:t>
      </w:r>
    </w:p>
    <w:p w14:paraId="405224AE" w14:textId="77777777" w:rsidR="000B6B88" w:rsidRPr="007D2BF4" w:rsidRDefault="000B6B88" w:rsidP="007D2BF4">
      <w:pPr>
        <w:spacing w:line="220" w:lineRule="exact"/>
        <w:ind w:firstLine="567"/>
        <w:rPr>
          <w:i/>
          <w:iCs/>
          <w:sz w:val="18"/>
          <w:szCs w:val="18"/>
        </w:rPr>
      </w:pPr>
      <w:r w:rsidRPr="007D2BF4">
        <w:rPr>
          <w:i/>
          <w:iCs/>
          <w:sz w:val="18"/>
          <w:szCs w:val="18"/>
        </w:rPr>
        <w:t>ii)</w:t>
      </w:r>
      <w:r w:rsidRPr="007D2BF4">
        <w:rPr>
          <w:i/>
          <w:iCs/>
          <w:sz w:val="18"/>
          <w:szCs w:val="18"/>
        </w:rPr>
        <w:tab/>
        <w:t>короткие замыкания; и</w:t>
      </w:r>
    </w:p>
    <w:p w14:paraId="2A5601BA" w14:textId="77777777" w:rsidR="000B6B88" w:rsidRPr="007D2BF4" w:rsidRDefault="000B6B88" w:rsidP="007D2BF4">
      <w:pPr>
        <w:spacing w:line="220" w:lineRule="exact"/>
        <w:ind w:firstLine="567"/>
        <w:rPr>
          <w:i/>
          <w:iCs/>
          <w:sz w:val="18"/>
          <w:szCs w:val="18"/>
        </w:rPr>
      </w:pPr>
      <w:r w:rsidRPr="007D2BF4">
        <w:rPr>
          <w:i/>
          <w:iCs/>
          <w:sz w:val="18"/>
          <w:szCs w:val="18"/>
        </w:rPr>
        <w:t>iii)</w:t>
      </w:r>
      <w:r w:rsidRPr="007D2BF4">
        <w:rPr>
          <w:i/>
          <w:iCs/>
          <w:sz w:val="18"/>
          <w:szCs w:val="18"/>
        </w:rPr>
        <w:tab/>
        <w:t>глубокий разряд между батареями.</w:t>
      </w:r>
    </w:p>
    <w:p w14:paraId="408D003B" w14:textId="6B7354E6" w:rsidR="000B6B88" w:rsidRPr="007D2BF4" w:rsidRDefault="000B6B88" w:rsidP="00FA676B">
      <w:pPr>
        <w:spacing w:after="120" w:line="220" w:lineRule="exact"/>
        <w:ind w:firstLine="170"/>
        <w:rPr>
          <w:sz w:val="18"/>
          <w:szCs w:val="18"/>
        </w:rPr>
      </w:pPr>
      <w:r w:rsidRPr="007D2BF4">
        <w:rPr>
          <w:b/>
          <w:bCs/>
          <w:sz w:val="18"/>
          <w:szCs w:val="18"/>
          <w:vertAlign w:val="superscript"/>
        </w:rPr>
        <w:t>d</w:t>
      </w:r>
      <w:r w:rsidRPr="007D2BF4">
        <w:rPr>
          <w:sz w:val="18"/>
          <w:szCs w:val="18"/>
        </w:rPr>
        <w:tab/>
      </w:r>
      <w:r w:rsidR="0073044F" w:rsidRPr="0073044F">
        <w:rPr>
          <w:i/>
          <w:iCs/>
          <w:sz w:val="18"/>
          <w:szCs w:val="18"/>
        </w:rPr>
        <w:t>“</w:t>
      </w:r>
      <w:r w:rsidRPr="007D2BF4">
        <w:rPr>
          <w:i/>
          <w:iCs/>
          <w:sz w:val="18"/>
          <w:szCs w:val="18"/>
        </w:rPr>
        <w:t>Всего</w:t>
      </w:r>
      <w:r w:rsidR="0073044F" w:rsidRPr="0073044F">
        <w:rPr>
          <w:i/>
          <w:iCs/>
          <w:sz w:val="18"/>
          <w:szCs w:val="18"/>
        </w:rPr>
        <w:t>”</w:t>
      </w:r>
      <w:r w:rsidRPr="007D2BF4">
        <w:rPr>
          <w:i/>
          <w:iCs/>
          <w:sz w:val="18"/>
          <w:szCs w:val="18"/>
        </w:rPr>
        <w:t xml:space="preserve"> соответствует числу требуемых испытаний, а не числу испытанных элементов или батарей».</w:t>
      </w:r>
    </w:p>
    <w:p w14:paraId="7C4EB218" w14:textId="7FAA95AC" w:rsidR="000B6B88" w:rsidRPr="00FA676B" w:rsidRDefault="00FA676B" w:rsidP="00FA676B">
      <w:pPr>
        <w:pStyle w:val="SingleTxtG"/>
        <w:tabs>
          <w:tab w:val="clear" w:pos="1701"/>
          <w:tab w:val="left" w:pos="1134"/>
        </w:tabs>
        <w:spacing w:line="236" w:lineRule="atLeast"/>
        <w:ind w:left="0" w:right="0" w:firstLine="170"/>
        <w:jc w:val="left"/>
      </w:pPr>
      <w:r>
        <w:tab/>
      </w:r>
      <w:r w:rsidR="000B6B88" w:rsidRPr="00FA676B">
        <w:t>38.3.5</w:t>
      </w:r>
      <w:r w:rsidR="000B6B88" w:rsidRPr="00FA676B">
        <w:tab/>
        <w:t>В заголовке заменить «</w:t>
      </w:r>
      <w:r w:rsidR="000B6B88" w:rsidRPr="00FA676B">
        <w:rPr>
          <w:b/>
          <w:bCs/>
        </w:rPr>
        <w:t>литиевых элементов</w:t>
      </w:r>
      <w:r w:rsidR="000B6B88" w:rsidRPr="00FA676B">
        <w:t>» на «</w:t>
      </w:r>
      <w:r w:rsidR="000B6B88" w:rsidRPr="00FA676B">
        <w:rPr>
          <w:b/>
          <w:bCs/>
        </w:rPr>
        <w:t>элементов</w:t>
      </w:r>
      <w:r w:rsidR="000B6B88" w:rsidRPr="00FA676B">
        <w:t>».</w:t>
      </w:r>
    </w:p>
    <w:p w14:paraId="72133AAD" w14:textId="268F6CCA" w:rsidR="000B6B88" w:rsidRPr="00FA676B" w:rsidRDefault="000B6B88" w:rsidP="00FA676B">
      <w:pPr>
        <w:pStyle w:val="SingleTxtG"/>
        <w:spacing w:line="236" w:lineRule="atLeast"/>
        <w:ind w:left="0" w:right="0" w:firstLine="170"/>
        <w:jc w:val="left"/>
      </w:pPr>
      <w:r w:rsidRPr="00FA676B">
        <w:tab/>
      </w:r>
      <w:r w:rsidR="00FA676B">
        <w:tab/>
      </w:r>
      <w:r w:rsidRPr="00FA676B">
        <w:t>В заголовке таблицы заменить «</w:t>
      </w:r>
      <w:r w:rsidRPr="00FA676B">
        <w:rPr>
          <w:b/>
          <w:bCs/>
        </w:rPr>
        <w:t>литиевых элементов</w:t>
      </w:r>
      <w:r w:rsidRPr="00FA676B">
        <w:t>» на «</w:t>
      </w:r>
      <w:r w:rsidRPr="00FA676B">
        <w:rPr>
          <w:b/>
          <w:bCs/>
        </w:rPr>
        <w:t>элементов</w:t>
      </w:r>
      <w:r w:rsidRPr="00FA676B">
        <w:t>».</w:t>
      </w:r>
    </w:p>
    <w:p w14:paraId="66BEF7B4" w14:textId="750E8F9D" w:rsidR="000B6B88" w:rsidRPr="00FA676B" w:rsidRDefault="000B6B88" w:rsidP="00BA0F3B">
      <w:pPr>
        <w:pStyle w:val="SingleTxtG"/>
        <w:spacing w:line="236" w:lineRule="atLeast"/>
        <w:ind w:left="2268" w:right="0" w:hanging="2098"/>
        <w:jc w:val="left"/>
      </w:pPr>
      <w:r w:rsidRPr="00FA676B">
        <w:tab/>
      </w:r>
      <w:r w:rsidR="00FA676B">
        <w:tab/>
      </w:r>
      <w:r w:rsidRPr="00FA676B">
        <w:t>В подпункте f)</w:t>
      </w:r>
      <w:r w:rsidR="00BA0F3B">
        <w:t xml:space="preserve"> </w:t>
      </w:r>
      <w:r w:rsidRPr="00FA676B">
        <w:t>i) заменить «литий-ионный или литий-металлический» на</w:t>
      </w:r>
      <w:r w:rsidR="00BA0F3B">
        <w:br/>
      </w:r>
      <w:r w:rsidRPr="00FA676B">
        <w:t>«литий-ионный, литий-металлический или натрий-ионный».</w:t>
      </w:r>
    </w:p>
    <w:p w14:paraId="4731B425" w14:textId="77777777" w:rsidR="000B6B88" w:rsidRPr="003D3D8F" w:rsidRDefault="000B6B88" w:rsidP="000B6B88">
      <w:pPr>
        <w:pStyle w:val="H1G"/>
      </w:pPr>
      <w:r>
        <w:tab/>
      </w:r>
      <w:r>
        <w:tab/>
      </w:r>
      <w:r>
        <w:rPr>
          <w:bCs/>
        </w:rPr>
        <w:t>Раздел 41</w:t>
      </w:r>
    </w:p>
    <w:p w14:paraId="58D8BDAA" w14:textId="77777777" w:rsidR="000B6B88" w:rsidRPr="003D3D8F" w:rsidRDefault="000B6B88" w:rsidP="00FA676B">
      <w:pPr>
        <w:pStyle w:val="SingleTxtG"/>
        <w:keepNext/>
        <w:keepLines/>
        <w:spacing w:line="236" w:lineRule="atLeast"/>
        <w:ind w:left="2268" w:hanging="1134"/>
      </w:pPr>
      <w:r>
        <w:t>41.3.4.4</w:t>
      </w:r>
      <w:r>
        <w:tab/>
        <w:t>Поправка, касающаяся пунктуации, к тексту на русском языке не относится. В конце пункта добавить «Соответствующие габариты переносной цистерны или МЭГК должны измеряться после каждого удара для обеспечения соответствия требованиям по габаритам, касающимся обработки, закрепления и перегрузки с одного перевозочного средства на другое».</w:t>
      </w:r>
    </w:p>
    <w:p w14:paraId="0DF114E1" w14:textId="77777777" w:rsidR="000B6B88" w:rsidRPr="003D3D8F" w:rsidRDefault="000B6B88" w:rsidP="000B6B88">
      <w:pPr>
        <w:pStyle w:val="H1G"/>
      </w:pPr>
      <w:r>
        <w:tab/>
      </w:r>
      <w:r>
        <w:tab/>
      </w:r>
      <w:r>
        <w:rPr>
          <w:bCs/>
        </w:rPr>
        <w:t>Раздел 51</w:t>
      </w:r>
    </w:p>
    <w:p w14:paraId="74BAA159" w14:textId="38B49288" w:rsidR="000B6B88" w:rsidRPr="003D3D8F" w:rsidRDefault="000B6B88" w:rsidP="00FA676B">
      <w:pPr>
        <w:pStyle w:val="SingleTxtG"/>
        <w:spacing w:line="236" w:lineRule="atLeast"/>
        <w:ind w:left="2268" w:hanging="1134"/>
      </w:pPr>
      <w:r>
        <w:t>51.1.1</w:t>
      </w:r>
      <w:r>
        <w:tab/>
      </w:r>
      <w:r>
        <w:tab/>
        <w:t>Во втором предложении перед «подразделах 16.4 и» добавить «разделах</w:t>
      </w:r>
      <w:r w:rsidR="00BA0F3B">
        <w:t> </w:t>
      </w:r>
      <w:r>
        <w:t>12 и 13 и».</w:t>
      </w:r>
    </w:p>
    <w:p w14:paraId="36CCDA94" w14:textId="242E577E" w:rsidR="000B6B88" w:rsidRPr="003D3D8F" w:rsidRDefault="000B6B88" w:rsidP="00FA676B">
      <w:pPr>
        <w:pStyle w:val="SingleTxtG"/>
        <w:spacing w:line="236" w:lineRule="atLeast"/>
        <w:ind w:left="2268" w:hanging="1134"/>
      </w:pPr>
      <w:r>
        <w:t>51.2.1</w:t>
      </w:r>
      <w:r>
        <w:tab/>
      </w:r>
      <w:r w:rsidR="00FA676B">
        <w:tab/>
      </w:r>
      <w:r>
        <w:t>Изменить следующим образом (сноску 1 исключить):</w:t>
      </w:r>
    </w:p>
    <w:p w14:paraId="6BEA345B" w14:textId="26B807DD" w:rsidR="000B6B88" w:rsidRPr="003D3D8F" w:rsidRDefault="000B6B88" w:rsidP="00FA676B">
      <w:pPr>
        <w:pStyle w:val="SingleTxtG"/>
        <w:spacing w:line="236" w:lineRule="atLeast"/>
        <w:ind w:left="2268" w:hanging="1134"/>
      </w:pPr>
      <w:r>
        <w:t>«51.2.1</w:t>
      </w:r>
      <w:r>
        <w:tab/>
        <w:t xml:space="preserve">Десенсибилизированные взрывчатые вещества </w:t>
      </w:r>
      <w:r w:rsidR="00BA0F3B">
        <w:t>—</w:t>
      </w:r>
      <w:r>
        <w:t xml:space="preserve"> это вещества и смеси, относящиеся к сфере действия главы 2.1 СГС, которые флегматизированы для подавления их взрывчатых свойств таким образом, что они соответствуют критериям, указанным в пункте 2.17.2 СГС, и поэтому могут быть исключены из вида опасности «Взрывчатые вещества» (глава 2.1 СГС)».</w:t>
      </w:r>
    </w:p>
    <w:p w14:paraId="12E78A09" w14:textId="20DF411C" w:rsidR="000B6B88" w:rsidRPr="003D3D8F" w:rsidRDefault="000B6B88" w:rsidP="00FA676B">
      <w:pPr>
        <w:pStyle w:val="SingleTxtG"/>
        <w:spacing w:line="236" w:lineRule="atLeast"/>
        <w:ind w:left="2268" w:hanging="1134"/>
      </w:pPr>
      <w:r>
        <w:t>51.2.2</w:t>
      </w:r>
      <w:r>
        <w:tab/>
      </w:r>
      <w:r w:rsidR="00FA676B">
        <w:tab/>
      </w:r>
      <w:r>
        <w:t>Изменить текст следующим образом, а номер сноски 2 на 1:</w:t>
      </w:r>
    </w:p>
    <w:p w14:paraId="57A7423A" w14:textId="77777777" w:rsidR="000B6B88" w:rsidRPr="003D3D8F" w:rsidRDefault="000B6B88" w:rsidP="00FA676B">
      <w:pPr>
        <w:pStyle w:val="SingleTxtG"/>
        <w:spacing w:line="236" w:lineRule="atLeast"/>
        <w:ind w:left="2268" w:hanging="1134"/>
      </w:pPr>
      <w:r>
        <w:t>«51.2.2</w:t>
      </w:r>
      <w:r>
        <w:tab/>
        <w:t>Десенсибилизированные взрывчатые вещества должны испытываться:</w:t>
      </w:r>
    </w:p>
    <w:p w14:paraId="46A4856F" w14:textId="77777777" w:rsidR="000B6B88" w:rsidRPr="003D3D8F" w:rsidRDefault="000B6B88" w:rsidP="00FA676B">
      <w:pPr>
        <w:pStyle w:val="SingleTxtG"/>
        <w:spacing w:line="236" w:lineRule="atLeast"/>
        <w:ind w:left="2835" w:hanging="567"/>
      </w:pPr>
      <w:r>
        <w:t>a)</w:t>
      </w:r>
      <w:r>
        <w:tab/>
        <w:t>для оценки энергии экзотермического разложения</w:t>
      </w:r>
      <w:r w:rsidRPr="00C3546E">
        <w:rPr>
          <w:b/>
          <w:bCs/>
          <w:vertAlign w:val="superscript"/>
        </w:rPr>
        <w:t>1</w:t>
      </w:r>
      <w:r>
        <w:t xml:space="preserve"> при рассмотрении на предмет исключения из класса десенсибилизированных взрывчатых веществ;</w:t>
      </w:r>
    </w:p>
    <w:p w14:paraId="309FCF6A" w14:textId="62A821AE" w:rsidR="000B6B88" w:rsidRPr="003D3D8F" w:rsidRDefault="000B6B88" w:rsidP="00FA676B">
      <w:pPr>
        <w:pStyle w:val="SingleTxtG"/>
        <w:spacing w:line="236" w:lineRule="atLeast"/>
        <w:ind w:left="2835" w:hanging="567"/>
      </w:pPr>
      <w:r>
        <w:t>b)</w:t>
      </w:r>
      <w:r>
        <w:tab/>
        <w:t xml:space="preserve">в соответствии с испытанием 1 a), сериями испытаний 2 и 3 и испытаниями 6 a) и b) соответственно настоящего Руководства и в соответствии с процедурой классификации в разделе 51.3, для </w:t>
      </w:r>
      <w:r>
        <w:lastRenderedPageBreak/>
        <w:t>недопущения взрыва массой при испытании для определения скорректированной скорости горения;</w:t>
      </w:r>
    </w:p>
    <w:p w14:paraId="7DE4D20C" w14:textId="77777777" w:rsidR="000B6B88" w:rsidRPr="003D3D8F" w:rsidRDefault="000B6B88" w:rsidP="00FA676B">
      <w:pPr>
        <w:pStyle w:val="SingleTxtG"/>
        <w:spacing w:line="236" w:lineRule="atLeast"/>
        <w:ind w:left="2835" w:hanging="567"/>
      </w:pPr>
      <w:r>
        <w:t>c)</w:t>
      </w:r>
      <w:r>
        <w:tab/>
        <w:t>в соответствии с испытанием для определения скорректированной скорости горения; и</w:t>
      </w:r>
    </w:p>
    <w:p w14:paraId="4E5B0D92" w14:textId="77777777" w:rsidR="000B6B88" w:rsidRPr="003D3D8F" w:rsidRDefault="000B6B88" w:rsidP="00FA676B">
      <w:pPr>
        <w:pStyle w:val="SingleTxtG"/>
        <w:spacing w:line="236" w:lineRule="atLeast"/>
        <w:ind w:left="2835" w:hanging="567"/>
      </w:pPr>
      <w:r>
        <w:t>d)</w:t>
      </w:r>
      <w:r>
        <w:tab/>
        <w:t>в случае использования в нитроцеллюлозных смесях нитроцеллюлоза должна испытываться в соответствии с приложением 10 к настоящему Руководству».</w:t>
      </w:r>
    </w:p>
    <w:p w14:paraId="16247395" w14:textId="2FD19BD3" w:rsidR="000B6B88" w:rsidRPr="003D3D8F" w:rsidRDefault="000B6B88" w:rsidP="00FA676B">
      <w:pPr>
        <w:pStyle w:val="SingleTxtG"/>
        <w:spacing w:line="236" w:lineRule="atLeast"/>
        <w:ind w:left="2268" w:hanging="1134"/>
      </w:pPr>
      <w:r>
        <w:t>51.3.1</w:t>
      </w:r>
      <w:r>
        <w:tab/>
      </w:r>
      <w:r w:rsidR="00FA676B">
        <w:tab/>
      </w:r>
      <w:r>
        <w:t>В первом предложении заменить «испытания типов а) и b) серии 6 в алфавитном порядке» на «испытания, указанные ниже, для исключения возможности взрыва массой». Во втором предложении заменить «Сначала вещества или смеси» на «В соответствии с испытанием 6 а), вещества или смеси сначала». Изменить третье предложение следующим образом: «Если испытание 6 a) дало положительный результат, то испытание 6 b) следует проводить с той же системой инициирования, которая дала положительный результат в ходе испытания 6 a)».</w:t>
      </w:r>
    </w:p>
    <w:p w14:paraId="0F72D0EE" w14:textId="1753C087" w:rsidR="000B6B88" w:rsidRPr="003D3D8F" w:rsidRDefault="000B6B88" w:rsidP="00FA676B">
      <w:pPr>
        <w:pStyle w:val="SingleTxtG"/>
        <w:spacing w:line="236" w:lineRule="atLeast"/>
        <w:ind w:left="2268" w:hanging="1134"/>
      </w:pPr>
      <w:r>
        <w:t>51.3.2</w:t>
      </w:r>
      <w:r>
        <w:tab/>
      </w:r>
      <w:r w:rsidR="00FA676B">
        <w:tab/>
      </w:r>
      <w:r>
        <w:t>Изменить следующим образом:</w:t>
      </w:r>
    </w:p>
    <w:p w14:paraId="42C5FDF9" w14:textId="77777777" w:rsidR="000B6B88" w:rsidRPr="003D3D8F" w:rsidRDefault="000B6B88" w:rsidP="00FA676B">
      <w:pPr>
        <w:pStyle w:val="SingleTxtG"/>
        <w:spacing w:line="236" w:lineRule="atLeast"/>
        <w:ind w:left="2268" w:hanging="1134"/>
      </w:pPr>
      <w:r>
        <w:t>«51.3.2</w:t>
      </w:r>
      <w:r>
        <w:tab/>
        <w:t>Необходимость проводить испытания всех типов существует не всегда:</w:t>
      </w:r>
    </w:p>
    <w:p w14:paraId="40AD062F" w14:textId="030DAA7A" w:rsidR="000B6B88" w:rsidRPr="003D3D8F" w:rsidRDefault="000B6B88" w:rsidP="00FA676B">
      <w:pPr>
        <w:pStyle w:val="SingleTxtG"/>
        <w:spacing w:line="236" w:lineRule="atLeast"/>
        <w:ind w:left="2835" w:hanging="567"/>
      </w:pPr>
      <w:r>
        <w:t>a)</w:t>
      </w:r>
      <w:r>
        <w:tab/>
        <w:t>испытания серии 3 можно не проводить в случае, если само взрывчатое вещество (т.</w:t>
      </w:r>
      <w:r w:rsidR="00FA676B">
        <w:t xml:space="preserve"> </w:t>
      </w:r>
      <w:r>
        <w:t>е. до флегматизации) не является слишком чувствительным или термически нестабильным в соответствии с испытаниями серии 3;</w:t>
      </w:r>
    </w:p>
    <w:p w14:paraId="48D312EA" w14:textId="77777777" w:rsidR="000B6B88" w:rsidRPr="003D3D8F" w:rsidRDefault="000B6B88" w:rsidP="00FA676B">
      <w:pPr>
        <w:pStyle w:val="SingleTxtG"/>
        <w:spacing w:line="236" w:lineRule="atLeast"/>
        <w:ind w:left="2835" w:hanging="567"/>
      </w:pPr>
      <w:r>
        <w:t>b)</w:t>
      </w:r>
      <w:r>
        <w:tab/>
        <w:t>испытания серии 3 и испытания 6 a) и b) можно не проводить в случае, если были пройдены испытания серии 2;</w:t>
      </w:r>
    </w:p>
    <w:p w14:paraId="64896CAE" w14:textId="77777777" w:rsidR="000B6B88" w:rsidRPr="003D3D8F" w:rsidRDefault="000B6B88" w:rsidP="00FA676B">
      <w:pPr>
        <w:pStyle w:val="SingleTxtG"/>
        <w:spacing w:line="236" w:lineRule="atLeast"/>
        <w:ind w:left="2835" w:hanging="567"/>
      </w:pPr>
      <w:r>
        <w:t>c)</w:t>
      </w:r>
      <w:r>
        <w:tab/>
        <w:t>испытания серии 3 не применяются к нитроцеллюлозным смесям, не содержащим никаких взрывчатых веществ, кроме нитроцеллюлозы, для которых стабильность нитроцеллюлозы была установлена в соответствии с приложением 10;</w:t>
      </w:r>
    </w:p>
    <w:p w14:paraId="071B289B" w14:textId="77777777" w:rsidR="000B6B88" w:rsidRPr="003D3D8F" w:rsidRDefault="000B6B88" w:rsidP="00FA676B">
      <w:pPr>
        <w:pStyle w:val="SingleTxtG"/>
        <w:spacing w:line="236" w:lineRule="atLeast"/>
        <w:ind w:left="2835" w:hanging="567"/>
      </w:pPr>
      <w:r>
        <w:t>d)</w:t>
      </w:r>
      <w:r>
        <w:tab/>
        <w:t>испытания 6 a) и 6 b) могут быть изменены или отменены в соответствии с разделом 51.3.3;</w:t>
      </w:r>
    </w:p>
    <w:p w14:paraId="37F16A2C" w14:textId="77777777" w:rsidR="000B6B88" w:rsidRPr="003D3D8F" w:rsidRDefault="000B6B88" w:rsidP="00FA676B">
      <w:pPr>
        <w:pStyle w:val="SingleTxtG"/>
        <w:spacing w:line="236" w:lineRule="atLeast"/>
        <w:ind w:left="2835" w:hanging="567"/>
      </w:pPr>
      <w:r>
        <w:t>e)</w:t>
      </w:r>
      <w:r>
        <w:tab/>
        <w:t>испытание типа 6 b) может быть отменено, если для каждого испытания типа 6 а):</w:t>
      </w:r>
    </w:p>
    <w:p w14:paraId="4382E5BD" w14:textId="77777777" w:rsidR="000B6B88" w:rsidRPr="003D3D8F" w:rsidRDefault="000B6B88" w:rsidP="00FA676B">
      <w:pPr>
        <w:pStyle w:val="SingleTxtG"/>
        <w:spacing w:line="236" w:lineRule="atLeast"/>
        <w:ind w:left="3402" w:hanging="567"/>
      </w:pPr>
      <w:r>
        <w:t>i)</w:t>
      </w:r>
      <w:r>
        <w:tab/>
        <w:t>наружная поверхность упаковки не имеет повреждений в результате внутренней детонации и/или воспламенения; или</w:t>
      </w:r>
    </w:p>
    <w:p w14:paraId="0FB44FA4" w14:textId="77777777" w:rsidR="000B6B88" w:rsidRPr="003D3D8F" w:rsidRDefault="000B6B88" w:rsidP="00FA676B">
      <w:pPr>
        <w:pStyle w:val="SingleTxtG"/>
        <w:spacing w:line="236" w:lineRule="atLeast"/>
        <w:ind w:left="3402" w:hanging="567"/>
      </w:pPr>
      <w:r>
        <w:t>ii)</w:t>
      </w:r>
      <w:r>
        <w:tab/>
        <w:t>содержимое упаковки не взорвалось или взрыв оказался настолько слабым, что это исключало бы распространение взрывного эффекта от одной упаковки к другой в ходе испытания типа 6 b)».</w:t>
      </w:r>
    </w:p>
    <w:p w14:paraId="1360011A" w14:textId="3E51BCF9" w:rsidR="000B6B88" w:rsidRPr="003D3D8F" w:rsidRDefault="000B6B88" w:rsidP="00FA676B">
      <w:pPr>
        <w:pStyle w:val="SingleTxtG"/>
        <w:spacing w:line="236" w:lineRule="atLeast"/>
        <w:ind w:left="2268" w:hanging="1134"/>
      </w:pPr>
      <w:r>
        <w:t>51.3.3</w:t>
      </w:r>
      <w:r>
        <w:tab/>
      </w:r>
      <w:r w:rsidR="00FA676B">
        <w:tab/>
      </w:r>
      <w:r>
        <w:t>Изменить следующим образом:</w:t>
      </w:r>
    </w:p>
    <w:p w14:paraId="6516F099" w14:textId="77777777" w:rsidR="000B6B88" w:rsidRPr="003D3D8F" w:rsidRDefault="000B6B88" w:rsidP="00FA676B">
      <w:pPr>
        <w:pStyle w:val="SingleTxtG"/>
        <w:spacing w:line="236" w:lineRule="atLeast"/>
        <w:ind w:left="2268" w:hanging="1134"/>
      </w:pPr>
      <w:r>
        <w:t>51.3.3</w:t>
      </w:r>
      <w:r>
        <w:tab/>
      </w:r>
      <w:r>
        <w:tab/>
        <w:t>В первом предложении заменить «испытания вещества или смеси типа a) серии 1» на «испытания 1 а) вещества или смеси»; остальные поправки к тексту на русском языке не относятся. Во втором предложении заменить «испытания вещества или смеси типа с) серии 2» на «испытания 2 с) вещества или смеси».</w:t>
      </w:r>
    </w:p>
    <w:p w14:paraId="3C191997" w14:textId="60CB6E34" w:rsidR="000B6B88" w:rsidRPr="003D3D8F" w:rsidRDefault="000B6B88" w:rsidP="00FA676B">
      <w:pPr>
        <w:pStyle w:val="SingleTxtG"/>
        <w:spacing w:line="236" w:lineRule="atLeast"/>
        <w:ind w:left="2268" w:hanging="1134"/>
      </w:pPr>
      <w:r>
        <w:tab/>
      </w:r>
      <w:r w:rsidR="00FA676B">
        <w:tab/>
      </w:r>
      <w:r>
        <w:t>Изменить нумерацию сноски 3 на 2 и заменить «испытание типа 1 а)» на «испытание 1 а)», а «испытание типа а) серии 6» на «испытание 6 а)».</w:t>
      </w:r>
    </w:p>
    <w:p w14:paraId="29F780EF" w14:textId="3739BD16" w:rsidR="000B6B88" w:rsidRPr="003D3D8F" w:rsidRDefault="000B6B88" w:rsidP="00FA676B">
      <w:pPr>
        <w:pStyle w:val="SingleTxtG"/>
        <w:spacing w:line="236" w:lineRule="atLeast"/>
        <w:ind w:left="2268" w:hanging="1134"/>
      </w:pPr>
      <w:r>
        <w:t>51.3.4</w:t>
      </w:r>
      <w:r>
        <w:tab/>
      </w:r>
      <w:r w:rsidR="00FA676B">
        <w:tab/>
      </w:r>
      <w:r>
        <w:t>В первом предложении заменить «испытания типа 6 b)» на</w:t>
      </w:r>
      <w:r w:rsidR="0045594C">
        <w:br/>
      </w:r>
      <w:r>
        <w:t xml:space="preserve">«испытания 6 b)». Во втором предложении заменить «подклассу 1.1» на «виду опасности </w:t>
      </w:r>
      <w:r w:rsidR="00FA676B" w:rsidRPr="00FA676B">
        <w:t>“</w:t>
      </w:r>
      <w:r>
        <w:rPr>
          <w:lang w:bidi="ar-TN"/>
        </w:rPr>
        <w:t>Взрывчатые вещества</w:t>
      </w:r>
      <w:r w:rsidR="00FA676B" w:rsidRPr="00FA676B">
        <w:t>”</w:t>
      </w:r>
      <w:r>
        <w:t xml:space="preserve"> (см. главу 2.1 СГС)».</w:t>
      </w:r>
    </w:p>
    <w:p w14:paraId="171A2AD1" w14:textId="77777777" w:rsidR="000B6B88" w:rsidRPr="003D3D8F" w:rsidRDefault="000B6B88" w:rsidP="00FA676B">
      <w:pPr>
        <w:pStyle w:val="SingleTxtG"/>
        <w:spacing w:line="236" w:lineRule="atLeast"/>
        <w:ind w:left="2268" w:hanging="1134"/>
      </w:pPr>
      <w:r>
        <w:t>51.4.4.2 b)</w:t>
      </w:r>
      <w:r>
        <w:tab/>
        <w:t>Изменить номер сноски 4 на 3.</w:t>
      </w:r>
    </w:p>
    <w:p w14:paraId="22F33508" w14:textId="44051B20" w:rsidR="00381C24" w:rsidRPr="00FA676B" w:rsidRDefault="000B6B88" w:rsidP="00FA676B">
      <w:pPr>
        <w:spacing w:before="200" w:line="238" w:lineRule="atLeast"/>
        <w:jc w:val="center"/>
        <w:rPr>
          <w:u w:val="single"/>
        </w:rPr>
      </w:pPr>
      <w:r w:rsidRPr="003D3D8F">
        <w:rPr>
          <w:u w:val="single"/>
        </w:rPr>
        <w:tab/>
      </w:r>
      <w:r w:rsidRPr="003D3D8F">
        <w:rPr>
          <w:u w:val="single"/>
        </w:rPr>
        <w:tab/>
      </w:r>
      <w:r w:rsidRPr="003D3D8F">
        <w:rPr>
          <w:u w:val="single"/>
        </w:rPr>
        <w:tab/>
      </w:r>
    </w:p>
    <w:sectPr w:rsidR="00381C24" w:rsidRPr="00FA676B" w:rsidSect="000B6B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7CD7" w14:textId="77777777" w:rsidR="008B6E51" w:rsidRPr="00A312BC" w:rsidRDefault="008B6E51" w:rsidP="00A312BC"/>
  </w:endnote>
  <w:endnote w:type="continuationSeparator" w:id="0">
    <w:p w14:paraId="7C6AEA39" w14:textId="77777777" w:rsidR="008B6E51" w:rsidRPr="00A312BC" w:rsidRDefault="008B6E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7FDD" w14:textId="789377B0" w:rsidR="000B6B88" w:rsidRPr="000B6B88" w:rsidRDefault="000B6B88">
    <w:pPr>
      <w:pStyle w:val="a8"/>
    </w:pPr>
    <w:r w:rsidRPr="000B6B88">
      <w:rPr>
        <w:b/>
        <w:sz w:val="18"/>
      </w:rPr>
      <w:fldChar w:fldCharType="begin"/>
    </w:r>
    <w:r w:rsidRPr="000B6B88">
      <w:rPr>
        <w:b/>
        <w:sz w:val="18"/>
      </w:rPr>
      <w:instrText xml:space="preserve"> PAGE  \* MERGEFORMAT </w:instrText>
    </w:r>
    <w:r w:rsidRPr="000B6B88">
      <w:rPr>
        <w:b/>
        <w:sz w:val="18"/>
      </w:rPr>
      <w:fldChar w:fldCharType="separate"/>
    </w:r>
    <w:r w:rsidRPr="000B6B88">
      <w:rPr>
        <w:b/>
        <w:noProof/>
        <w:sz w:val="18"/>
      </w:rPr>
      <w:t>2</w:t>
    </w:r>
    <w:r w:rsidRPr="000B6B88">
      <w:rPr>
        <w:b/>
        <w:sz w:val="18"/>
      </w:rPr>
      <w:fldChar w:fldCharType="end"/>
    </w:r>
    <w:r>
      <w:rPr>
        <w:b/>
        <w:sz w:val="18"/>
      </w:rPr>
      <w:tab/>
    </w:r>
    <w:r>
      <w:t>GE.23-04048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5707" w14:textId="34781352" w:rsidR="000B6B88" w:rsidRPr="000B6B88" w:rsidRDefault="000B6B88" w:rsidP="000B6B88">
    <w:pPr>
      <w:pStyle w:val="a8"/>
      <w:tabs>
        <w:tab w:val="clear" w:pos="9639"/>
        <w:tab w:val="right" w:pos="9638"/>
      </w:tabs>
      <w:rPr>
        <w:b/>
        <w:sz w:val="18"/>
      </w:rPr>
    </w:pPr>
    <w:r>
      <w:t>GE.23-04048</w:t>
    </w:r>
    <w:r>
      <w:tab/>
    </w:r>
    <w:r w:rsidRPr="000B6B88">
      <w:rPr>
        <w:b/>
        <w:sz w:val="18"/>
      </w:rPr>
      <w:fldChar w:fldCharType="begin"/>
    </w:r>
    <w:r w:rsidRPr="000B6B88">
      <w:rPr>
        <w:b/>
        <w:sz w:val="18"/>
      </w:rPr>
      <w:instrText xml:space="preserve"> PAGE  \* MERGEFORMAT </w:instrText>
    </w:r>
    <w:r w:rsidRPr="000B6B88">
      <w:rPr>
        <w:b/>
        <w:sz w:val="18"/>
      </w:rPr>
      <w:fldChar w:fldCharType="separate"/>
    </w:r>
    <w:r w:rsidRPr="000B6B88">
      <w:rPr>
        <w:b/>
        <w:noProof/>
        <w:sz w:val="18"/>
      </w:rPr>
      <w:t>3</w:t>
    </w:r>
    <w:r w:rsidRPr="000B6B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AF27" w14:textId="14B62444" w:rsidR="00042B72" w:rsidRPr="001E4316" w:rsidRDefault="000B6B88" w:rsidP="000B6B8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4F9572E" wp14:editId="48FB73B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23-04048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682D7CC" wp14:editId="4B09C3F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316">
      <w:rPr>
        <w:lang w:val="en-US"/>
      </w:rPr>
      <w:t xml:space="preserve">  040523  050523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E3DC" w14:textId="77777777" w:rsidR="008B6E51" w:rsidRPr="001075E9" w:rsidRDefault="008B6E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3F7D4E" w14:textId="77777777" w:rsidR="008B6E51" w:rsidRDefault="008B6E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BAF5" w14:textId="38DFEF44" w:rsidR="000B6B88" w:rsidRPr="000B6B88" w:rsidRDefault="000B6B88">
    <w:pPr>
      <w:pStyle w:val="a5"/>
    </w:pPr>
    <w:fldSimple w:instr=" TITLE  \* MERGEFORMAT ">
      <w:r w:rsidR="00D75292">
        <w:t>ST/SG/AC.10/50/Add.2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8F5D" w14:textId="28C9601D" w:rsidR="000B6B88" w:rsidRPr="000B6B88" w:rsidRDefault="000B6B88" w:rsidP="000B6B88">
    <w:pPr>
      <w:pStyle w:val="a5"/>
      <w:jc w:val="right"/>
    </w:pPr>
    <w:fldSimple w:instr=" TITLE  \* MERGEFORMAT ">
      <w:r w:rsidR="00D75292">
        <w:t>ST/SG/AC.10/50/Add.2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94508508">
    <w:abstractNumId w:val="16"/>
  </w:num>
  <w:num w:numId="2" w16cid:durableId="1071541048">
    <w:abstractNumId w:val="11"/>
  </w:num>
  <w:num w:numId="3" w16cid:durableId="10689602">
    <w:abstractNumId w:val="10"/>
  </w:num>
  <w:num w:numId="4" w16cid:durableId="1253078291">
    <w:abstractNumId w:val="17"/>
  </w:num>
  <w:num w:numId="5" w16cid:durableId="1119647025">
    <w:abstractNumId w:val="13"/>
  </w:num>
  <w:num w:numId="6" w16cid:durableId="183255472">
    <w:abstractNumId w:val="8"/>
  </w:num>
  <w:num w:numId="7" w16cid:durableId="526455797">
    <w:abstractNumId w:val="3"/>
  </w:num>
  <w:num w:numId="8" w16cid:durableId="2017922209">
    <w:abstractNumId w:val="2"/>
  </w:num>
  <w:num w:numId="9" w16cid:durableId="1186284310">
    <w:abstractNumId w:val="1"/>
  </w:num>
  <w:num w:numId="10" w16cid:durableId="1887839966">
    <w:abstractNumId w:val="0"/>
  </w:num>
  <w:num w:numId="11" w16cid:durableId="1081831539">
    <w:abstractNumId w:val="9"/>
  </w:num>
  <w:num w:numId="12" w16cid:durableId="244846130">
    <w:abstractNumId w:val="7"/>
  </w:num>
  <w:num w:numId="13" w16cid:durableId="1834955688">
    <w:abstractNumId w:val="6"/>
  </w:num>
  <w:num w:numId="14" w16cid:durableId="1365254681">
    <w:abstractNumId w:val="5"/>
  </w:num>
  <w:num w:numId="15" w16cid:durableId="1394159357">
    <w:abstractNumId w:val="4"/>
  </w:num>
  <w:num w:numId="16" w16cid:durableId="312948599">
    <w:abstractNumId w:val="15"/>
  </w:num>
  <w:num w:numId="17" w16cid:durableId="853225100">
    <w:abstractNumId w:val="12"/>
  </w:num>
  <w:num w:numId="18" w16cid:durableId="1367288289">
    <w:abstractNumId w:val="14"/>
  </w:num>
  <w:num w:numId="19" w16cid:durableId="614824950">
    <w:abstractNumId w:val="15"/>
  </w:num>
  <w:num w:numId="20" w16cid:durableId="1644890443">
    <w:abstractNumId w:val="12"/>
  </w:num>
  <w:num w:numId="21" w16cid:durableId="92237078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51"/>
    <w:rsid w:val="00033EE1"/>
    <w:rsid w:val="00042B72"/>
    <w:rsid w:val="000558BD"/>
    <w:rsid w:val="000B57E7"/>
    <w:rsid w:val="000B6373"/>
    <w:rsid w:val="000B6B88"/>
    <w:rsid w:val="000F09DF"/>
    <w:rsid w:val="000F27D6"/>
    <w:rsid w:val="000F61B2"/>
    <w:rsid w:val="001013D5"/>
    <w:rsid w:val="00102392"/>
    <w:rsid w:val="001075E9"/>
    <w:rsid w:val="00133FDC"/>
    <w:rsid w:val="00180183"/>
    <w:rsid w:val="0018024D"/>
    <w:rsid w:val="0018649F"/>
    <w:rsid w:val="00196389"/>
    <w:rsid w:val="001B3EF6"/>
    <w:rsid w:val="001C7A89"/>
    <w:rsid w:val="001D5AA0"/>
    <w:rsid w:val="001E4316"/>
    <w:rsid w:val="00245906"/>
    <w:rsid w:val="002A00CC"/>
    <w:rsid w:val="002A2EFC"/>
    <w:rsid w:val="002C0E18"/>
    <w:rsid w:val="002D5AAC"/>
    <w:rsid w:val="002E5067"/>
    <w:rsid w:val="002F405F"/>
    <w:rsid w:val="002F7EEC"/>
    <w:rsid w:val="00301299"/>
    <w:rsid w:val="00301455"/>
    <w:rsid w:val="00301721"/>
    <w:rsid w:val="00305C08"/>
    <w:rsid w:val="00307FB6"/>
    <w:rsid w:val="00317339"/>
    <w:rsid w:val="00322004"/>
    <w:rsid w:val="0032326A"/>
    <w:rsid w:val="003402C2"/>
    <w:rsid w:val="00381C24"/>
    <w:rsid w:val="003958D0"/>
    <w:rsid w:val="003B00E5"/>
    <w:rsid w:val="003C4CA0"/>
    <w:rsid w:val="00407B78"/>
    <w:rsid w:val="00424203"/>
    <w:rsid w:val="00452493"/>
    <w:rsid w:val="00454E07"/>
    <w:rsid w:val="0045594C"/>
    <w:rsid w:val="0047286F"/>
    <w:rsid w:val="00472C5C"/>
    <w:rsid w:val="00495BD0"/>
    <w:rsid w:val="004969B2"/>
    <w:rsid w:val="004B61AB"/>
    <w:rsid w:val="004C47CF"/>
    <w:rsid w:val="004F595F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5F3F83"/>
    <w:rsid w:val="0060424E"/>
    <w:rsid w:val="0063570E"/>
    <w:rsid w:val="00681A10"/>
    <w:rsid w:val="006A1ED8"/>
    <w:rsid w:val="006C2031"/>
    <w:rsid w:val="006D461A"/>
    <w:rsid w:val="006D4D4B"/>
    <w:rsid w:val="006F35EE"/>
    <w:rsid w:val="007021FF"/>
    <w:rsid w:val="00705139"/>
    <w:rsid w:val="00712895"/>
    <w:rsid w:val="0073044F"/>
    <w:rsid w:val="00757357"/>
    <w:rsid w:val="007D2BF4"/>
    <w:rsid w:val="00825F8D"/>
    <w:rsid w:val="00834B71"/>
    <w:rsid w:val="0086445C"/>
    <w:rsid w:val="00894693"/>
    <w:rsid w:val="00896523"/>
    <w:rsid w:val="008A08D7"/>
    <w:rsid w:val="008B6909"/>
    <w:rsid w:val="008B6E51"/>
    <w:rsid w:val="00906890"/>
    <w:rsid w:val="00911BE4"/>
    <w:rsid w:val="00951972"/>
    <w:rsid w:val="009608F3"/>
    <w:rsid w:val="009667A8"/>
    <w:rsid w:val="009810A3"/>
    <w:rsid w:val="009A24AC"/>
    <w:rsid w:val="009A4A68"/>
    <w:rsid w:val="00A14DA8"/>
    <w:rsid w:val="00A312BC"/>
    <w:rsid w:val="00A84021"/>
    <w:rsid w:val="00A84D35"/>
    <w:rsid w:val="00A917B3"/>
    <w:rsid w:val="00AB4B51"/>
    <w:rsid w:val="00AF0CD9"/>
    <w:rsid w:val="00AF3772"/>
    <w:rsid w:val="00B10CC7"/>
    <w:rsid w:val="00B136DB"/>
    <w:rsid w:val="00B539E7"/>
    <w:rsid w:val="00B62458"/>
    <w:rsid w:val="00BA0F3B"/>
    <w:rsid w:val="00BB56EE"/>
    <w:rsid w:val="00BC18B2"/>
    <w:rsid w:val="00BD33EE"/>
    <w:rsid w:val="00C106D6"/>
    <w:rsid w:val="00C1492D"/>
    <w:rsid w:val="00C60F0C"/>
    <w:rsid w:val="00C805C9"/>
    <w:rsid w:val="00C92939"/>
    <w:rsid w:val="00CA1679"/>
    <w:rsid w:val="00CB151C"/>
    <w:rsid w:val="00CE5A1A"/>
    <w:rsid w:val="00CF4E75"/>
    <w:rsid w:val="00CF55F6"/>
    <w:rsid w:val="00D33D63"/>
    <w:rsid w:val="00D5211F"/>
    <w:rsid w:val="00D630F2"/>
    <w:rsid w:val="00D75292"/>
    <w:rsid w:val="00D82C20"/>
    <w:rsid w:val="00D90028"/>
    <w:rsid w:val="00D90138"/>
    <w:rsid w:val="00DD78D1"/>
    <w:rsid w:val="00DE32CD"/>
    <w:rsid w:val="00DF71B9"/>
    <w:rsid w:val="00E73F76"/>
    <w:rsid w:val="00EA2C9F"/>
    <w:rsid w:val="00EA420E"/>
    <w:rsid w:val="00EC79AA"/>
    <w:rsid w:val="00ED0BDA"/>
    <w:rsid w:val="00EF1360"/>
    <w:rsid w:val="00EF3220"/>
    <w:rsid w:val="00F43903"/>
    <w:rsid w:val="00F94155"/>
    <w:rsid w:val="00F9783F"/>
    <w:rsid w:val="00FA676B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D8135"/>
  <w15:docId w15:val="{8E8695A1-DA84-4CD6-9D5A-CC1E4B0A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523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301721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810A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810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810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810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810A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810A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810A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810A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81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1492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301721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301721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301721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301721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301721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301721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1492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301721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301721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301721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301721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301721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301721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1492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301721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301721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301721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301721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301721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301721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301721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301721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301721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896523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301721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301721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301721"/>
  </w:style>
  <w:style w:type="character" w:customStyle="1" w:styleId="af0">
    <w:name w:val="Текст концевой сноски Знак"/>
    <w:aliases w:val="2_G Знак"/>
    <w:basedOn w:val="a0"/>
    <w:link w:val="af"/>
    <w:rsid w:val="00301721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301721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301721"/>
    <w:rPr>
      <w:color w:val="0000FF" w:themeColor="hyperlink"/>
      <w:u w:val="none"/>
    </w:rPr>
  </w:style>
  <w:style w:type="character" w:styleId="af2">
    <w:name w:val="FollowedHyperlink"/>
    <w:basedOn w:val="a0"/>
    <w:rsid w:val="00301721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0B6B88"/>
    <w:rPr>
      <w:b/>
      <w:sz w:val="28"/>
      <w:lang w:val="ru-RU" w:eastAsia="ru-RU"/>
    </w:rPr>
  </w:style>
  <w:style w:type="character" w:customStyle="1" w:styleId="H23GChar">
    <w:name w:val="_ H_2/3_G Char"/>
    <w:link w:val="H23G"/>
    <w:rsid w:val="000B6B88"/>
    <w:rPr>
      <w:b/>
      <w:lang w:val="ru-RU" w:eastAsia="ru-RU"/>
    </w:rPr>
  </w:style>
  <w:style w:type="character" w:customStyle="1" w:styleId="H1GChar">
    <w:name w:val="_ H_1_G Char"/>
    <w:link w:val="H1G"/>
    <w:qFormat/>
    <w:rsid w:val="000B6B8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0B6B8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41A50-BF4F-4219-AD08-702B22C7208F}"/>
</file>

<file path=customXml/itemProps2.xml><?xml version="1.0" encoding="utf-8"?>
<ds:datastoreItem xmlns:ds="http://schemas.openxmlformats.org/officeDocument/2006/customXml" ds:itemID="{4D586B05-FABC-4875-A8C9-2D5B67138757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1</TotalTime>
  <Pages>8</Pages>
  <Words>2304</Words>
  <Characters>15495</Characters>
  <Application>Microsoft Office Word</Application>
  <DocSecurity>0</DocSecurity>
  <Lines>2582</Lines>
  <Paragraphs>889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ST/SG/AC.10/50/Add.2</vt:lpstr>
      <vt:lpstr>A/</vt:lpstr>
      <vt:lpstr>A/</vt:lpstr>
    </vt:vector>
  </TitlesOfParts>
  <Company>DCM</Company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ST/SG/AC.10/50/Add.2</dc:title>
  <dc:subject/>
  <dc:creator>Uliana ANTIPOVA</dc:creator>
  <cp:keywords/>
  <cp:lastModifiedBy>Uliana Antipova</cp:lastModifiedBy>
  <cp:revision>3</cp:revision>
  <cp:lastPrinted>2023-05-05T07:31:00Z</cp:lastPrinted>
  <dcterms:created xsi:type="dcterms:W3CDTF">2023-05-05T07:31:00Z</dcterms:created>
  <dcterms:modified xsi:type="dcterms:W3CDTF">2023-05-05T07:32:00Z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