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C34F83" w14:textId="77777777" w:rsidTr="00C97039">
        <w:trPr>
          <w:trHeight w:hRule="exact" w:val="851"/>
        </w:trPr>
        <w:tc>
          <w:tcPr>
            <w:tcW w:w="1276" w:type="dxa"/>
            <w:tcBorders>
              <w:bottom w:val="single" w:sz="4" w:space="0" w:color="auto"/>
            </w:tcBorders>
          </w:tcPr>
          <w:p w14:paraId="790959D1" w14:textId="77777777" w:rsidR="00F35BAF" w:rsidRPr="00DB58B5" w:rsidRDefault="00F35BAF" w:rsidP="009E1830"/>
        </w:tc>
        <w:tc>
          <w:tcPr>
            <w:tcW w:w="2268" w:type="dxa"/>
            <w:tcBorders>
              <w:bottom w:val="single" w:sz="4" w:space="0" w:color="auto"/>
            </w:tcBorders>
            <w:vAlign w:val="bottom"/>
          </w:tcPr>
          <w:p w14:paraId="76C7AC1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5212633" w14:textId="1D26A6E8" w:rsidR="00F35BAF" w:rsidRPr="00DB58B5" w:rsidRDefault="009E1830" w:rsidP="009E1830">
            <w:pPr>
              <w:jc w:val="right"/>
            </w:pPr>
            <w:r w:rsidRPr="009E1830">
              <w:rPr>
                <w:sz w:val="40"/>
              </w:rPr>
              <w:t>ECE</w:t>
            </w:r>
            <w:r>
              <w:t>/TRANS/WP.15/AC.1/2023/48</w:t>
            </w:r>
          </w:p>
        </w:tc>
      </w:tr>
      <w:tr w:rsidR="00F35BAF" w:rsidRPr="00DB58B5" w14:paraId="27A2CEF1" w14:textId="77777777" w:rsidTr="00C97039">
        <w:trPr>
          <w:trHeight w:hRule="exact" w:val="2835"/>
        </w:trPr>
        <w:tc>
          <w:tcPr>
            <w:tcW w:w="1276" w:type="dxa"/>
            <w:tcBorders>
              <w:top w:val="single" w:sz="4" w:space="0" w:color="auto"/>
              <w:bottom w:val="single" w:sz="12" w:space="0" w:color="auto"/>
            </w:tcBorders>
          </w:tcPr>
          <w:p w14:paraId="36CE3E64" w14:textId="77777777" w:rsidR="00F35BAF" w:rsidRPr="00DB58B5" w:rsidRDefault="00F35BAF" w:rsidP="00C97039">
            <w:pPr>
              <w:spacing w:before="120"/>
              <w:jc w:val="center"/>
            </w:pPr>
            <w:r>
              <w:rPr>
                <w:noProof/>
                <w:lang w:eastAsia="fr-CH"/>
              </w:rPr>
              <w:drawing>
                <wp:inline distT="0" distB="0" distL="0" distR="0" wp14:anchorId="4238CF0D" wp14:editId="186BFA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3C481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B2B3C9" w14:textId="77777777" w:rsidR="00F35BAF" w:rsidRDefault="009E1830" w:rsidP="00C97039">
            <w:pPr>
              <w:spacing w:before="240"/>
            </w:pPr>
            <w:r>
              <w:t>Distr. générale</w:t>
            </w:r>
          </w:p>
          <w:p w14:paraId="694B993E" w14:textId="2FD857E8" w:rsidR="009E1830" w:rsidRDefault="009E1830" w:rsidP="009E1830">
            <w:pPr>
              <w:spacing w:line="240" w:lineRule="exact"/>
            </w:pPr>
            <w:r>
              <w:t>10 juillet 2023</w:t>
            </w:r>
          </w:p>
          <w:p w14:paraId="7A660223" w14:textId="77777777" w:rsidR="009E1830" w:rsidRDefault="009E1830" w:rsidP="009E1830">
            <w:pPr>
              <w:spacing w:line="240" w:lineRule="exact"/>
            </w:pPr>
            <w:r>
              <w:t>Français</w:t>
            </w:r>
          </w:p>
          <w:p w14:paraId="20A651F4" w14:textId="3B62948B" w:rsidR="009E1830" w:rsidRPr="00DB58B5" w:rsidRDefault="009E1830" w:rsidP="009E1830">
            <w:pPr>
              <w:spacing w:line="240" w:lineRule="exact"/>
            </w:pPr>
            <w:r>
              <w:t>Original : anglais</w:t>
            </w:r>
          </w:p>
        </w:tc>
      </w:tr>
    </w:tbl>
    <w:p w14:paraId="2BE9AA1A" w14:textId="77777777" w:rsidR="007F20FA" w:rsidRPr="000312C0" w:rsidRDefault="007F20FA" w:rsidP="007F20FA">
      <w:pPr>
        <w:spacing w:before="120"/>
        <w:rPr>
          <w:b/>
          <w:sz w:val="28"/>
          <w:szCs w:val="28"/>
        </w:rPr>
      </w:pPr>
      <w:r w:rsidRPr="000312C0">
        <w:rPr>
          <w:b/>
          <w:sz w:val="28"/>
          <w:szCs w:val="28"/>
        </w:rPr>
        <w:t>Commission économique pour l’Europe</w:t>
      </w:r>
    </w:p>
    <w:p w14:paraId="3E2F63EA" w14:textId="77777777" w:rsidR="007F20FA" w:rsidRDefault="007F20FA" w:rsidP="007F20FA">
      <w:pPr>
        <w:spacing w:before="120"/>
        <w:rPr>
          <w:sz w:val="28"/>
          <w:szCs w:val="28"/>
        </w:rPr>
      </w:pPr>
      <w:r w:rsidRPr="00685843">
        <w:rPr>
          <w:sz w:val="28"/>
          <w:szCs w:val="28"/>
        </w:rPr>
        <w:t>Comité des transports intérieurs</w:t>
      </w:r>
    </w:p>
    <w:p w14:paraId="7D65AA5C" w14:textId="77777777" w:rsidR="009E1830" w:rsidRPr="009E01B8" w:rsidRDefault="009E1830"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14:paraId="40457D03" w14:textId="34C2D66B" w:rsidR="009E1830" w:rsidRPr="004812F5" w:rsidRDefault="009E1830" w:rsidP="00AF0CB5">
      <w:pPr>
        <w:spacing w:before="120"/>
        <w:rPr>
          <w:b/>
        </w:rPr>
      </w:pPr>
      <w:r w:rsidRPr="004812F5">
        <w:rPr>
          <w:b/>
          <w:lang w:val="fr-FR"/>
        </w:rPr>
        <w:t xml:space="preserve">Réunion commune </w:t>
      </w:r>
      <w:r w:rsidRPr="00120732">
        <w:rPr>
          <w:b/>
          <w:bCs/>
          <w:lang w:val="fr-FR"/>
        </w:rPr>
        <w:t>de la Commission d</w:t>
      </w:r>
      <w:r>
        <w:rPr>
          <w:b/>
          <w:bCs/>
          <w:lang w:val="fr-FR"/>
        </w:rPr>
        <w:t>’</w:t>
      </w:r>
      <w:r w:rsidRPr="00120732">
        <w:rPr>
          <w:b/>
          <w:bCs/>
          <w:lang w:val="fr-FR"/>
        </w:rPr>
        <w:t xml:space="preserve">experts du RID et du Groupe </w:t>
      </w:r>
      <w:r w:rsidR="00AF3081">
        <w:rPr>
          <w:b/>
          <w:bCs/>
          <w:lang w:val="fr-FR"/>
        </w:rPr>
        <w:br/>
      </w:r>
      <w:r w:rsidRPr="00120732">
        <w:rPr>
          <w:b/>
          <w:bCs/>
          <w:lang w:val="fr-FR"/>
        </w:rPr>
        <w:t>de travail des transports de marchandises dangereuses</w:t>
      </w:r>
    </w:p>
    <w:p w14:paraId="7141A4D1" w14:textId="1FA35DB8" w:rsidR="009E1830" w:rsidRDefault="009E1830" w:rsidP="00AF0CB5">
      <w:r>
        <w:t>Genève, 19-29 septembre 2023</w:t>
      </w:r>
    </w:p>
    <w:p w14:paraId="7E5CDE2F" w14:textId="16603616" w:rsidR="009E1830" w:rsidRDefault="009E1830" w:rsidP="00AF0CB5">
      <w:r w:rsidRPr="00B93E72">
        <w:t>Point</w:t>
      </w:r>
      <w:r>
        <w:t> 5 a)</w:t>
      </w:r>
      <w:r w:rsidRPr="00B93E72">
        <w:t xml:space="preserve"> de l’ordre du jour provisoire</w:t>
      </w:r>
    </w:p>
    <w:p w14:paraId="5FB8299F" w14:textId="1DB1CAFB" w:rsidR="009E1830" w:rsidRPr="00120732" w:rsidRDefault="009E1830" w:rsidP="009E1830">
      <w:pPr>
        <w:rPr>
          <w:b/>
          <w:bCs/>
          <w:lang w:val="fr-FR"/>
        </w:rPr>
      </w:pPr>
      <w:r w:rsidRPr="00120732">
        <w:rPr>
          <w:b/>
          <w:bCs/>
          <w:lang w:val="fr-FR"/>
        </w:rPr>
        <w:t>Propositions d</w:t>
      </w:r>
      <w:r>
        <w:rPr>
          <w:b/>
          <w:bCs/>
          <w:lang w:val="fr-FR"/>
        </w:rPr>
        <w:t>’</w:t>
      </w:r>
      <w:r w:rsidRPr="00120732">
        <w:rPr>
          <w:b/>
          <w:bCs/>
          <w:lang w:val="fr-FR"/>
        </w:rPr>
        <w:t>amendements au RID, à l</w:t>
      </w:r>
      <w:r>
        <w:rPr>
          <w:b/>
          <w:bCs/>
          <w:lang w:val="fr-FR"/>
        </w:rPr>
        <w:t>’</w:t>
      </w:r>
      <w:r w:rsidRPr="00120732">
        <w:rPr>
          <w:b/>
          <w:bCs/>
          <w:lang w:val="fr-FR"/>
        </w:rPr>
        <w:t>ADR et à l</w:t>
      </w:r>
      <w:r>
        <w:rPr>
          <w:b/>
          <w:bCs/>
          <w:lang w:val="fr-FR"/>
        </w:rPr>
        <w:t>’</w:t>
      </w:r>
      <w:r w:rsidRPr="00120732">
        <w:rPr>
          <w:b/>
          <w:bCs/>
          <w:lang w:val="fr-FR"/>
        </w:rPr>
        <w:t>ADN</w:t>
      </w:r>
      <w:r>
        <w:rPr>
          <w:b/>
          <w:bCs/>
          <w:lang w:val="fr-FR"/>
        </w:rPr>
        <w:t> </w:t>
      </w:r>
      <w:r w:rsidRPr="00120732">
        <w:rPr>
          <w:b/>
          <w:bCs/>
          <w:lang w:val="fr-FR"/>
        </w:rPr>
        <w:t xml:space="preserve">: </w:t>
      </w:r>
      <w:r>
        <w:rPr>
          <w:b/>
          <w:bCs/>
          <w:lang w:val="fr-FR"/>
        </w:rPr>
        <w:br/>
      </w:r>
      <w:r w:rsidRPr="00120732">
        <w:rPr>
          <w:b/>
          <w:bCs/>
          <w:lang w:val="fr-FR"/>
        </w:rPr>
        <w:t>questions en suspens</w:t>
      </w:r>
    </w:p>
    <w:p w14:paraId="3721AD6D" w14:textId="77777777" w:rsidR="009E1830" w:rsidRPr="00120732" w:rsidRDefault="009E1830" w:rsidP="009E1830">
      <w:pPr>
        <w:pStyle w:val="HChG"/>
        <w:rPr>
          <w:lang w:val="fr-FR"/>
        </w:rPr>
      </w:pPr>
      <w:r w:rsidRPr="00120732">
        <w:rPr>
          <w:lang w:val="fr-FR"/>
        </w:rPr>
        <w:tab/>
      </w:r>
      <w:r w:rsidRPr="00120732">
        <w:rPr>
          <w:lang w:val="fr-FR"/>
        </w:rPr>
        <w:tab/>
      </w:r>
      <w:r w:rsidRPr="00120732">
        <w:rPr>
          <w:bCs/>
          <w:lang w:val="fr-FR"/>
        </w:rPr>
        <w:t>Informations relatives à la quantité transportée figurant dans le document de transport conformément au 5.4.1.1.3.2</w:t>
      </w:r>
    </w:p>
    <w:p w14:paraId="1294A36F" w14:textId="6F688E8F" w:rsidR="00F9573C" w:rsidRDefault="009E1830" w:rsidP="00AF3081">
      <w:pPr>
        <w:pStyle w:val="H1G"/>
        <w:rPr>
          <w:lang w:val="fr-FR"/>
        </w:rPr>
      </w:pPr>
      <w:r w:rsidRPr="00120732">
        <w:rPr>
          <w:lang w:val="fr-FR"/>
        </w:rPr>
        <w:tab/>
      </w:r>
      <w:r w:rsidRPr="00120732">
        <w:rPr>
          <w:lang w:val="fr-FR"/>
        </w:rPr>
        <w:tab/>
        <w:t>Communication du Gouvernement irlandais</w:t>
      </w:r>
      <w:r w:rsidR="00AF3081" w:rsidRPr="00AF3081">
        <w:rPr>
          <w:rStyle w:val="Appelnotedebasdep"/>
          <w:b w:val="0"/>
          <w:bCs/>
          <w:sz w:val="20"/>
          <w:vertAlign w:val="baseline"/>
        </w:rPr>
        <w:footnoteReference w:customMarkFollows="1" w:id="2"/>
        <w:t>*</w:t>
      </w:r>
      <w:r w:rsidR="00AF3081" w:rsidRPr="00AF3081">
        <w:rPr>
          <w:rStyle w:val="Appelnotedebasdep"/>
          <w:b w:val="0"/>
          <w:bCs/>
          <w:sz w:val="20"/>
        </w:rPr>
        <w:t>,</w:t>
      </w:r>
      <w:r w:rsidR="00AF3081" w:rsidRPr="00AF3081">
        <w:rPr>
          <w:b w:val="0"/>
          <w:bCs/>
          <w:sz w:val="20"/>
          <w:vertAlign w:val="superscript"/>
        </w:rPr>
        <w:t xml:space="preserve"> </w:t>
      </w:r>
      <w:r w:rsidR="00AF3081" w:rsidRPr="00AF3081">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AF3081" w14:paraId="56BF94A9" w14:textId="77777777" w:rsidTr="00AF3081">
        <w:trPr>
          <w:jc w:val="center"/>
        </w:trPr>
        <w:tc>
          <w:tcPr>
            <w:tcW w:w="9628" w:type="dxa"/>
            <w:shd w:val="clear" w:color="auto" w:fill="auto"/>
          </w:tcPr>
          <w:p w14:paraId="15F0ECF8" w14:textId="77777777" w:rsidR="00AF3081" w:rsidRDefault="00AF3081">
            <w:pPr>
              <w:spacing w:before="240" w:after="120"/>
              <w:ind w:left="255"/>
              <w:rPr>
                <w:i/>
                <w:sz w:val="24"/>
              </w:rPr>
            </w:pPr>
            <w:r>
              <w:rPr>
                <w:i/>
                <w:sz w:val="24"/>
              </w:rPr>
              <w:t>Résumé</w:t>
            </w:r>
          </w:p>
        </w:tc>
      </w:tr>
      <w:tr w:rsidR="00AF3081" w14:paraId="1D8ED2B5" w14:textId="77777777" w:rsidTr="00AF3081">
        <w:trPr>
          <w:jc w:val="center"/>
        </w:trPr>
        <w:tc>
          <w:tcPr>
            <w:tcW w:w="9628" w:type="dxa"/>
            <w:shd w:val="clear" w:color="auto" w:fill="auto"/>
          </w:tcPr>
          <w:p w14:paraId="0EB7002F" w14:textId="67EC3CED" w:rsidR="00AF3081" w:rsidRDefault="00AF3081" w:rsidP="00AF3081">
            <w:pPr>
              <w:pStyle w:val="SingleTxtG"/>
              <w:ind w:left="3402" w:hanging="2268"/>
            </w:pPr>
            <w:r w:rsidRPr="00120732">
              <w:rPr>
                <w:b/>
                <w:bCs/>
                <w:lang w:val="fr-FR"/>
              </w:rPr>
              <w:t>Résumé analytique</w:t>
            </w:r>
            <w:r w:rsidRPr="00AF3081">
              <w:rPr>
                <w:lang w:val="fr-FR"/>
              </w:rPr>
              <w:t> </w:t>
            </w:r>
            <w:r w:rsidRPr="00AF3081">
              <w:rPr>
                <w:lang w:val="fr-FR"/>
              </w:rPr>
              <w:t>:</w:t>
            </w:r>
            <w:r w:rsidRPr="00120732">
              <w:rPr>
                <w:lang w:val="fr-FR"/>
              </w:rPr>
              <w:tab/>
              <w:t>Proposition de modification du 5.4.1.1.3.2 visant à permettre l</w:t>
            </w:r>
            <w:r>
              <w:rPr>
                <w:lang w:val="fr-FR"/>
              </w:rPr>
              <w:t>’</w:t>
            </w:r>
            <w:r w:rsidRPr="00120732">
              <w:rPr>
                <w:lang w:val="fr-FR"/>
              </w:rPr>
              <w:t>estimation de la quantité de déchets médicaux et de déchets d</w:t>
            </w:r>
            <w:r>
              <w:rPr>
                <w:lang w:val="fr-FR"/>
              </w:rPr>
              <w:t>’</w:t>
            </w:r>
            <w:r w:rsidRPr="00120732">
              <w:rPr>
                <w:lang w:val="fr-FR"/>
              </w:rPr>
              <w:t>hôpital (No</w:t>
            </w:r>
            <w:r>
              <w:rPr>
                <w:lang w:val="fr-FR"/>
              </w:rPr>
              <w:t> </w:t>
            </w:r>
            <w:r w:rsidRPr="00120732">
              <w:rPr>
                <w:lang w:val="fr-FR"/>
              </w:rPr>
              <w:t>ONU</w:t>
            </w:r>
            <w:r>
              <w:rPr>
                <w:lang w:val="fr-FR"/>
              </w:rPr>
              <w:t> </w:t>
            </w:r>
            <w:r w:rsidRPr="00120732">
              <w:rPr>
                <w:lang w:val="fr-FR"/>
              </w:rPr>
              <w:t>3291) déjà emballés conformément à l</w:t>
            </w:r>
            <w:r>
              <w:rPr>
                <w:lang w:val="fr-FR"/>
              </w:rPr>
              <w:t>’</w:t>
            </w:r>
            <w:r w:rsidRPr="00120732">
              <w:rPr>
                <w:lang w:val="fr-FR"/>
              </w:rPr>
              <w:t>instruction d</w:t>
            </w:r>
            <w:r>
              <w:rPr>
                <w:lang w:val="fr-FR"/>
              </w:rPr>
              <w:t>’</w:t>
            </w:r>
            <w:r w:rsidRPr="00120732">
              <w:rPr>
                <w:lang w:val="fr-FR"/>
              </w:rPr>
              <w:t>emballage P621.</w:t>
            </w:r>
          </w:p>
        </w:tc>
      </w:tr>
      <w:tr w:rsidR="00AF3081" w14:paraId="33C89EEF" w14:textId="77777777" w:rsidTr="00AF3081">
        <w:trPr>
          <w:jc w:val="center"/>
        </w:trPr>
        <w:tc>
          <w:tcPr>
            <w:tcW w:w="9628" w:type="dxa"/>
            <w:shd w:val="clear" w:color="auto" w:fill="auto"/>
          </w:tcPr>
          <w:p w14:paraId="57F02BAE" w14:textId="76B5123B" w:rsidR="00AF3081" w:rsidRDefault="00AF3081" w:rsidP="00AF3081">
            <w:pPr>
              <w:pStyle w:val="SingleTxtG"/>
              <w:ind w:left="3402" w:hanging="2268"/>
            </w:pPr>
            <w:r w:rsidRPr="00120732">
              <w:rPr>
                <w:b/>
                <w:bCs/>
                <w:lang w:val="fr-FR"/>
              </w:rPr>
              <w:t>Mesure à prendre</w:t>
            </w:r>
            <w:r w:rsidRPr="00AF3081">
              <w:rPr>
                <w:lang w:val="fr-FR"/>
              </w:rPr>
              <w:t> :</w:t>
            </w:r>
            <w:r w:rsidRPr="00120732">
              <w:rPr>
                <w:lang w:val="fr-FR"/>
              </w:rPr>
              <w:tab/>
            </w:r>
            <w:r w:rsidRPr="00120732">
              <w:rPr>
                <w:lang w:val="fr-FR"/>
              </w:rPr>
              <w:tab/>
              <w:t>Modification du 5.4.1.1.3.2.</w:t>
            </w:r>
          </w:p>
        </w:tc>
      </w:tr>
      <w:tr w:rsidR="00AF3081" w14:paraId="4DDEC36B" w14:textId="77777777" w:rsidTr="00AF3081">
        <w:trPr>
          <w:jc w:val="center"/>
        </w:trPr>
        <w:tc>
          <w:tcPr>
            <w:tcW w:w="9628" w:type="dxa"/>
            <w:shd w:val="clear" w:color="auto" w:fill="auto"/>
          </w:tcPr>
          <w:p w14:paraId="7D15F180" w14:textId="512CB333" w:rsidR="00AF3081" w:rsidRDefault="00AF3081" w:rsidP="001E3E7E">
            <w:pPr>
              <w:pStyle w:val="SingleTxtG"/>
              <w:ind w:left="3402" w:hanging="2268"/>
              <w:jc w:val="left"/>
            </w:pPr>
            <w:r w:rsidRPr="00120732">
              <w:rPr>
                <w:b/>
                <w:bCs/>
                <w:lang w:val="fr-FR"/>
              </w:rPr>
              <w:t>Documents connexes</w:t>
            </w:r>
            <w:r w:rsidRPr="00AF3081">
              <w:rPr>
                <w:lang w:val="fr-FR"/>
              </w:rPr>
              <w:t> :</w:t>
            </w:r>
            <w:r w:rsidRPr="00120732">
              <w:rPr>
                <w:lang w:val="fr-FR"/>
              </w:rPr>
              <w:tab/>
              <w:t>Document informel INF.30 de la session de printemps de la Réunion commune, tenue du 20 au 24</w:t>
            </w:r>
            <w:r>
              <w:rPr>
                <w:lang w:val="fr-FR"/>
              </w:rPr>
              <w:t> </w:t>
            </w:r>
            <w:r w:rsidRPr="00120732">
              <w:rPr>
                <w:lang w:val="fr-FR"/>
              </w:rPr>
              <w:t>mars 202</w:t>
            </w:r>
            <w:r w:rsidR="001E3E7E">
              <w:rPr>
                <w:lang w:val="fr-FR"/>
              </w:rPr>
              <w:t xml:space="preserve"> ; </w:t>
            </w:r>
            <w:r w:rsidR="001E3E7E">
              <w:rPr>
                <w:lang w:val="fr-FR"/>
              </w:rPr>
              <w:br/>
            </w:r>
            <w:r w:rsidR="001E3E7E" w:rsidRPr="00120732">
              <w:rPr>
                <w:lang w:val="fr-FR"/>
              </w:rPr>
              <w:t>Rapport publié sous la cote ECE/TRANS/WP.15/AC.1/168, par.</w:t>
            </w:r>
            <w:r w:rsidR="001E3E7E">
              <w:rPr>
                <w:lang w:val="fr-FR"/>
              </w:rPr>
              <w:t> </w:t>
            </w:r>
            <w:r w:rsidR="001E3E7E" w:rsidRPr="00120732">
              <w:rPr>
                <w:lang w:val="fr-FR"/>
              </w:rPr>
              <w:t>45.</w:t>
            </w:r>
          </w:p>
        </w:tc>
      </w:tr>
      <w:tr w:rsidR="00AF3081" w14:paraId="39C6872C" w14:textId="77777777" w:rsidTr="00AF3081">
        <w:trPr>
          <w:jc w:val="center"/>
        </w:trPr>
        <w:tc>
          <w:tcPr>
            <w:tcW w:w="9628" w:type="dxa"/>
            <w:shd w:val="clear" w:color="auto" w:fill="auto"/>
          </w:tcPr>
          <w:p w14:paraId="0B36361C" w14:textId="77777777" w:rsidR="00AF3081" w:rsidRDefault="00AF3081"/>
        </w:tc>
      </w:tr>
    </w:tbl>
    <w:p w14:paraId="395F89B2" w14:textId="77777777" w:rsidR="00AF3081" w:rsidRPr="00120732" w:rsidRDefault="00AF3081" w:rsidP="00AF3081">
      <w:pPr>
        <w:pStyle w:val="HChG"/>
        <w:rPr>
          <w:bCs/>
          <w:lang w:val="fr-FR"/>
        </w:rPr>
      </w:pPr>
      <w:r w:rsidRPr="00120732">
        <w:rPr>
          <w:lang w:val="fr-FR"/>
        </w:rPr>
        <w:tab/>
      </w:r>
      <w:r w:rsidRPr="00120732">
        <w:rPr>
          <w:lang w:val="fr-FR"/>
        </w:rPr>
        <w:tab/>
      </w:r>
      <w:r w:rsidRPr="00120732">
        <w:rPr>
          <w:bCs/>
          <w:lang w:val="fr-FR"/>
        </w:rPr>
        <w:t>Introduction</w:t>
      </w:r>
    </w:p>
    <w:p w14:paraId="21323939" w14:textId="77777777" w:rsidR="00AF3081" w:rsidRPr="00DF49D1" w:rsidRDefault="00AF3081" w:rsidP="00AF3081">
      <w:pPr>
        <w:spacing w:after="120"/>
        <w:ind w:left="1134" w:right="1134"/>
        <w:jc w:val="both"/>
        <w:rPr>
          <w:lang w:val="fr-FR"/>
        </w:rPr>
      </w:pPr>
      <w:r w:rsidRPr="00DF49D1">
        <w:rPr>
          <w:lang w:val="fr-FR"/>
        </w:rPr>
        <w:t>1.</w:t>
      </w:r>
      <w:r w:rsidRPr="00DF49D1">
        <w:rPr>
          <w:lang w:val="fr-FR"/>
        </w:rPr>
        <w:tab/>
        <w:t>L</w:t>
      </w:r>
      <w:r>
        <w:rPr>
          <w:lang w:val="fr-FR"/>
        </w:rPr>
        <w:t>’</w:t>
      </w:r>
      <w:r w:rsidRPr="00DF49D1">
        <w:rPr>
          <w:lang w:val="fr-FR"/>
        </w:rPr>
        <w:t>Irlande s</w:t>
      </w:r>
      <w:r>
        <w:rPr>
          <w:lang w:val="fr-FR"/>
        </w:rPr>
        <w:t>’</w:t>
      </w:r>
      <w:r w:rsidRPr="00DF49D1">
        <w:rPr>
          <w:lang w:val="fr-FR"/>
        </w:rPr>
        <w:t>est félicitée de l</w:t>
      </w:r>
      <w:r>
        <w:rPr>
          <w:lang w:val="fr-FR"/>
        </w:rPr>
        <w:t>’</w:t>
      </w:r>
      <w:r w:rsidRPr="00DF49D1">
        <w:rPr>
          <w:lang w:val="fr-FR"/>
        </w:rPr>
        <w:t>introduction du nouveau 5.4.1.1.3.2 lorsqu</w:t>
      </w:r>
      <w:r>
        <w:rPr>
          <w:lang w:val="fr-FR"/>
        </w:rPr>
        <w:t>’</w:t>
      </w:r>
      <w:r w:rsidRPr="00DF49D1">
        <w:rPr>
          <w:lang w:val="fr-FR"/>
        </w:rPr>
        <w:t xml:space="preserve">il a été </w:t>
      </w:r>
      <w:r w:rsidRPr="00120732">
        <w:rPr>
          <w:lang w:val="fr-FR"/>
        </w:rPr>
        <w:t>intégr</w:t>
      </w:r>
      <w:r w:rsidRPr="00DF49D1">
        <w:rPr>
          <w:lang w:val="fr-FR"/>
        </w:rPr>
        <w:t>é dans l</w:t>
      </w:r>
      <w:r>
        <w:rPr>
          <w:lang w:val="fr-FR"/>
        </w:rPr>
        <w:t>’</w:t>
      </w:r>
      <w:r w:rsidRPr="00DF49D1">
        <w:rPr>
          <w:lang w:val="fr-FR"/>
        </w:rPr>
        <w:t>édition 2023 du RID, de l</w:t>
      </w:r>
      <w:r>
        <w:rPr>
          <w:lang w:val="fr-FR"/>
        </w:rPr>
        <w:t>’</w:t>
      </w:r>
      <w:r w:rsidRPr="00DF49D1">
        <w:rPr>
          <w:lang w:val="fr-FR"/>
        </w:rPr>
        <w:t>ADR et de l</w:t>
      </w:r>
      <w:r>
        <w:rPr>
          <w:lang w:val="fr-FR"/>
        </w:rPr>
        <w:t>’</w:t>
      </w:r>
      <w:r w:rsidRPr="00DF49D1">
        <w:rPr>
          <w:lang w:val="fr-FR"/>
        </w:rPr>
        <w:t>ADN. Toutefois, depuis, il est apparu qu</w:t>
      </w:r>
      <w:r>
        <w:rPr>
          <w:lang w:val="fr-FR"/>
        </w:rPr>
        <w:t>’</w:t>
      </w:r>
      <w:r w:rsidRPr="00DF49D1">
        <w:rPr>
          <w:lang w:val="fr-FR"/>
        </w:rPr>
        <w:t>une activité particulière dans le domaine de la gestion des déchets n</w:t>
      </w:r>
      <w:r>
        <w:rPr>
          <w:lang w:val="fr-FR"/>
        </w:rPr>
        <w:t>’</w:t>
      </w:r>
      <w:r w:rsidRPr="00DF49D1">
        <w:rPr>
          <w:lang w:val="fr-FR"/>
        </w:rPr>
        <w:t>est pas autorisée par les dispositions actuelle</w:t>
      </w:r>
      <w:r>
        <w:rPr>
          <w:lang w:val="fr-FR"/>
        </w:rPr>
        <w:t>s</w:t>
      </w:r>
      <w:r w:rsidRPr="00DF49D1">
        <w:rPr>
          <w:lang w:val="fr-FR"/>
        </w:rPr>
        <w:t>.</w:t>
      </w:r>
    </w:p>
    <w:p w14:paraId="1ECA0518" w14:textId="65EB5718" w:rsidR="00AF3081" w:rsidRPr="00DF49D1" w:rsidRDefault="00AF3081" w:rsidP="001E3E7E">
      <w:pPr>
        <w:keepNext/>
        <w:keepLines/>
        <w:spacing w:after="120"/>
        <w:ind w:left="1134" w:right="1134"/>
        <w:jc w:val="both"/>
        <w:rPr>
          <w:lang w:val="fr-FR"/>
        </w:rPr>
      </w:pPr>
      <w:r w:rsidRPr="00DF49D1">
        <w:rPr>
          <w:lang w:val="fr-FR"/>
        </w:rPr>
        <w:lastRenderedPageBreak/>
        <w:t>2.</w:t>
      </w:r>
      <w:r w:rsidRPr="00DF49D1">
        <w:rPr>
          <w:lang w:val="fr-FR"/>
        </w:rPr>
        <w:tab/>
        <w:t>L</w:t>
      </w:r>
      <w:r>
        <w:rPr>
          <w:lang w:val="fr-FR"/>
        </w:rPr>
        <w:t>’</w:t>
      </w:r>
      <w:r w:rsidRPr="00DF49D1">
        <w:rPr>
          <w:lang w:val="fr-FR"/>
        </w:rPr>
        <w:t>Irlande a reçu une demande d</w:t>
      </w:r>
      <w:r>
        <w:rPr>
          <w:lang w:val="fr-FR"/>
        </w:rPr>
        <w:t>’</w:t>
      </w:r>
      <w:r w:rsidRPr="00DF49D1">
        <w:rPr>
          <w:lang w:val="fr-FR"/>
        </w:rPr>
        <w:t>exemption nationale visant à permettre le transport dans un conteneur (cage) de déchets d</w:t>
      </w:r>
      <w:r>
        <w:rPr>
          <w:lang w:val="fr-FR"/>
        </w:rPr>
        <w:t>’</w:t>
      </w:r>
      <w:r w:rsidRPr="00DF49D1">
        <w:rPr>
          <w:lang w:val="fr-FR"/>
        </w:rPr>
        <w:t>hôpital et de déchets médicaux (No</w:t>
      </w:r>
      <w:r>
        <w:rPr>
          <w:lang w:val="fr-FR"/>
        </w:rPr>
        <w:t> </w:t>
      </w:r>
      <w:r w:rsidRPr="00DF49D1">
        <w:rPr>
          <w:lang w:val="fr-FR"/>
        </w:rPr>
        <w:t>ONU</w:t>
      </w:r>
      <w:r>
        <w:rPr>
          <w:lang w:val="fr-FR"/>
        </w:rPr>
        <w:t> </w:t>
      </w:r>
      <w:r w:rsidRPr="00DF49D1">
        <w:rPr>
          <w:lang w:val="fr-FR"/>
        </w:rPr>
        <w:t xml:space="preserve">3291) déjà emballés conformément </w:t>
      </w:r>
      <w:r>
        <w:rPr>
          <w:lang w:val="fr-FR"/>
        </w:rPr>
        <w:t>à l’</w:t>
      </w:r>
      <w:r w:rsidRPr="00732F54">
        <w:rPr>
          <w:lang w:val="fr-FR"/>
        </w:rPr>
        <w:t>instruction d</w:t>
      </w:r>
      <w:r>
        <w:rPr>
          <w:lang w:val="fr-FR"/>
        </w:rPr>
        <w:t>’</w:t>
      </w:r>
      <w:r w:rsidRPr="00732F54">
        <w:rPr>
          <w:lang w:val="fr-FR"/>
        </w:rPr>
        <w:t>emballage P621</w:t>
      </w:r>
      <w:r>
        <w:rPr>
          <w:lang w:val="fr-FR"/>
        </w:rPr>
        <w:t xml:space="preserve"> d</w:t>
      </w:r>
      <w:r w:rsidRPr="00DF49D1">
        <w:rPr>
          <w:lang w:val="fr-FR"/>
        </w:rPr>
        <w:t>u 4.1.4.1, sans que le nombre d</w:t>
      </w:r>
      <w:r>
        <w:rPr>
          <w:lang w:val="fr-FR"/>
        </w:rPr>
        <w:t>’</w:t>
      </w:r>
      <w:r w:rsidRPr="00DF49D1">
        <w:rPr>
          <w:lang w:val="fr-FR"/>
        </w:rPr>
        <w:t>emballages (</w:t>
      </w:r>
      <w:r>
        <w:rPr>
          <w:lang w:val="fr-FR"/>
        </w:rPr>
        <w:t>bac</w:t>
      </w:r>
      <w:r w:rsidRPr="00DF49D1">
        <w:rPr>
          <w:lang w:val="fr-FR"/>
        </w:rPr>
        <w:t>s pour objets tranchants) ne soit indiqué dans le document de transport. Il</w:t>
      </w:r>
      <w:r>
        <w:rPr>
          <w:lang w:val="fr-FR"/>
        </w:rPr>
        <w:t> </w:t>
      </w:r>
      <w:r w:rsidRPr="00DF49D1">
        <w:rPr>
          <w:lang w:val="fr-FR"/>
        </w:rPr>
        <w:t>est proposé dans la demande que la quantité de déchets d</w:t>
      </w:r>
      <w:r>
        <w:rPr>
          <w:lang w:val="fr-FR"/>
        </w:rPr>
        <w:t>’</w:t>
      </w:r>
      <w:r w:rsidRPr="00DF49D1">
        <w:rPr>
          <w:lang w:val="fr-FR"/>
        </w:rPr>
        <w:t xml:space="preserve">hôpital et de déchets médicaux dans le conteneur soit </w:t>
      </w:r>
      <w:r>
        <w:rPr>
          <w:lang w:val="fr-FR"/>
        </w:rPr>
        <w:t>« </w:t>
      </w:r>
      <w:r w:rsidRPr="00DF49D1">
        <w:rPr>
          <w:lang w:val="fr-FR"/>
        </w:rPr>
        <w:t>estimée</w:t>
      </w:r>
      <w:r>
        <w:rPr>
          <w:lang w:val="fr-FR"/>
        </w:rPr>
        <w:t> »</w:t>
      </w:r>
      <w:r w:rsidRPr="00DF49D1">
        <w:rPr>
          <w:lang w:val="fr-FR"/>
        </w:rPr>
        <w:t xml:space="preserve"> sur la base du volume nominal</w:t>
      </w:r>
      <w:r w:rsidRPr="00DF49D1">
        <w:rPr>
          <w:i/>
          <w:iCs/>
          <w:lang w:val="fr-FR"/>
        </w:rPr>
        <w:t xml:space="preserve"> </w:t>
      </w:r>
      <w:r w:rsidRPr="00DF49D1">
        <w:rPr>
          <w:lang w:val="fr-FR"/>
        </w:rPr>
        <w:t>ou de la capacité nominale du conteneur.</w:t>
      </w:r>
    </w:p>
    <w:p w14:paraId="473224D6" w14:textId="04B06B47" w:rsidR="00AF3081" w:rsidRPr="00DF49D1" w:rsidRDefault="00AF3081" w:rsidP="00AF3081">
      <w:pPr>
        <w:spacing w:after="120"/>
        <w:ind w:left="1134" w:right="1134"/>
        <w:jc w:val="both"/>
        <w:rPr>
          <w:lang w:val="fr-FR"/>
        </w:rPr>
      </w:pPr>
      <w:r w:rsidRPr="00DF49D1">
        <w:rPr>
          <w:lang w:val="fr-FR"/>
        </w:rPr>
        <w:t>3.</w:t>
      </w:r>
      <w:r w:rsidRPr="00DF49D1">
        <w:rPr>
          <w:lang w:val="fr-FR"/>
        </w:rPr>
        <w:tab/>
        <w:t>L</w:t>
      </w:r>
      <w:r>
        <w:rPr>
          <w:lang w:val="fr-FR"/>
        </w:rPr>
        <w:t>’</w:t>
      </w:r>
      <w:r w:rsidRPr="00DF49D1">
        <w:rPr>
          <w:lang w:val="fr-FR"/>
        </w:rPr>
        <w:t>Irlande propose de modifier le 5.4.1.1.3.2 comme indiqué au paragraphe</w:t>
      </w:r>
      <w:r>
        <w:rPr>
          <w:lang w:val="fr-FR"/>
        </w:rPr>
        <w:t> </w:t>
      </w:r>
      <w:r w:rsidRPr="00DF49D1">
        <w:rPr>
          <w:lang w:val="fr-FR"/>
        </w:rPr>
        <w:t>4 ci-après.</w:t>
      </w:r>
    </w:p>
    <w:p w14:paraId="69BC0BA4" w14:textId="77777777" w:rsidR="00AF3081" w:rsidRPr="00DF49D1" w:rsidRDefault="00AF3081" w:rsidP="001E3E7E">
      <w:pPr>
        <w:pStyle w:val="HChG"/>
        <w:spacing w:before="320" w:after="200" w:line="280" w:lineRule="exact"/>
        <w:rPr>
          <w:lang w:val="fr-FR"/>
        </w:rPr>
      </w:pPr>
      <w:r w:rsidRPr="00DF49D1">
        <w:rPr>
          <w:lang w:val="fr-FR"/>
        </w:rPr>
        <w:tab/>
      </w:r>
      <w:r w:rsidRPr="00DF49D1">
        <w:rPr>
          <w:lang w:val="fr-FR"/>
        </w:rPr>
        <w:tab/>
        <w:t>Proposition</w:t>
      </w:r>
    </w:p>
    <w:p w14:paraId="6E1793FA" w14:textId="77777777" w:rsidR="00AF3081" w:rsidRPr="00120732" w:rsidRDefault="00AF3081" w:rsidP="00AF3081">
      <w:pPr>
        <w:spacing w:after="120"/>
        <w:ind w:left="1134" w:right="1134"/>
        <w:jc w:val="both"/>
        <w:rPr>
          <w:lang w:val="fr-FR"/>
        </w:rPr>
      </w:pPr>
      <w:r w:rsidRPr="00DF49D1">
        <w:rPr>
          <w:lang w:val="fr-FR"/>
        </w:rPr>
        <w:t>4.</w:t>
      </w:r>
      <w:r w:rsidRPr="00DF49D1">
        <w:rPr>
          <w:lang w:val="fr-FR"/>
        </w:rPr>
        <w:tab/>
        <w:t>L</w:t>
      </w:r>
      <w:r>
        <w:rPr>
          <w:lang w:val="fr-FR"/>
        </w:rPr>
        <w:t>’</w:t>
      </w:r>
      <w:r w:rsidRPr="00DF49D1">
        <w:rPr>
          <w:lang w:val="fr-FR"/>
        </w:rPr>
        <w:t>ajout proposé au 5.4.1.1.3.2 figure en caractères gras soulignés :</w:t>
      </w:r>
    </w:p>
    <w:p w14:paraId="1994D243" w14:textId="2B3E2F68" w:rsidR="00AF3081" w:rsidRPr="00120732" w:rsidRDefault="00AF3081" w:rsidP="00D31777">
      <w:pPr>
        <w:spacing w:after="120"/>
        <w:ind w:left="2835" w:right="1134" w:hanging="1134"/>
        <w:jc w:val="both"/>
        <w:rPr>
          <w:bCs/>
          <w:iCs/>
          <w:lang w:val="fr-FR"/>
        </w:rPr>
      </w:pPr>
      <w:r w:rsidRPr="00AF3081">
        <w:rPr>
          <w:bCs/>
          <w:iCs/>
          <w:spacing w:val="-5"/>
          <w:lang w:val="fr-FR"/>
        </w:rPr>
        <w:t>« 5.4.1.1.3.2</w:t>
      </w:r>
      <w:r w:rsidRPr="00AF3081">
        <w:rPr>
          <w:bCs/>
          <w:iCs/>
          <w:spacing w:val="-5"/>
          <w:lang w:val="fr-FR"/>
        </w:rPr>
        <w:tab/>
      </w:r>
      <w:r w:rsidRPr="00120732">
        <w:rPr>
          <w:bCs/>
          <w:iCs/>
          <w:lang w:val="fr-FR"/>
        </w:rPr>
        <w:t>S</w:t>
      </w:r>
      <w:r>
        <w:rPr>
          <w:bCs/>
          <w:iCs/>
          <w:lang w:val="fr-FR"/>
        </w:rPr>
        <w:t>’</w:t>
      </w:r>
      <w:r w:rsidRPr="00120732">
        <w:rPr>
          <w:bCs/>
          <w:iCs/>
          <w:lang w:val="fr-FR"/>
        </w:rPr>
        <w:t>il est impossible de mesurer la quantité exacte de déchets transportés sur le lieu de chargement, la quantité visée au 5.4.1.1.1 f) peut être estimée dans les cas suivants selon les conditions suivantes :</w:t>
      </w:r>
    </w:p>
    <w:p w14:paraId="7D53124D" w14:textId="77777777" w:rsidR="00AF3081" w:rsidRPr="00120732" w:rsidRDefault="00AF3081" w:rsidP="00D31777">
      <w:pPr>
        <w:spacing w:after="120"/>
        <w:ind w:left="3402" w:right="1134" w:hanging="567"/>
        <w:jc w:val="both"/>
        <w:rPr>
          <w:bCs/>
          <w:iCs/>
          <w:lang w:val="fr-FR"/>
        </w:rPr>
      </w:pPr>
      <w:r w:rsidRPr="00120732">
        <w:rPr>
          <w:bCs/>
          <w:iCs/>
          <w:lang w:val="fr-FR"/>
        </w:rPr>
        <w:t>a)</w:t>
      </w:r>
      <w:r w:rsidRPr="00120732">
        <w:rPr>
          <w:bCs/>
          <w:iCs/>
          <w:lang w:val="fr-FR"/>
        </w:rPr>
        <w:tab/>
        <w:t>Pour les emballages, une liste des emballages précisant leur type et leur volume nominal est ajoutée au document de transport ;</w:t>
      </w:r>
    </w:p>
    <w:p w14:paraId="76F21C7D" w14:textId="77777777" w:rsidR="00AF3081" w:rsidRPr="00120732" w:rsidRDefault="00AF3081" w:rsidP="00D31777">
      <w:pPr>
        <w:spacing w:after="120"/>
        <w:ind w:left="3402" w:right="1134" w:hanging="567"/>
        <w:jc w:val="both"/>
        <w:rPr>
          <w:bCs/>
          <w:iCs/>
          <w:lang w:val="fr-FR"/>
        </w:rPr>
      </w:pPr>
      <w:r w:rsidRPr="00120732">
        <w:rPr>
          <w:bCs/>
          <w:iCs/>
          <w:lang w:val="fr-FR"/>
        </w:rPr>
        <w:t>b)</w:t>
      </w:r>
      <w:r w:rsidRPr="00120732">
        <w:rPr>
          <w:bCs/>
          <w:iCs/>
          <w:lang w:val="fr-FR"/>
        </w:rPr>
        <w:tab/>
        <w:t>Pour les conteneurs, l</w:t>
      </w:r>
      <w:r>
        <w:rPr>
          <w:bCs/>
          <w:iCs/>
          <w:lang w:val="fr-FR"/>
        </w:rPr>
        <w:t>’</w:t>
      </w:r>
      <w:r w:rsidRPr="00120732">
        <w:rPr>
          <w:bCs/>
          <w:iCs/>
          <w:lang w:val="fr-FR"/>
        </w:rPr>
        <w:t>estimation se base sur leur volume nominal et les autres informations disponibles, par exemple le type de déchets, la densité moyenne, le taux de remplissage ;</w:t>
      </w:r>
    </w:p>
    <w:p w14:paraId="413BE5D0" w14:textId="77777777" w:rsidR="00AF3081" w:rsidRPr="00120732" w:rsidRDefault="00AF3081" w:rsidP="00D31777">
      <w:pPr>
        <w:spacing w:after="120"/>
        <w:ind w:left="3402" w:right="1134" w:hanging="567"/>
        <w:jc w:val="both"/>
        <w:rPr>
          <w:bCs/>
          <w:iCs/>
          <w:lang w:val="fr-FR"/>
        </w:rPr>
      </w:pPr>
      <w:r w:rsidRPr="00120732">
        <w:rPr>
          <w:bCs/>
          <w:iCs/>
          <w:lang w:val="fr-FR"/>
        </w:rPr>
        <w:t>c)</w:t>
      </w:r>
      <w:r w:rsidRPr="00120732">
        <w:rPr>
          <w:bCs/>
          <w:iCs/>
          <w:lang w:val="fr-FR"/>
        </w:rPr>
        <w:tab/>
        <w:t>Pour les citernes à déchets opérant sous vide, l</w:t>
      </w:r>
      <w:r>
        <w:rPr>
          <w:bCs/>
          <w:iCs/>
          <w:lang w:val="fr-FR"/>
        </w:rPr>
        <w:t>’</w:t>
      </w:r>
      <w:r w:rsidRPr="00120732">
        <w:rPr>
          <w:bCs/>
          <w:iCs/>
          <w:lang w:val="fr-FR"/>
        </w:rPr>
        <w:t>estimation est justifiée, par exemple au moyen d</w:t>
      </w:r>
      <w:r>
        <w:rPr>
          <w:bCs/>
          <w:iCs/>
          <w:lang w:val="fr-FR"/>
        </w:rPr>
        <w:t>’</w:t>
      </w:r>
      <w:r w:rsidRPr="00120732">
        <w:rPr>
          <w:bCs/>
          <w:iCs/>
          <w:lang w:val="fr-FR"/>
        </w:rPr>
        <w:t>une estimation fournie par l</w:t>
      </w:r>
      <w:r>
        <w:rPr>
          <w:bCs/>
          <w:iCs/>
          <w:lang w:val="fr-FR"/>
        </w:rPr>
        <w:t>’</w:t>
      </w:r>
      <w:r w:rsidRPr="00120732">
        <w:rPr>
          <w:bCs/>
          <w:iCs/>
          <w:lang w:val="fr-FR"/>
        </w:rPr>
        <w:t>expéditeur ou par les équipements du véhicule.</w:t>
      </w:r>
    </w:p>
    <w:p w14:paraId="31EC46E3" w14:textId="77777777" w:rsidR="00AF3081" w:rsidRPr="00120732" w:rsidRDefault="00AF3081" w:rsidP="00D31777">
      <w:pPr>
        <w:spacing w:after="120"/>
        <w:ind w:left="2835" w:right="1134"/>
        <w:jc w:val="both"/>
        <w:rPr>
          <w:bCs/>
          <w:iCs/>
          <w:lang w:val="fr-FR"/>
        </w:rPr>
      </w:pPr>
      <w:r w:rsidRPr="00120732">
        <w:rPr>
          <w:bCs/>
          <w:iCs/>
          <w:lang w:val="fr-FR"/>
        </w:rPr>
        <w:t>Une telle estimation de la quantité n</w:t>
      </w:r>
      <w:r>
        <w:rPr>
          <w:bCs/>
          <w:iCs/>
          <w:lang w:val="fr-FR"/>
        </w:rPr>
        <w:t>’</w:t>
      </w:r>
      <w:r w:rsidRPr="00120732">
        <w:rPr>
          <w:bCs/>
          <w:iCs/>
          <w:lang w:val="fr-FR"/>
        </w:rPr>
        <w:t>est pas autorisée pour :</w:t>
      </w:r>
    </w:p>
    <w:p w14:paraId="506842A3" w14:textId="77777777" w:rsidR="00AF3081" w:rsidRPr="00120732" w:rsidRDefault="00AF3081" w:rsidP="00D31777">
      <w:pPr>
        <w:spacing w:after="120"/>
        <w:ind w:left="3260" w:right="1134" w:hanging="425"/>
        <w:jc w:val="both"/>
        <w:rPr>
          <w:bCs/>
          <w:iCs/>
          <w:lang w:val="fr-FR"/>
        </w:rPr>
      </w:pPr>
      <w:r w:rsidRPr="00120732">
        <w:rPr>
          <w:bCs/>
          <w:iCs/>
          <w:lang w:val="fr-FR"/>
        </w:rPr>
        <w:t>-</w:t>
      </w:r>
      <w:r w:rsidRPr="00120732">
        <w:rPr>
          <w:bCs/>
          <w:iCs/>
          <w:lang w:val="fr-FR"/>
        </w:rPr>
        <w:tab/>
        <w:t>Les exemptions pour lesquelles la quantité exacte est essentielle (par exemple 1.1.3.6) ;</w:t>
      </w:r>
    </w:p>
    <w:p w14:paraId="4AD14EB1" w14:textId="58D59D02" w:rsidR="00AF3081" w:rsidRPr="00120732" w:rsidRDefault="00AF3081" w:rsidP="00D31777">
      <w:pPr>
        <w:spacing w:after="120"/>
        <w:ind w:left="3260" w:right="1134" w:hanging="425"/>
        <w:jc w:val="both"/>
        <w:rPr>
          <w:bCs/>
          <w:iCs/>
          <w:lang w:val="fr-FR"/>
        </w:rPr>
      </w:pPr>
      <w:r w:rsidRPr="00120732">
        <w:rPr>
          <w:bCs/>
          <w:iCs/>
          <w:lang w:val="fr-FR"/>
        </w:rPr>
        <w:t>-</w:t>
      </w:r>
      <w:r w:rsidRPr="00120732">
        <w:rPr>
          <w:bCs/>
          <w:iCs/>
          <w:lang w:val="fr-FR"/>
        </w:rPr>
        <w:tab/>
        <w:t xml:space="preserve">Les déchets contenant les matières visées </w:t>
      </w:r>
      <w:r w:rsidRPr="00120732">
        <w:rPr>
          <w:lang w:val="fr-FR"/>
        </w:rPr>
        <w:t xml:space="preserve">au 2.1.3.5.3 </w:t>
      </w:r>
      <w:r w:rsidRPr="00120732">
        <w:rPr>
          <w:b/>
          <w:bCs/>
          <w:u w:val="single"/>
          <w:lang w:val="fr-FR"/>
        </w:rPr>
        <w:t>(à</w:t>
      </w:r>
      <w:r w:rsidR="001E3E7E">
        <w:rPr>
          <w:b/>
          <w:bCs/>
          <w:u w:val="single"/>
          <w:lang w:val="fr-FR"/>
        </w:rPr>
        <w:t> </w:t>
      </w:r>
      <w:r w:rsidRPr="00120732">
        <w:rPr>
          <w:b/>
          <w:bCs/>
          <w:u w:val="single"/>
          <w:lang w:val="fr-FR"/>
        </w:rPr>
        <w:t>l</w:t>
      </w:r>
      <w:r>
        <w:rPr>
          <w:b/>
          <w:bCs/>
          <w:u w:val="single"/>
          <w:lang w:val="fr-FR"/>
        </w:rPr>
        <w:t>’</w:t>
      </w:r>
      <w:r w:rsidRPr="00120732">
        <w:rPr>
          <w:b/>
          <w:bCs/>
          <w:u w:val="single"/>
          <w:lang w:val="fr-FR"/>
        </w:rPr>
        <w:t>exception du No</w:t>
      </w:r>
      <w:r w:rsidR="001E3E7E">
        <w:rPr>
          <w:b/>
          <w:bCs/>
          <w:u w:val="single"/>
          <w:lang w:val="fr-FR"/>
        </w:rPr>
        <w:t> </w:t>
      </w:r>
      <w:r w:rsidRPr="00120732">
        <w:rPr>
          <w:b/>
          <w:bCs/>
          <w:u w:val="single"/>
          <w:lang w:val="fr-FR"/>
        </w:rPr>
        <w:t>ONU</w:t>
      </w:r>
      <w:r w:rsidR="001E3E7E">
        <w:rPr>
          <w:b/>
          <w:bCs/>
          <w:u w:val="single"/>
          <w:lang w:val="fr-FR"/>
        </w:rPr>
        <w:t> </w:t>
      </w:r>
      <w:r w:rsidRPr="00120732">
        <w:rPr>
          <w:b/>
          <w:bCs/>
          <w:u w:val="single"/>
          <w:lang w:val="fr-FR"/>
        </w:rPr>
        <w:t>3291, déchet d</w:t>
      </w:r>
      <w:r>
        <w:rPr>
          <w:b/>
          <w:bCs/>
          <w:u w:val="single"/>
          <w:lang w:val="fr-FR"/>
        </w:rPr>
        <w:t>’</w:t>
      </w:r>
      <w:r w:rsidRPr="00120732">
        <w:rPr>
          <w:b/>
          <w:bCs/>
          <w:u w:val="single"/>
          <w:lang w:val="fr-FR"/>
        </w:rPr>
        <w:t>hôpital non spécifié, n.s.a.</w:t>
      </w:r>
      <w:r w:rsidRPr="00120732">
        <w:rPr>
          <w:lang w:val="fr-FR"/>
        </w:rPr>
        <w:t xml:space="preserve"> </w:t>
      </w:r>
      <w:r w:rsidRPr="00120732">
        <w:rPr>
          <w:b/>
          <w:bCs/>
          <w:u w:val="single"/>
          <w:lang w:val="fr-FR"/>
        </w:rPr>
        <w:t>ou déchet (bio)médical, n.s.a. ou déchet médical réglementé, n.s.a., emball</w:t>
      </w:r>
      <w:r>
        <w:rPr>
          <w:b/>
          <w:bCs/>
          <w:u w:val="single"/>
          <w:lang w:val="fr-FR"/>
        </w:rPr>
        <w:t xml:space="preserve">é </w:t>
      </w:r>
      <w:r w:rsidRPr="00120732">
        <w:rPr>
          <w:b/>
          <w:bCs/>
          <w:u w:val="single"/>
          <w:lang w:val="fr-FR"/>
        </w:rPr>
        <w:t>conformément à l</w:t>
      </w:r>
      <w:r>
        <w:rPr>
          <w:b/>
          <w:bCs/>
          <w:u w:val="single"/>
          <w:lang w:val="fr-FR"/>
        </w:rPr>
        <w:t>’</w:t>
      </w:r>
      <w:r w:rsidRPr="00120732">
        <w:rPr>
          <w:b/>
          <w:bCs/>
          <w:u w:val="single"/>
          <w:lang w:val="fr-FR"/>
        </w:rPr>
        <w:t>instruction d</w:t>
      </w:r>
      <w:r>
        <w:rPr>
          <w:b/>
          <w:bCs/>
          <w:u w:val="single"/>
          <w:lang w:val="fr-FR"/>
        </w:rPr>
        <w:t>’</w:t>
      </w:r>
      <w:r w:rsidRPr="00120732">
        <w:rPr>
          <w:b/>
          <w:bCs/>
          <w:u w:val="single"/>
          <w:lang w:val="fr-FR"/>
        </w:rPr>
        <w:t xml:space="preserve">emballage P621) </w:t>
      </w:r>
      <w:r w:rsidRPr="00120732">
        <w:rPr>
          <w:lang w:val="fr-FR"/>
        </w:rPr>
        <w:t>ou les matières de la classe</w:t>
      </w:r>
      <w:r w:rsidR="001E3E7E">
        <w:rPr>
          <w:lang w:val="fr-FR"/>
        </w:rPr>
        <w:t> </w:t>
      </w:r>
      <w:r w:rsidRPr="00120732">
        <w:rPr>
          <w:lang w:val="fr-FR"/>
        </w:rPr>
        <w:t>4.3</w:t>
      </w:r>
      <w:r w:rsidR="001E3E7E">
        <w:rPr>
          <w:lang w:val="fr-FR"/>
        </w:rPr>
        <w:t> </w:t>
      </w:r>
      <w:r w:rsidRPr="00120732">
        <w:rPr>
          <w:bCs/>
          <w:iCs/>
          <w:lang w:val="fr-FR"/>
        </w:rPr>
        <w:t>;</w:t>
      </w:r>
    </w:p>
    <w:p w14:paraId="5AC4B038" w14:textId="77777777" w:rsidR="00AF3081" w:rsidRPr="00120732" w:rsidRDefault="00AF3081" w:rsidP="00D31777">
      <w:pPr>
        <w:spacing w:after="120"/>
        <w:ind w:left="3260" w:right="1134" w:hanging="425"/>
        <w:jc w:val="both"/>
        <w:rPr>
          <w:bCs/>
          <w:iCs/>
          <w:lang w:val="fr-FR"/>
        </w:rPr>
      </w:pPr>
      <w:r w:rsidRPr="00120732">
        <w:rPr>
          <w:bCs/>
          <w:iCs/>
          <w:lang w:val="fr-FR"/>
        </w:rPr>
        <w:t>-</w:t>
      </w:r>
      <w:r w:rsidRPr="00120732">
        <w:rPr>
          <w:bCs/>
          <w:iCs/>
          <w:lang w:val="fr-FR"/>
        </w:rPr>
        <w:tab/>
        <w:t>Les citernes autres que les citernes à déchets opérant sous vide.</w:t>
      </w:r>
    </w:p>
    <w:p w14:paraId="65E175C6" w14:textId="35FDA32E" w:rsidR="00AF3081" w:rsidRPr="001E3E7E" w:rsidRDefault="00AF3081" w:rsidP="001E3E7E">
      <w:pPr>
        <w:spacing w:after="120"/>
        <w:ind w:left="2835" w:right="1134"/>
        <w:jc w:val="both"/>
        <w:rPr>
          <w:bCs/>
          <w:iCs/>
          <w:lang w:val="fr-FR"/>
        </w:rPr>
      </w:pPr>
      <w:r w:rsidRPr="00120732">
        <w:rPr>
          <w:bCs/>
          <w:iCs/>
          <w:lang w:val="fr-FR"/>
        </w:rPr>
        <w:t>Le document de transport doit porter la mention suivante :</w:t>
      </w:r>
      <w:r w:rsidR="001E3E7E">
        <w:rPr>
          <w:bCs/>
          <w:iCs/>
          <w:lang w:val="fr-FR"/>
        </w:rPr>
        <w:t xml:space="preserve"> “</w:t>
      </w:r>
      <w:r w:rsidRPr="00120732">
        <w:rPr>
          <w:bCs/>
          <w:iCs/>
          <w:lang w:val="fr-FR"/>
        </w:rPr>
        <w:t>QUANTITÉ ESTIMÉE CONFORMÉMENT AU 5.4.1.1.3.2</w:t>
      </w:r>
      <w:r w:rsidR="001E3E7E">
        <w:rPr>
          <w:bCs/>
          <w:iCs/>
          <w:lang w:val="fr-FR"/>
        </w:rPr>
        <w:t>ˮ</w:t>
      </w:r>
      <w:r w:rsidRPr="00120732">
        <w:rPr>
          <w:bCs/>
          <w:iCs/>
          <w:lang w:val="fr-FR"/>
        </w:rPr>
        <w:t>. »</w:t>
      </w:r>
    </w:p>
    <w:p w14:paraId="15702A4A" w14:textId="77777777" w:rsidR="00AF3081" w:rsidRPr="00120732" w:rsidRDefault="00AF3081" w:rsidP="001E3E7E">
      <w:pPr>
        <w:pStyle w:val="HChG"/>
        <w:spacing w:before="320" w:after="200" w:line="280" w:lineRule="exact"/>
        <w:rPr>
          <w:lang w:val="fr-FR"/>
        </w:rPr>
      </w:pPr>
      <w:r w:rsidRPr="00120732">
        <w:rPr>
          <w:lang w:val="fr-FR"/>
        </w:rPr>
        <w:tab/>
      </w:r>
      <w:r w:rsidRPr="00120732">
        <w:rPr>
          <w:lang w:val="fr-FR"/>
        </w:rPr>
        <w:tab/>
      </w:r>
      <w:r w:rsidRPr="001E3E7E">
        <w:rPr>
          <w:lang w:val="fr-FR"/>
        </w:rPr>
        <w:t>Justification</w:t>
      </w:r>
    </w:p>
    <w:p w14:paraId="0B1307F1" w14:textId="2062E664" w:rsidR="00AF3081" w:rsidRPr="001E3E7E" w:rsidRDefault="00AF3081" w:rsidP="00AF3081">
      <w:pPr>
        <w:spacing w:after="120"/>
        <w:ind w:left="1134" w:right="1134"/>
        <w:jc w:val="both"/>
        <w:rPr>
          <w:spacing w:val="-2"/>
          <w:lang w:val="fr-FR"/>
        </w:rPr>
      </w:pPr>
      <w:r w:rsidRPr="001E3E7E">
        <w:rPr>
          <w:spacing w:val="-2"/>
          <w:lang w:val="fr-FR"/>
        </w:rPr>
        <w:t>5.</w:t>
      </w:r>
      <w:r w:rsidRPr="001E3E7E">
        <w:rPr>
          <w:spacing w:val="-2"/>
          <w:lang w:val="fr-FR"/>
        </w:rPr>
        <w:tab/>
        <w:t>L’Irlande comprend que les déchets contenant les matières visées au 2.1.3.5.3 sont expressément exclues des dispositions du 5.4.1.1.3.2. Il serait utile pour les expéditeurs et les transporteurs de déchets médicaux et de déchets d’hôpital (No</w:t>
      </w:r>
      <w:r w:rsidR="00D31777" w:rsidRPr="001E3E7E">
        <w:rPr>
          <w:spacing w:val="-2"/>
          <w:lang w:val="fr-FR"/>
        </w:rPr>
        <w:t> </w:t>
      </w:r>
      <w:r w:rsidRPr="001E3E7E">
        <w:rPr>
          <w:spacing w:val="-2"/>
          <w:lang w:val="fr-FR"/>
        </w:rPr>
        <w:t>ONU</w:t>
      </w:r>
      <w:r w:rsidR="00D31777" w:rsidRPr="001E3E7E">
        <w:rPr>
          <w:spacing w:val="-2"/>
          <w:lang w:val="fr-FR"/>
        </w:rPr>
        <w:t> </w:t>
      </w:r>
      <w:r w:rsidRPr="001E3E7E">
        <w:rPr>
          <w:spacing w:val="-2"/>
          <w:lang w:val="fr-FR"/>
        </w:rPr>
        <w:t>3291) que cette exclusion ne concerne pas les déchets de la classe</w:t>
      </w:r>
      <w:r w:rsidR="001E3E7E" w:rsidRPr="001E3E7E">
        <w:rPr>
          <w:spacing w:val="-2"/>
          <w:lang w:val="fr-FR"/>
        </w:rPr>
        <w:t> </w:t>
      </w:r>
      <w:r w:rsidRPr="001E3E7E">
        <w:rPr>
          <w:spacing w:val="-2"/>
          <w:lang w:val="fr-FR"/>
        </w:rPr>
        <w:t>6.2 qui sont déjà emballés conformément à l’instruction d’emballage P621 du 4.1.4.1 du RID et de l’ADR. Il est admis que les déchets emballés ne présentent pas le même niveau de risque que les autres matières énumérées au</w:t>
      </w:r>
      <w:r w:rsidR="00D31777" w:rsidRPr="001E3E7E">
        <w:rPr>
          <w:spacing w:val="-2"/>
          <w:lang w:val="fr-FR"/>
        </w:rPr>
        <w:t> </w:t>
      </w:r>
      <w:r w:rsidRPr="001E3E7E">
        <w:rPr>
          <w:spacing w:val="-2"/>
          <w:lang w:val="fr-FR"/>
        </w:rPr>
        <w:t>2.1.3.5.3.</w:t>
      </w:r>
    </w:p>
    <w:p w14:paraId="1F518D51" w14:textId="46CB7E1B" w:rsidR="00AF3081" w:rsidRDefault="00AF3081" w:rsidP="00AF3081">
      <w:pPr>
        <w:pStyle w:val="SingleTxtG"/>
        <w:rPr>
          <w:lang w:val="fr-FR"/>
        </w:rPr>
      </w:pPr>
      <w:r w:rsidRPr="00ED5DAD">
        <w:rPr>
          <w:lang w:val="fr-FR"/>
        </w:rPr>
        <w:t>6.</w:t>
      </w:r>
      <w:r w:rsidRPr="00ED5DAD">
        <w:rPr>
          <w:lang w:val="fr-FR"/>
        </w:rPr>
        <w:tab/>
        <w:t>Il convient de noter que la présente proposition ne s</w:t>
      </w:r>
      <w:r>
        <w:rPr>
          <w:lang w:val="fr-FR"/>
        </w:rPr>
        <w:t>’</w:t>
      </w:r>
      <w:r w:rsidRPr="00ED5DAD">
        <w:rPr>
          <w:lang w:val="fr-FR"/>
        </w:rPr>
        <w:t>applique pas aux déchets médicaux ou d</w:t>
      </w:r>
      <w:r>
        <w:rPr>
          <w:lang w:val="fr-FR"/>
        </w:rPr>
        <w:t>’</w:t>
      </w:r>
      <w:r w:rsidRPr="00ED5DAD">
        <w:rPr>
          <w:lang w:val="fr-FR"/>
        </w:rPr>
        <w:t>hôpital (No</w:t>
      </w:r>
      <w:r w:rsidR="00D31777">
        <w:rPr>
          <w:lang w:val="fr-FR"/>
        </w:rPr>
        <w:t> </w:t>
      </w:r>
      <w:r w:rsidRPr="00ED5DAD">
        <w:rPr>
          <w:lang w:val="fr-FR"/>
        </w:rPr>
        <w:t>ONU</w:t>
      </w:r>
      <w:r w:rsidR="00D31777">
        <w:rPr>
          <w:lang w:val="fr-FR"/>
        </w:rPr>
        <w:t> </w:t>
      </w:r>
      <w:r w:rsidRPr="00ED5DAD">
        <w:rPr>
          <w:lang w:val="fr-FR"/>
        </w:rPr>
        <w:t xml:space="preserve">3291) qui sont transportés dans des emballages extérieurs plus grands (par exemple, des bacs à roulettes) de différentes capacités, car il est </w:t>
      </w:r>
      <w:r>
        <w:rPr>
          <w:lang w:val="fr-FR"/>
        </w:rPr>
        <w:t xml:space="preserve">facile </w:t>
      </w:r>
      <w:r w:rsidRPr="00ED5DAD">
        <w:rPr>
          <w:lang w:val="fr-FR"/>
        </w:rPr>
        <w:t>d</w:t>
      </w:r>
      <w:r>
        <w:rPr>
          <w:lang w:val="fr-FR"/>
        </w:rPr>
        <w:t>’</w:t>
      </w:r>
      <w:r w:rsidRPr="00ED5DAD">
        <w:rPr>
          <w:lang w:val="fr-FR"/>
        </w:rPr>
        <w:t>indiquer le nombre de ces emballages extérieurs dans le document de transport conformément à l</w:t>
      </w:r>
      <w:r>
        <w:rPr>
          <w:lang w:val="fr-FR"/>
        </w:rPr>
        <w:t>’</w:t>
      </w:r>
      <w:r w:rsidRPr="00ED5DAD">
        <w:rPr>
          <w:lang w:val="fr-FR"/>
        </w:rPr>
        <w:t>alinéa</w:t>
      </w:r>
      <w:r w:rsidR="00D31777">
        <w:rPr>
          <w:lang w:val="fr-FR"/>
        </w:rPr>
        <w:t> </w:t>
      </w:r>
      <w:r w:rsidRPr="00ED5DAD">
        <w:rPr>
          <w:lang w:val="fr-FR"/>
        </w:rPr>
        <w:t>e) du 5.4.1.1.1. Cette proposition concerne uniquement l</w:t>
      </w:r>
      <w:r>
        <w:rPr>
          <w:lang w:val="fr-FR"/>
        </w:rPr>
        <w:t>’</w:t>
      </w:r>
      <w:r w:rsidRPr="00ED5DAD">
        <w:rPr>
          <w:lang w:val="fr-FR"/>
        </w:rPr>
        <w:t xml:space="preserve">estimation, dans le document de transport, de la masse ou du volume des petits </w:t>
      </w:r>
      <w:r w:rsidR="00D31777">
        <w:rPr>
          <w:lang w:val="fr-FR"/>
        </w:rPr>
        <w:t>« </w:t>
      </w:r>
      <w:r>
        <w:rPr>
          <w:lang w:val="fr-FR"/>
        </w:rPr>
        <w:t>bac</w:t>
      </w:r>
      <w:r w:rsidRPr="00ED5DAD">
        <w:rPr>
          <w:lang w:val="fr-FR"/>
        </w:rPr>
        <w:t>s pour objets tranchants</w:t>
      </w:r>
      <w:r w:rsidR="00D31777">
        <w:rPr>
          <w:lang w:val="fr-FR"/>
        </w:rPr>
        <w:t> »</w:t>
      </w:r>
      <w:r w:rsidRPr="00ED5DAD">
        <w:rPr>
          <w:lang w:val="fr-FR"/>
        </w:rPr>
        <w:t xml:space="preserve"> satisfaisant aux prescriptions de l</w:t>
      </w:r>
      <w:r>
        <w:rPr>
          <w:lang w:val="fr-FR"/>
        </w:rPr>
        <w:t>’</w:t>
      </w:r>
      <w:r w:rsidRPr="00ED5DAD">
        <w:rPr>
          <w:lang w:val="fr-FR"/>
        </w:rPr>
        <w:t>instruction d</w:t>
      </w:r>
      <w:r>
        <w:rPr>
          <w:lang w:val="fr-FR"/>
        </w:rPr>
        <w:t>’</w:t>
      </w:r>
      <w:r w:rsidRPr="00ED5DAD">
        <w:rPr>
          <w:lang w:val="fr-FR"/>
        </w:rPr>
        <w:t>emballage P621, qui sont transportés dans des conteneurs (cages) et qui font partie de l</w:t>
      </w:r>
      <w:r>
        <w:rPr>
          <w:lang w:val="fr-FR"/>
        </w:rPr>
        <w:t>’</w:t>
      </w:r>
      <w:r w:rsidRPr="00ED5DAD">
        <w:rPr>
          <w:lang w:val="fr-FR"/>
        </w:rPr>
        <w:t>envoi.</w:t>
      </w:r>
    </w:p>
    <w:p w14:paraId="61375DDB" w14:textId="5C01FE86" w:rsidR="00AF3081" w:rsidRPr="00AF3081" w:rsidRDefault="00AF3081" w:rsidP="00AF3081">
      <w:pPr>
        <w:pStyle w:val="SingleTxtG"/>
        <w:spacing w:before="240" w:after="0"/>
        <w:jc w:val="center"/>
        <w:rPr>
          <w:u w:val="single"/>
        </w:rPr>
      </w:pPr>
      <w:r>
        <w:rPr>
          <w:u w:val="single"/>
        </w:rPr>
        <w:tab/>
      </w:r>
      <w:r>
        <w:rPr>
          <w:u w:val="single"/>
        </w:rPr>
        <w:tab/>
      </w:r>
      <w:r>
        <w:rPr>
          <w:u w:val="single"/>
        </w:rPr>
        <w:tab/>
      </w:r>
      <w:r>
        <w:rPr>
          <w:u w:val="single"/>
        </w:rPr>
        <w:tab/>
      </w:r>
    </w:p>
    <w:sectPr w:rsidR="00AF3081" w:rsidRPr="00AF3081" w:rsidSect="009E183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B5865" w14:textId="77777777" w:rsidR="00685368" w:rsidRDefault="00685368" w:rsidP="00F95C08">
      <w:pPr>
        <w:spacing w:line="240" w:lineRule="auto"/>
      </w:pPr>
    </w:p>
  </w:endnote>
  <w:endnote w:type="continuationSeparator" w:id="0">
    <w:p w14:paraId="12D01342" w14:textId="77777777" w:rsidR="00685368" w:rsidRPr="00AC3823" w:rsidRDefault="00685368" w:rsidP="00AC3823">
      <w:pPr>
        <w:pStyle w:val="Pieddepage"/>
      </w:pPr>
    </w:p>
  </w:endnote>
  <w:endnote w:type="continuationNotice" w:id="1">
    <w:p w14:paraId="5E790A6C" w14:textId="77777777" w:rsidR="00685368" w:rsidRDefault="006853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B9BF" w14:textId="3280341D" w:rsidR="009E1830" w:rsidRPr="009E1830" w:rsidRDefault="009E1830" w:rsidP="009E1830">
    <w:pPr>
      <w:pStyle w:val="Pieddepage"/>
      <w:tabs>
        <w:tab w:val="right" w:pos="9638"/>
      </w:tabs>
    </w:pPr>
    <w:r w:rsidRPr="009E1830">
      <w:rPr>
        <w:b/>
        <w:sz w:val="18"/>
      </w:rPr>
      <w:fldChar w:fldCharType="begin"/>
    </w:r>
    <w:r w:rsidRPr="009E1830">
      <w:rPr>
        <w:b/>
        <w:sz w:val="18"/>
      </w:rPr>
      <w:instrText xml:space="preserve"> PAGE  \* MERGEFORMAT </w:instrText>
    </w:r>
    <w:r w:rsidRPr="009E1830">
      <w:rPr>
        <w:b/>
        <w:sz w:val="18"/>
      </w:rPr>
      <w:fldChar w:fldCharType="separate"/>
    </w:r>
    <w:r w:rsidRPr="009E1830">
      <w:rPr>
        <w:b/>
        <w:noProof/>
        <w:sz w:val="18"/>
      </w:rPr>
      <w:t>2</w:t>
    </w:r>
    <w:r w:rsidRPr="009E1830">
      <w:rPr>
        <w:b/>
        <w:sz w:val="18"/>
      </w:rPr>
      <w:fldChar w:fldCharType="end"/>
    </w:r>
    <w:r>
      <w:rPr>
        <w:b/>
        <w:sz w:val="18"/>
      </w:rPr>
      <w:tab/>
    </w:r>
    <w:r>
      <w:t>GE.23-13351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890E" w14:textId="0D42919B" w:rsidR="009E1830" w:rsidRPr="009E1830" w:rsidRDefault="009E1830" w:rsidP="009E1830">
    <w:pPr>
      <w:pStyle w:val="Pieddepage"/>
      <w:tabs>
        <w:tab w:val="right" w:pos="9638"/>
      </w:tabs>
      <w:rPr>
        <w:b/>
        <w:sz w:val="18"/>
      </w:rPr>
    </w:pPr>
    <w:r>
      <w:t>GE.23-13351</w:t>
    </w:r>
    <w:r>
      <w:tab/>
    </w:r>
    <w:r w:rsidRPr="009E1830">
      <w:rPr>
        <w:b/>
        <w:sz w:val="18"/>
      </w:rPr>
      <w:fldChar w:fldCharType="begin"/>
    </w:r>
    <w:r w:rsidRPr="009E1830">
      <w:rPr>
        <w:b/>
        <w:sz w:val="18"/>
      </w:rPr>
      <w:instrText xml:space="preserve"> PAGE  \* MERGEFORMAT </w:instrText>
    </w:r>
    <w:r w:rsidRPr="009E1830">
      <w:rPr>
        <w:b/>
        <w:sz w:val="18"/>
      </w:rPr>
      <w:fldChar w:fldCharType="separate"/>
    </w:r>
    <w:r w:rsidRPr="009E1830">
      <w:rPr>
        <w:b/>
        <w:noProof/>
        <w:sz w:val="18"/>
      </w:rPr>
      <w:t>3</w:t>
    </w:r>
    <w:r w:rsidRPr="009E18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9BFF" w14:textId="2370219B" w:rsidR="007F20FA" w:rsidRPr="009E1830" w:rsidRDefault="009E1830" w:rsidP="009E183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2EDF3F4" wp14:editId="63B26E6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23-13351  (F)</w:t>
    </w:r>
    <w:r>
      <w:rPr>
        <w:noProof/>
        <w:sz w:val="20"/>
      </w:rPr>
      <w:drawing>
        <wp:anchor distT="0" distB="0" distL="114300" distR="114300" simplePos="0" relativeHeight="251660288" behindDoc="0" locked="0" layoutInCell="1" allowOverlap="1" wp14:anchorId="1D5A912A" wp14:editId="0F6CC63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210723    240723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71A7" w14:textId="77777777" w:rsidR="00685368" w:rsidRPr="00AC3823" w:rsidRDefault="00685368" w:rsidP="00AC3823">
      <w:pPr>
        <w:pStyle w:val="Pieddepage"/>
        <w:tabs>
          <w:tab w:val="right" w:pos="2155"/>
        </w:tabs>
        <w:spacing w:after="80" w:line="240" w:lineRule="atLeast"/>
        <w:ind w:left="680"/>
        <w:rPr>
          <w:u w:val="single"/>
        </w:rPr>
      </w:pPr>
      <w:r>
        <w:rPr>
          <w:u w:val="single"/>
        </w:rPr>
        <w:tab/>
      </w:r>
    </w:p>
  </w:footnote>
  <w:footnote w:type="continuationSeparator" w:id="0">
    <w:p w14:paraId="36A8BBD4" w14:textId="77777777" w:rsidR="00685368" w:rsidRPr="00AC3823" w:rsidRDefault="00685368" w:rsidP="00AC3823">
      <w:pPr>
        <w:pStyle w:val="Pieddepage"/>
        <w:tabs>
          <w:tab w:val="right" w:pos="2155"/>
        </w:tabs>
        <w:spacing w:after="80" w:line="240" w:lineRule="atLeast"/>
        <w:ind w:left="680"/>
        <w:rPr>
          <w:u w:val="single"/>
        </w:rPr>
      </w:pPr>
      <w:r>
        <w:rPr>
          <w:u w:val="single"/>
        </w:rPr>
        <w:tab/>
      </w:r>
    </w:p>
  </w:footnote>
  <w:footnote w:type="continuationNotice" w:id="1">
    <w:p w14:paraId="1BD996CD" w14:textId="77777777" w:rsidR="00685368" w:rsidRPr="00AC3823" w:rsidRDefault="00685368">
      <w:pPr>
        <w:spacing w:line="240" w:lineRule="auto"/>
        <w:rPr>
          <w:sz w:val="2"/>
          <w:szCs w:val="2"/>
        </w:rPr>
      </w:pPr>
    </w:p>
  </w:footnote>
  <w:footnote w:id="2">
    <w:p w14:paraId="22449D08" w14:textId="76715C16" w:rsidR="00AF3081" w:rsidRPr="00AF3081" w:rsidRDefault="00AF3081">
      <w:pPr>
        <w:pStyle w:val="Notedebasdepage"/>
      </w:pPr>
      <w:r>
        <w:rPr>
          <w:rStyle w:val="Appelnotedebasdep"/>
        </w:rPr>
        <w:tab/>
      </w:r>
      <w:r w:rsidRPr="00AF3081">
        <w:rPr>
          <w:rStyle w:val="Appelnotedebasdep"/>
          <w:sz w:val="20"/>
          <w:vertAlign w:val="baseline"/>
        </w:rPr>
        <w:t>*</w:t>
      </w:r>
      <w:r>
        <w:rPr>
          <w:rStyle w:val="Appelnotedebasdep"/>
          <w:sz w:val="20"/>
          <w:vertAlign w:val="baseline"/>
        </w:rPr>
        <w:tab/>
      </w:r>
      <w:r>
        <w:rPr>
          <w:lang w:val="fr-FR"/>
        </w:rPr>
        <w:t>A/77/6 (Sect.</w:t>
      </w:r>
      <w:r>
        <w:rPr>
          <w:lang w:val="fr-FR"/>
        </w:rPr>
        <w:t> </w:t>
      </w:r>
      <w:r>
        <w:rPr>
          <w:lang w:val="fr-FR"/>
        </w:rPr>
        <w:t>20), tableau</w:t>
      </w:r>
      <w:r>
        <w:rPr>
          <w:lang w:val="fr-FR"/>
        </w:rPr>
        <w:t> </w:t>
      </w:r>
      <w:r>
        <w:rPr>
          <w:lang w:val="fr-FR"/>
        </w:rPr>
        <w:t>20.6.</w:t>
      </w:r>
    </w:p>
  </w:footnote>
  <w:footnote w:id="3">
    <w:p w14:paraId="4C53B256" w14:textId="6E2BDA72" w:rsidR="00AF3081" w:rsidRPr="00AF3081" w:rsidRDefault="00AF3081">
      <w:pPr>
        <w:pStyle w:val="Notedebasdepage"/>
      </w:pPr>
      <w:r>
        <w:rPr>
          <w:rStyle w:val="Appelnotedebasdep"/>
        </w:rPr>
        <w:tab/>
      </w:r>
      <w:r w:rsidRPr="00AF3081">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2F48" w14:textId="036D9ADD" w:rsidR="009E1830" w:rsidRPr="009E1830" w:rsidRDefault="009E1830">
    <w:pPr>
      <w:pStyle w:val="En-tte"/>
    </w:pPr>
    <w:fldSimple w:instr=" TITLE  \* MERGEFORMAT ">
      <w:r>
        <w:t>ECE/TRANS/WP.15/AC.1/2023/48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3ED4" w14:textId="0C4316B8" w:rsidR="009E1830" w:rsidRPr="009E1830" w:rsidRDefault="009E1830" w:rsidP="009E1830">
    <w:pPr>
      <w:pStyle w:val="En-tte"/>
      <w:jc w:val="right"/>
    </w:pPr>
    <w:fldSimple w:instr=" TITLE  \* MERGEFORMAT ">
      <w:r>
        <w:t>ECE/TRANS/WP.15/AC.1/2023/48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68"/>
    <w:rsid w:val="00017F94"/>
    <w:rsid w:val="00023842"/>
    <w:rsid w:val="000334F9"/>
    <w:rsid w:val="00045FEB"/>
    <w:rsid w:val="0007796D"/>
    <w:rsid w:val="000B7790"/>
    <w:rsid w:val="00111F2F"/>
    <w:rsid w:val="0014365E"/>
    <w:rsid w:val="00143C66"/>
    <w:rsid w:val="00176178"/>
    <w:rsid w:val="001E3E7E"/>
    <w:rsid w:val="001F525A"/>
    <w:rsid w:val="00201148"/>
    <w:rsid w:val="00223272"/>
    <w:rsid w:val="0024779E"/>
    <w:rsid w:val="00257168"/>
    <w:rsid w:val="002713C9"/>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85368"/>
    <w:rsid w:val="0071601D"/>
    <w:rsid w:val="007A62E6"/>
    <w:rsid w:val="007F20FA"/>
    <w:rsid w:val="0080684C"/>
    <w:rsid w:val="00871C75"/>
    <w:rsid w:val="008776DC"/>
    <w:rsid w:val="008D5EF9"/>
    <w:rsid w:val="009446C0"/>
    <w:rsid w:val="009705C8"/>
    <w:rsid w:val="009C1CF4"/>
    <w:rsid w:val="009E1830"/>
    <w:rsid w:val="009F6B74"/>
    <w:rsid w:val="00A3029F"/>
    <w:rsid w:val="00A30353"/>
    <w:rsid w:val="00AC3823"/>
    <w:rsid w:val="00AE323C"/>
    <w:rsid w:val="00AF0CB5"/>
    <w:rsid w:val="00AF3081"/>
    <w:rsid w:val="00B00181"/>
    <w:rsid w:val="00B00B0D"/>
    <w:rsid w:val="00B45F2E"/>
    <w:rsid w:val="00B765F7"/>
    <w:rsid w:val="00B77993"/>
    <w:rsid w:val="00BA0CA9"/>
    <w:rsid w:val="00C02897"/>
    <w:rsid w:val="00C97039"/>
    <w:rsid w:val="00D31777"/>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BFFE3"/>
  <w15:docId w15:val="{7F9E11B1-2F84-4CAC-B547-C712B693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F308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731</Words>
  <Characters>4036</Characters>
  <Application>Microsoft Office Word</Application>
  <DocSecurity>0</DocSecurity>
  <Lines>85</Lines>
  <Paragraphs>38</Paragraphs>
  <ScaleCrop>false</ScaleCrop>
  <HeadingPairs>
    <vt:vector size="2" baseType="variant">
      <vt:variant>
        <vt:lpstr>Titre</vt:lpstr>
      </vt:variant>
      <vt:variant>
        <vt:i4>1</vt:i4>
      </vt:variant>
    </vt:vector>
  </HeadingPairs>
  <TitlesOfParts>
    <vt:vector size="1" baseType="lpstr">
      <vt:lpstr>ECE/TRANS/WP.15/AC.1/2023/48</vt:lpstr>
    </vt:vector>
  </TitlesOfParts>
  <Company>DCM</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ECE/TRANS/WP.15/AC.1/2023/48</dc:title>
  <dc:subject/>
  <dc:creator>Marie DESCHAMPS</dc:creator>
  <cp:keywords/>
  <cp:lastModifiedBy>Marie Deschamps</cp:lastModifiedBy>
  <cp:revision>2</cp:revision>
  <cp:lastPrinted>2014-05-14T10:59:00Z</cp:lastPrinted>
  <dcterms:created xsi:type="dcterms:W3CDTF">2023-07-24T08:44:00Z</dcterms:created>
  <dcterms:modified xsi:type="dcterms:W3CDTF">2023-07-24T08:44:00Z</dcterms:modified>
</cp:coreProperties>
</file>