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48C30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1188F1" w14:textId="77777777" w:rsidR="002D5AAC" w:rsidRDefault="002D5AAC" w:rsidP="00294C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BF4D2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000D06D" w14:textId="23C5BD90" w:rsidR="002D5AAC" w:rsidRDefault="00294CF1" w:rsidP="00294CF1">
            <w:pPr>
              <w:jc w:val="right"/>
            </w:pPr>
            <w:r w:rsidRPr="00294CF1">
              <w:rPr>
                <w:sz w:val="40"/>
              </w:rPr>
              <w:t>ECE</w:t>
            </w:r>
            <w:r>
              <w:t>/TRANS/WP.15/AC.1/2023/40</w:t>
            </w:r>
          </w:p>
        </w:tc>
      </w:tr>
      <w:tr w:rsidR="002D5AAC" w14:paraId="4EE70AD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6EF7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EBDDE6" wp14:editId="16ACC02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0C669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4F4950" w14:textId="77777777" w:rsidR="002D5AAC" w:rsidRDefault="00294C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B04BCA" w14:textId="77777777" w:rsidR="00294CF1" w:rsidRDefault="00294CF1" w:rsidP="00294C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July 2023</w:t>
            </w:r>
          </w:p>
          <w:p w14:paraId="09218A64" w14:textId="77777777" w:rsidR="00294CF1" w:rsidRDefault="00294CF1" w:rsidP="00294C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C78286" w14:textId="7254F58F" w:rsidR="00294CF1" w:rsidRPr="008D53B6" w:rsidRDefault="00294CF1" w:rsidP="00294C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97FB3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8A95F1" w14:textId="77777777" w:rsidR="00294CF1" w:rsidRPr="00294CF1" w:rsidRDefault="00294CF1" w:rsidP="00294CF1">
      <w:pPr>
        <w:spacing w:before="120"/>
        <w:rPr>
          <w:sz w:val="28"/>
          <w:szCs w:val="28"/>
        </w:rPr>
      </w:pPr>
      <w:r w:rsidRPr="00294CF1">
        <w:rPr>
          <w:sz w:val="28"/>
          <w:szCs w:val="28"/>
        </w:rPr>
        <w:t>Комитет по внутреннему транспорту</w:t>
      </w:r>
    </w:p>
    <w:p w14:paraId="37A71984" w14:textId="77777777" w:rsidR="00294CF1" w:rsidRPr="00294CF1" w:rsidRDefault="00294CF1" w:rsidP="00294CF1">
      <w:pPr>
        <w:spacing w:before="120"/>
        <w:rPr>
          <w:b/>
          <w:sz w:val="24"/>
          <w:szCs w:val="24"/>
        </w:rPr>
      </w:pPr>
      <w:r w:rsidRPr="00294CF1">
        <w:rPr>
          <w:b/>
          <w:bCs/>
          <w:sz w:val="24"/>
          <w:szCs w:val="24"/>
        </w:rPr>
        <w:t>Рабочая группа по перевозкам опасных грузов</w:t>
      </w:r>
    </w:p>
    <w:p w14:paraId="208AA410" w14:textId="4AC39AC4" w:rsidR="00294CF1" w:rsidRPr="00CB7A54" w:rsidRDefault="00294CF1" w:rsidP="00294CF1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01C4BBC1" w14:textId="3FA85C1A" w:rsidR="00294CF1" w:rsidRPr="00CB7A54" w:rsidRDefault="00294CF1" w:rsidP="00294CF1">
      <w:r>
        <w:t>Женева, 19</w:t>
      </w:r>
      <w:r>
        <w:rPr>
          <w:lang w:val="en-US"/>
        </w:rPr>
        <w:t>–</w:t>
      </w:r>
      <w:r>
        <w:t>29 сентября 2023 года</w:t>
      </w:r>
    </w:p>
    <w:p w14:paraId="73638898" w14:textId="77777777" w:rsidR="00294CF1" w:rsidRPr="00CB7A54" w:rsidRDefault="00294CF1" w:rsidP="00294CF1">
      <w:r>
        <w:t>Пункт 7 предварительной повестки дня</w:t>
      </w:r>
    </w:p>
    <w:p w14:paraId="4C7C12E0" w14:textId="77777777" w:rsidR="00294CF1" w:rsidRPr="00CB7A54" w:rsidRDefault="00294CF1" w:rsidP="00294CF1">
      <w:pPr>
        <w:rPr>
          <w:b/>
          <w:bCs/>
        </w:rPr>
      </w:pPr>
      <w:r>
        <w:rPr>
          <w:b/>
          <w:bCs/>
        </w:rPr>
        <w:t>Доклады неофициальных рабочих групп</w:t>
      </w:r>
    </w:p>
    <w:p w14:paraId="4EECFC42" w14:textId="77777777" w:rsidR="00294CF1" w:rsidRPr="00CB7A54" w:rsidRDefault="00294CF1" w:rsidP="00294CF1">
      <w:pPr>
        <w:pStyle w:val="HChG"/>
      </w:pPr>
      <w:r>
        <w:tab/>
      </w:r>
      <w:r>
        <w:tab/>
      </w:r>
      <w:r>
        <w:rPr>
          <w:bCs/>
        </w:rPr>
        <w:t>Доклад о работе второго совещания неофициальной рабочей группы по электронному обучению</w:t>
      </w:r>
    </w:p>
    <w:p w14:paraId="7496447E" w14:textId="76C4189E" w:rsidR="00294CF1" w:rsidRPr="00CB7A54" w:rsidRDefault="00294CF1" w:rsidP="00294CF1">
      <w:pPr>
        <w:pStyle w:val="H1G"/>
      </w:pPr>
      <w:r>
        <w:tab/>
      </w:r>
      <w:r>
        <w:tab/>
      </w:r>
      <w:r>
        <w:rPr>
          <w:bCs/>
        </w:rPr>
        <w:t>Передано правительством Германии и Международным союзом автомобильного транспорта (МСАТ)</w:t>
      </w:r>
      <w:r w:rsidRPr="00294CF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D34E32">
        <w:rPr>
          <w:b w:val="0"/>
          <w:bCs/>
          <w:sz w:val="20"/>
          <w:vertAlign w:val="superscript"/>
        </w:rPr>
        <w:t>,</w:t>
      </w:r>
      <w:r w:rsidRPr="00294CF1">
        <w:rPr>
          <w:rStyle w:val="aa"/>
          <w:b w:val="0"/>
          <w:bCs/>
          <w:sz w:val="20"/>
          <w:vertAlign w:val="baseline"/>
        </w:rPr>
        <w:t xml:space="preserve"> </w:t>
      </w:r>
      <w:r w:rsidRPr="00294CF1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43CE91C8" w14:textId="77777777" w:rsidR="00294CF1" w:rsidRPr="00CB7A54" w:rsidRDefault="00294CF1" w:rsidP="00294CF1">
      <w:pPr>
        <w:pStyle w:val="HChG"/>
        <w:rPr>
          <w:snapToGrid w:val="0"/>
        </w:rPr>
      </w:pPr>
      <w:r>
        <w:tab/>
      </w:r>
      <w:r>
        <w:tab/>
      </w:r>
      <w:r>
        <w:rPr>
          <w:bCs/>
        </w:rPr>
        <w:t>Введение</w:t>
      </w:r>
    </w:p>
    <w:p w14:paraId="66BB70CF" w14:textId="7F22AE21" w:rsidR="00294CF1" w:rsidRPr="00CB7A54" w:rsidRDefault="00294CF1" w:rsidP="00294CF1">
      <w:pPr>
        <w:pStyle w:val="SingleTxtG"/>
      </w:pPr>
      <w:r>
        <w:t>1.</w:t>
      </w:r>
      <w:r>
        <w:tab/>
        <w:t>В соответствии с мандатом, предоставленным Совместным совещанием на его весенней сессии 2022 года (неофициальный документ INF.13/Rev.1), 8 мая 2023 года в виртуальном режиме (Webex) состоялось второе совещание неофициальной рабочей группы (НРГ) по электронному обучению. Совещание проходило под председательством представителя МСАТ г-на А. Челаско, а функции заместителя Председателя выполнял представитель Германии</w:t>
      </w:r>
      <w:r>
        <w:t xml:space="preserve"> </w:t>
      </w:r>
      <w:r>
        <w:t>г-н М. Вайнер.</w:t>
      </w:r>
    </w:p>
    <w:p w14:paraId="19045805" w14:textId="1F8439C8" w:rsidR="00294CF1" w:rsidRPr="00CB7A54" w:rsidRDefault="00294CF1" w:rsidP="00294CF1">
      <w:pPr>
        <w:pStyle w:val="SingleTxtG"/>
      </w:pPr>
      <w:r>
        <w:t>2.</w:t>
      </w:r>
      <w:r>
        <w:tab/>
        <w:t xml:space="preserve">В совещании приняли участие представители следующих Договаривающихся сторон ДОПОГ и ВОПОГ: Австрии, Азербайджана, Бельгии, Германии, Дании, Испании, Италии, Латвии, Люксембурга, Нидерландов, Норвегии, Польши, Португалии, Словении, Соединенного Королевства, Финляндии, Франции, Швейцарии и Швеции. Были представлены следующие ассоциации: Швейцарская ассоциация автомобильного транспорта (АСТАГ), Европейский совет химической промышленности (ЕСХП), Европейский союз речного судоходства (ЕСРС), Европейская организация судоводителей (ЕОС), </w:t>
      </w:r>
      <w:r>
        <w:t>«</w:t>
      </w:r>
      <w:r>
        <w:t>Фьюэлз-Юроп</w:t>
      </w:r>
      <w:r>
        <w:t>»</w:t>
      </w:r>
      <w:r>
        <w:t>, МСАТ,</w:t>
      </w:r>
      <w:r>
        <w:t xml:space="preserve"> </w:t>
      </w:r>
      <w:r>
        <w:t>учебные организации Турции (ТОББ) и Нидерландов (</w:t>
      </w:r>
      <w:r>
        <w:t>«</w:t>
      </w:r>
      <w:r>
        <w:t>Трансейф</w:t>
      </w:r>
      <w:r>
        <w:t>»</w:t>
      </w:r>
      <w:r>
        <w:t>). Присутствовали также представители Европейской комиссии и ЕЭК ООН.</w:t>
      </w:r>
      <w:r w:rsidR="00054053">
        <w:t xml:space="preserve"> </w:t>
      </w:r>
      <w:r>
        <w:t>В общей сложности в работе совещания участвовали 27 человек.</w:t>
      </w:r>
    </w:p>
    <w:p w14:paraId="56B18956" w14:textId="77777777" w:rsidR="00294CF1" w:rsidRPr="00CB7A54" w:rsidRDefault="00294CF1" w:rsidP="00294CF1">
      <w:pPr>
        <w:pStyle w:val="HChG"/>
        <w:rPr>
          <w:bCs/>
        </w:rPr>
      </w:pPr>
      <w:r>
        <w:lastRenderedPageBreak/>
        <w:tab/>
      </w:r>
      <w:r>
        <w:tab/>
      </w:r>
      <w:r>
        <w:rPr>
          <w:bCs/>
        </w:rPr>
        <w:t>Работа совещания</w:t>
      </w:r>
    </w:p>
    <w:p w14:paraId="73EE9A0E" w14:textId="00CB84A0" w:rsidR="00294CF1" w:rsidRPr="00CB7A54" w:rsidRDefault="00294CF1" w:rsidP="00294CF1">
      <w:pPr>
        <w:pStyle w:val="SingleTxtG"/>
        <w:rPr>
          <w:rFonts w:cs="Arial"/>
        </w:rPr>
      </w:pPr>
      <w:r>
        <w:t>3.</w:t>
      </w:r>
      <w:r>
        <w:tab/>
        <w:t>После краткого сообщения о мандате и цели совещания, утверждения повестки дня и одобрения доклада о работе предыдущего совещания, состоявшегося 17 мая 2022</w:t>
      </w:r>
      <w:r>
        <w:t> </w:t>
      </w:r>
      <w:r>
        <w:t xml:space="preserve">года, Председатель напомнил участникам о положении о защите </w:t>
      </w:r>
      <w:r>
        <w:t>информации</w:t>
      </w:r>
      <w:r>
        <w:t xml:space="preserve"> (см. слайды в приложении I к неофициальному документу INF.4).</w:t>
      </w:r>
    </w:p>
    <w:p w14:paraId="239907EB" w14:textId="77777777" w:rsidR="00294CF1" w:rsidRPr="00CB7A54" w:rsidRDefault="00294CF1" w:rsidP="00294CF1">
      <w:pPr>
        <w:pStyle w:val="SingleTxtG"/>
        <w:rPr>
          <w:rFonts w:cs="Arial"/>
        </w:rPr>
      </w:pPr>
      <w:r>
        <w:t>4.</w:t>
      </w:r>
      <w:r>
        <w:tab/>
        <w:t>Председатель представил первый пункт повестки дня:</w:t>
      </w:r>
    </w:p>
    <w:p w14:paraId="40D18D86" w14:textId="7AF288E1" w:rsidR="00294CF1" w:rsidRPr="00A45B95" w:rsidRDefault="00294CF1" w:rsidP="00294CF1">
      <w:pPr>
        <w:pStyle w:val="Bullet1G"/>
        <w:numPr>
          <w:ilvl w:val="0"/>
          <w:numId w:val="0"/>
        </w:numPr>
        <w:tabs>
          <w:tab w:val="left" w:pos="1985"/>
        </w:tabs>
        <w:ind w:left="1701"/>
      </w:pPr>
      <w:r>
        <w:t>инвентаризация используемых форм электронного обучения водителей ДОПОГ/экспертов ВОПОГ:</w:t>
      </w:r>
    </w:p>
    <w:p w14:paraId="422F2EA3" w14:textId="35AC483F" w:rsidR="00294CF1" w:rsidRPr="00294CF1" w:rsidRDefault="00294CF1" w:rsidP="00294CF1">
      <w:pPr>
        <w:pStyle w:val="Bullet1G"/>
      </w:pPr>
      <w:r w:rsidRPr="00294CF1">
        <w:t>системы, уже реализованные различными Договаривающимися Сторонами ДОПОГ/ВОПОГ</w:t>
      </w:r>
      <w:r w:rsidR="00054053">
        <w:t>;</w:t>
      </w:r>
    </w:p>
    <w:p w14:paraId="271CFEB4" w14:textId="4B574186" w:rsidR="00294CF1" w:rsidRPr="00294CF1" w:rsidRDefault="00054053" w:rsidP="00294CF1">
      <w:pPr>
        <w:pStyle w:val="Bullet1G"/>
      </w:pPr>
      <w:r>
        <w:t>б</w:t>
      </w:r>
      <w:r w:rsidR="00294CF1" w:rsidRPr="00294CF1">
        <w:t>ыли приглашены два докладчика:</w:t>
      </w:r>
    </w:p>
    <w:p w14:paraId="1E6410EA" w14:textId="5C3AB6A8" w:rsidR="00294CF1" w:rsidRPr="00CB7A54" w:rsidRDefault="00294CF1" w:rsidP="00294CF1">
      <w:pPr>
        <w:pStyle w:val="Bullet2G"/>
        <w:numPr>
          <w:ilvl w:val="0"/>
          <w:numId w:val="23"/>
        </w:numPr>
      </w:pPr>
      <w:r>
        <w:t xml:space="preserve">г-н Барт Верваарт, менеджер по соблюдению требований и развитию, </w:t>
      </w:r>
      <w:r>
        <w:t>«</w:t>
      </w:r>
      <w:r>
        <w:t>ТРАНСЕЙФ</w:t>
      </w:r>
      <w:r>
        <w:t>»</w:t>
      </w:r>
      <w:r>
        <w:t>;</w:t>
      </w:r>
    </w:p>
    <w:p w14:paraId="7FE9AC75" w14:textId="77777777" w:rsidR="00294CF1" w:rsidRPr="00CB7A54" w:rsidRDefault="00294CF1" w:rsidP="00294CF1">
      <w:pPr>
        <w:pStyle w:val="Bullet2G"/>
        <w:numPr>
          <w:ilvl w:val="0"/>
          <w:numId w:val="23"/>
        </w:numPr>
      </w:pPr>
      <w:r>
        <w:t xml:space="preserve">г-н Питер Хэри, специалист по опасным грузам и безопасности, АСТАГ. </w:t>
      </w:r>
    </w:p>
    <w:p w14:paraId="428A0156" w14:textId="1FD9DE0C" w:rsidR="00294CF1" w:rsidRPr="00CB7A54" w:rsidRDefault="00294CF1" w:rsidP="00294CF1">
      <w:pPr>
        <w:pStyle w:val="H23G"/>
        <w:rPr>
          <w:rFonts w:cs="Arial"/>
          <w:b w:val="0"/>
        </w:rPr>
      </w:pPr>
      <w:r>
        <w:tab/>
      </w:r>
      <w:r>
        <w:tab/>
      </w:r>
      <w:r>
        <w:rPr>
          <w:bCs/>
        </w:rPr>
        <w:t xml:space="preserve">Первое выступление на тему </w:t>
      </w:r>
      <w:r>
        <w:rPr>
          <w:bCs/>
        </w:rPr>
        <w:t>«</w:t>
      </w:r>
      <w:r>
        <w:rPr>
          <w:bCs/>
        </w:rPr>
        <w:t>Электронное обучение</w:t>
      </w:r>
      <w:r>
        <w:rPr>
          <w:bCs/>
        </w:rPr>
        <w:t>»</w:t>
      </w:r>
      <w:r>
        <w:rPr>
          <w:bCs/>
        </w:rPr>
        <w:t xml:space="preserve"> г-на Барта Верваарта </w:t>
      </w:r>
      <w:r w:rsidRPr="00A40EAD">
        <w:rPr>
          <w:b w:val="0"/>
        </w:rPr>
        <w:t>(слайды представлены в приложении II к неофициальному документу INF.4)</w:t>
      </w:r>
    </w:p>
    <w:p w14:paraId="43620B65" w14:textId="77777777" w:rsidR="00294CF1" w:rsidRPr="00CB7A54" w:rsidRDefault="00294CF1" w:rsidP="00294CF1">
      <w:pPr>
        <w:pStyle w:val="SingleTxtG"/>
        <w:rPr>
          <w:rFonts w:cs="Arial"/>
        </w:rPr>
      </w:pPr>
      <w:bookmarkStart w:id="0" w:name="_Hlk107558515"/>
      <w:r>
        <w:t>5.</w:t>
      </w:r>
      <w:r>
        <w:tab/>
        <w:t>Выступление г-на Верваарта было посвящено основным преимуществам и недостаткам электронного обучения.</w:t>
      </w:r>
    </w:p>
    <w:p w14:paraId="235C02A7" w14:textId="77777777" w:rsidR="00294CF1" w:rsidRPr="00CB7A54" w:rsidRDefault="00294CF1" w:rsidP="00294CF1">
      <w:pPr>
        <w:pStyle w:val="Bullet1G"/>
        <w:numPr>
          <w:ilvl w:val="0"/>
          <w:numId w:val="22"/>
        </w:numPr>
        <w:tabs>
          <w:tab w:val="clear" w:pos="1701"/>
          <w:tab w:val="left" w:pos="1985"/>
        </w:tabs>
        <w:ind w:firstLine="0"/>
      </w:pPr>
      <w:r w:rsidRPr="007504E2">
        <w:rPr>
          <w:u w:val="single"/>
        </w:rPr>
        <w:t>Основными преимуществами</w:t>
      </w:r>
      <w:r>
        <w:t xml:space="preserve"> электронного обучения являются:</w:t>
      </w:r>
    </w:p>
    <w:p w14:paraId="1BDE75CB" w14:textId="77777777" w:rsidR="00294CF1" w:rsidRPr="00BF0FCD" w:rsidRDefault="00294CF1" w:rsidP="00294CF1">
      <w:pPr>
        <w:pStyle w:val="Bullet2G"/>
        <w:numPr>
          <w:ilvl w:val="0"/>
          <w:numId w:val="23"/>
        </w:numPr>
      </w:pPr>
      <w:r>
        <w:t>обучение в свободное время,</w:t>
      </w:r>
    </w:p>
    <w:p w14:paraId="4059BE45" w14:textId="77777777" w:rsidR="00294CF1" w:rsidRPr="00CB7A54" w:rsidRDefault="00294CF1" w:rsidP="00294CF1">
      <w:pPr>
        <w:pStyle w:val="Bullet2G"/>
        <w:numPr>
          <w:ilvl w:val="0"/>
          <w:numId w:val="23"/>
        </w:numPr>
      </w:pPr>
      <w:r>
        <w:t>обучение в удобное для слушателя время,</w:t>
      </w:r>
    </w:p>
    <w:p w14:paraId="4DE52885" w14:textId="77777777" w:rsidR="00294CF1" w:rsidRPr="00BF0FCD" w:rsidRDefault="00294CF1" w:rsidP="00294CF1">
      <w:pPr>
        <w:pStyle w:val="Bullet2G"/>
        <w:numPr>
          <w:ilvl w:val="0"/>
          <w:numId w:val="23"/>
        </w:numPr>
      </w:pPr>
      <w:r>
        <w:t>обучение в собственном темпе,</w:t>
      </w:r>
    </w:p>
    <w:p w14:paraId="6B504CC8" w14:textId="77777777" w:rsidR="00294CF1" w:rsidRPr="00CB7A54" w:rsidRDefault="00294CF1" w:rsidP="00294CF1">
      <w:pPr>
        <w:pStyle w:val="Bullet2G"/>
        <w:numPr>
          <w:ilvl w:val="0"/>
          <w:numId w:val="23"/>
        </w:numPr>
      </w:pPr>
      <w:r>
        <w:t>обучение в течение непродолжительных периодов времени, благодаря чему повышается концентрация внимания,</w:t>
      </w:r>
    </w:p>
    <w:p w14:paraId="029E8607" w14:textId="77777777" w:rsidR="00294CF1" w:rsidRPr="00BF0FCD" w:rsidRDefault="00294CF1" w:rsidP="00294CF1">
      <w:pPr>
        <w:pStyle w:val="Bullet2G"/>
        <w:numPr>
          <w:ilvl w:val="0"/>
          <w:numId w:val="23"/>
        </w:numPr>
      </w:pPr>
      <w:r>
        <w:t>неограниченное повторение,</w:t>
      </w:r>
    </w:p>
    <w:p w14:paraId="16886747" w14:textId="77777777" w:rsidR="00294CF1" w:rsidRDefault="00294CF1" w:rsidP="00294CF1">
      <w:pPr>
        <w:pStyle w:val="Bullet2G"/>
        <w:numPr>
          <w:ilvl w:val="0"/>
          <w:numId w:val="23"/>
        </w:numPr>
      </w:pPr>
      <w:r>
        <w:t>различные стили обучения.</w:t>
      </w:r>
    </w:p>
    <w:p w14:paraId="09EED322" w14:textId="77777777" w:rsidR="00294CF1" w:rsidRPr="00CB7A54" w:rsidRDefault="00294CF1" w:rsidP="00294CF1">
      <w:pPr>
        <w:pStyle w:val="Bullet1G"/>
        <w:numPr>
          <w:ilvl w:val="0"/>
          <w:numId w:val="22"/>
        </w:numPr>
        <w:tabs>
          <w:tab w:val="clear" w:pos="1701"/>
          <w:tab w:val="left" w:pos="1985"/>
        </w:tabs>
        <w:ind w:firstLine="0"/>
      </w:pPr>
      <w:r w:rsidRPr="007504E2">
        <w:rPr>
          <w:u w:val="single"/>
        </w:rPr>
        <w:t>Основные недостатки</w:t>
      </w:r>
      <w:r>
        <w:t xml:space="preserve"> электронного обучения</w:t>
      </w:r>
      <w:r w:rsidRPr="00C2431F">
        <w:t xml:space="preserve"> </w:t>
      </w:r>
      <w:r>
        <w:t xml:space="preserve">включают: </w:t>
      </w:r>
    </w:p>
    <w:p w14:paraId="2A267CA5" w14:textId="77777777" w:rsidR="00294CF1" w:rsidRPr="00BF0FCD" w:rsidRDefault="00294CF1" w:rsidP="00294CF1">
      <w:pPr>
        <w:pStyle w:val="Bullet2G"/>
        <w:numPr>
          <w:ilvl w:val="0"/>
          <w:numId w:val="23"/>
        </w:numPr>
      </w:pPr>
      <w:r>
        <w:t>необходимость самомотивации,</w:t>
      </w:r>
    </w:p>
    <w:p w14:paraId="21888FBF" w14:textId="77777777" w:rsidR="00294CF1" w:rsidRPr="00BF0FCD" w:rsidRDefault="00294CF1" w:rsidP="00294CF1">
      <w:pPr>
        <w:pStyle w:val="Bullet2G"/>
        <w:numPr>
          <w:ilvl w:val="0"/>
          <w:numId w:val="23"/>
        </w:numPr>
      </w:pPr>
      <w:r>
        <w:t>отсутствие сокурсников,</w:t>
      </w:r>
    </w:p>
    <w:p w14:paraId="0EFF6902" w14:textId="77777777" w:rsidR="00294CF1" w:rsidRPr="00BF0FCD" w:rsidRDefault="00294CF1" w:rsidP="00294CF1">
      <w:pPr>
        <w:pStyle w:val="Bullet2G"/>
        <w:numPr>
          <w:ilvl w:val="0"/>
          <w:numId w:val="23"/>
        </w:numPr>
      </w:pPr>
      <w:r>
        <w:t>отсутствие непосредственной обратной связи,</w:t>
      </w:r>
    </w:p>
    <w:p w14:paraId="776C244D" w14:textId="77777777" w:rsidR="00294CF1" w:rsidRDefault="00294CF1" w:rsidP="00294CF1">
      <w:pPr>
        <w:pStyle w:val="Bullet2G"/>
        <w:numPr>
          <w:ilvl w:val="0"/>
          <w:numId w:val="23"/>
        </w:numPr>
        <w:rPr>
          <w:rFonts w:cs="Arial"/>
        </w:rPr>
      </w:pPr>
      <w:r>
        <w:t>отсутствие практических занятий.</w:t>
      </w:r>
    </w:p>
    <w:p w14:paraId="0AB98F1E" w14:textId="77777777" w:rsidR="00294CF1" w:rsidRPr="00CB7A54" w:rsidRDefault="00294CF1" w:rsidP="00294CF1">
      <w:pPr>
        <w:pStyle w:val="SingleTxtG"/>
        <w:rPr>
          <w:rFonts w:cs="Arial"/>
        </w:rPr>
      </w:pPr>
      <w:r>
        <w:t>6.</w:t>
      </w:r>
      <w:r>
        <w:tab/>
        <w:t xml:space="preserve">Идея работы над концепцией гибридного электронного обучения обсуждалась в положительном ключе: </w:t>
      </w:r>
    </w:p>
    <w:p w14:paraId="0BB4302B" w14:textId="42903BD2" w:rsidR="00294CF1" w:rsidRPr="00CB7A54" w:rsidRDefault="00294CF1" w:rsidP="00294CF1">
      <w:pPr>
        <w:pStyle w:val="Bullet1G"/>
        <w:numPr>
          <w:ilvl w:val="0"/>
          <w:numId w:val="0"/>
        </w:numPr>
        <w:ind w:left="1134" w:firstLine="567"/>
      </w:pPr>
      <w:r>
        <w:t>a)</w:t>
      </w:r>
      <w:r>
        <w:tab/>
        <w:t>обучающийся может изучать определенные модули в онлайновом режиме, и ему может быть предложено предварительное онлайновое тестирование</w:t>
      </w:r>
      <w:r>
        <w:t xml:space="preserve"> </w:t>
      </w:r>
      <w:r>
        <w:t>перед официальным экзаменом в аудитории;</w:t>
      </w:r>
    </w:p>
    <w:p w14:paraId="1AA892ED" w14:textId="77777777" w:rsidR="00294CF1" w:rsidRPr="00CB7A54" w:rsidRDefault="00294CF1" w:rsidP="00294CF1">
      <w:pPr>
        <w:pStyle w:val="Bullet1G"/>
        <w:numPr>
          <w:ilvl w:val="0"/>
          <w:numId w:val="0"/>
        </w:numPr>
        <w:ind w:left="1134" w:firstLine="567"/>
      </w:pPr>
      <w:r>
        <w:t>b)</w:t>
      </w:r>
      <w:r>
        <w:tab/>
        <w:t>модули могут ограничиваться только курсами повышения квалификации, например, они могут НЕ включать в себя никаких практических испытаний.</w:t>
      </w:r>
    </w:p>
    <w:bookmarkEnd w:id="0"/>
    <w:p w14:paraId="50195581" w14:textId="5B747DE2" w:rsidR="00294CF1" w:rsidRPr="00CB7A54" w:rsidRDefault="00294CF1" w:rsidP="00294CF1">
      <w:pPr>
        <w:pStyle w:val="H23G"/>
        <w:rPr>
          <w:rFonts w:cs="Arial"/>
          <w:b w:val="0"/>
          <w:bCs/>
        </w:rPr>
      </w:pPr>
      <w:r>
        <w:tab/>
      </w:r>
      <w:r>
        <w:tab/>
        <w:t xml:space="preserve">Второе выступление на тему </w:t>
      </w:r>
      <w:r>
        <w:t>«</w:t>
      </w:r>
      <w:r>
        <w:t>Электронное обучение</w:t>
      </w:r>
      <w:r>
        <w:t>»</w:t>
      </w:r>
      <w:r>
        <w:t xml:space="preserve"> г-на Питера Хэри </w:t>
      </w:r>
      <w:r w:rsidRPr="008156F9">
        <w:rPr>
          <w:b w:val="0"/>
          <w:bCs/>
        </w:rPr>
        <w:t>(слайды представлены в приложении III к неофициальному документу INF.4)</w:t>
      </w:r>
    </w:p>
    <w:p w14:paraId="76F213AC" w14:textId="77777777" w:rsidR="00294CF1" w:rsidRPr="00CB7A54" w:rsidRDefault="00294CF1" w:rsidP="00294CF1">
      <w:pPr>
        <w:pStyle w:val="SingleTxtG"/>
      </w:pPr>
      <w:r>
        <w:t>7.</w:t>
      </w:r>
      <w:r>
        <w:tab/>
        <w:t>В своем выступлении г-н Хэри рассказал об опыте АСТАГ в области электронного обучения и проинформировал НРГ о его преимуществах для предприятий и слушателей курсов.</w:t>
      </w:r>
    </w:p>
    <w:p w14:paraId="3FE99735" w14:textId="77777777" w:rsidR="00294CF1" w:rsidRPr="002F1DDF" w:rsidRDefault="00294CF1" w:rsidP="00294CF1">
      <w:pPr>
        <w:pStyle w:val="Bullet1G"/>
        <w:numPr>
          <w:ilvl w:val="0"/>
          <w:numId w:val="22"/>
        </w:numPr>
        <w:tabs>
          <w:tab w:val="clear" w:pos="1701"/>
          <w:tab w:val="left" w:pos="1985"/>
        </w:tabs>
        <w:ind w:left="1985" w:hanging="284"/>
      </w:pPr>
      <w:r>
        <w:lastRenderedPageBreak/>
        <w:t>Преимущества для предприятий:</w:t>
      </w:r>
    </w:p>
    <w:p w14:paraId="7F5AB17A" w14:textId="77777777" w:rsidR="00294CF1" w:rsidRPr="001F04C1" w:rsidRDefault="00294CF1" w:rsidP="00294CF1">
      <w:pPr>
        <w:pStyle w:val="Bullet2G"/>
        <w:numPr>
          <w:ilvl w:val="0"/>
          <w:numId w:val="23"/>
        </w:numPr>
      </w:pPr>
      <w:r>
        <w:t>увеличение числа квалифицированных кадров,</w:t>
      </w:r>
    </w:p>
    <w:p w14:paraId="5557A4BB" w14:textId="77777777" w:rsidR="00294CF1" w:rsidRPr="00CB7A54" w:rsidRDefault="00294CF1" w:rsidP="00294CF1">
      <w:pPr>
        <w:pStyle w:val="Bullet2G"/>
        <w:numPr>
          <w:ilvl w:val="0"/>
          <w:numId w:val="23"/>
        </w:numPr>
      </w:pPr>
      <w:r>
        <w:t>меньше усилий по организации дальнейшего обучения,</w:t>
      </w:r>
    </w:p>
    <w:p w14:paraId="1E578D40" w14:textId="77777777" w:rsidR="00294CF1" w:rsidRPr="001F04C1" w:rsidRDefault="00294CF1" w:rsidP="00294CF1">
      <w:pPr>
        <w:pStyle w:val="Bullet2G"/>
        <w:numPr>
          <w:ilvl w:val="0"/>
          <w:numId w:val="23"/>
        </w:numPr>
      </w:pPr>
      <w:r>
        <w:t>снижение затрат,</w:t>
      </w:r>
    </w:p>
    <w:p w14:paraId="1FD298A2" w14:textId="77777777" w:rsidR="00294CF1" w:rsidRPr="001F04C1" w:rsidRDefault="00294CF1" w:rsidP="00294CF1">
      <w:pPr>
        <w:pStyle w:val="Bullet2G"/>
        <w:numPr>
          <w:ilvl w:val="0"/>
          <w:numId w:val="23"/>
        </w:numPr>
      </w:pPr>
      <w:r>
        <w:t>более четкое управление персоналом,</w:t>
      </w:r>
    </w:p>
    <w:p w14:paraId="6D364428" w14:textId="77777777" w:rsidR="00294CF1" w:rsidRPr="00CB7A54" w:rsidRDefault="00294CF1" w:rsidP="00294CF1">
      <w:pPr>
        <w:pStyle w:val="Bullet2G"/>
        <w:numPr>
          <w:ilvl w:val="0"/>
          <w:numId w:val="23"/>
        </w:numPr>
      </w:pPr>
      <w:r>
        <w:t>сокращение времени отсутствия на рабочем месте.</w:t>
      </w:r>
    </w:p>
    <w:p w14:paraId="55E1B368" w14:textId="77777777" w:rsidR="00294CF1" w:rsidRPr="00C16ABC" w:rsidRDefault="00294CF1" w:rsidP="00294CF1">
      <w:pPr>
        <w:pStyle w:val="Bullet1G"/>
        <w:numPr>
          <w:ilvl w:val="0"/>
          <w:numId w:val="22"/>
        </w:numPr>
        <w:tabs>
          <w:tab w:val="clear" w:pos="1701"/>
          <w:tab w:val="left" w:pos="1985"/>
        </w:tabs>
        <w:ind w:left="1985" w:hanging="284"/>
      </w:pPr>
      <w:r>
        <w:t>Преимущества для слушателей курса:</w:t>
      </w:r>
    </w:p>
    <w:p w14:paraId="4EAC86CE" w14:textId="77777777" w:rsidR="00294CF1" w:rsidRPr="001F04C1" w:rsidRDefault="00294CF1" w:rsidP="00294CF1">
      <w:pPr>
        <w:pStyle w:val="Bullet2G"/>
        <w:numPr>
          <w:ilvl w:val="0"/>
          <w:numId w:val="23"/>
        </w:numPr>
      </w:pPr>
      <w:r>
        <w:t xml:space="preserve">обучение без географической привязки, </w:t>
      </w:r>
    </w:p>
    <w:p w14:paraId="4BBC6780" w14:textId="77777777" w:rsidR="00294CF1" w:rsidRPr="001F04C1" w:rsidRDefault="00294CF1" w:rsidP="00294CF1">
      <w:pPr>
        <w:pStyle w:val="Bullet2G"/>
        <w:numPr>
          <w:ilvl w:val="0"/>
          <w:numId w:val="23"/>
        </w:numPr>
      </w:pPr>
      <w:r>
        <w:t>обучение в собственном темпе,</w:t>
      </w:r>
    </w:p>
    <w:p w14:paraId="15DB6B1A" w14:textId="77777777" w:rsidR="00294CF1" w:rsidRPr="00CB7A54" w:rsidRDefault="00294CF1" w:rsidP="00294CF1">
      <w:pPr>
        <w:pStyle w:val="Bullet2G"/>
        <w:numPr>
          <w:ilvl w:val="0"/>
          <w:numId w:val="23"/>
        </w:numPr>
      </w:pPr>
      <w:r>
        <w:t>более качественная подготовка к занятиям,</w:t>
      </w:r>
    </w:p>
    <w:p w14:paraId="1DA87081" w14:textId="77777777" w:rsidR="00294CF1" w:rsidRPr="001F04C1" w:rsidRDefault="00294CF1" w:rsidP="00294CF1">
      <w:pPr>
        <w:pStyle w:val="Bullet2G"/>
        <w:numPr>
          <w:ilvl w:val="0"/>
          <w:numId w:val="23"/>
        </w:numPr>
      </w:pPr>
      <w:r>
        <w:t>интенсивное обсуждение изучаемых тем,</w:t>
      </w:r>
    </w:p>
    <w:p w14:paraId="61F0D735" w14:textId="77777777" w:rsidR="00294CF1" w:rsidRPr="00CB7A54" w:rsidRDefault="00294CF1" w:rsidP="00294CF1">
      <w:pPr>
        <w:pStyle w:val="Bullet2G"/>
        <w:numPr>
          <w:ilvl w:val="0"/>
          <w:numId w:val="23"/>
        </w:numPr>
      </w:pPr>
      <w:r>
        <w:t>более высокий уровень мотивации у слушателей,</w:t>
      </w:r>
    </w:p>
    <w:p w14:paraId="6F7CFDFE" w14:textId="77777777" w:rsidR="00294CF1" w:rsidRPr="00CB7A54" w:rsidRDefault="00294CF1" w:rsidP="00294CF1">
      <w:pPr>
        <w:pStyle w:val="Bullet2G"/>
        <w:numPr>
          <w:ilvl w:val="0"/>
          <w:numId w:val="23"/>
        </w:numPr>
      </w:pPr>
      <w:r>
        <w:t>меньше затрат времени на посещение курсов.</w:t>
      </w:r>
    </w:p>
    <w:p w14:paraId="2928EF23" w14:textId="77777777" w:rsidR="00294CF1" w:rsidRPr="00CB7A54" w:rsidRDefault="00294CF1" w:rsidP="00294CF1">
      <w:pPr>
        <w:pStyle w:val="SingleTxtG"/>
      </w:pPr>
      <w:r>
        <w:t>8.</w:t>
      </w:r>
      <w:r>
        <w:tab/>
        <w:t>Был поднят вопрос о том, проводится ли обучение в рабочее время участника или же в свободное от работы время. В секторе внутреннего судоходства большинство специалистов проходят обучение в свободное от работы время, так как работодатель может не иметь возможности организовать им замену на борту.</w:t>
      </w:r>
    </w:p>
    <w:p w14:paraId="226AE0EB" w14:textId="77777777" w:rsidR="00294CF1" w:rsidRPr="00CB7A54" w:rsidRDefault="00294CF1" w:rsidP="00294CF1">
      <w:pPr>
        <w:pStyle w:val="SingleTxtG"/>
      </w:pPr>
      <w:r>
        <w:t>9.</w:t>
      </w:r>
      <w:r>
        <w:tab/>
        <w:t>В ходе последующего обсуждения выяснилось, что утверждение и контроль применительно к любой форме электронного обучения сопряжены с бóльшими трудностями, нежели организация такой подготовки учебными заведениями. Было отмечено, что для учебных заведений финансирование предложений в области электронного обучения остается сложной задачей.</w:t>
      </w:r>
    </w:p>
    <w:p w14:paraId="79434A9E" w14:textId="77777777" w:rsidR="00294CF1" w:rsidRPr="00CB7A54" w:rsidRDefault="00294CF1" w:rsidP="00294CF1">
      <w:pPr>
        <w:pStyle w:val="SingleTxtG"/>
      </w:pPr>
      <w:r>
        <w:t>10.</w:t>
      </w:r>
      <w:r>
        <w:tab/>
        <w:t>После обсуждения представитель Германии предложил другим делегациям представить информацию о своих правовых или административных положениях или постановлениях об утверждении электронных учебных курсов с целью определения форматов, подходящих для ДОПОГ и ВОПОГ, и минимальных требованиях для поддержания единых параметров качества и обеспечения сопоставимости между Договаривающимися сторонами ДОПОГ и ВОПОГ. Делегаты Швейцарии, Нидерландов и Польши сообщили, что представят эти сведения.</w:t>
      </w:r>
    </w:p>
    <w:p w14:paraId="259298E5" w14:textId="77777777" w:rsidR="00294CF1" w:rsidRPr="00CB7A54" w:rsidRDefault="00294CF1" w:rsidP="00294CF1">
      <w:pPr>
        <w:pStyle w:val="SingleTxtG"/>
      </w:pPr>
      <w:r>
        <w:t>11.</w:t>
      </w:r>
      <w:r>
        <w:tab/>
        <w:t>Идентификация участников была отмечена в числе важных составляющих надежности обучения.</w:t>
      </w:r>
    </w:p>
    <w:p w14:paraId="040048A9" w14:textId="14D48CDD" w:rsidR="00294CF1" w:rsidRPr="00CB7A54" w:rsidRDefault="00294CF1" w:rsidP="00294CF1">
      <w:pPr>
        <w:pStyle w:val="SingleTxtG"/>
      </w:pPr>
      <w:r>
        <w:t>12.</w:t>
      </w:r>
      <w:r>
        <w:tab/>
        <w:t xml:space="preserve">По мнению большинства делегатов, электронное обучение </w:t>
      </w:r>
      <w:r>
        <w:t>—</w:t>
      </w:r>
      <w:r>
        <w:t xml:space="preserve"> в случае его</w:t>
      </w:r>
      <w:r>
        <w:t xml:space="preserve"> </w:t>
      </w:r>
      <w:r>
        <w:t xml:space="preserve">принятия </w:t>
      </w:r>
      <w:r>
        <w:t>—</w:t>
      </w:r>
      <w:r>
        <w:t xml:space="preserve"> должно ограничиваться курсами повышения квалификации. Мнения о том, может ли электронное обучение быть подходящим форматом для курсов начальной подготовки, разделились.</w:t>
      </w:r>
    </w:p>
    <w:p w14:paraId="19F0291A" w14:textId="77777777" w:rsidR="00294CF1" w:rsidRPr="00CB7A54" w:rsidRDefault="00294CF1" w:rsidP="00294CF1">
      <w:pPr>
        <w:pStyle w:val="SingleTxtG"/>
      </w:pPr>
      <w:r>
        <w:t>13.</w:t>
      </w:r>
      <w:r>
        <w:tab/>
        <w:t>Представители Австрии, Финляндии, Португалии и Соединенного Королевства проинформировали НРГ о том, что в их странах различные форматы электронного обучения для базовых курсов, а также для курсов повышения квалификации водителей ДОПОГ утверждаются компетентными органами и впоследствии предлагаются частными или государственными учебными заведениями при условии, что практическая часть обучения проводится в очной форме. Подробной информации о том, какими параметрами руководствуются компетентные органы при утверждении программ электронного обучения, представлено не было.</w:t>
      </w:r>
    </w:p>
    <w:p w14:paraId="2D659CA5" w14:textId="71693F17" w:rsidR="00294CF1" w:rsidRPr="00CB7A54" w:rsidRDefault="00294CF1" w:rsidP="00294CF1">
      <w:pPr>
        <w:pStyle w:val="SingleTxtG"/>
      </w:pPr>
      <w:r>
        <w:t>14.</w:t>
      </w:r>
      <w:r>
        <w:tab/>
        <w:t xml:space="preserve">Современная тенденция заключается в сочетании модулей электронного обучения с очными занятиями, часто именуемом </w:t>
      </w:r>
      <w:r>
        <w:t>«</w:t>
      </w:r>
      <w:r>
        <w:t>смешанным обучением</w:t>
      </w:r>
      <w:r>
        <w:t>»</w:t>
      </w:r>
      <w:r>
        <w:t>. Кроме того, новые положения об электронном обучении (электронном компоненте обучения) не должны быть более подробными и жесткими, чем существующие положения об очном обучении.</w:t>
      </w:r>
    </w:p>
    <w:p w14:paraId="2E372362" w14:textId="77777777" w:rsidR="00294CF1" w:rsidRPr="00CB7A54" w:rsidRDefault="00294CF1" w:rsidP="00294CF1">
      <w:pPr>
        <w:pStyle w:val="HChG"/>
      </w:pPr>
      <w:r>
        <w:lastRenderedPageBreak/>
        <w:tab/>
      </w:r>
      <w:r>
        <w:tab/>
      </w:r>
      <w:r>
        <w:rPr>
          <w:bCs/>
        </w:rPr>
        <w:t>Последующие действия</w:t>
      </w:r>
    </w:p>
    <w:p w14:paraId="14553E58" w14:textId="77777777" w:rsidR="00294CF1" w:rsidRPr="00CB7A54" w:rsidRDefault="00294CF1" w:rsidP="00294CF1">
      <w:pPr>
        <w:pStyle w:val="SingleTxtG"/>
        <w:rPr>
          <w:rFonts w:cs="Arial"/>
        </w:rPr>
      </w:pPr>
      <w:r>
        <w:t>15.</w:t>
      </w:r>
      <w:r>
        <w:tab/>
        <w:t>Участники договорились обменяться информацией о национальных правилах сертификации электронного обучения. На сегодняшний день Председатель получил материалы, представленные в качестве справочной информации в приложении IV к неофициальному документу INF.4.</w:t>
      </w:r>
    </w:p>
    <w:p w14:paraId="25458458" w14:textId="5FFBF49E" w:rsidR="00294CF1" w:rsidRPr="00CB7A54" w:rsidRDefault="00294CF1" w:rsidP="00294CF1">
      <w:pPr>
        <w:pStyle w:val="SingleTxtG"/>
        <w:rPr>
          <w:rFonts w:cs="Arial"/>
        </w:rPr>
      </w:pPr>
      <w:r>
        <w:t>16.</w:t>
      </w:r>
      <w:r>
        <w:tab/>
        <w:t xml:space="preserve">В качестве второго шага Совместное совещание может дать дополнительный мандат на оценку того, какие из представленных форматов уже охвачены национальными утверждениями и каковы основные условия получения таких утверждений, рассмотрение необходимости внесения поправок в предписания ДОПОГ и ВОПОГ, создание единой и четкой основы для электронного обучения во всех Договаривающихся сторонах, и подготовку </w:t>
      </w:r>
      <w:r>
        <w:t>—</w:t>
      </w:r>
      <w:r>
        <w:t xml:space="preserve"> по результатам этой оценки</w:t>
      </w:r>
      <w:r>
        <w:t xml:space="preserve"> — </w:t>
      </w:r>
      <w:r>
        <w:t>проекта соответствующих поправок для изданий ДОПОГ и ВОПОГ 2025 года, которые будут обсуждаться Совместным совещанием на его весенней сессии в 2024 году.</w:t>
      </w:r>
    </w:p>
    <w:p w14:paraId="76F2FDA8" w14:textId="77777777" w:rsidR="00294CF1" w:rsidRPr="00CB7A54" w:rsidRDefault="00294CF1" w:rsidP="00294CF1">
      <w:pPr>
        <w:pStyle w:val="SingleTxtG"/>
      </w:pPr>
      <w:r>
        <w:t>17.</w:t>
      </w:r>
      <w:r>
        <w:tab/>
        <w:t>Следующее совещание НРГ (в очном или смешанном формате) запланировано на октябрь 2023 года.</w:t>
      </w:r>
    </w:p>
    <w:p w14:paraId="31B139B8" w14:textId="77777777" w:rsidR="00294CF1" w:rsidRDefault="00294CF1" w:rsidP="00294CF1">
      <w:pPr>
        <w:spacing w:before="240"/>
        <w:jc w:val="center"/>
        <w:rPr>
          <w:u w:val="single"/>
        </w:rPr>
      </w:pPr>
      <w:r w:rsidRPr="00CB7A54">
        <w:rPr>
          <w:u w:val="single"/>
        </w:rPr>
        <w:tab/>
      </w:r>
      <w:r w:rsidRPr="00CB7A54">
        <w:rPr>
          <w:u w:val="single"/>
        </w:rPr>
        <w:tab/>
      </w:r>
      <w:r w:rsidRPr="00CB7A54">
        <w:rPr>
          <w:u w:val="single"/>
        </w:rPr>
        <w:tab/>
      </w:r>
    </w:p>
    <w:p w14:paraId="3703552C" w14:textId="090576F5" w:rsidR="00E12C5F" w:rsidRPr="008D53B6" w:rsidRDefault="00E12C5F" w:rsidP="00D9145B"/>
    <w:sectPr w:rsidR="00E12C5F" w:rsidRPr="008D53B6" w:rsidSect="00294C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7482" w14:textId="77777777" w:rsidR="00E46099" w:rsidRPr="00A312BC" w:rsidRDefault="00E46099" w:rsidP="00A312BC"/>
  </w:endnote>
  <w:endnote w:type="continuationSeparator" w:id="0">
    <w:p w14:paraId="2870E2D4" w14:textId="77777777" w:rsidR="00E46099" w:rsidRPr="00A312BC" w:rsidRDefault="00E460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AE60" w14:textId="63EC33F4" w:rsidR="00294CF1" w:rsidRPr="00294CF1" w:rsidRDefault="00294CF1">
    <w:pPr>
      <w:pStyle w:val="a8"/>
    </w:pPr>
    <w:r w:rsidRPr="00294CF1">
      <w:rPr>
        <w:b/>
        <w:sz w:val="18"/>
      </w:rPr>
      <w:fldChar w:fldCharType="begin"/>
    </w:r>
    <w:r w:rsidRPr="00294CF1">
      <w:rPr>
        <w:b/>
        <w:sz w:val="18"/>
      </w:rPr>
      <w:instrText xml:space="preserve"> PAGE  \* MERGEFORMAT </w:instrText>
    </w:r>
    <w:r w:rsidRPr="00294CF1">
      <w:rPr>
        <w:b/>
        <w:sz w:val="18"/>
      </w:rPr>
      <w:fldChar w:fldCharType="separate"/>
    </w:r>
    <w:r w:rsidRPr="00294CF1">
      <w:rPr>
        <w:b/>
        <w:noProof/>
        <w:sz w:val="18"/>
      </w:rPr>
      <w:t>2</w:t>
    </w:r>
    <w:r w:rsidRPr="00294CF1">
      <w:rPr>
        <w:b/>
        <w:sz w:val="18"/>
      </w:rPr>
      <w:fldChar w:fldCharType="end"/>
    </w:r>
    <w:r>
      <w:rPr>
        <w:b/>
        <w:sz w:val="18"/>
      </w:rPr>
      <w:tab/>
    </w:r>
    <w:r>
      <w:t>GE.23-12912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4604" w14:textId="4EFAC1A7" w:rsidR="00294CF1" w:rsidRPr="00294CF1" w:rsidRDefault="00294CF1" w:rsidP="00294CF1">
    <w:pPr>
      <w:pStyle w:val="a8"/>
      <w:tabs>
        <w:tab w:val="clear" w:pos="9639"/>
        <w:tab w:val="right" w:pos="9638"/>
      </w:tabs>
      <w:rPr>
        <w:b/>
        <w:sz w:val="18"/>
      </w:rPr>
    </w:pPr>
    <w:r>
      <w:t>GE.23-12912</w:t>
    </w:r>
    <w:r>
      <w:tab/>
    </w:r>
    <w:r w:rsidRPr="00294CF1">
      <w:rPr>
        <w:b/>
        <w:sz w:val="18"/>
      </w:rPr>
      <w:fldChar w:fldCharType="begin"/>
    </w:r>
    <w:r w:rsidRPr="00294CF1">
      <w:rPr>
        <w:b/>
        <w:sz w:val="18"/>
      </w:rPr>
      <w:instrText xml:space="preserve"> PAGE  \* MERGEFORMAT </w:instrText>
    </w:r>
    <w:r w:rsidRPr="00294CF1">
      <w:rPr>
        <w:b/>
        <w:sz w:val="18"/>
      </w:rPr>
      <w:fldChar w:fldCharType="separate"/>
    </w:r>
    <w:r w:rsidRPr="00294CF1">
      <w:rPr>
        <w:b/>
        <w:noProof/>
        <w:sz w:val="18"/>
      </w:rPr>
      <w:t>3</w:t>
    </w:r>
    <w:r w:rsidRPr="00294C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8593" w14:textId="4A753634" w:rsidR="00042B72" w:rsidRPr="00294CF1" w:rsidRDefault="00294CF1" w:rsidP="00294CF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C208F8" wp14:editId="549BD8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23-12912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514E81" wp14:editId="1AC4AA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210723  240723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A541" w14:textId="77777777" w:rsidR="00E46099" w:rsidRPr="001075E9" w:rsidRDefault="00E460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EE77D0" w14:textId="77777777" w:rsidR="00E46099" w:rsidRDefault="00E460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E3D39F" w14:textId="77777777" w:rsidR="00294CF1" w:rsidRPr="000D7273" w:rsidRDefault="00294CF1" w:rsidP="00294CF1">
      <w:pPr>
        <w:pStyle w:val="ad"/>
      </w:pPr>
      <w:r>
        <w:tab/>
      </w:r>
      <w:r w:rsidRPr="00294CF1">
        <w:t>*</w:t>
      </w:r>
      <w:r>
        <w:tab/>
        <w:t>A/77/6 (разд. 20), п. 20.76.</w:t>
      </w:r>
    </w:p>
  </w:footnote>
  <w:footnote w:id="2">
    <w:p w14:paraId="5E3A483C" w14:textId="77777777" w:rsidR="00294CF1" w:rsidRPr="00CB7A54" w:rsidRDefault="00294CF1" w:rsidP="00294CF1">
      <w:pPr>
        <w:pStyle w:val="ad"/>
        <w:rPr>
          <w:sz w:val="20"/>
        </w:rPr>
      </w:pPr>
      <w:r>
        <w:tab/>
      </w:r>
      <w:r w:rsidRPr="00294CF1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9AF9" w14:textId="76CD0B6C" w:rsidR="00294CF1" w:rsidRPr="00294CF1" w:rsidRDefault="00294CF1">
    <w:pPr>
      <w:pStyle w:val="a5"/>
    </w:pPr>
    <w:fldSimple w:instr=" TITLE  \* MERGEFORMAT ">
      <w:r w:rsidR="003D3E60">
        <w:t>ECE/TRANS/WP.15/AC.1/2023/40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80CA" w14:textId="25BA5CDA" w:rsidR="00294CF1" w:rsidRPr="00294CF1" w:rsidRDefault="00294CF1" w:rsidP="00294CF1">
    <w:pPr>
      <w:pStyle w:val="a5"/>
      <w:jc w:val="right"/>
    </w:pPr>
    <w:fldSimple w:instr=" TITLE  \* MERGEFORMAT ">
      <w:r w:rsidR="003D3E60">
        <w:t>ECE/TRANS/WP.15/AC.1/2023/40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3364"/>
        </w:tabs>
        <w:ind w:left="3364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26551"/>
    <w:multiLevelType w:val="hybridMultilevel"/>
    <w:tmpl w:val="57640ACC"/>
    <w:lvl w:ilvl="0" w:tplc="0290A72C">
      <w:numFmt w:val="bullet"/>
      <w:lvlText w:val="–"/>
      <w:lvlJc w:val="left"/>
      <w:pPr>
        <w:ind w:left="1854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6947046">
    <w:abstractNumId w:val="19"/>
  </w:num>
  <w:num w:numId="2" w16cid:durableId="1402634167">
    <w:abstractNumId w:val="13"/>
  </w:num>
  <w:num w:numId="3" w16cid:durableId="1226454333">
    <w:abstractNumId w:val="12"/>
  </w:num>
  <w:num w:numId="4" w16cid:durableId="1863745099">
    <w:abstractNumId w:val="20"/>
  </w:num>
  <w:num w:numId="5" w16cid:durableId="762336160">
    <w:abstractNumId w:val="15"/>
  </w:num>
  <w:num w:numId="6" w16cid:durableId="2070424229">
    <w:abstractNumId w:val="8"/>
  </w:num>
  <w:num w:numId="7" w16cid:durableId="11731962">
    <w:abstractNumId w:val="3"/>
  </w:num>
  <w:num w:numId="8" w16cid:durableId="572811963">
    <w:abstractNumId w:val="2"/>
  </w:num>
  <w:num w:numId="9" w16cid:durableId="1931505818">
    <w:abstractNumId w:val="1"/>
  </w:num>
  <w:num w:numId="10" w16cid:durableId="760639332">
    <w:abstractNumId w:val="0"/>
  </w:num>
  <w:num w:numId="11" w16cid:durableId="1549679641">
    <w:abstractNumId w:val="9"/>
  </w:num>
  <w:num w:numId="12" w16cid:durableId="1613785112">
    <w:abstractNumId w:val="7"/>
  </w:num>
  <w:num w:numId="13" w16cid:durableId="289361731">
    <w:abstractNumId w:val="6"/>
  </w:num>
  <w:num w:numId="14" w16cid:durableId="1332297073">
    <w:abstractNumId w:val="5"/>
  </w:num>
  <w:num w:numId="15" w16cid:durableId="468400966">
    <w:abstractNumId w:val="4"/>
  </w:num>
  <w:num w:numId="16" w16cid:durableId="1313019346">
    <w:abstractNumId w:val="18"/>
  </w:num>
  <w:num w:numId="17" w16cid:durableId="1678196379">
    <w:abstractNumId w:val="14"/>
  </w:num>
  <w:num w:numId="18" w16cid:durableId="1975482361">
    <w:abstractNumId w:val="16"/>
  </w:num>
  <w:num w:numId="19" w16cid:durableId="1689478180">
    <w:abstractNumId w:val="18"/>
  </w:num>
  <w:num w:numId="20" w16cid:durableId="306908036">
    <w:abstractNumId w:val="14"/>
  </w:num>
  <w:num w:numId="21" w16cid:durableId="1139028811">
    <w:abstractNumId w:val="16"/>
  </w:num>
  <w:num w:numId="22" w16cid:durableId="1361663500">
    <w:abstractNumId w:val="17"/>
  </w:num>
  <w:num w:numId="23" w16cid:durableId="1682854801">
    <w:abstractNumId w:val="21"/>
  </w:num>
  <w:num w:numId="24" w16cid:durableId="678433803">
    <w:abstractNumId w:val="10"/>
  </w:num>
  <w:num w:numId="25" w16cid:durableId="59108407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99"/>
    <w:rsid w:val="00033EE1"/>
    <w:rsid w:val="00042B72"/>
    <w:rsid w:val="00054053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4CF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E60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4E32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609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A244"/>
  <w15:docId w15:val="{5F584182-B8FA-4FEC-BE25-4B3B6161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94CF1"/>
    <w:rPr>
      <w:lang w:val="ru-RU" w:eastAsia="en-US"/>
    </w:rPr>
  </w:style>
  <w:style w:type="paragraph" w:customStyle="1" w:styleId="ParNoG">
    <w:name w:val="_ParNo_G"/>
    <w:basedOn w:val="SingleTxtG"/>
    <w:qFormat/>
    <w:rsid w:val="00294CF1"/>
    <w:pPr>
      <w:numPr>
        <w:numId w:val="24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955</Words>
  <Characters>6914</Characters>
  <Application>Microsoft Office Word</Application>
  <DocSecurity>0</DocSecurity>
  <Lines>148</Lines>
  <Paragraphs>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ECE/TRANS/WP.15/AC.1/2023/40</vt:lpstr>
      <vt:lpstr>A/</vt:lpstr>
      <vt:lpstr>A/</vt:lpstr>
    </vt:vector>
  </TitlesOfParts>
  <Company>DCM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ECE/TRANS/WP.15/AC.1/2023/40</dc:title>
  <dc:subject/>
  <dc:creator>Anna BLAGODATSKIKH</dc:creator>
  <cp:keywords/>
  <cp:lastModifiedBy>Anna Blagodatskikh</cp:lastModifiedBy>
  <cp:revision>3</cp:revision>
  <cp:lastPrinted>2023-07-24T14:49:00Z</cp:lastPrinted>
  <dcterms:created xsi:type="dcterms:W3CDTF">2023-07-24T14:49:00Z</dcterms:created>
  <dcterms:modified xsi:type="dcterms:W3CDTF">2023-07-24T14:51:00Z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