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41C55AEB" w14:textId="77777777" w:rsidTr="00C97039">
        <w:trPr>
          <w:trHeight w:hRule="exact" w:val="851"/>
        </w:trPr>
        <w:tc>
          <w:tcPr>
            <w:tcW w:w="1276" w:type="dxa"/>
            <w:tcBorders>
              <w:bottom w:val="single" w:sz="4" w:space="0" w:color="auto"/>
            </w:tcBorders>
          </w:tcPr>
          <w:p w14:paraId="26219B0B" w14:textId="77777777" w:rsidR="00F35BAF" w:rsidRPr="00DB58B5" w:rsidRDefault="00F35BAF" w:rsidP="003444C5"/>
        </w:tc>
        <w:tc>
          <w:tcPr>
            <w:tcW w:w="2268" w:type="dxa"/>
            <w:tcBorders>
              <w:bottom w:val="single" w:sz="4" w:space="0" w:color="auto"/>
            </w:tcBorders>
            <w:vAlign w:val="bottom"/>
          </w:tcPr>
          <w:p w14:paraId="7245BE6C"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8A735BC" w14:textId="454537A9" w:rsidR="00F35BAF" w:rsidRPr="00DB58B5" w:rsidRDefault="003444C5" w:rsidP="003444C5">
            <w:pPr>
              <w:jc w:val="right"/>
            </w:pPr>
            <w:r w:rsidRPr="003444C5">
              <w:rPr>
                <w:sz w:val="40"/>
              </w:rPr>
              <w:t>ECE</w:t>
            </w:r>
            <w:r>
              <w:t>/TRANS/WP.15/AC.1/2023/38</w:t>
            </w:r>
          </w:p>
        </w:tc>
      </w:tr>
      <w:tr w:rsidR="00F35BAF" w:rsidRPr="00DB58B5" w14:paraId="490CE0E4" w14:textId="77777777" w:rsidTr="00C97039">
        <w:trPr>
          <w:trHeight w:hRule="exact" w:val="2835"/>
        </w:trPr>
        <w:tc>
          <w:tcPr>
            <w:tcW w:w="1276" w:type="dxa"/>
            <w:tcBorders>
              <w:top w:val="single" w:sz="4" w:space="0" w:color="auto"/>
              <w:bottom w:val="single" w:sz="12" w:space="0" w:color="auto"/>
            </w:tcBorders>
          </w:tcPr>
          <w:p w14:paraId="4B3DB952" w14:textId="77777777" w:rsidR="00F35BAF" w:rsidRPr="00DB58B5" w:rsidRDefault="00F35BAF" w:rsidP="00C97039">
            <w:pPr>
              <w:spacing w:before="120"/>
              <w:jc w:val="center"/>
            </w:pPr>
            <w:r>
              <w:rPr>
                <w:noProof/>
                <w:lang w:eastAsia="fr-CH"/>
              </w:rPr>
              <w:drawing>
                <wp:inline distT="0" distB="0" distL="0" distR="0" wp14:anchorId="2229B110" wp14:editId="347A7BF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9FB515D"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23F88D54" w14:textId="77777777" w:rsidR="00F35BAF" w:rsidRDefault="003444C5" w:rsidP="00C97039">
            <w:pPr>
              <w:spacing w:before="240"/>
            </w:pPr>
            <w:r>
              <w:t>Distr. générale</w:t>
            </w:r>
          </w:p>
          <w:p w14:paraId="5A56D4FF" w14:textId="2D0BAF14" w:rsidR="003444C5" w:rsidRDefault="003444C5" w:rsidP="003444C5">
            <w:pPr>
              <w:spacing w:line="240" w:lineRule="exact"/>
            </w:pPr>
            <w:r>
              <w:t>3 juillet 2023</w:t>
            </w:r>
          </w:p>
          <w:p w14:paraId="1D82590F" w14:textId="77777777" w:rsidR="003444C5" w:rsidRDefault="003444C5" w:rsidP="003444C5">
            <w:pPr>
              <w:spacing w:line="240" w:lineRule="exact"/>
            </w:pPr>
            <w:r>
              <w:t>Français</w:t>
            </w:r>
          </w:p>
          <w:p w14:paraId="596D16B4" w14:textId="57DE4B32" w:rsidR="003444C5" w:rsidRPr="00DB58B5" w:rsidRDefault="003444C5" w:rsidP="003444C5">
            <w:pPr>
              <w:spacing w:line="240" w:lineRule="exact"/>
            </w:pPr>
            <w:r>
              <w:t>Original : anglais</w:t>
            </w:r>
          </w:p>
        </w:tc>
      </w:tr>
    </w:tbl>
    <w:p w14:paraId="0E1C5B14" w14:textId="77777777" w:rsidR="007F20FA" w:rsidRPr="000312C0" w:rsidRDefault="007F20FA" w:rsidP="007F20FA">
      <w:pPr>
        <w:spacing w:before="120"/>
        <w:rPr>
          <w:b/>
          <w:sz w:val="28"/>
          <w:szCs w:val="28"/>
        </w:rPr>
      </w:pPr>
      <w:r w:rsidRPr="000312C0">
        <w:rPr>
          <w:b/>
          <w:sz w:val="28"/>
          <w:szCs w:val="28"/>
        </w:rPr>
        <w:t>Commission économique pour l’Europe</w:t>
      </w:r>
    </w:p>
    <w:p w14:paraId="70DED658" w14:textId="77777777" w:rsidR="007F20FA" w:rsidRDefault="007F20FA" w:rsidP="007F20FA">
      <w:pPr>
        <w:spacing w:before="120"/>
        <w:rPr>
          <w:sz w:val="28"/>
          <w:szCs w:val="28"/>
        </w:rPr>
      </w:pPr>
      <w:r w:rsidRPr="00685843">
        <w:rPr>
          <w:sz w:val="28"/>
          <w:szCs w:val="28"/>
        </w:rPr>
        <w:t>Comité des transports intérieurs</w:t>
      </w:r>
    </w:p>
    <w:p w14:paraId="347ECEDB" w14:textId="77777777" w:rsidR="003444C5" w:rsidRPr="009E01B8" w:rsidRDefault="003444C5" w:rsidP="00AF0CB5">
      <w:pPr>
        <w:spacing w:before="120"/>
        <w:rPr>
          <w:b/>
          <w:sz w:val="24"/>
          <w:szCs w:val="24"/>
        </w:rPr>
      </w:pPr>
      <w:r w:rsidRPr="009E01B8">
        <w:rPr>
          <w:b/>
          <w:sz w:val="24"/>
          <w:szCs w:val="24"/>
        </w:rPr>
        <w:t>Groupe de travail des transports</w:t>
      </w:r>
      <w:r>
        <w:rPr>
          <w:b/>
          <w:sz w:val="24"/>
          <w:szCs w:val="24"/>
        </w:rPr>
        <w:t xml:space="preserve"> </w:t>
      </w:r>
      <w:r w:rsidRPr="009E01B8">
        <w:rPr>
          <w:b/>
          <w:sz w:val="24"/>
          <w:szCs w:val="24"/>
        </w:rPr>
        <w:t>de marchandises dangereuses</w:t>
      </w:r>
    </w:p>
    <w:p w14:paraId="7FD28A4F" w14:textId="382562B4" w:rsidR="003444C5" w:rsidRPr="004812F5" w:rsidRDefault="003444C5" w:rsidP="00AF0CB5">
      <w:pPr>
        <w:spacing w:before="120"/>
        <w:rPr>
          <w:b/>
        </w:rPr>
      </w:pPr>
      <w:r w:rsidRPr="004812F5">
        <w:rPr>
          <w:b/>
          <w:lang w:val="fr-FR"/>
        </w:rPr>
        <w:t xml:space="preserve">Réunion commune </w:t>
      </w:r>
      <w:r>
        <w:rPr>
          <w:b/>
          <w:bCs/>
          <w:lang w:val="fr-FR"/>
        </w:rPr>
        <w:t xml:space="preserve">de la Commission d’experts du RID </w:t>
      </w:r>
      <w:r>
        <w:rPr>
          <w:b/>
          <w:bCs/>
          <w:lang w:val="fr-FR"/>
        </w:rPr>
        <w:br/>
      </w:r>
      <w:r>
        <w:rPr>
          <w:b/>
          <w:bCs/>
          <w:lang w:val="fr-FR"/>
        </w:rPr>
        <w:t>et du Groupe de travail des transports de marchandises dangereuses</w:t>
      </w:r>
    </w:p>
    <w:p w14:paraId="6779AD06" w14:textId="343E892E" w:rsidR="003444C5" w:rsidRDefault="003444C5" w:rsidP="00AF0CB5">
      <w:r>
        <w:t>Genève, 19-29 septembre 2023</w:t>
      </w:r>
    </w:p>
    <w:p w14:paraId="41EF9A98" w14:textId="3CBA155E" w:rsidR="003444C5" w:rsidRDefault="003444C5" w:rsidP="00AF0CB5">
      <w:r w:rsidRPr="00B93E72">
        <w:t>Point</w:t>
      </w:r>
      <w:r>
        <w:t> 5 b)</w:t>
      </w:r>
      <w:r w:rsidRPr="00B93E72">
        <w:t xml:space="preserve"> de l’ordre du jour provisoire</w:t>
      </w:r>
    </w:p>
    <w:p w14:paraId="69057664" w14:textId="5A552404" w:rsidR="003444C5" w:rsidRPr="00270A38" w:rsidRDefault="003444C5" w:rsidP="003444C5">
      <w:pPr>
        <w:rPr>
          <w:b/>
          <w:bCs/>
        </w:rPr>
      </w:pPr>
      <w:r>
        <w:rPr>
          <w:b/>
          <w:bCs/>
          <w:lang w:val="fr-FR"/>
        </w:rPr>
        <w:t>Propositions d’amendements au RID, à l’ADR et à l’ADN</w:t>
      </w:r>
      <w:r>
        <w:rPr>
          <w:b/>
          <w:bCs/>
          <w:lang w:val="fr-FR"/>
        </w:rPr>
        <w:t> </w:t>
      </w:r>
      <w:r>
        <w:rPr>
          <w:b/>
          <w:bCs/>
          <w:lang w:val="fr-FR"/>
        </w:rPr>
        <w:t>:</w:t>
      </w:r>
      <w:r>
        <w:rPr>
          <w:b/>
          <w:bCs/>
        </w:rPr>
        <w:t xml:space="preserve"> </w:t>
      </w:r>
      <w:r>
        <w:rPr>
          <w:b/>
          <w:bCs/>
        </w:rPr>
        <w:br/>
      </w:r>
      <w:r>
        <w:rPr>
          <w:b/>
          <w:bCs/>
          <w:lang w:val="fr-FR"/>
        </w:rPr>
        <w:t>Nouvelles propositions</w:t>
      </w:r>
    </w:p>
    <w:p w14:paraId="119BCF25" w14:textId="46A272CC" w:rsidR="003444C5" w:rsidRPr="003444C5" w:rsidRDefault="003444C5" w:rsidP="003444C5">
      <w:pPr>
        <w:pStyle w:val="HChG"/>
        <w:rPr>
          <w:b w:val="0"/>
          <w:spacing w:val="-1"/>
          <w:szCs w:val="28"/>
        </w:rPr>
      </w:pPr>
      <w:r w:rsidRPr="003444C5">
        <w:rPr>
          <w:spacing w:val="-1"/>
          <w:lang w:val="fr-FR"/>
        </w:rPr>
        <w:tab/>
      </w:r>
      <w:r w:rsidRPr="003444C5">
        <w:rPr>
          <w:spacing w:val="-1"/>
          <w:lang w:val="fr-FR"/>
        </w:rPr>
        <w:tab/>
        <w:t xml:space="preserve">Mise à </w:t>
      </w:r>
      <w:r w:rsidRPr="003444C5">
        <w:rPr>
          <w:spacing w:val="-1"/>
        </w:rPr>
        <w:t>l’épreuve</w:t>
      </w:r>
      <w:r w:rsidRPr="003444C5">
        <w:rPr>
          <w:spacing w:val="-1"/>
          <w:lang w:val="fr-FR"/>
        </w:rPr>
        <w:t xml:space="preserve"> des emballages et des GRV munis d’un</w:t>
      </w:r>
      <w:r>
        <w:rPr>
          <w:spacing w:val="-1"/>
          <w:lang w:val="fr-FR"/>
        </w:rPr>
        <w:t xml:space="preserve"> </w:t>
      </w:r>
      <w:r w:rsidRPr="003444C5">
        <w:rPr>
          <w:spacing w:val="-1"/>
          <w:lang w:val="fr-FR"/>
        </w:rPr>
        <w:t>évent</w:t>
      </w:r>
    </w:p>
    <w:p w14:paraId="216678BD" w14:textId="301394D4" w:rsidR="003444C5" w:rsidRPr="00270A38" w:rsidRDefault="003444C5" w:rsidP="003444C5">
      <w:pPr>
        <w:pStyle w:val="H1G"/>
        <w:rPr>
          <w:szCs w:val="24"/>
        </w:rPr>
      </w:pPr>
      <w:r>
        <w:rPr>
          <w:lang w:val="fr-FR"/>
        </w:rPr>
        <w:tab/>
      </w:r>
      <w:r>
        <w:rPr>
          <w:lang w:val="fr-FR"/>
        </w:rPr>
        <w:tab/>
        <w:t>Communication du Gouvernement néerlandais</w:t>
      </w:r>
      <w:r w:rsidRPr="003444C5">
        <w:rPr>
          <w:rStyle w:val="Appelnotedebasdep"/>
          <w:b w:val="0"/>
          <w:bCs/>
          <w:sz w:val="20"/>
          <w:vertAlign w:val="baseline"/>
        </w:rPr>
        <w:footnoteReference w:customMarkFollows="1" w:id="2"/>
        <w:t>*</w:t>
      </w:r>
      <w:r w:rsidRPr="003444C5">
        <w:rPr>
          <w:b w:val="0"/>
          <w:bCs/>
          <w:sz w:val="20"/>
          <w:vertAlign w:val="superscript"/>
        </w:rPr>
        <w:t xml:space="preserve">, </w:t>
      </w:r>
      <w:r w:rsidRPr="003444C5">
        <w:rPr>
          <w:rStyle w:val="Appelnotedebasdep"/>
          <w:b w:val="0"/>
          <w:bCs/>
          <w:sz w:val="20"/>
          <w:vertAlign w:val="baseline"/>
        </w:rPr>
        <w:footnoteReference w:customMarkFollows="1" w:id="3"/>
        <w:t>**</w:t>
      </w:r>
    </w:p>
    <w:p w14:paraId="7332AA45" w14:textId="77777777" w:rsidR="003444C5" w:rsidRPr="00270A38" w:rsidRDefault="003444C5" w:rsidP="003444C5">
      <w:pPr>
        <w:pStyle w:val="HChG"/>
        <w:rPr>
          <w:iCs/>
          <w:szCs w:val="28"/>
        </w:rPr>
      </w:pPr>
      <w:r>
        <w:rPr>
          <w:lang w:val="fr-FR"/>
        </w:rPr>
        <w:tab/>
      </w:r>
      <w:r>
        <w:rPr>
          <w:lang w:val="fr-FR"/>
        </w:rPr>
        <w:tab/>
        <w:t>Introduction</w:t>
      </w:r>
    </w:p>
    <w:p w14:paraId="79BB216F" w14:textId="72781642" w:rsidR="003444C5" w:rsidRPr="00270A38" w:rsidRDefault="003444C5" w:rsidP="003444C5">
      <w:pPr>
        <w:spacing w:before="120" w:after="120"/>
        <w:ind w:left="1134" w:right="1134"/>
        <w:jc w:val="both"/>
      </w:pPr>
      <w:r>
        <w:rPr>
          <w:lang w:val="fr-FR"/>
        </w:rPr>
        <w:t>1.</w:t>
      </w:r>
      <w:r>
        <w:rPr>
          <w:lang w:val="fr-FR"/>
        </w:rPr>
        <w:tab/>
        <w:t>Aux Pays-Bas, un organisme réputé en matière d’emballage a relevé que l’utilisation qui est faite des emballages ou des GRV munis d’un évent conformément au 4.1.1.8 pourrait être en décalage avec les prescriptions relatives à leur mise à l’épreuve énoncées au</w:t>
      </w:r>
      <w:r>
        <w:rPr>
          <w:lang w:val="fr-FR"/>
        </w:rPr>
        <w:t> </w:t>
      </w:r>
      <w:r>
        <w:rPr>
          <w:lang w:val="fr-FR"/>
        </w:rPr>
        <w:t>6.1.5.2.5 ou au 6.1.5.2.6.</w:t>
      </w:r>
    </w:p>
    <w:p w14:paraId="1AFE8FA5" w14:textId="77777777" w:rsidR="003444C5" w:rsidRPr="00270A38" w:rsidRDefault="003444C5" w:rsidP="003444C5">
      <w:pPr>
        <w:spacing w:before="120" w:after="120"/>
        <w:ind w:left="1134" w:right="1134"/>
        <w:jc w:val="both"/>
      </w:pPr>
      <w:r>
        <w:rPr>
          <w:lang w:val="fr-FR"/>
        </w:rPr>
        <w:t>2.</w:t>
      </w:r>
      <w:r>
        <w:rPr>
          <w:lang w:val="fr-FR"/>
        </w:rPr>
        <w:tab/>
        <w:t>La deuxième phrase du deuxième paragraphe du 4.1.1.8 prévoit que l’évent doit être conçu de façon à éviter les fuites de liquide et la pénétration de matières étrangères dans des conditions normales de transport, l’emballage ou le GRV étant placé dans la position prévue pour le transport. On pourrait en déduire que l’évent est censé fonctionner correctement dans des conditions normales de transport et qu’il n’est pas nécessaire de procéder à des essais, car rien, au 4.1.1.8, ne renvoie à la mise à l’épreuve des emballages ou des GRV munis d’un tel dispositif.</w:t>
      </w:r>
    </w:p>
    <w:p w14:paraId="32D96B35" w14:textId="77777777" w:rsidR="003444C5" w:rsidRPr="00270A38" w:rsidRDefault="003444C5" w:rsidP="003444C5">
      <w:pPr>
        <w:spacing w:before="120" w:after="120"/>
        <w:ind w:left="1134" w:right="1134"/>
        <w:jc w:val="both"/>
      </w:pPr>
      <w:r>
        <w:rPr>
          <w:lang w:val="fr-FR"/>
        </w:rPr>
        <w:t>3.</w:t>
      </w:r>
      <w:r>
        <w:rPr>
          <w:lang w:val="fr-FR"/>
        </w:rPr>
        <w:tab/>
        <w:t>Les prescriptions relatives à la mise à l’épreuve des emballages munis d’un évent sont énoncées au 6.1.5.2.5 (deuxième paragraphe) ou au 6.1.5.2.6 (troisième paragraphe). Après stockage, des échantillons doivent subir les épreuves prévues aux 6.1.5.3 à 6.1.5.6.</w:t>
      </w:r>
    </w:p>
    <w:p w14:paraId="59F2A7EB" w14:textId="77777777" w:rsidR="003444C5" w:rsidRPr="00270A38" w:rsidRDefault="003444C5" w:rsidP="003444C5">
      <w:pPr>
        <w:spacing w:before="120" w:after="120"/>
        <w:ind w:left="1134" w:right="1134"/>
        <w:jc w:val="both"/>
      </w:pPr>
      <w:r>
        <w:rPr>
          <w:lang w:val="fr-FR"/>
        </w:rPr>
        <w:t>4.</w:t>
      </w:r>
      <w:r>
        <w:rPr>
          <w:lang w:val="fr-FR"/>
        </w:rPr>
        <w:tab/>
        <w:t>Selon l’interprétation des Pays-Bas, les emballages ou GRV munis d’un évent doivent être soumis aux épreuves visées au 6.1.5.2.5 ou au 6.1.5.2.6, et le 4.1.1.8 devrait donc y faire référence.</w:t>
      </w:r>
    </w:p>
    <w:p w14:paraId="1AFC872D" w14:textId="0D4560BE" w:rsidR="00F9573C" w:rsidRPr="003444C5" w:rsidRDefault="003444C5" w:rsidP="003444C5">
      <w:pPr>
        <w:spacing w:before="120" w:after="120"/>
        <w:ind w:left="1134" w:right="1134"/>
        <w:jc w:val="both"/>
        <w:rPr>
          <w:spacing w:val="-2"/>
          <w:lang w:val="fr-FR"/>
        </w:rPr>
      </w:pPr>
      <w:r w:rsidRPr="003444C5">
        <w:rPr>
          <w:spacing w:val="-2"/>
          <w:lang w:val="fr-FR"/>
        </w:rPr>
        <w:t>5.</w:t>
      </w:r>
      <w:r w:rsidRPr="003444C5">
        <w:rPr>
          <w:spacing w:val="-2"/>
          <w:lang w:val="fr-FR"/>
        </w:rPr>
        <w:tab/>
        <w:t xml:space="preserve">De l’avis des Pays-Bas, il existe une incohérence entre les dispositions du 4.1.1.8 et celles des 6.1.5.2.5 et 6.1.5.2.6, car s’il ne lit que le 4.1.1.8, l’utilisateur peut s’appuyer uniquement sur la prescription qui y est énoncée, sans réaliser les autres épreuves obligatoires </w:t>
      </w:r>
      <w:r w:rsidRPr="003444C5">
        <w:rPr>
          <w:spacing w:val="-2"/>
          <w:lang w:val="fr-FR"/>
        </w:rPr>
        <w:lastRenderedPageBreak/>
        <w:t xml:space="preserve">mentionnées au 6.1.5. Pour remédier à cette incohérence et éviter toute erreur d’interprétation, </w:t>
      </w:r>
      <w:r w:rsidRPr="003444C5">
        <w:rPr>
          <w:lang w:val="fr-FR"/>
        </w:rPr>
        <w:t>il est proposé de modifier la disposition 4.1.1.8 du RID et de l’ADR à des fins de clarté.</w:t>
      </w:r>
    </w:p>
    <w:p w14:paraId="6A31E103" w14:textId="05D65E0A" w:rsidR="003444C5" w:rsidRPr="00270A38" w:rsidRDefault="003444C5" w:rsidP="003444C5">
      <w:pPr>
        <w:pStyle w:val="HChG"/>
        <w:rPr>
          <w:iCs/>
          <w:szCs w:val="28"/>
        </w:rPr>
      </w:pPr>
      <w:r>
        <w:rPr>
          <w:lang w:val="fr-FR"/>
        </w:rPr>
        <w:tab/>
      </w:r>
      <w:r>
        <w:rPr>
          <w:lang w:val="fr-FR"/>
        </w:rPr>
        <w:tab/>
      </w:r>
      <w:r>
        <w:rPr>
          <w:lang w:val="fr-FR"/>
        </w:rPr>
        <w:t>Proposition</w:t>
      </w:r>
    </w:p>
    <w:p w14:paraId="169213E6" w14:textId="77777777" w:rsidR="003444C5" w:rsidRPr="00270A38" w:rsidRDefault="003444C5" w:rsidP="003444C5">
      <w:pPr>
        <w:spacing w:before="120" w:after="120"/>
        <w:ind w:left="1134" w:right="1134"/>
        <w:jc w:val="both"/>
      </w:pPr>
      <w:r>
        <w:rPr>
          <w:lang w:val="fr-FR"/>
        </w:rPr>
        <w:t>6.</w:t>
      </w:r>
      <w:r>
        <w:rPr>
          <w:lang w:val="fr-FR"/>
        </w:rPr>
        <w:tab/>
        <w:t>À la fin du deuxième paragraphe du 4.1.1.8, ajouter une nouvelle phrase libellée comme suit :</w:t>
      </w:r>
    </w:p>
    <w:p w14:paraId="7D120FEE" w14:textId="77777777" w:rsidR="003444C5" w:rsidRPr="00270A38" w:rsidRDefault="003444C5" w:rsidP="003444C5">
      <w:pPr>
        <w:spacing w:before="120" w:after="120"/>
        <w:ind w:left="1134" w:right="1134"/>
        <w:jc w:val="both"/>
      </w:pPr>
      <w:r>
        <w:rPr>
          <w:lang w:val="fr-FR"/>
        </w:rPr>
        <w:t>« Les emballages ou GRV munis d’un évent doivent pouvoir subir avec succès les épreuves prescrites au 6.1.5.2.5 ou au 6.1.5.2.6, selon le cas. ».</w:t>
      </w:r>
    </w:p>
    <w:p w14:paraId="38FA1233" w14:textId="099320CA" w:rsidR="003444C5" w:rsidRPr="00270A38" w:rsidRDefault="003444C5" w:rsidP="003444C5">
      <w:pPr>
        <w:pStyle w:val="HChG"/>
        <w:rPr>
          <w:iCs/>
          <w:szCs w:val="28"/>
        </w:rPr>
      </w:pPr>
      <w:r>
        <w:rPr>
          <w:lang w:val="fr-FR"/>
        </w:rPr>
        <w:tab/>
      </w:r>
      <w:r>
        <w:rPr>
          <w:lang w:val="fr-FR"/>
        </w:rPr>
        <w:tab/>
      </w:r>
      <w:r>
        <w:rPr>
          <w:lang w:val="fr-FR"/>
        </w:rPr>
        <w:t>Justification</w:t>
      </w:r>
    </w:p>
    <w:p w14:paraId="6C99085D" w14:textId="084A151F" w:rsidR="003444C5" w:rsidRPr="00270A38" w:rsidRDefault="003444C5" w:rsidP="003444C5">
      <w:pPr>
        <w:spacing w:before="120" w:after="120"/>
        <w:ind w:left="1134" w:right="1134"/>
        <w:jc w:val="both"/>
      </w:pPr>
      <w:r>
        <w:rPr>
          <w:lang w:val="fr-FR"/>
        </w:rPr>
        <w:t>7.</w:t>
      </w:r>
      <w:r>
        <w:rPr>
          <w:lang w:val="fr-FR"/>
        </w:rPr>
        <w:tab/>
        <w:t>Le présent document vise à remédier à l’incohérence existant entre la disposition</w:t>
      </w:r>
      <w:r>
        <w:rPr>
          <w:lang w:val="fr-FR"/>
        </w:rPr>
        <w:t> </w:t>
      </w:r>
      <w:r>
        <w:rPr>
          <w:lang w:val="fr-FR"/>
        </w:rPr>
        <w:t>4.1.1.8, relative à l’utilisation des emballages ou des GRV munis d’un évent, et les prescriptions relatives à la mise à l’épreuve de ces emballages ou GRV, énoncées au</w:t>
      </w:r>
      <w:r>
        <w:rPr>
          <w:lang w:val="fr-FR"/>
        </w:rPr>
        <w:t> </w:t>
      </w:r>
      <w:r>
        <w:rPr>
          <w:lang w:val="fr-FR"/>
        </w:rPr>
        <w:t>6.1.5, de façon à prévenir tout risque pendant le transport des marchandises dangereuses qu’ils contiennent.</w:t>
      </w:r>
    </w:p>
    <w:p w14:paraId="352BCE7E" w14:textId="77777777" w:rsidR="003444C5" w:rsidRDefault="003444C5" w:rsidP="003444C5">
      <w:pPr>
        <w:spacing w:before="120" w:after="120"/>
        <w:ind w:left="1134" w:right="1134"/>
        <w:jc w:val="both"/>
      </w:pPr>
      <w:r>
        <w:rPr>
          <w:lang w:val="fr-FR"/>
        </w:rPr>
        <w:t>8.</w:t>
      </w:r>
      <w:r>
        <w:rPr>
          <w:lang w:val="fr-FR"/>
        </w:rPr>
        <w:tab/>
        <w:t>La modification qu’il est proposé d’apporter au 4.1.1.8 du RID et de l’ADR n’est pas en contradiction ni ne crée de problème d’harmonisation avec les dispositions du Règlement type étant donné que les 6.1.5.2.5 et 6.1.5.2.6 n’y figurent pas.</w:t>
      </w:r>
    </w:p>
    <w:p w14:paraId="04F29B06" w14:textId="64FD5921" w:rsidR="003444C5" w:rsidRPr="003444C5" w:rsidRDefault="003444C5" w:rsidP="003444C5">
      <w:pPr>
        <w:spacing w:before="120" w:after="120"/>
        <w:ind w:left="1134" w:right="1134"/>
        <w:jc w:val="both"/>
      </w:pPr>
      <w:r>
        <w:rPr>
          <w:lang w:val="fr-FR"/>
        </w:rPr>
        <w:t>9.</w:t>
      </w:r>
      <w:r>
        <w:rPr>
          <w:lang w:val="fr-FR"/>
        </w:rPr>
        <w:tab/>
        <w:t>Le fait d’adopter une approche plus systématique et plus logique dans le RID et l’ADR permet de clarifier le cadre juridique et d’éviter que des critères différents soient appliqués selon les Parties contractantes ou les États parties et les services de contrôle, ce qui est conforme à l’objectif de développement durable n</w:t>
      </w:r>
      <w:r w:rsidRPr="003444C5">
        <w:rPr>
          <w:vertAlign w:val="superscript"/>
          <w:lang w:val="fr-FR"/>
        </w:rPr>
        <w:t>o</w:t>
      </w:r>
      <w:r>
        <w:rPr>
          <w:lang w:val="fr-FR"/>
        </w:rPr>
        <w:t> </w:t>
      </w:r>
      <w:r>
        <w:rPr>
          <w:lang w:val="fr-FR"/>
        </w:rPr>
        <w:t>16 (Paix, justice et institutions efficaces).</w:t>
      </w:r>
    </w:p>
    <w:p w14:paraId="3F9DB16E" w14:textId="3A05E5A4" w:rsidR="003444C5" w:rsidRPr="003444C5" w:rsidRDefault="003444C5" w:rsidP="003444C5">
      <w:pPr>
        <w:pStyle w:val="SingleTxtG"/>
        <w:spacing w:before="240" w:after="0"/>
        <w:jc w:val="center"/>
        <w:rPr>
          <w:u w:val="single"/>
        </w:rPr>
      </w:pPr>
      <w:r>
        <w:rPr>
          <w:u w:val="single"/>
        </w:rPr>
        <w:tab/>
      </w:r>
      <w:r>
        <w:rPr>
          <w:u w:val="single"/>
        </w:rPr>
        <w:tab/>
      </w:r>
      <w:r>
        <w:rPr>
          <w:u w:val="single"/>
        </w:rPr>
        <w:tab/>
      </w:r>
      <w:r>
        <w:rPr>
          <w:u w:val="single"/>
        </w:rPr>
        <w:tab/>
      </w:r>
    </w:p>
    <w:sectPr w:rsidR="003444C5" w:rsidRPr="003444C5" w:rsidSect="003444C5">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D9E41" w14:textId="77777777" w:rsidR="00936908" w:rsidRDefault="00936908" w:rsidP="00F95C08">
      <w:pPr>
        <w:spacing w:line="240" w:lineRule="auto"/>
      </w:pPr>
    </w:p>
  </w:endnote>
  <w:endnote w:type="continuationSeparator" w:id="0">
    <w:p w14:paraId="0C6E0C35" w14:textId="77777777" w:rsidR="00936908" w:rsidRPr="00AC3823" w:rsidRDefault="00936908" w:rsidP="00AC3823">
      <w:pPr>
        <w:pStyle w:val="Pieddepage"/>
      </w:pPr>
    </w:p>
  </w:endnote>
  <w:endnote w:type="continuationNotice" w:id="1">
    <w:p w14:paraId="75F386BC" w14:textId="77777777" w:rsidR="00936908" w:rsidRDefault="0093690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4ACAC" w14:textId="113EA01C" w:rsidR="003444C5" w:rsidRPr="003444C5" w:rsidRDefault="003444C5" w:rsidP="003444C5">
    <w:pPr>
      <w:pStyle w:val="Pieddepage"/>
      <w:tabs>
        <w:tab w:val="right" w:pos="9638"/>
      </w:tabs>
    </w:pPr>
    <w:r w:rsidRPr="003444C5">
      <w:rPr>
        <w:b/>
        <w:sz w:val="18"/>
      </w:rPr>
      <w:fldChar w:fldCharType="begin"/>
    </w:r>
    <w:r w:rsidRPr="003444C5">
      <w:rPr>
        <w:b/>
        <w:sz w:val="18"/>
      </w:rPr>
      <w:instrText xml:space="preserve"> PAGE  \* MERGEFORMAT </w:instrText>
    </w:r>
    <w:r w:rsidRPr="003444C5">
      <w:rPr>
        <w:b/>
        <w:sz w:val="18"/>
      </w:rPr>
      <w:fldChar w:fldCharType="separate"/>
    </w:r>
    <w:r w:rsidRPr="003444C5">
      <w:rPr>
        <w:b/>
        <w:noProof/>
        <w:sz w:val="18"/>
      </w:rPr>
      <w:t>2</w:t>
    </w:r>
    <w:r w:rsidRPr="003444C5">
      <w:rPr>
        <w:b/>
        <w:sz w:val="18"/>
      </w:rPr>
      <w:fldChar w:fldCharType="end"/>
    </w:r>
    <w:r>
      <w:rPr>
        <w:b/>
        <w:sz w:val="18"/>
      </w:rPr>
      <w:tab/>
    </w:r>
    <w:r>
      <w:t>GE.23-12750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1177E" w14:textId="28DF0CE4" w:rsidR="003444C5" w:rsidRPr="003444C5" w:rsidRDefault="003444C5" w:rsidP="003444C5">
    <w:pPr>
      <w:pStyle w:val="Pieddepage"/>
      <w:tabs>
        <w:tab w:val="right" w:pos="9638"/>
      </w:tabs>
      <w:rPr>
        <w:b/>
        <w:sz w:val="18"/>
      </w:rPr>
    </w:pPr>
    <w:r>
      <w:t>GE.23-12750</w:t>
    </w:r>
    <w:r>
      <w:tab/>
    </w:r>
    <w:r w:rsidRPr="003444C5">
      <w:rPr>
        <w:b/>
        <w:sz w:val="18"/>
      </w:rPr>
      <w:fldChar w:fldCharType="begin"/>
    </w:r>
    <w:r w:rsidRPr="003444C5">
      <w:rPr>
        <w:b/>
        <w:sz w:val="18"/>
      </w:rPr>
      <w:instrText xml:space="preserve"> PAGE  \* MERGEFORMAT </w:instrText>
    </w:r>
    <w:r w:rsidRPr="003444C5">
      <w:rPr>
        <w:b/>
        <w:sz w:val="18"/>
      </w:rPr>
      <w:fldChar w:fldCharType="separate"/>
    </w:r>
    <w:r w:rsidRPr="003444C5">
      <w:rPr>
        <w:b/>
        <w:noProof/>
        <w:sz w:val="18"/>
      </w:rPr>
      <w:t>3</w:t>
    </w:r>
    <w:r w:rsidRPr="003444C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58F79" w14:textId="7F77A10A" w:rsidR="007F20FA" w:rsidRPr="003444C5" w:rsidRDefault="003444C5" w:rsidP="003444C5">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74026001" wp14:editId="098F2CFB">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23-12750  (F)</w:t>
    </w:r>
    <w:r>
      <w:rPr>
        <w:noProof/>
        <w:sz w:val="20"/>
      </w:rPr>
      <w:drawing>
        <wp:anchor distT="0" distB="0" distL="114300" distR="114300" simplePos="0" relativeHeight="251660288" behindDoc="0" locked="0" layoutInCell="1" allowOverlap="1" wp14:anchorId="653432D3" wp14:editId="7310BB11">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240723    240723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1B12E" w14:textId="77777777" w:rsidR="00936908" w:rsidRPr="00AC3823" w:rsidRDefault="00936908" w:rsidP="00AC3823">
      <w:pPr>
        <w:pStyle w:val="Pieddepage"/>
        <w:tabs>
          <w:tab w:val="right" w:pos="2155"/>
        </w:tabs>
        <w:spacing w:after="80" w:line="240" w:lineRule="atLeast"/>
        <w:ind w:left="680"/>
        <w:rPr>
          <w:u w:val="single"/>
        </w:rPr>
      </w:pPr>
      <w:r>
        <w:rPr>
          <w:u w:val="single"/>
        </w:rPr>
        <w:tab/>
      </w:r>
    </w:p>
  </w:footnote>
  <w:footnote w:type="continuationSeparator" w:id="0">
    <w:p w14:paraId="7C9F95A4" w14:textId="77777777" w:rsidR="00936908" w:rsidRPr="00AC3823" w:rsidRDefault="00936908" w:rsidP="00AC3823">
      <w:pPr>
        <w:pStyle w:val="Pieddepage"/>
        <w:tabs>
          <w:tab w:val="right" w:pos="2155"/>
        </w:tabs>
        <w:spacing w:after="80" w:line="240" w:lineRule="atLeast"/>
        <w:ind w:left="680"/>
        <w:rPr>
          <w:u w:val="single"/>
        </w:rPr>
      </w:pPr>
      <w:r>
        <w:rPr>
          <w:u w:val="single"/>
        </w:rPr>
        <w:tab/>
      </w:r>
    </w:p>
  </w:footnote>
  <w:footnote w:type="continuationNotice" w:id="1">
    <w:p w14:paraId="61888779" w14:textId="77777777" w:rsidR="00936908" w:rsidRPr="00AC3823" w:rsidRDefault="00936908">
      <w:pPr>
        <w:spacing w:line="240" w:lineRule="auto"/>
        <w:rPr>
          <w:sz w:val="2"/>
          <w:szCs w:val="2"/>
        </w:rPr>
      </w:pPr>
    </w:p>
  </w:footnote>
  <w:footnote w:id="2">
    <w:p w14:paraId="4D2DF17D" w14:textId="407FDBB4" w:rsidR="003444C5" w:rsidRPr="003444C5" w:rsidRDefault="003444C5">
      <w:pPr>
        <w:pStyle w:val="Notedebasdepage"/>
      </w:pPr>
      <w:r>
        <w:rPr>
          <w:rStyle w:val="Appelnotedebasdep"/>
        </w:rPr>
        <w:tab/>
      </w:r>
      <w:r w:rsidRPr="003444C5">
        <w:rPr>
          <w:rStyle w:val="Appelnotedebasdep"/>
          <w:sz w:val="20"/>
          <w:vertAlign w:val="baseline"/>
        </w:rPr>
        <w:t>*</w:t>
      </w:r>
      <w:r>
        <w:rPr>
          <w:rStyle w:val="Appelnotedebasdep"/>
          <w:sz w:val="20"/>
          <w:vertAlign w:val="baseline"/>
        </w:rPr>
        <w:tab/>
      </w:r>
      <w:r>
        <w:rPr>
          <w:lang w:val="fr-FR"/>
        </w:rPr>
        <w:t>A/77/6 (Sect. 20), par. 20.76.</w:t>
      </w:r>
    </w:p>
  </w:footnote>
  <w:footnote w:id="3">
    <w:p w14:paraId="214964A3" w14:textId="58D362BD" w:rsidR="003444C5" w:rsidRPr="003444C5" w:rsidRDefault="003444C5">
      <w:pPr>
        <w:pStyle w:val="Notedebasdepage"/>
      </w:pPr>
      <w:r>
        <w:rPr>
          <w:rStyle w:val="Appelnotedebasdep"/>
        </w:rPr>
        <w:tab/>
      </w:r>
      <w:r w:rsidRPr="003444C5">
        <w:rPr>
          <w:rStyle w:val="Appelnotedebasdep"/>
          <w:sz w:val="20"/>
          <w:vertAlign w:val="baseline"/>
        </w:rPr>
        <w:t>**</w:t>
      </w:r>
      <w:r>
        <w:rPr>
          <w:rStyle w:val="Appelnotedebasdep"/>
          <w:sz w:val="20"/>
          <w:vertAlign w:val="baseline"/>
        </w:rPr>
        <w:tab/>
      </w:r>
      <w:r>
        <w:rPr>
          <w:lang w:val="fr-FR"/>
        </w:rPr>
        <w:t>Diffusée par l’Organisation intergouvernementale pour les transports internationaux ferroviaires (OTIF) sous la cote OTIF/RID/RC/2023/38.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54172" w14:textId="0BFA3321" w:rsidR="003444C5" w:rsidRPr="003444C5" w:rsidRDefault="003444C5">
    <w:pPr>
      <w:pStyle w:val="En-tte"/>
    </w:pPr>
    <w:fldSimple w:instr=" TITLE  \* MERGEFORMAT ">
      <w:r>
        <w:t>ECE/TRANS/WP.15/AC.1/2023/38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56370" w14:textId="2D5E64C6" w:rsidR="003444C5" w:rsidRPr="003444C5" w:rsidRDefault="003444C5" w:rsidP="003444C5">
    <w:pPr>
      <w:pStyle w:val="En-tte"/>
      <w:jc w:val="right"/>
    </w:pPr>
    <w:fldSimple w:instr=" TITLE  \* MERGEFORMAT ">
      <w:r>
        <w:t>ECE/TRANS/WP.15/AC.1/2023/38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908"/>
    <w:rsid w:val="00017F94"/>
    <w:rsid w:val="00023842"/>
    <w:rsid w:val="000334F9"/>
    <w:rsid w:val="00045FEB"/>
    <w:rsid w:val="0007796D"/>
    <w:rsid w:val="000B7790"/>
    <w:rsid w:val="00111F2F"/>
    <w:rsid w:val="0014365E"/>
    <w:rsid w:val="00143C66"/>
    <w:rsid w:val="00176178"/>
    <w:rsid w:val="001F525A"/>
    <w:rsid w:val="00201148"/>
    <w:rsid w:val="00223272"/>
    <w:rsid w:val="0024779E"/>
    <w:rsid w:val="00257168"/>
    <w:rsid w:val="002744B8"/>
    <w:rsid w:val="002832AC"/>
    <w:rsid w:val="002D7C93"/>
    <w:rsid w:val="00305801"/>
    <w:rsid w:val="003444C5"/>
    <w:rsid w:val="003916DE"/>
    <w:rsid w:val="00421996"/>
    <w:rsid w:val="00441C3B"/>
    <w:rsid w:val="00446FE5"/>
    <w:rsid w:val="00452396"/>
    <w:rsid w:val="00477EB2"/>
    <w:rsid w:val="004837D8"/>
    <w:rsid w:val="004E2EED"/>
    <w:rsid w:val="004E468C"/>
    <w:rsid w:val="005505B7"/>
    <w:rsid w:val="00573BE5"/>
    <w:rsid w:val="00586ED3"/>
    <w:rsid w:val="00596AA9"/>
    <w:rsid w:val="0071601D"/>
    <w:rsid w:val="007A62E6"/>
    <w:rsid w:val="007F20FA"/>
    <w:rsid w:val="0080684C"/>
    <w:rsid w:val="00871C75"/>
    <w:rsid w:val="008776DC"/>
    <w:rsid w:val="008C17CC"/>
    <w:rsid w:val="008D5EF9"/>
    <w:rsid w:val="00936908"/>
    <w:rsid w:val="009446C0"/>
    <w:rsid w:val="009705C8"/>
    <w:rsid w:val="009C1CF4"/>
    <w:rsid w:val="009F6B74"/>
    <w:rsid w:val="00A3029F"/>
    <w:rsid w:val="00A30353"/>
    <w:rsid w:val="00AC3823"/>
    <w:rsid w:val="00AE323C"/>
    <w:rsid w:val="00AF0CB5"/>
    <w:rsid w:val="00B00181"/>
    <w:rsid w:val="00B00B0D"/>
    <w:rsid w:val="00B45F2E"/>
    <w:rsid w:val="00B765F7"/>
    <w:rsid w:val="00B77993"/>
    <w:rsid w:val="00BA0CA9"/>
    <w:rsid w:val="00C02897"/>
    <w:rsid w:val="00C97039"/>
    <w:rsid w:val="00D3439C"/>
    <w:rsid w:val="00D7622E"/>
    <w:rsid w:val="00DB1831"/>
    <w:rsid w:val="00DD3BFD"/>
    <w:rsid w:val="00DF6678"/>
    <w:rsid w:val="00E0299A"/>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4914E"/>
  <w15:docId w15:val="{A4CAE89B-4E20-4412-A0CF-0C9B6F035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4_GR"/>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2</Pages>
  <Words>463</Words>
  <Characters>3247</Characters>
  <Application>Microsoft Office Word</Application>
  <DocSecurity>0</DocSecurity>
  <Lines>270</Lines>
  <Paragraphs>148</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ECE/TRANS/WP.15/AC.1/2023/38</dc:title>
  <dc:subject/>
  <dc:creator>Marie DESCHAMPS</dc:creator>
  <cp:keywords/>
  <cp:lastModifiedBy>Marie Deschamps</cp:lastModifiedBy>
  <cp:revision>2</cp:revision>
  <cp:lastPrinted>2014-05-14T10:59:00Z</cp:lastPrinted>
  <dcterms:created xsi:type="dcterms:W3CDTF">2023-07-24T11:51:00Z</dcterms:created>
  <dcterms:modified xsi:type="dcterms:W3CDTF">2023-07-24T11:51:00Z</dcterms:modified>
</cp:coreProperties>
</file>