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094205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D1FFC56" w14:textId="77777777" w:rsidR="002D5AAC" w:rsidRDefault="002D5AAC" w:rsidP="00FF0B8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F20278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F98B63D" w14:textId="67C62FBC" w:rsidR="002D5AAC" w:rsidRDefault="00FF0B83" w:rsidP="00FF0B83">
            <w:pPr>
              <w:jc w:val="right"/>
            </w:pPr>
            <w:r w:rsidRPr="00FF0B83">
              <w:rPr>
                <w:sz w:val="40"/>
              </w:rPr>
              <w:t>ECE</w:t>
            </w:r>
            <w:r>
              <w:t>/TRANS/WP.11/2023/13</w:t>
            </w:r>
          </w:p>
        </w:tc>
      </w:tr>
      <w:tr w:rsidR="002D5AAC" w:rsidRPr="00FF0B83" w14:paraId="60F3F61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A9B62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C47A6F3" wp14:editId="33DC70B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BE868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427674D" w14:textId="77777777" w:rsidR="00FF0B83" w:rsidRPr="00FF0B83" w:rsidRDefault="00FF0B83" w:rsidP="00FF0B83">
            <w:pPr>
              <w:spacing w:before="240" w:line="240" w:lineRule="exact"/>
              <w:rPr>
                <w:lang w:val="en-US"/>
              </w:rPr>
            </w:pPr>
            <w:r w:rsidRPr="00FF0B83">
              <w:rPr>
                <w:lang w:val="en-US"/>
              </w:rPr>
              <w:t>Distr.: General</w:t>
            </w:r>
          </w:p>
          <w:p w14:paraId="36B2E01F" w14:textId="77777777" w:rsidR="00FF0B83" w:rsidRPr="00FF0B83" w:rsidRDefault="00FF0B83" w:rsidP="00FF0B83">
            <w:pPr>
              <w:spacing w:line="240" w:lineRule="exact"/>
              <w:rPr>
                <w:lang w:val="en-US"/>
              </w:rPr>
            </w:pPr>
            <w:r w:rsidRPr="00FF0B83">
              <w:rPr>
                <w:lang w:val="en-US"/>
              </w:rPr>
              <w:t>4 August 2023</w:t>
            </w:r>
          </w:p>
          <w:p w14:paraId="074CD55D" w14:textId="5466F444" w:rsidR="00FF0B83" w:rsidRPr="00FF0B83" w:rsidRDefault="00FF0B83" w:rsidP="00FF0B8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23BF35C" w14:textId="29A20AEE" w:rsidR="00FF0B83" w:rsidRPr="00FF0B83" w:rsidRDefault="00FF0B83" w:rsidP="00FF0B83">
            <w:pPr>
              <w:spacing w:line="240" w:lineRule="exact"/>
              <w:rPr>
                <w:lang w:val="en-US"/>
              </w:rPr>
            </w:pPr>
            <w:r w:rsidRPr="00FF0B83">
              <w:rPr>
                <w:lang w:val="en-US"/>
              </w:rPr>
              <w:t>Original: English</w:t>
            </w:r>
          </w:p>
        </w:tc>
      </w:tr>
    </w:tbl>
    <w:p w14:paraId="0A35099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DF86861" w14:textId="77777777" w:rsidR="00267BB0" w:rsidRPr="006D0AF6" w:rsidRDefault="00267BB0" w:rsidP="00267BB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6D0AF6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7DC92455" w14:textId="77777777" w:rsidR="00267BB0" w:rsidRPr="006D0AF6" w:rsidRDefault="00267BB0" w:rsidP="00267BB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6D0AF6">
        <w:rPr>
          <w:rFonts w:asciiTheme="majorBidi" w:hAnsiTheme="majorBidi" w:cstheme="majorBidi"/>
          <w:b/>
          <w:bCs/>
          <w:sz w:val="24"/>
          <w:szCs w:val="24"/>
        </w:rPr>
        <w:t xml:space="preserve">Рабочая группа по перевозкам скоропортящихся </w:t>
      </w:r>
      <w:r w:rsidRPr="006D0AF6">
        <w:rPr>
          <w:rFonts w:asciiTheme="majorBidi" w:hAnsiTheme="majorBidi" w:cstheme="majorBidi"/>
          <w:b/>
          <w:bCs/>
          <w:sz w:val="24"/>
          <w:szCs w:val="24"/>
        </w:rPr>
        <w:br/>
        <w:t>пищевых продуктов</w:t>
      </w:r>
    </w:p>
    <w:p w14:paraId="2883BB94" w14:textId="77777777" w:rsidR="00267BB0" w:rsidRPr="006D0AF6" w:rsidRDefault="00267BB0" w:rsidP="00267BB0">
      <w:pPr>
        <w:spacing w:before="12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bCs/>
        </w:rPr>
        <w:t>Восьмидесятая</w:t>
      </w:r>
      <w:r w:rsidRPr="006D0AF6">
        <w:rPr>
          <w:rFonts w:asciiTheme="majorBidi" w:hAnsiTheme="majorBidi" w:cstheme="majorBidi"/>
          <w:b/>
          <w:bCs/>
        </w:rPr>
        <w:t xml:space="preserve"> сессия</w:t>
      </w:r>
    </w:p>
    <w:p w14:paraId="60BFE96A" w14:textId="77777777" w:rsidR="00267BB0" w:rsidRPr="006D0AF6" w:rsidRDefault="00267BB0" w:rsidP="00267BB0">
      <w:pPr>
        <w:rPr>
          <w:rFonts w:asciiTheme="majorBidi" w:hAnsiTheme="majorBidi" w:cstheme="majorBidi"/>
        </w:rPr>
      </w:pPr>
      <w:r w:rsidRPr="006D0AF6">
        <w:rPr>
          <w:rFonts w:asciiTheme="majorBidi" w:hAnsiTheme="majorBidi" w:cstheme="majorBidi"/>
        </w:rPr>
        <w:t xml:space="preserve">Женева, </w:t>
      </w:r>
      <w:proofErr w:type="gramStart"/>
      <w:r w:rsidRPr="006D0AF6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4</w:t>
      </w:r>
      <w:r w:rsidRPr="006D0AF6">
        <w:rPr>
          <w:rFonts w:asciiTheme="majorBidi" w:hAnsiTheme="majorBidi" w:cstheme="majorBidi"/>
        </w:rPr>
        <w:t>−2</w:t>
      </w:r>
      <w:r>
        <w:rPr>
          <w:rFonts w:asciiTheme="majorBidi" w:hAnsiTheme="majorBidi" w:cstheme="majorBidi"/>
        </w:rPr>
        <w:t>7</w:t>
      </w:r>
      <w:proofErr w:type="gramEnd"/>
      <w:r w:rsidRPr="006D0AF6">
        <w:rPr>
          <w:rFonts w:asciiTheme="majorBidi" w:hAnsiTheme="majorBidi" w:cstheme="majorBidi"/>
        </w:rPr>
        <w:t xml:space="preserve"> октября 202</w:t>
      </w:r>
      <w:r>
        <w:rPr>
          <w:rFonts w:asciiTheme="majorBidi" w:hAnsiTheme="majorBidi" w:cstheme="majorBidi"/>
        </w:rPr>
        <w:t>3</w:t>
      </w:r>
      <w:r w:rsidRPr="006D0AF6">
        <w:rPr>
          <w:rFonts w:asciiTheme="majorBidi" w:hAnsiTheme="majorBidi" w:cstheme="majorBidi"/>
        </w:rPr>
        <w:t xml:space="preserve"> года</w:t>
      </w:r>
    </w:p>
    <w:p w14:paraId="3D6A80BE" w14:textId="77777777" w:rsidR="00267BB0" w:rsidRPr="007E368E" w:rsidRDefault="00267BB0" w:rsidP="00267BB0">
      <w:r>
        <w:t>Пункт 8 предварительной повестки дня</w:t>
      </w:r>
    </w:p>
    <w:p w14:paraId="39D9CED1" w14:textId="77777777" w:rsidR="00267BB0" w:rsidRPr="007E368E" w:rsidRDefault="00267BB0" w:rsidP="00267BB0">
      <w:pPr>
        <w:rPr>
          <w:b/>
          <w:bCs/>
        </w:rPr>
      </w:pPr>
      <w:r>
        <w:rPr>
          <w:b/>
          <w:bCs/>
        </w:rPr>
        <w:t>Сфера действия СПС</w:t>
      </w:r>
    </w:p>
    <w:p w14:paraId="73E000F0" w14:textId="77777777" w:rsidR="00267BB0" w:rsidRPr="007E368E" w:rsidRDefault="00267BB0" w:rsidP="00267BB0">
      <w:pPr>
        <w:pStyle w:val="HChG"/>
      </w:pPr>
      <w:r>
        <w:tab/>
      </w:r>
      <w:r>
        <w:tab/>
      </w:r>
      <w:r>
        <w:rPr>
          <w:bCs/>
        </w:rPr>
        <w:t>Сфера действия СПС</w:t>
      </w:r>
    </w:p>
    <w:p w14:paraId="7390EF4B" w14:textId="77777777" w:rsidR="00267BB0" w:rsidRDefault="00267BB0" w:rsidP="00267BB0">
      <w:pPr>
        <w:pStyle w:val="H1G"/>
      </w:pPr>
      <w:r>
        <w:tab/>
      </w:r>
      <w:r>
        <w:tab/>
      </w:r>
      <w:r>
        <w:rPr>
          <w:bCs/>
        </w:rPr>
        <w:t>Передано федерацией «</w:t>
      </w:r>
      <w:proofErr w:type="spellStart"/>
      <w:r>
        <w:rPr>
          <w:bCs/>
        </w:rPr>
        <w:t>Трансфригорут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интернэшнл</w:t>
      </w:r>
      <w:proofErr w:type="spellEnd"/>
      <w:r>
        <w:rPr>
          <w:bCs/>
        </w:rPr>
        <w:t>»</w:t>
      </w:r>
    </w:p>
    <w:tbl>
      <w:tblPr>
        <w:tblStyle w:val="ac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9"/>
      </w:tblGrid>
      <w:tr w:rsidR="00267BB0" w14:paraId="1B35D225" w14:textId="77777777" w:rsidTr="00B75818">
        <w:trPr>
          <w:jc w:val="center"/>
        </w:trPr>
        <w:tc>
          <w:tcPr>
            <w:tcW w:w="9629" w:type="dxa"/>
            <w:shd w:val="clear" w:color="auto" w:fill="auto"/>
          </w:tcPr>
          <w:p w14:paraId="1A39170B" w14:textId="77777777" w:rsidR="00267BB0" w:rsidRPr="00C6263E" w:rsidRDefault="00267BB0" w:rsidP="00B75818">
            <w:pPr>
              <w:spacing w:before="240" w:after="120"/>
              <w:ind w:left="255"/>
              <w:rPr>
                <w:i/>
                <w:sz w:val="24"/>
              </w:rPr>
            </w:pPr>
            <w:r w:rsidRPr="00267BB0">
              <w:rPr>
                <w:i/>
                <w:iCs/>
                <w:sz w:val="24"/>
                <w:szCs w:val="28"/>
              </w:rPr>
              <w:t>Резюме</w:t>
            </w:r>
          </w:p>
        </w:tc>
      </w:tr>
      <w:tr w:rsidR="00267BB0" w:rsidRPr="007E368E" w14:paraId="4E53ADBC" w14:textId="77777777" w:rsidTr="00B75818">
        <w:trPr>
          <w:jc w:val="center"/>
        </w:trPr>
        <w:tc>
          <w:tcPr>
            <w:tcW w:w="9629" w:type="dxa"/>
            <w:shd w:val="clear" w:color="auto" w:fill="auto"/>
          </w:tcPr>
          <w:p w14:paraId="7ACBA46A" w14:textId="77777777" w:rsidR="00267BB0" w:rsidRPr="007E368E" w:rsidRDefault="00267BB0" w:rsidP="00267BB0">
            <w:pPr>
              <w:pStyle w:val="SingleTxtG"/>
              <w:ind w:left="2835" w:right="840" w:hanging="2551"/>
            </w:pPr>
            <w:r w:rsidRPr="002E6B3D">
              <w:rPr>
                <w:b/>
                <w:bCs/>
              </w:rPr>
              <w:t>Существо предложения:</w:t>
            </w:r>
            <w:r>
              <w:tab/>
              <w:t>В ходе последних сессий WP.11 состоялся ряд обсуждений, касающихся определения понятий независимости и автономности, определения транспортных средств и минимального времени работы, однако из-за различных точек зрения и вариантов толкования сферы действия СПС прийти к консенсусу не удалось. Цель данного документа заключается в том, чтобы предложить несколько ключевых элементов, которые необходимо согласовать для продвижения по пути эволюции СПС с учетом развития технологий.</w:t>
            </w:r>
          </w:p>
          <w:p w14:paraId="716F6194" w14:textId="77777777" w:rsidR="00267BB0" w:rsidRPr="007E368E" w:rsidRDefault="00267BB0" w:rsidP="00B75818">
            <w:pPr>
              <w:pStyle w:val="SingleTxtG"/>
              <w:ind w:left="2268" w:right="840" w:hanging="1984"/>
            </w:pPr>
            <w:r>
              <w:rPr>
                <w:b/>
                <w:bCs/>
              </w:rPr>
              <w:t>Предлагаемое решение:</w:t>
            </w:r>
            <w:r>
              <w:tab/>
              <w:t>Обсуждение</w:t>
            </w:r>
          </w:p>
          <w:p w14:paraId="58FF5A55" w14:textId="77777777" w:rsidR="00267BB0" w:rsidRPr="007E368E" w:rsidRDefault="00267BB0" w:rsidP="00267BB0">
            <w:pPr>
              <w:pStyle w:val="SingleTxtG"/>
              <w:ind w:left="2835" w:right="840" w:hanging="2551"/>
            </w:pPr>
            <w:r>
              <w:rPr>
                <w:b/>
                <w:bCs/>
              </w:rPr>
              <w:t>Справочные документы:</w:t>
            </w:r>
            <w:r>
              <w:tab/>
              <w:t>Доклад о работе семьдесят девятой сессии WP.11 (ECE/TRANS/WP.11/249)</w:t>
            </w:r>
          </w:p>
          <w:p w14:paraId="57395A8D" w14:textId="77777777" w:rsidR="00267BB0" w:rsidRPr="007E368E" w:rsidRDefault="00267BB0" w:rsidP="00B75818">
            <w:pPr>
              <w:pStyle w:val="SingleTxtG"/>
            </w:pPr>
            <w:r>
              <w:tab/>
            </w:r>
            <w:r>
              <w:tab/>
            </w:r>
            <w:r>
              <w:tab/>
              <w:t>Неофициальный документ INF.5 семьдесят девятой сессии</w:t>
            </w:r>
          </w:p>
        </w:tc>
      </w:tr>
      <w:tr w:rsidR="00267BB0" w:rsidRPr="007E368E" w14:paraId="6BB5F773" w14:textId="77777777" w:rsidTr="00B75818">
        <w:trPr>
          <w:jc w:val="center"/>
        </w:trPr>
        <w:tc>
          <w:tcPr>
            <w:tcW w:w="9629" w:type="dxa"/>
            <w:shd w:val="clear" w:color="auto" w:fill="auto"/>
          </w:tcPr>
          <w:p w14:paraId="7B3CEF51" w14:textId="77777777" w:rsidR="00267BB0" w:rsidRPr="007E368E" w:rsidRDefault="00267BB0" w:rsidP="00B75818"/>
        </w:tc>
      </w:tr>
    </w:tbl>
    <w:p w14:paraId="3EE2EEE3" w14:textId="77777777" w:rsidR="00267BB0" w:rsidRPr="007E368E" w:rsidRDefault="00267BB0" w:rsidP="00267BB0">
      <w:pPr>
        <w:pStyle w:val="HChG"/>
        <w:rPr>
          <w:rStyle w:val="HChGChar"/>
          <w:b/>
        </w:rPr>
      </w:pPr>
      <w:r>
        <w:tab/>
      </w:r>
      <w:r>
        <w:tab/>
      </w:r>
      <w:r>
        <w:rPr>
          <w:bCs/>
        </w:rPr>
        <w:t>Введение</w:t>
      </w:r>
    </w:p>
    <w:p w14:paraId="22F35AE6" w14:textId="77777777" w:rsidR="00267BB0" w:rsidRPr="007E368E" w:rsidRDefault="00267BB0" w:rsidP="00267BB0">
      <w:pPr>
        <w:pStyle w:val="SingleTxtG"/>
      </w:pPr>
      <w:r>
        <w:t>1.</w:t>
      </w:r>
      <w:r>
        <w:tab/>
        <w:t>Ряд вопросов, в частности определения понятий независимости и автономности, определение транспортных средств и минимального времени работы, активно обсуждались на различных форумах («</w:t>
      </w:r>
      <w:proofErr w:type="spellStart"/>
      <w:r>
        <w:t>Трансфригорут</w:t>
      </w:r>
      <w:proofErr w:type="spellEnd"/>
      <w:r>
        <w:t xml:space="preserve"> </w:t>
      </w:r>
      <w:proofErr w:type="spellStart"/>
      <w:r>
        <w:t>интернэшнл</w:t>
      </w:r>
      <w:proofErr w:type="spellEnd"/>
      <w:r>
        <w:t>», Подкомиссия МИХ по перевозкам холодильным транспортом (CEРTE) и неофициальная рабочая группа WP.11), однако по-прежнему вызывают проблемы из-за различных точек зрения на толкование сферы действия СПС.</w:t>
      </w:r>
    </w:p>
    <w:p w14:paraId="7D4F13CB" w14:textId="77777777" w:rsidR="00267BB0" w:rsidRDefault="00267BB0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CF2FAA0" w14:textId="5405CB24" w:rsidR="00267BB0" w:rsidRPr="007E368E" w:rsidRDefault="00267BB0" w:rsidP="00267BB0">
      <w:pPr>
        <w:pStyle w:val="SingleTxtG"/>
      </w:pPr>
      <w:r>
        <w:lastRenderedPageBreak/>
        <w:t>2.</w:t>
      </w:r>
      <w:r>
        <w:tab/>
        <w:t>Отсутствие единообразия в отношении определений и сферы действия СПС блокирует ряд предложений, играющих важную роль с точки зрения сохранения актуальности СПС применительно к новым технологиям (таким как электрификация транспортных средств, использование новых хладагентов).</w:t>
      </w:r>
    </w:p>
    <w:p w14:paraId="4085BA7F" w14:textId="77777777" w:rsidR="00267BB0" w:rsidRPr="007E368E" w:rsidRDefault="00267BB0" w:rsidP="00267BB0">
      <w:pPr>
        <w:pStyle w:val="SingleTxtG"/>
      </w:pPr>
      <w:r>
        <w:t>3.</w:t>
      </w:r>
      <w:r>
        <w:tab/>
        <w:t>Для прояснения этого вопроса 7 сентября 2022 года в Брюсселе состоялось очное совещание с участием 10 экспертов от различных организаций («TI-CCT», «ТЮВ ЗЮД», «CRT» и компетентный орган «</w:t>
      </w:r>
      <w:proofErr w:type="spellStart"/>
      <w:r>
        <w:t>Семафруа</w:t>
      </w:r>
      <w:proofErr w:type="spellEnd"/>
      <w:r>
        <w:t>»), и ниже приводятся некоторые основные моменты, вытекающие из итогов этого совещания.</w:t>
      </w:r>
    </w:p>
    <w:p w14:paraId="6550630A" w14:textId="77777777" w:rsidR="00267BB0" w:rsidRPr="007E368E" w:rsidRDefault="00267BB0" w:rsidP="00267BB0">
      <w:pPr>
        <w:pStyle w:val="HChG"/>
      </w:pPr>
      <w:r>
        <w:tab/>
      </w:r>
      <w:r>
        <w:tab/>
      </w:r>
      <w:r>
        <w:rPr>
          <w:bCs/>
        </w:rPr>
        <w:t>Сфера действия СПС: основные моменты</w:t>
      </w:r>
    </w:p>
    <w:p w14:paraId="57F46CB8" w14:textId="77777777" w:rsidR="00267BB0" w:rsidRPr="007E368E" w:rsidRDefault="00267BB0" w:rsidP="00267BB0">
      <w:pPr>
        <w:pStyle w:val="H23G"/>
      </w:pPr>
      <w:r>
        <w:tab/>
      </w:r>
      <w:r>
        <w:tab/>
      </w:r>
      <w:r>
        <w:rPr>
          <w:bCs/>
        </w:rPr>
        <w:t>Требование в отношении минимального времени работы</w:t>
      </w:r>
    </w:p>
    <w:p w14:paraId="56FBB2DF" w14:textId="77777777" w:rsidR="00267BB0" w:rsidRPr="007E368E" w:rsidRDefault="00267BB0" w:rsidP="00267BB0">
      <w:pPr>
        <w:pStyle w:val="SingleTxtG"/>
      </w:pPr>
      <w:r>
        <w:t>4.</w:t>
      </w:r>
      <w:r>
        <w:tab/>
        <w:t>Первый очевидный вопрос заключается в том, следует ли включать в СПС требование о минимальной продолжительности работы. По мнению большинства экспертов, такое не требование не относится к СПС.</w:t>
      </w:r>
    </w:p>
    <w:p w14:paraId="110A01A9" w14:textId="77777777" w:rsidR="00267BB0" w:rsidRPr="007E368E" w:rsidRDefault="00267BB0" w:rsidP="00267BB0">
      <w:pPr>
        <w:pStyle w:val="SingleTxtG"/>
      </w:pPr>
      <w:r>
        <w:t>5.</w:t>
      </w:r>
      <w:r>
        <w:tab/>
        <w:t>Большинство экспертов не считают, что в СПС необходимо требование о минимальной продолжительности работы, по следующим причинам:</w:t>
      </w:r>
    </w:p>
    <w:p w14:paraId="47EE7268" w14:textId="5BF6319C" w:rsidR="00267BB0" w:rsidRPr="007E368E" w:rsidRDefault="00267BB0" w:rsidP="00267BB0">
      <w:pPr>
        <w:pStyle w:val="SingleTxtG"/>
        <w:ind w:firstLine="567"/>
      </w:pPr>
      <w:r>
        <w:t>a)</w:t>
      </w:r>
      <w:r>
        <w:tab/>
      </w:r>
      <w:r>
        <w:t>н</w:t>
      </w:r>
      <w:r>
        <w:t>а сегодняшний день такого требования нет (например, нет требований в отношении минимального размера топливного бака);</w:t>
      </w:r>
    </w:p>
    <w:p w14:paraId="21A7DA99" w14:textId="5CDDA414" w:rsidR="00267BB0" w:rsidRPr="007E368E" w:rsidRDefault="00267BB0" w:rsidP="00267BB0">
      <w:pPr>
        <w:pStyle w:val="SingleTxtG"/>
        <w:ind w:firstLine="567"/>
      </w:pPr>
      <w:r>
        <w:t>b)</w:t>
      </w:r>
      <w:r>
        <w:tab/>
      </w:r>
      <w:r>
        <w:t>э</w:t>
      </w:r>
      <w:r>
        <w:t>та идея охватывается статьей 4: «Эти транспортные средства выбираются и используются таким образом, чтобы в течение всей перевозки могли соблюдаться температурные условия, предписанные в этих приложениях. Кроме того, принимаются все необходимые меры, в частности в отношении температуры продуктов в момент погрузки и операций по замораживанию и повторному замораживанию в пути или других необходимых операций»;</w:t>
      </w:r>
    </w:p>
    <w:p w14:paraId="3F79D8C1" w14:textId="49DC454F" w:rsidR="00267BB0" w:rsidRPr="007E368E" w:rsidRDefault="00267BB0" w:rsidP="00267BB0">
      <w:pPr>
        <w:pStyle w:val="SingleTxtG"/>
        <w:ind w:firstLine="567"/>
      </w:pPr>
      <w:r>
        <w:t>c)</w:t>
      </w:r>
      <w:r>
        <w:tab/>
      </w:r>
      <w:r>
        <w:t>п</w:t>
      </w:r>
      <w:r>
        <w:t xml:space="preserve">реобразование силового агрегата (транспортного средства и термического оборудования) приведет к перестройке логистический операций, </w:t>
      </w:r>
      <w:r w:rsidR="001A52C8">
        <w:br/>
      </w:r>
      <w:r>
        <w:t>в результате чего логистическая схема будет адаптирована к новым техническим ограничениям (а не наоборот).</w:t>
      </w:r>
    </w:p>
    <w:p w14:paraId="407D2E4B" w14:textId="77777777" w:rsidR="00267BB0" w:rsidRPr="007E368E" w:rsidRDefault="00267BB0" w:rsidP="00267BB0">
      <w:pPr>
        <w:pStyle w:val="SingleTxtG"/>
      </w:pPr>
      <w:r>
        <w:t>6.</w:t>
      </w:r>
      <w:r>
        <w:tab/>
        <w:t>Исходя из этой точки зрения некоторые определения (содержащиеся в приложении 1) следует изменить:</w:t>
      </w:r>
    </w:p>
    <w:p w14:paraId="1D65C658" w14:textId="4E89F6F3" w:rsidR="00267BB0" w:rsidRPr="007E368E" w:rsidRDefault="00267BB0" w:rsidP="00267BB0">
      <w:pPr>
        <w:pStyle w:val="Bullet1G"/>
        <w:numPr>
          <w:ilvl w:val="0"/>
          <w:numId w:val="22"/>
        </w:numPr>
      </w:pPr>
      <w:r>
        <w:tab/>
      </w:r>
      <w:r>
        <w:t>о</w:t>
      </w:r>
      <w:r>
        <w:t xml:space="preserve">пределения понятий «транспортное средство-ледник» и «транспортное средство-рефрижератор» не содержат никаких </w:t>
      </w:r>
      <w:r>
        <w:t>требований</w:t>
      </w:r>
      <w:r>
        <w:t xml:space="preserve"> к минимальной продолжительности работы</w:t>
      </w:r>
      <w:r>
        <w:t>;</w:t>
      </w:r>
    </w:p>
    <w:p w14:paraId="6476E24D" w14:textId="5E12C722" w:rsidR="00267BB0" w:rsidRPr="007E368E" w:rsidRDefault="00267BB0" w:rsidP="00267BB0">
      <w:pPr>
        <w:pStyle w:val="Bullet1G"/>
        <w:numPr>
          <w:ilvl w:val="0"/>
          <w:numId w:val="22"/>
        </w:numPr>
      </w:pPr>
      <w:r>
        <w:tab/>
      </w:r>
      <w:r>
        <w:t>в</w:t>
      </w:r>
      <w:r>
        <w:t xml:space="preserve"> то же время в определениях понятий «отапливаемое транспортное средство» и «транспортное средство-рефрижератор и отапливаемое» упоминается требование о минимальной продолжительности работы («в течение по меньшей мере 12 часов на практически постоянном уровне без дополнительного поступления тепла»).</w:t>
      </w:r>
    </w:p>
    <w:p w14:paraId="3FD496FD" w14:textId="77777777" w:rsidR="00267BB0" w:rsidRPr="007E368E" w:rsidRDefault="00267BB0" w:rsidP="00267BB0">
      <w:pPr>
        <w:pStyle w:val="SingleTxtG"/>
      </w:pPr>
      <w:r>
        <w:t>7.</w:t>
      </w:r>
      <w:r>
        <w:tab/>
        <w:t>Данное противоречие следует устранить, поскольку оно создает путаницу.</w:t>
      </w:r>
    </w:p>
    <w:p w14:paraId="59B13AC8" w14:textId="77777777" w:rsidR="00267BB0" w:rsidRPr="007E368E" w:rsidRDefault="00267BB0" w:rsidP="00267BB0">
      <w:pPr>
        <w:pStyle w:val="SingleTxtG"/>
      </w:pPr>
      <w:r>
        <w:t>8.</w:t>
      </w:r>
      <w:r>
        <w:tab/>
        <w:t>В тексте СПС необходимо четко разграничивать требования к испытаниям и требования к нормальной эксплуатации.</w:t>
      </w:r>
    </w:p>
    <w:p w14:paraId="7F28E072" w14:textId="77777777" w:rsidR="00267BB0" w:rsidRPr="007E368E" w:rsidRDefault="00267BB0" w:rsidP="00267BB0">
      <w:pPr>
        <w:pStyle w:val="SingleTxtG"/>
      </w:pPr>
      <w:r>
        <w:t>9.</w:t>
      </w:r>
      <w:r>
        <w:tab/>
        <w:t>Другим следствием этого является то, что участники совещания не пришли к единому мнению касательно необходимости включить определение понятия автономности (как продолжительности работы).</w:t>
      </w:r>
    </w:p>
    <w:p w14:paraId="5E3774CA" w14:textId="77777777" w:rsidR="00267BB0" w:rsidRPr="007E368E" w:rsidRDefault="00267BB0" w:rsidP="00267BB0">
      <w:pPr>
        <w:pStyle w:val="H23G"/>
      </w:pPr>
      <w:r>
        <w:tab/>
      </w:r>
      <w:r>
        <w:tab/>
      </w:r>
      <w:r>
        <w:rPr>
          <w:bCs/>
        </w:rPr>
        <w:t>Определение транспортных средств</w:t>
      </w:r>
    </w:p>
    <w:p w14:paraId="1088617F" w14:textId="77777777" w:rsidR="00267BB0" w:rsidRPr="0030127D" w:rsidRDefault="00267BB0" w:rsidP="00267BB0">
      <w:pPr>
        <w:pStyle w:val="SingleTxtG"/>
      </w:pPr>
      <w:r>
        <w:t>10.</w:t>
      </w:r>
      <w:r>
        <w:tab/>
        <w:t>Как отмечается в докладе о работе семьдесят девятой сессии WP.11 (пункт 2, раздел В, часть VI), определение термина «транспортное средство» сопряжено с недостатком ясности и может привести к возникновению путаницы и даже проблем юридического характера. Для уточнения этого определения предлагаются следующие два различных толкования:</w:t>
      </w:r>
      <w:bookmarkStart w:id="0" w:name="_Hlk140838012"/>
      <w:bookmarkEnd w:id="0"/>
    </w:p>
    <w:p w14:paraId="5B10FF21" w14:textId="116E5279" w:rsidR="00267BB0" w:rsidRPr="007E368E" w:rsidRDefault="00267BB0" w:rsidP="00267BB0">
      <w:pPr>
        <w:pStyle w:val="Bullet1G"/>
        <w:numPr>
          <w:ilvl w:val="0"/>
          <w:numId w:val="22"/>
        </w:numPr>
      </w:pPr>
      <w:r>
        <w:rPr>
          <w:b/>
          <w:bCs/>
        </w:rPr>
        <w:lastRenderedPageBreak/>
        <w:t>Толкование 1</w:t>
      </w:r>
      <w:r w:rsidRPr="00267BB0">
        <w:rPr>
          <w:b/>
          <w:bCs/>
        </w:rPr>
        <w:t>:</w:t>
      </w:r>
      <w:r>
        <w:t xml:space="preserve"> Транспортное средство = комплектное транспортное средство, включая силовой агрегат автомобиля и соответствующие накопители энергии + несущая конструкция (шасси) + изотермическое отделение + термическое оборудование.</w:t>
      </w:r>
    </w:p>
    <w:p w14:paraId="36188575" w14:textId="77777777" w:rsidR="00267BB0" w:rsidRPr="007E368E" w:rsidRDefault="00267BB0" w:rsidP="00267BB0">
      <w:pPr>
        <w:pStyle w:val="Bullet1G"/>
        <w:numPr>
          <w:ilvl w:val="0"/>
          <w:numId w:val="22"/>
        </w:numPr>
      </w:pPr>
      <w:r>
        <w:tab/>
      </w:r>
      <w:r>
        <w:rPr>
          <w:b/>
          <w:bCs/>
        </w:rPr>
        <w:t xml:space="preserve">Толкование 2: </w:t>
      </w:r>
      <w:r>
        <w:t>Транспортное средство = несущая конструкция (шасси) + изотермическое отделение + термическое оборудование.</w:t>
      </w:r>
    </w:p>
    <w:p w14:paraId="65C4A5A1" w14:textId="77777777" w:rsidR="00267BB0" w:rsidRPr="007E368E" w:rsidRDefault="00267BB0" w:rsidP="00267BB0">
      <w:pPr>
        <w:pStyle w:val="SingleTxtG"/>
      </w:pPr>
      <w:r>
        <w:t>Большинство экспертов склоняются в пользу толкования 2.</w:t>
      </w:r>
    </w:p>
    <w:p w14:paraId="4413004F" w14:textId="505EADBE" w:rsidR="00267BB0" w:rsidRPr="00267BB0" w:rsidRDefault="00267BB0" w:rsidP="00267BB0">
      <w:pPr>
        <w:pStyle w:val="SingleTxtG"/>
      </w:pPr>
      <w:r w:rsidRPr="00267BB0">
        <w:t>11.</w:t>
      </w:r>
      <w:r w:rsidRPr="00267BB0">
        <w:tab/>
        <w:t xml:space="preserve">Из доклада о работе семьдесят девятой сессии WP.11 (пункт 2, раздел В, </w:t>
      </w:r>
      <w:r>
        <w:br/>
      </w:r>
      <w:r w:rsidRPr="00267BB0">
        <w:t>часть VI):</w:t>
      </w:r>
    </w:p>
    <w:p w14:paraId="27FFA2FA" w14:textId="77777777" w:rsidR="00267BB0" w:rsidRPr="007E368E" w:rsidRDefault="00267BB0" w:rsidP="00267BB0">
      <w:pPr>
        <w:pStyle w:val="SingleTxtG"/>
        <w:ind w:left="1701"/>
      </w:pPr>
      <w:r>
        <w:t>«76.</w:t>
      </w:r>
      <w:r>
        <w:tab/>
        <w:t>Кроме того, по мнению ряда делегаций, в том что касается СПС, изотермический кузов является важнейшей составной частью, и все компоненты, оказывающие влияние на изотермические свойства, должны охватываться определением.</w:t>
      </w:r>
    </w:p>
    <w:p w14:paraId="151C2737" w14:textId="5B3C3E4B" w:rsidR="00267BB0" w:rsidRPr="007E368E" w:rsidRDefault="00267BB0" w:rsidP="00267BB0">
      <w:pPr>
        <w:pStyle w:val="SingleTxtG"/>
        <w:ind w:left="1701"/>
      </w:pPr>
      <w:r>
        <w:t>77.</w:t>
      </w:r>
      <w:r>
        <w:tab/>
        <w:t xml:space="preserve">Делегация Германии также отметила, что термин «транспортное средство» используется в статье 2 СПС и в нескольких пунктах приложения 1 </w:t>
      </w:r>
      <w:r>
        <w:br/>
      </w:r>
      <w:r>
        <w:t>в разных контекстах и с различными значениями».</w:t>
      </w:r>
    </w:p>
    <w:p w14:paraId="74192D03" w14:textId="77777777" w:rsidR="00267BB0" w:rsidRPr="007E368E" w:rsidRDefault="00267BB0" w:rsidP="00267BB0">
      <w:pPr>
        <w:pStyle w:val="H23G"/>
        <w:rPr>
          <w:b w:val="0"/>
        </w:rPr>
      </w:pPr>
      <w:bookmarkStart w:id="1" w:name="_Hlk140838396"/>
      <w:r>
        <w:tab/>
      </w:r>
      <w:r>
        <w:tab/>
      </w:r>
      <w:r>
        <w:rPr>
          <w:bCs/>
        </w:rPr>
        <w:t>Сфера действия требований в отношении сертификации</w:t>
      </w:r>
    </w:p>
    <w:bookmarkEnd w:id="1"/>
    <w:p w14:paraId="04E0C999" w14:textId="77777777" w:rsidR="00267BB0" w:rsidRPr="007E368E" w:rsidRDefault="00267BB0" w:rsidP="00267BB0">
      <w:pPr>
        <w:pStyle w:val="SingleTxtG"/>
      </w:pPr>
      <w:r>
        <w:t>12.</w:t>
      </w:r>
      <w:r>
        <w:tab/>
        <w:t xml:space="preserve">Было еще раз подчеркнуто, что цель СПС заключается в установлении правил для транспортных средств и не охватывает сертификацию видов топлива. </w:t>
      </w:r>
    </w:p>
    <w:p w14:paraId="3EA2AFA6" w14:textId="77777777" w:rsidR="00267BB0" w:rsidRPr="007E368E" w:rsidRDefault="00267BB0" w:rsidP="00267BB0">
      <w:pPr>
        <w:pStyle w:val="SingleTxtG"/>
      </w:pPr>
      <w:r>
        <w:t>13.</w:t>
      </w:r>
      <w:r>
        <w:tab/>
        <w:t>По мнению компетентного органа «</w:t>
      </w:r>
      <w:proofErr w:type="spellStart"/>
      <w:r>
        <w:t>Семафруа</w:t>
      </w:r>
      <w:proofErr w:type="spellEnd"/>
      <w:r>
        <w:t>», сертификация должна распространяться на тип энергии и источник питания, однако никто, кроме «</w:t>
      </w:r>
      <w:proofErr w:type="spellStart"/>
      <w:r>
        <w:t>Семафруа</w:t>
      </w:r>
      <w:proofErr w:type="spellEnd"/>
      <w:r>
        <w:t>», с этой точкой зрения не согласен.</w:t>
      </w:r>
    </w:p>
    <w:p w14:paraId="02394E92" w14:textId="77777777" w:rsidR="00267BB0" w:rsidRPr="007E368E" w:rsidRDefault="00267BB0" w:rsidP="00267BB0">
      <w:pPr>
        <w:pStyle w:val="SingleTxtG"/>
      </w:pPr>
      <w:r>
        <w:t>14.</w:t>
      </w:r>
      <w:r>
        <w:tab/>
        <w:t xml:space="preserve">Кроме того, был поднят вопрос об аккумуляторах, поскольку в связи с тем, что новое законодательство направлено на продвижение электромобилей (Регламент ЕС об инфраструктуре использования альтернативных видов топлива (АФИР)), срок службы аккумуляторов и зависимость от них станут одним из факторов организации поставок, а следовательно, и обеспечения безопасности пищевых продуктов. </w:t>
      </w:r>
    </w:p>
    <w:p w14:paraId="6B87F3A7" w14:textId="77777777" w:rsidR="00267BB0" w:rsidRPr="007E368E" w:rsidRDefault="00267BB0" w:rsidP="00267BB0">
      <w:pPr>
        <w:pStyle w:val="SingleTxtG"/>
      </w:pPr>
      <w:r>
        <w:t>15.</w:t>
      </w:r>
      <w:r>
        <w:tab/>
        <w:t xml:space="preserve">По вопросу о включении в сферу действия СПС таких источников электроэнергии, как аккумуляторы, очевидного консенсуса нет. </w:t>
      </w:r>
    </w:p>
    <w:p w14:paraId="599B4BD9" w14:textId="77777777" w:rsidR="00267BB0" w:rsidRPr="007E368E" w:rsidRDefault="00267BB0" w:rsidP="00267BB0">
      <w:pPr>
        <w:pStyle w:val="H23G"/>
      </w:pPr>
      <w:r>
        <w:tab/>
      </w:r>
      <w:r>
        <w:tab/>
      </w:r>
      <w:r>
        <w:rPr>
          <w:bCs/>
        </w:rPr>
        <w:t>Анализ</w:t>
      </w:r>
    </w:p>
    <w:p w14:paraId="35B9B041" w14:textId="77777777" w:rsidR="00267BB0" w:rsidRPr="007E368E" w:rsidRDefault="00267BB0" w:rsidP="00267BB0">
      <w:pPr>
        <w:pStyle w:val="SingleTxtG"/>
      </w:pPr>
      <w:r>
        <w:t>16.</w:t>
      </w:r>
      <w:r>
        <w:tab/>
        <w:t xml:space="preserve">Следствием того, что существуют различные толкования вышеуказанных вопросов, может стать непоследовательное применение правил СПС договаривающимися сторонами. </w:t>
      </w:r>
    </w:p>
    <w:p w14:paraId="2FAB8116" w14:textId="77777777" w:rsidR="00267BB0" w:rsidRPr="007E368E" w:rsidRDefault="00267BB0" w:rsidP="00267BB0">
      <w:pPr>
        <w:pStyle w:val="SingleTxtG"/>
      </w:pPr>
      <w:r>
        <w:t>17.</w:t>
      </w:r>
      <w:r>
        <w:tab/>
        <w:t>Это также может привести к подрыву конкуренции и штрафным санкциям в отношении транспортных компаний, транспортные средства которых могут оказаться заблокированными по административным причинам, связанным с СПС.</w:t>
      </w:r>
    </w:p>
    <w:p w14:paraId="6183E9CE" w14:textId="77777777" w:rsidR="00267BB0" w:rsidRPr="007E368E" w:rsidRDefault="00267BB0" w:rsidP="00267BB0">
      <w:pPr>
        <w:spacing w:before="240"/>
        <w:jc w:val="center"/>
        <w:rPr>
          <w:u w:val="single"/>
        </w:rPr>
      </w:pPr>
      <w:r w:rsidRPr="007E368E">
        <w:rPr>
          <w:u w:val="single"/>
        </w:rPr>
        <w:tab/>
      </w:r>
      <w:r w:rsidRPr="007E368E">
        <w:rPr>
          <w:u w:val="single"/>
        </w:rPr>
        <w:tab/>
      </w:r>
      <w:r w:rsidRPr="007E368E">
        <w:rPr>
          <w:u w:val="single"/>
        </w:rPr>
        <w:tab/>
      </w:r>
    </w:p>
    <w:p w14:paraId="4C6CAA8F" w14:textId="77777777" w:rsidR="00E12C5F" w:rsidRPr="008D53B6" w:rsidRDefault="00E12C5F" w:rsidP="00D9145B"/>
    <w:sectPr w:rsidR="00E12C5F" w:rsidRPr="008D53B6" w:rsidSect="00FF0B8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B282" w14:textId="77777777" w:rsidR="00AB78D7" w:rsidRPr="00A312BC" w:rsidRDefault="00AB78D7" w:rsidP="00A312BC"/>
  </w:endnote>
  <w:endnote w:type="continuationSeparator" w:id="0">
    <w:p w14:paraId="43D0282A" w14:textId="77777777" w:rsidR="00AB78D7" w:rsidRPr="00A312BC" w:rsidRDefault="00AB78D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2FA5" w14:textId="0D33E8BB" w:rsidR="00FF0B83" w:rsidRPr="00FF0B83" w:rsidRDefault="00FF0B83">
    <w:pPr>
      <w:pStyle w:val="a8"/>
    </w:pPr>
    <w:r w:rsidRPr="00FF0B83">
      <w:rPr>
        <w:b/>
        <w:sz w:val="18"/>
      </w:rPr>
      <w:fldChar w:fldCharType="begin"/>
    </w:r>
    <w:r w:rsidRPr="00FF0B83">
      <w:rPr>
        <w:b/>
        <w:sz w:val="18"/>
      </w:rPr>
      <w:instrText xml:space="preserve"> PAGE  \* MERGEFORMAT </w:instrText>
    </w:r>
    <w:r w:rsidRPr="00FF0B83">
      <w:rPr>
        <w:b/>
        <w:sz w:val="18"/>
      </w:rPr>
      <w:fldChar w:fldCharType="separate"/>
    </w:r>
    <w:r w:rsidRPr="00FF0B83">
      <w:rPr>
        <w:b/>
        <w:noProof/>
        <w:sz w:val="18"/>
      </w:rPr>
      <w:t>2</w:t>
    </w:r>
    <w:r w:rsidRPr="00FF0B83">
      <w:rPr>
        <w:b/>
        <w:sz w:val="18"/>
      </w:rPr>
      <w:fldChar w:fldCharType="end"/>
    </w:r>
    <w:r>
      <w:rPr>
        <w:b/>
        <w:sz w:val="18"/>
      </w:rPr>
      <w:tab/>
    </w:r>
    <w:r>
      <w:t>GE.23-15204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DC3C" w14:textId="59F045F6" w:rsidR="00FF0B83" w:rsidRPr="00FF0B83" w:rsidRDefault="00FF0B83" w:rsidP="00FF0B83">
    <w:pPr>
      <w:pStyle w:val="a8"/>
      <w:tabs>
        <w:tab w:val="clear" w:pos="9639"/>
        <w:tab w:val="right" w:pos="9638"/>
      </w:tabs>
      <w:rPr>
        <w:b/>
        <w:sz w:val="18"/>
      </w:rPr>
    </w:pPr>
    <w:r>
      <w:t>GE.23-15204</w:t>
    </w:r>
    <w:r>
      <w:tab/>
    </w:r>
    <w:r w:rsidRPr="00FF0B83">
      <w:rPr>
        <w:b/>
        <w:sz w:val="18"/>
      </w:rPr>
      <w:fldChar w:fldCharType="begin"/>
    </w:r>
    <w:r w:rsidRPr="00FF0B83">
      <w:rPr>
        <w:b/>
        <w:sz w:val="18"/>
      </w:rPr>
      <w:instrText xml:space="preserve"> PAGE  \* MERGEFORMAT </w:instrText>
    </w:r>
    <w:r w:rsidRPr="00FF0B83">
      <w:rPr>
        <w:b/>
        <w:sz w:val="18"/>
      </w:rPr>
      <w:fldChar w:fldCharType="separate"/>
    </w:r>
    <w:r w:rsidRPr="00FF0B83">
      <w:rPr>
        <w:b/>
        <w:noProof/>
        <w:sz w:val="18"/>
      </w:rPr>
      <w:t>3</w:t>
    </w:r>
    <w:r w:rsidRPr="00FF0B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414B" w14:textId="34C3BF26" w:rsidR="00042B72" w:rsidRPr="00267BB0" w:rsidRDefault="00FF0B83" w:rsidP="00FF0B8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53E91F4" wp14:editId="2067EA1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23-15204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9D135DF" wp14:editId="759D0E4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BB0">
      <w:rPr>
        <w:lang w:val="en-US"/>
      </w:rPr>
      <w:t xml:space="preserve">  110823  220823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5440" w14:textId="77777777" w:rsidR="00AB78D7" w:rsidRPr="001075E9" w:rsidRDefault="00AB78D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69CBC1" w14:textId="77777777" w:rsidR="00AB78D7" w:rsidRDefault="00AB78D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C0C2" w14:textId="663D8E2A" w:rsidR="00FF0B83" w:rsidRPr="00FF0B83" w:rsidRDefault="00FF0B83">
    <w:pPr>
      <w:pStyle w:val="a5"/>
    </w:pPr>
    <w:fldSimple w:instr=" TITLE  \* MERGEFORMAT ">
      <w:r w:rsidR="00977C70">
        <w:t>ECE/TRANS/WP.11/2023/13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EB0F" w14:textId="754581E0" w:rsidR="00FF0B83" w:rsidRPr="00FF0B83" w:rsidRDefault="00FF0B83" w:rsidP="00FF0B83">
    <w:pPr>
      <w:pStyle w:val="a5"/>
      <w:jc w:val="right"/>
    </w:pPr>
    <w:fldSimple w:instr=" TITLE  \* MERGEFORMAT ">
      <w:r w:rsidR="00977C70">
        <w:t>ECE/TRANS/WP.11/2023/13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8B218F"/>
    <w:multiLevelType w:val="hybridMultilevel"/>
    <w:tmpl w:val="5698725E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9"/>
  </w:num>
  <w:num w:numId="2" w16cid:durableId="966817556">
    <w:abstractNumId w:val="13"/>
  </w:num>
  <w:num w:numId="3" w16cid:durableId="1816291531">
    <w:abstractNumId w:val="12"/>
  </w:num>
  <w:num w:numId="4" w16cid:durableId="1492480875">
    <w:abstractNumId w:val="20"/>
  </w:num>
  <w:num w:numId="5" w16cid:durableId="1298685170">
    <w:abstractNumId w:val="15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8"/>
  </w:num>
  <w:num w:numId="17" w16cid:durableId="53941411">
    <w:abstractNumId w:val="14"/>
  </w:num>
  <w:num w:numId="18" w16cid:durableId="961153681">
    <w:abstractNumId w:val="16"/>
  </w:num>
  <w:num w:numId="19" w16cid:durableId="1272468768">
    <w:abstractNumId w:val="18"/>
  </w:num>
  <w:num w:numId="20" w16cid:durableId="807743971">
    <w:abstractNumId w:val="14"/>
  </w:num>
  <w:num w:numId="21" w16cid:durableId="1591162185">
    <w:abstractNumId w:val="16"/>
  </w:num>
  <w:num w:numId="22" w16cid:durableId="771048642">
    <w:abstractNumId w:val="17"/>
  </w:num>
  <w:num w:numId="23" w16cid:durableId="286589630">
    <w:abstractNumId w:val="10"/>
  </w:num>
  <w:num w:numId="24" w16cid:durableId="172695526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D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52C8"/>
    <w:rsid w:val="001B3EF6"/>
    <w:rsid w:val="001C7A89"/>
    <w:rsid w:val="00255343"/>
    <w:rsid w:val="00267BB0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7C70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B78D7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92773"/>
  <w15:docId w15:val="{C9522D03-616D-46F6-B2D1-D3EF8669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267BB0"/>
    <w:rPr>
      <w:lang w:val="ru-RU" w:eastAsia="en-US"/>
    </w:rPr>
  </w:style>
  <w:style w:type="paragraph" w:customStyle="1" w:styleId="ParNoG">
    <w:name w:val="_ParNo_G"/>
    <w:basedOn w:val="SingleTxtG"/>
    <w:qFormat/>
    <w:rsid w:val="00267BB0"/>
    <w:pPr>
      <w:numPr>
        <w:numId w:val="23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rsid w:val="00267BB0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FC4F8-407F-4C5B-8A2D-39467C505189}"/>
</file>

<file path=customXml/itemProps2.xml><?xml version="1.0" encoding="utf-8"?>
<ds:datastoreItem xmlns:ds="http://schemas.openxmlformats.org/officeDocument/2006/customXml" ds:itemID="{6D7FAB44-F935-4721-ACFE-1A78FEDA9D4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28</TotalTime>
  <Pages>3</Pages>
  <Words>855</Words>
  <Characters>5963</Characters>
  <Application>Microsoft Office Word</Application>
  <DocSecurity>0</DocSecurity>
  <Lines>128</Lines>
  <Paragraphs>54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ECE/TRANS/WP.11/2023/13</dc:title>
  <dc:subject/>
  <dc:creator>Ekaterina SALYNSKAYA</dc:creator>
  <cp:keywords/>
  <cp:lastModifiedBy>Ekaterina Salynskaya</cp:lastModifiedBy>
  <cp:revision>3</cp:revision>
  <cp:lastPrinted>2023-08-22T07:38:00Z</cp:lastPrinted>
  <dcterms:created xsi:type="dcterms:W3CDTF">2023-08-22T07:38:00Z</dcterms:created>
  <dcterms:modified xsi:type="dcterms:W3CDTF">2023-08-22T07:38:00Z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