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9F2EF09" w14:textId="77777777" w:rsidTr="005316B0">
        <w:trPr>
          <w:trHeight w:hRule="exact" w:val="851"/>
        </w:trPr>
        <w:tc>
          <w:tcPr>
            <w:tcW w:w="1276" w:type="dxa"/>
            <w:tcBorders>
              <w:bottom w:val="single" w:sz="4" w:space="0" w:color="auto"/>
            </w:tcBorders>
          </w:tcPr>
          <w:p w14:paraId="23E7E62F" w14:textId="77777777" w:rsidR="001433FD" w:rsidRPr="00DB58B5" w:rsidRDefault="001433FD" w:rsidP="0001207F"/>
        </w:tc>
        <w:tc>
          <w:tcPr>
            <w:tcW w:w="2268" w:type="dxa"/>
            <w:tcBorders>
              <w:bottom w:val="single" w:sz="4" w:space="0" w:color="auto"/>
            </w:tcBorders>
            <w:vAlign w:val="bottom"/>
          </w:tcPr>
          <w:p w14:paraId="12766907"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A7DDC0" w14:textId="26F01432" w:rsidR="001433FD" w:rsidRPr="0032761C" w:rsidRDefault="0032761C" w:rsidP="0032761C">
            <w:pPr>
              <w:jc w:val="right"/>
            </w:pPr>
            <w:r w:rsidRPr="0032761C">
              <w:rPr>
                <w:sz w:val="40"/>
              </w:rPr>
              <w:t>ECE</w:t>
            </w:r>
            <w:r>
              <w:t>/TRANS/WP.15/AC.1/2023/51</w:t>
            </w:r>
          </w:p>
        </w:tc>
      </w:tr>
      <w:tr w:rsidR="001433FD" w:rsidRPr="00DB58B5" w14:paraId="4267F22E" w14:textId="77777777" w:rsidTr="007D3236">
        <w:trPr>
          <w:trHeight w:hRule="exact" w:val="2835"/>
        </w:trPr>
        <w:tc>
          <w:tcPr>
            <w:tcW w:w="1276" w:type="dxa"/>
            <w:tcBorders>
              <w:top w:val="single" w:sz="4" w:space="0" w:color="auto"/>
              <w:bottom w:val="single" w:sz="12" w:space="0" w:color="auto"/>
            </w:tcBorders>
          </w:tcPr>
          <w:p w14:paraId="37C8EF68" w14:textId="77777777" w:rsidR="001433FD" w:rsidRPr="00DB58B5" w:rsidRDefault="001433FD" w:rsidP="007D3236">
            <w:pPr>
              <w:spacing w:before="120"/>
              <w:jc w:val="center"/>
            </w:pPr>
            <w:r>
              <w:rPr>
                <w:noProof/>
                <w:lang w:eastAsia="fr-CH"/>
              </w:rPr>
              <w:drawing>
                <wp:inline distT="0" distB="0" distL="0" distR="0" wp14:anchorId="4E673F4B" wp14:editId="69F3EC4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95390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B9AFFD" w14:textId="77777777" w:rsidR="0001207F" w:rsidRDefault="001328AF" w:rsidP="001328AF">
            <w:pPr>
              <w:spacing w:before="240" w:line="240" w:lineRule="exact"/>
            </w:pPr>
            <w:proofErr w:type="spellStart"/>
            <w:r>
              <w:t>Distr</w:t>
            </w:r>
            <w:proofErr w:type="spellEnd"/>
            <w:r>
              <w:t>. générale</w:t>
            </w:r>
          </w:p>
          <w:p w14:paraId="6BA14CB5" w14:textId="27F2A9E4" w:rsidR="001328AF" w:rsidRDefault="00E659FE" w:rsidP="001328AF">
            <w:pPr>
              <w:spacing w:line="240" w:lineRule="exact"/>
            </w:pPr>
            <w:r>
              <w:t>10</w:t>
            </w:r>
            <w:r w:rsidR="001328AF">
              <w:t xml:space="preserve"> j</w:t>
            </w:r>
            <w:r w:rsidR="00413B7F">
              <w:t>uillet</w:t>
            </w:r>
            <w:r w:rsidR="001328AF">
              <w:t xml:space="preserve"> 2023</w:t>
            </w:r>
          </w:p>
          <w:p w14:paraId="2608A6C1" w14:textId="77777777" w:rsidR="001328AF" w:rsidRDefault="001328AF" w:rsidP="001328AF">
            <w:pPr>
              <w:spacing w:line="240" w:lineRule="exact"/>
            </w:pPr>
          </w:p>
          <w:p w14:paraId="34F1FC47" w14:textId="77777777" w:rsidR="001328AF" w:rsidRPr="00DB58B5" w:rsidRDefault="001328AF" w:rsidP="001328AF">
            <w:pPr>
              <w:spacing w:line="240" w:lineRule="exact"/>
            </w:pPr>
            <w:r>
              <w:t>Original : français</w:t>
            </w:r>
          </w:p>
        </w:tc>
      </w:tr>
    </w:tbl>
    <w:p w14:paraId="6EBCC2D5" w14:textId="77777777" w:rsidR="006F42DE" w:rsidRDefault="006F42DE" w:rsidP="00FD1581">
      <w:pPr>
        <w:spacing w:before="120"/>
        <w:rPr>
          <w:b/>
          <w:sz w:val="28"/>
          <w:szCs w:val="28"/>
        </w:rPr>
      </w:pPr>
      <w:r w:rsidRPr="00883605">
        <w:rPr>
          <w:b/>
          <w:sz w:val="28"/>
          <w:szCs w:val="28"/>
        </w:rPr>
        <w:t>Commission économique pour l’Europe</w:t>
      </w:r>
    </w:p>
    <w:p w14:paraId="5A8B5F83" w14:textId="77777777" w:rsidR="006F42DE" w:rsidRPr="008A7BD0" w:rsidRDefault="006F42DE" w:rsidP="00FD1581">
      <w:pPr>
        <w:spacing w:before="120"/>
        <w:rPr>
          <w:sz w:val="28"/>
          <w:szCs w:val="28"/>
          <w:lang w:val="fr-CA"/>
        </w:rPr>
      </w:pPr>
      <w:r w:rsidRPr="008A7BD0">
        <w:rPr>
          <w:sz w:val="28"/>
          <w:szCs w:val="28"/>
          <w:lang w:val="fr-CA"/>
        </w:rPr>
        <w:t>Comité des transports intérieurs</w:t>
      </w:r>
    </w:p>
    <w:p w14:paraId="2FDC016D" w14:textId="77777777" w:rsidR="006F42DE" w:rsidRPr="008A7BD0" w:rsidRDefault="006F42DE"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262F8E76" w14:textId="77777777" w:rsidR="006F42DE" w:rsidRPr="008A7BD0" w:rsidRDefault="006F42DE"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06132935" w14:textId="28207846" w:rsidR="00932F8D" w:rsidRPr="00707B93" w:rsidRDefault="00932F8D" w:rsidP="00FD1581">
      <w:pPr>
        <w:rPr>
          <w:lang w:val="fr-FR"/>
        </w:rPr>
      </w:pPr>
      <w:r>
        <w:rPr>
          <w:szCs w:val="24"/>
          <w:lang w:val="fr-FR"/>
        </w:rPr>
        <w:t>Genève</w:t>
      </w:r>
      <w:r w:rsidRPr="00F52B36">
        <w:rPr>
          <w:szCs w:val="24"/>
          <w:lang w:val="fr-FR"/>
        </w:rPr>
        <w:t xml:space="preserve">, </w:t>
      </w:r>
      <w:r>
        <w:rPr>
          <w:szCs w:val="24"/>
          <w:lang w:val="fr-FR"/>
        </w:rPr>
        <w:t>19</w:t>
      </w:r>
      <w:r w:rsidRPr="00F52B36">
        <w:rPr>
          <w:szCs w:val="24"/>
          <w:lang w:val="fr-FR"/>
        </w:rPr>
        <w:t>-</w:t>
      </w:r>
      <w:r>
        <w:rPr>
          <w:szCs w:val="24"/>
          <w:lang w:val="fr-FR"/>
        </w:rPr>
        <w:t>29</w:t>
      </w:r>
      <w:r w:rsidRPr="00F52B36">
        <w:rPr>
          <w:szCs w:val="24"/>
          <w:lang w:val="fr-FR"/>
        </w:rPr>
        <w:t xml:space="preserve"> </w:t>
      </w:r>
      <w:r>
        <w:rPr>
          <w:szCs w:val="24"/>
          <w:lang w:val="fr-FR"/>
        </w:rPr>
        <w:t>septembre</w:t>
      </w:r>
      <w:r w:rsidRPr="00F52B36">
        <w:rPr>
          <w:szCs w:val="24"/>
          <w:lang w:val="fr-FR"/>
        </w:rPr>
        <w:t xml:space="preserve"> 202</w:t>
      </w:r>
      <w:r>
        <w:rPr>
          <w:szCs w:val="24"/>
          <w:lang w:val="fr-FR"/>
        </w:rPr>
        <w:t>3</w:t>
      </w:r>
    </w:p>
    <w:p w14:paraId="04D5ABDD" w14:textId="1EE51F4E" w:rsidR="006F42DE" w:rsidRPr="008A7BD0" w:rsidRDefault="006F42DE" w:rsidP="00FD1581">
      <w:pPr>
        <w:rPr>
          <w:lang w:val="fr-FR"/>
        </w:rPr>
      </w:pPr>
      <w:r w:rsidRPr="00707B93">
        <w:rPr>
          <w:lang w:val="fr-FR"/>
        </w:rPr>
        <w:t xml:space="preserve">Point </w:t>
      </w:r>
      <w:r w:rsidR="00932F8D" w:rsidRPr="00707B93">
        <w:rPr>
          <w:lang w:val="fr-FR"/>
        </w:rPr>
        <w:t>5 a)</w:t>
      </w:r>
      <w:r>
        <w:rPr>
          <w:lang w:val="fr-FR"/>
        </w:rPr>
        <w:t xml:space="preserve"> </w:t>
      </w:r>
      <w:r w:rsidRPr="008A7BD0">
        <w:rPr>
          <w:lang w:val="fr-FR"/>
        </w:rPr>
        <w:t>de l’ordre du jour provisoire</w:t>
      </w:r>
    </w:p>
    <w:p w14:paraId="32C34E0A" w14:textId="77777777" w:rsidR="00345535" w:rsidRPr="00F52B36" w:rsidRDefault="00345535" w:rsidP="00345535">
      <w:pPr>
        <w:rPr>
          <w:b/>
          <w:bCs/>
          <w:lang w:val="fr-FR"/>
        </w:rPr>
      </w:pPr>
      <w:r w:rsidRPr="00F52B36">
        <w:rPr>
          <w:b/>
          <w:bCs/>
          <w:lang w:val="fr-FR"/>
        </w:rPr>
        <w:t>Propositions d’amendements au RID, à l’ADR et à l’ADN :</w:t>
      </w:r>
      <w:r w:rsidRPr="00F52B36">
        <w:rPr>
          <w:b/>
          <w:bCs/>
          <w:lang w:val="fr-FR"/>
        </w:rPr>
        <w:br/>
      </w:r>
      <w:r>
        <w:rPr>
          <w:b/>
          <w:bCs/>
          <w:lang w:val="fr-FR"/>
        </w:rPr>
        <w:t>questions en suspens</w:t>
      </w:r>
      <w:r w:rsidRPr="00F52B36">
        <w:rPr>
          <w:b/>
          <w:bCs/>
          <w:lang w:val="fr-FR"/>
        </w:rPr>
        <w:t xml:space="preserve"> </w:t>
      </w:r>
    </w:p>
    <w:p w14:paraId="1F843441" w14:textId="32344EA5" w:rsidR="00B76312" w:rsidRPr="00F52B36" w:rsidRDefault="00B76312" w:rsidP="00702CC6">
      <w:pPr>
        <w:pStyle w:val="HChG"/>
        <w:rPr>
          <w:lang w:val="fr-FR"/>
        </w:rPr>
      </w:pPr>
      <w:r w:rsidRPr="00F52B36">
        <w:rPr>
          <w:lang w:val="fr-FR"/>
        </w:rPr>
        <w:tab/>
      </w:r>
      <w:r w:rsidRPr="00F52B36">
        <w:rPr>
          <w:lang w:val="fr-FR"/>
        </w:rPr>
        <w:tab/>
      </w:r>
      <w:r>
        <w:rPr>
          <w:lang w:val="fr-FR"/>
        </w:rPr>
        <w:t>Transport en vrac de catégories spécifiques de déchets contenant de l’amiante (</w:t>
      </w:r>
      <w:proofErr w:type="spellStart"/>
      <w:r>
        <w:rPr>
          <w:lang w:val="fr-FR"/>
        </w:rPr>
        <w:t>n</w:t>
      </w:r>
      <w:r w:rsidR="009D3FF0" w:rsidRPr="00FD7ECA">
        <w:rPr>
          <w:vertAlign w:val="superscript"/>
          <w:lang w:val="fr-FR"/>
        </w:rPr>
        <w:t>os</w:t>
      </w:r>
      <w:r>
        <w:rPr>
          <w:lang w:val="fr-FR"/>
        </w:rPr>
        <w:t>°ONU</w:t>
      </w:r>
      <w:proofErr w:type="spellEnd"/>
      <w:r>
        <w:rPr>
          <w:lang w:val="fr-FR"/>
        </w:rPr>
        <w:t xml:space="preserve"> 2590 et 2212)</w:t>
      </w:r>
    </w:p>
    <w:p w14:paraId="2DD56CC5" w14:textId="77777777" w:rsidR="00B76312" w:rsidRPr="004426A4" w:rsidRDefault="00B76312" w:rsidP="002D795D">
      <w:pPr>
        <w:pStyle w:val="H1G"/>
        <w:rPr>
          <w:b w:val="0"/>
          <w:bCs/>
          <w:szCs w:val="24"/>
          <w:lang w:val="fr-FR"/>
        </w:rPr>
      </w:pPr>
      <w:r w:rsidRPr="004426A4">
        <w:rPr>
          <w:rFonts w:eastAsia="Arial"/>
          <w:b w:val="0"/>
          <w:bCs/>
          <w:szCs w:val="24"/>
          <w:lang w:val="fr-FR"/>
        </w:rPr>
        <w:tab/>
      </w:r>
      <w:r w:rsidRPr="004426A4">
        <w:rPr>
          <w:rFonts w:eastAsia="Arial"/>
          <w:b w:val="0"/>
          <w:bCs/>
          <w:szCs w:val="24"/>
          <w:lang w:val="fr-FR"/>
        </w:rPr>
        <w:tab/>
      </w:r>
      <w:r w:rsidRPr="004426A4">
        <w:rPr>
          <w:rStyle w:val="H1GChar"/>
          <w:rFonts w:eastAsia="Arial"/>
          <w:b/>
          <w:bCs/>
          <w:lang w:val="fr-FR"/>
        </w:rPr>
        <w:t>Communication du Gouvernement de la France</w:t>
      </w:r>
      <w:r w:rsidRPr="00707B93">
        <w:rPr>
          <w:rStyle w:val="FootnoteReference"/>
          <w:b w:val="0"/>
          <w:bCs/>
          <w:sz w:val="20"/>
          <w:vertAlign w:val="baseline"/>
          <w:lang w:val="fr-FR"/>
        </w:rPr>
        <w:footnoteReference w:customMarkFollows="1" w:id="2"/>
        <w:t>*</w:t>
      </w:r>
      <w:r w:rsidRPr="00707B93">
        <w:rPr>
          <w:b w:val="0"/>
          <w:bCs/>
          <w:vertAlign w:val="superscript"/>
          <w:lang w:val="fr-FR"/>
        </w:rPr>
        <w:t xml:space="preserve">, </w:t>
      </w:r>
      <w:r w:rsidRPr="00707B93">
        <w:rPr>
          <w:rStyle w:val="FootnoteReference"/>
          <w:b w:val="0"/>
          <w:bCs/>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76312" w14:paraId="472B46B6" w14:textId="77777777" w:rsidTr="00780146">
        <w:trPr>
          <w:jc w:val="center"/>
        </w:trPr>
        <w:tc>
          <w:tcPr>
            <w:tcW w:w="9628" w:type="dxa"/>
            <w:shd w:val="clear" w:color="auto" w:fill="auto"/>
          </w:tcPr>
          <w:p w14:paraId="58797932" w14:textId="77777777" w:rsidR="00B76312" w:rsidRPr="00C6263E" w:rsidRDefault="00B76312" w:rsidP="006E5E26">
            <w:pPr>
              <w:spacing w:before="240" w:after="120"/>
              <w:ind w:left="255"/>
              <w:rPr>
                <w:i/>
                <w:sz w:val="24"/>
              </w:rPr>
            </w:pPr>
            <w:r w:rsidRPr="00C6263E">
              <w:rPr>
                <w:i/>
                <w:sz w:val="24"/>
              </w:rPr>
              <w:t xml:space="preserve">Résumé </w:t>
            </w:r>
          </w:p>
        </w:tc>
      </w:tr>
      <w:tr w:rsidR="00780146" w14:paraId="785200D7" w14:textId="77777777" w:rsidTr="00780146">
        <w:trPr>
          <w:jc w:val="center"/>
        </w:trPr>
        <w:tc>
          <w:tcPr>
            <w:tcW w:w="9628" w:type="dxa"/>
            <w:shd w:val="clear" w:color="auto" w:fill="auto"/>
          </w:tcPr>
          <w:p w14:paraId="62447BE6" w14:textId="56EF7653" w:rsidR="00780146" w:rsidRDefault="00780146" w:rsidP="00BC575A">
            <w:pPr>
              <w:pStyle w:val="SingleTxtG"/>
              <w:ind w:left="3402" w:hanging="2268"/>
            </w:pPr>
            <w:r w:rsidRPr="00F52B36">
              <w:rPr>
                <w:b/>
                <w:lang w:val="fr-FR"/>
              </w:rPr>
              <w:t>Résumé analytique</w:t>
            </w:r>
            <w:r w:rsidRPr="00702CC6">
              <w:rPr>
                <w:bCs/>
                <w:lang w:val="fr-FR"/>
              </w:rPr>
              <w:t> :</w:t>
            </w:r>
            <w:r w:rsidRPr="00F52B36">
              <w:rPr>
                <w:b/>
                <w:lang w:val="fr-FR"/>
              </w:rPr>
              <w:tab/>
            </w:r>
            <w:r w:rsidRPr="00F52B36">
              <w:rPr>
                <w:lang w:val="fr-FR"/>
              </w:rPr>
              <w:t xml:space="preserve">Ce document vise à </w:t>
            </w:r>
            <w:r>
              <w:rPr>
                <w:lang w:val="fr-FR"/>
              </w:rPr>
              <w:t>introduire des dispositions autorisant le transport en vrac de certains déchets contenant de l’amiante</w:t>
            </w:r>
          </w:p>
        </w:tc>
      </w:tr>
      <w:tr w:rsidR="00780146" w14:paraId="3282E885" w14:textId="77777777" w:rsidTr="00780146">
        <w:trPr>
          <w:trHeight w:val="1553"/>
          <w:jc w:val="center"/>
        </w:trPr>
        <w:tc>
          <w:tcPr>
            <w:tcW w:w="9628" w:type="dxa"/>
            <w:shd w:val="clear" w:color="auto" w:fill="auto"/>
          </w:tcPr>
          <w:p w14:paraId="3B9B3255" w14:textId="0F55F93F" w:rsidR="00780146" w:rsidRDefault="00780146" w:rsidP="00BC575A">
            <w:pPr>
              <w:pStyle w:val="SingleTxtG"/>
              <w:tabs>
                <w:tab w:val="left" w:pos="3402"/>
              </w:tabs>
              <w:ind w:left="3402" w:hanging="2268"/>
              <w:rPr>
                <w:lang w:val="fr-FR"/>
              </w:rPr>
            </w:pPr>
            <w:r w:rsidRPr="00F52B36">
              <w:rPr>
                <w:b/>
                <w:lang w:val="fr-FR"/>
              </w:rPr>
              <w:t>Mesures à prendre</w:t>
            </w:r>
            <w:r w:rsidRPr="00702CC6">
              <w:rPr>
                <w:bCs/>
                <w:lang w:val="fr-FR"/>
              </w:rPr>
              <w:t> :</w:t>
            </w:r>
            <w:r w:rsidRPr="00F52B36">
              <w:rPr>
                <w:b/>
                <w:lang w:val="fr-FR"/>
              </w:rPr>
              <w:tab/>
            </w:r>
            <w:r>
              <w:rPr>
                <w:lang w:val="fr-FR"/>
              </w:rPr>
              <w:t xml:space="preserve">Modification de différents chapitres </w:t>
            </w:r>
            <w:r w:rsidR="006D3BF3">
              <w:rPr>
                <w:lang w:val="fr-FR"/>
              </w:rPr>
              <w:t>du RID/</w:t>
            </w:r>
            <w:r>
              <w:rPr>
                <w:lang w:val="fr-FR"/>
              </w:rPr>
              <w:t>de l’ADR</w:t>
            </w:r>
          </w:p>
          <w:p w14:paraId="4490F7DC" w14:textId="706B98A9" w:rsidR="00780146" w:rsidRDefault="00780146" w:rsidP="00BC575A">
            <w:pPr>
              <w:pStyle w:val="SingleTxtG"/>
              <w:tabs>
                <w:tab w:val="left" w:pos="3402"/>
              </w:tabs>
              <w:ind w:left="3402" w:hanging="2268"/>
              <w:rPr>
                <w:lang w:val="fr-FR"/>
              </w:rPr>
            </w:pPr>
            <w:r>
              <w:rPr>
                <w:b/>
                <w:lang w:val="fr-FR"/>
              </w:rPr>
              <w:t>Documents annexes</w:t>
            </w:r>
            <w:r w:rsidRPr="00702CC6">
              <w:rPr>
                <w:bCs/>
                <w:lang w:val="fr-FR"/>
              </w:rPr>
              <w:t> :</w:t>
            </w:r>
            <w:r w:rsidRPr="00F52B36">
              <w:rPr>
                <w:b/>
                <w:lang w:val="fr-FR"/>
              </w:rPr>
              <w:tab/>
            </w:r>
            <w:r>
              <w:rPr>
                <w:lang w:val="fr-FR"/>
              </w:rPr>
              <w:t>ECE/TRANS/WP.15/AC.1/168, paragraphe 50,</w:t>
            </w:r>
          </w:p>
          <w:p w14:paraId="7CF73395" w14:textId="5B28B503" w:rsidR="00780146" w:rsidRDefault="00EA2D37" w:rsidP="00BC575A">
            <w:pPr>
              <w:pStyle w:val="SingleTxtG"/>
              <w:tabs>
                <w:tab w:val="left" w:pos="3402"/>
              </w:tabs>
              <w:ind w:left="3402" w:hanging="3402"/>
            </w:pPr>
            <w:r w:rsidRPr="00707B93">
              <w:rPr>
                <w:lang w:val="fr-FR"/>
              </w:rPr>
              <w:tab/>
            </w:r>
            <w:r w:rsidR="00244C2B">
              <w:rPr>
                <w:bCs/>
                <w:lang w:val="fr-FR"/>
              </w:rPr>
              <w:t>Document informel</w:t>
            </w:r>
            <w:r w:rsidR="00244C2B" w:rsidRPr="00A51172">
              <w:rPr>
                <w:bCs/>
                <w:lang w:val="fr-FR"/>
              </w:rPr>
              <w:t xml:space="preserve"> INF.1</w:t>
            </w:r>
            <w:r w:rsidR="00244C2B">
              <w:rPr>
                <w:bCs/>
                <w:lang w:val="fr-FR"/>
              </w:rPr>
              <w:t xml:space="preserve">6 </w:t>
            </w:r>
            <w:r w:rsidR="00244C2B">
              <w:rPr>
                <w:lang w:val="fr-FR"/>
              </w:rPr>
              <w:t>de la session de printemps 2023 de la Réunion commune</w:t>
            </w:r>
          </w:p>
        </w:tc>
      </w:tr>
    </w:tbl>
    <w:p w14:paraId="265E1729" w14:textId="77777777" w:rsidR="000944B5" w:rsidRPr="00F52B36" w:rsidRDefault="000944B5" w:rsidP="000944B5">
      <w:pPr>
        <w:pStyle w:val="HChG"/>
        <w:ind w:right="850"/>
        <w:rPr>
          <w:lang w:val="fr-FR"/>
        </w:rPr>
      </w:pPr>
      <w:r w:rsidRPr="00707B93">
        <w:rPr>
          <w:lang w:val="fr-FR"/>
        </w:rPr>
        <w:tab/>
      </w:r>
      <w:r w:rsidRPr="00707B93">
        <w:rPr>
          <w:lang w:val="fr-FR"/>
        </w:rPr>
        <w:tab/>
      </w:r>
      <w:r w:rsidRPr="00F52B36">
        <w:rPr>
          <w:lang w:val="fr-FR"/>
        </w:rPr>
        <w:t>Introduction</w:t>
      </w:r>
    </w:p>
    <w:p w14:paraId="02AB4761" w14:textId="4B8D340E" w:rsidR="000944B5" w:rsidRPr="00F52B36" w:rsidRDefault="00210253" w:rsidP="00210253">
      <w:pPr>
        <w:pStyle w:val="SingleTxtG"/>
        <w:rPr>
          <w:lang w:val="fr-FR"/>
        </w:rPr>
      </w:pPr>
      <w:r>
        <w:rPr>
          <w:lang w:val="fr-FR"/>
        </w:rPr>
        <w:t>1.</w:t>
      </w:r>
      <w:r>
        <w:rPr>
          <w:lang w:val="fr-FR"/>
        </w:rPr>
        <w:tab/>
      </w:r>
      <w:r w:rsidR="000944B5">
        <w:rPr>
          <w:lang w:val="fr-FR"/>
        </w:rPr>
        <w:t xml:space="preserve">Lors de la dernière session de la </w:t>
      </w:r>
      <w:r w:rsidR="00D64BC8">
        <w:rPr>
          <w:lang w:val="fr-FR"/>
        </w:rPr>
        <w:t>R</w:t>
      </w:r>
      <w:r w:rsidR="000944B5">
        <w:rPr>
          <w:lang w:val="fr-FR"/>
        </w:rPr>
        <w:t>éunion commune la France a été invitée à proposer dans un document officiel les amendements concernant le transport d’amiante qui avaient reçu un appui de principe.</w:t>
      </w:r>
      <w:r w:rsidR="000944B5" w:rsidRPr="002A56F0">
        <w:rPr>
          <w:lang w:val="fr-FR"/>
        </w:rPr>
        <w:t xml:space="preserve"> </w:t>
      </w:r>
    </w:p>
    <w:p w14:paraId="7FDE12A6" w14:textId="04F6564C" w:rsidR="000944B5" w:rsidRDefault="00210253" w:rsidP="00210253">
      <w:pPr>
        <w:pStyle w:val="SingleTxtG"/>
        <w:rPr>
          <w:lang w:val="fr-FR"/>
        </w:rPr>
      </w:pPr>
      <w:r>
        <w:rPr>
          <w:lang w:val="fr-FR"/>
        </w:rPr>
        <w:lastRenderedPageBreak/>
        <w:t>2.</w:t>
      </w:r>
      <w:r>
        <w:rPr>
          <w:lang w:val="fr-FR"/>
        </w:rPr>
        <w:tab/>
      </w:r>
      <w:r w:rsidR="000944B5">
        <w:rPr>
          <w:lang w:val="fr-FR"/>
        </w:rPr>
        <w:t xml:space="preserve">Pour prendre en compte les commentaires formulés par certaines délégations lors de la dernière session de la </w:t>
      </w:r>
      <w:r w:rsidR="00005940">
        <w:rPr>
          <w:lang w:val="fr-FR"/>
        </w:rPr>
        <w:t>R</w:t>
      </w:r>
      <w:r w:rsidR="000944B5">
        <w:rPr>
          <w:lang w:val="fr-FR"/>
        </w:rPr>
        <w:t>éunion commune, la France propose à nouveau des amendements RID/ADR/ADN afin d’introduire la possibilité de transporter en vrac certains types de déchets contenant de l’amiante (</w:t>
      </w:r>
      <w:proofErr w:type="spellStart"/>
      <w:r w:rsidR="000944B5">
        <w:rPr>
          <w:lang w:val="fr-FR"/>
        </w:rPr>
        <w:t>n</w:t>
      </w:r>
      <w:r w:rsidR="00005940" w:rsidRPr="00210253">
        <w:rPr>
          <w:vertAlign w:val="superscript"/>
          <w:lang w:val="fr-FR"/>
        </w:rPr>
        <w:t>os</w:t>
      </w:r>
      <w:r w:rsidR="000944B5">
        <w:rPr>
          <w:lang w:val="fr-FR"/>
        </w:rPr>
        <w:t>°ONU</w:t>
      </w:r>
      <w:proofErr w:type="spellEnd"/>
      <w:r w:rsidR="002D3329">
        <w:rPr>
          <w:lang w:val="fr-FR"/>
        </w:rPr>
        <w:t> </w:t>
      </w:r>
      <w:r w:rsidR="000944B5">
        <w:rPr>
          <w:lang w:val="fr-FR"/>
        </w:rPr>
        <w:t xml:space="preserve">2590 et 2212). </w:t>
      </w:r>
    </w:p>
    <w:p w14:paraId="057E7647" w14:textId="75E4F0DB" w:rsidR="000944B5" w:rsidRDefault="002D3329" w:rsidP="002D3329">
      <w:pPr>
        <w:pStyle w:val="SingleTxtG"/>
        <w:rPr>
          <w:lang w:val="fr-FR"/>
        </w:rPr>
      </w:pPr>
      <w:r>
        <w:rPr>
          <w:lang w:val="fr-FR"/>
        </w:rPr>
        <w:t>3.</w:t>
      </w:r>
      <w:r>
        <w:rPr>
          <w:lang w:val="fr-FR"/>
        </w:rPr>
        <w:tab/>
      </w:r>
      <w:r w:rsidR="000944B5">
        <w:rPr>
          <w:lang w:val="fr-FR"/>
        </w:rPr>
        <w:t xml:space="preserve">Cette nouvelle proposition </w:t>
      </w:r>
      <w:r w:rsidR="000944B5" w:rsidRPr="002D3329">
        <w:t>reprend</w:t>
      </w:r>
      <w:r w:rsidR="000944B5">
        <w:rPr>
          <w:lang w:val="fr-FR"/>
        </w:rPr>
        <w:t xml:space="preserve"> les propositions du document </w:t>
      </w:r>
      <w:r w:rsidR="00A168BA">
        <w:rPr>
          <w:bCs/>
          <w:lang w:val="fr-FR"/>
        </w:rPr>
        <w:t>informel</w:t>
      </w:r>
      <w:r w:rsidR="00A168BA" w:rsidRPr="00A51172">
        <w:rPr>
          <w:bCs/>
          <w:lang w:val="fr-FR"/>
        </w:rPr>
        <w:t xml:space="preserve"> INF.1</w:t>
      </w:r>
      <w:r w:rsidR="00A168BA">
        <w:rPr>
          <w:bCs/>
          <w:lang w:val="fr-FR"/>
        </w:rPr>
        <w:t xml:space="preserve">6 </w:t>
      </w:r>
      <w:r w:rsidR="00A168BA">
        <w:rPr>
          <w:lang w:val="fr-FR"/>
        </w:rPr>
        <w:t xml:space="preserve">de la </w:t>
      </w:r>
      <w:r w:rsidR="00BF2A8B">
        <w:rPr>
          <w:lang w:val="fr-FR"/>
        </w:rPr>
        <w:t xml:space="preserve">dernière </w:t>
      </w:r>
      <w:r w:rsidR="00A168BA">
        <w:rPr>
          <w:lang w:val="fr-FR"/>
        </w:rPr>
        <w:t xml:space="preserve">Réunion commune </w:t>
      </w:r>
      <w:r w:rsidR="000944B5">
        <w:rPr>
          <w:lang w:val="fr-FR"/>
        </w:rPr>
        <w:t xml:space="preserve">avec des modifications destinées à tenir compte des commentaires exprimés lors de la dernière session. Aucun autre commentaire n’a été reçu par la France depuis la fin de la dernière session, cependant les délégations qui souhaitent s’exprimer sur la base de la proposition qui fait l’objet de ce document officiel sont les bienvenues. </w:t>
      </w:r>
      <w:r w:rsidR="00A35D6D">
        <w:rPr>
          <w:lang w:val="fr-FR"/>
        </w:rPr>
        <w:t>La France</w:t>
      </w:r>
      <w:r w:rsidR="000944B5">
        <w:rPr>
          <w:lang w:val="fr-FR"/>
        </w:rPr>
        <w:t xml:space="preserve"> les invit</w:t>
      </w:r>
      <w:r w:rsidR="00E917F9">
        <w:rPr>
          <w:lang w:val="fr-FR"/>
        </w:rPr>
        <w:t>e</w:t>
      </w:r>
      <w:r w:rsidR="000944B5">
        <w:rPr>
          <w:lang w:val="fr-FR"/>
        </w:rPr>
        <w:t xml:space="preserve"> à les </w:t>
      </w:r>
      <w:r w:rsidR="004A5497">
        <w:rPr>
          <w:lang w:val="fr-FR"/>
        </w:rPr>
        <w:t xml:space="preserve">leurs </w:t>
      </w:r>
      <w:r w:rsidR="000944B5">
        <w:rPr>
          <w:lang w:val="fr-FR"/>
        </w:rPr>
        <w:t>transmettre le cas échéant afin d’en tenir compte dans un éventuel document inform</w:t>
      </w:r>
      <w:r w:rsidR="00C56621">
        <w:rPr>
          <w:lang w:val="fr-FR"/>
        </w:rPr>
        <w:t>el</w:t>
      </w:r>
      <w:r w:rsidR="000944B5">
        <w:rPr>
          <w:lang w:val="fr-FR"/>
        </w:rPr>
        <w:t xml:space="preserve"> complémentaire qui serait susceptible de produire une version révisée afin de faciliter les débats au sein de la </w:t>
      </w:r>
      <w:r w:rsidR="00E20396">
        <w:rPr>
          <w:lang w:val="fr-FR"/>
        </w:rPr>
        <w:t>R</w:t>
      </w:r>
      <w:r w:rsidR="000944B5">
        <w:rPr>
          <w:lang w:val="fr-FR"/>
        </w:rPr>
        <w:t>éunion commune</w:t>
      </w:r>
      <w:r w:rsidR="00DB1D37">
        <w:rPr>
          <w:lang w:val="fr-FR"/>
        </w:rPr>
        <w:t>.</w:t>
      </w:r>
    </w:p>
    <w:p w14:paraId="5F8C31AC" w14:textId="17868AF0" w:rsidR="000944B5" w:rsidRPr="001B7735" w:rsidRDefault="002D3329" w:rsidP="002D3329">
      <w:pPr>
        <w:pStyle w:val="SingleTxtG"/>
        <w:rPr>
          <w:lang w:val="fr-FR"/>
        </w:rPr>
      </w:pPr>
      <w:r>
        <w:rPr>
          <w:lang w:val="fr-FR"/>
        </w:rPr>
        <w:t>4.</w:t>
      </w:r>
      <w:r>
        <w:rPr>
          <w:lang w:val="fr-FR"/>
        </w:rPr>
        <w:tab/>
      </w:r>
      <w:r w:rsidR="000944B5" w:rsidRPr="001B7735">
        <w:rPr>
          <w:lang w:val="fr-FR"/>
        </w:rPr>
        <w:t xml:space="preserve">Suite aux commentaires formulés lors de la dernière session de la </w:t>
      </w:r>
      <w:r w:rsidR="00E20396">
        <w:rPr>
          <w:lang w:val="fr-FR"/>
        </w:rPr>
        <w:t>R</w:t>
      </w:r>
      <w:r w:rsidR="000944B5" w:rsidRPr="001B7735">
        <w:rPr>
          <w:lang w:val="fr-FR"/>
        </w:rPr>
        <w:t>éunion commune</w:t>
      </w:r>
      <w:r w:rsidR="000944B5">
        <w:rPr>
          <w:lang w:val="fr-FR"/>
        </w:rPr>
        <w:t>,</w:t>
      </w:r>
      <w:r w:rsidR="000944B5" w:rsidRPr="001B7735">
        <w:rPr>
          <w:lang w:val="fr-FR"/>
        </w:rPr>
        <w:t xml:space="preserve"> deux </w:t>
      </w:r>
      <w:r w:rsidR="000944B5">
        <w:rPr>
          <w:lang w:val="fr-FR"/>
        </w:rPr>
        <w:t xml:space="preserve">rédactions </w:t>
      </w:r>
      <w:r w:rsidR="000944B5" w:rsidRPr="001B7735">
        <w:rPr>
          <w:lang w:val="fr-FR"/>
        </w:rPr>
        <w:t>alternatives sont présentées</w:t>
      </w:r>
      <w:r w:rsidR="000944B5">
        <w:rPr>
          <w:lang w:val="fr-FR"/>
        </w:rPr>
        <w:t xml:space="preserve"> (</w:t>
      </w:r>
      <w:r w:rsidR="002029EF">
        <w:rPr>
          <w:lang w:val="fr-FR"/>
        </w:rPr>
        <w:t xml:space="preserve">Option </w:t>
      </w:r>
      <w:r w:rsidR="000944B5">
        <w:rPr>
          <w:lang w:val="fr-FR"/>
        </w:rPr>
        <w:t xml:space="preserve">2A et </w:t>
      </w:r>
      <w:r w:rsidR="002029EF">
        <w:rPr>
          <w:lang w:val="fr-FR"/>
        </w:rPr>
        <w:t xml:space="preserve">Option </w:t>
      </w:r>
      <w:r w:rsidR="000944B5">
        <w:rPr>
          <w:lang w:val="fr-FR"/>
        </w:rPr>
        <w:t>2B) concernant l’introduction d’une nouvelle disposition spéciale. L</w:t>
      </w:r>
      <w:r w:rsidR="002029EF">
        <w:rPr>
          <w:lang w:val="fr-FR"/>
        </w:rPr>
        <w:t xml:space="preserve">’option </w:t>
      </w:r>
      <w:r w:rsidR="000944B5">
        <w:rPr>
          <w:lang w:val="fr-FR"/>
        </w:rPr>
        <w:t xml:space="preserve">2A correspond à l’approche restrictive présentée dans le document </w:t>
      </w:r>
      <w:r w:rsidR="005A145A">
        <w:rPr>
          <w:lang w:val="fr-FR"/>
        </w:rPr>
        <w:t xml:space="preserve">informel </w:t>
      </w:r>
      <w:r w:rsidR="000944B5">
        <w:rPr>
          <w:lang w:val="fr-FR"/>
        </w:rPr>
        <w:t>INF.16. L</w:t>
      </w:r>
      <w:r w:rsidR="00A12A17">
        <w:rPr>
          <w:lang w:val="fr-FR"/>
        </w:rPr>
        <w:t>’op</w:t>
      </w:r>
      <w:r w:rsidR="000944B5">
        <w:rPr>
          <w:lang w:val="fr-FR"/>
        </w:rPr>
        <w:t xml:space="preserve">tion 2B, quant à elle, prend en compte la demande </w:t>
      </w:r>
      <w:r w:rsidR="000944B5" w:rsidRPr="001B7735">
        <w:rPr>
          <w:lang w:val="fr-FR"/>
        </w:rPr>
        <w:t>visant à élargir les catégories de déchets autorisées au transport en vrac.</w:t>
      </w:r>
    </w:p>
    <w:p w14:paraId="4885764C" w14:textId="53122B65" w:rsidR="000944B5" w:rsidRDefault="002D3329" w:rsidP="00F13727">
      <w:pPr>
        <w:pStyle w:val="HChG"/>
        <w:spacing w:before="320"/>
        <w:rPr>
          <w:lang w:val="fr-FR"/>
        </w:rPr>
      </w:pPr>
      <w:r>
        <w:rPr>
          <w:lang w:val="fr-FR"/>
        </w:rPr>
        <w:tab/>
      </w:r>
      <w:r>
        <w:rPr>
          <w:lang w:val="fr-FR"/>
        </w:rPr>
        <w:tab/>
      </w:r>
      <w:r w:rsidR="000944B5" w:rsidRPr="00F52B36">
        <w:rPr>
          <w:lang w:val="fr-FR"/>
        </w:rPr>
        <w:t>Proposition</w:t>
      </w:r>
      <w:r w:rsidR="000944B5">
        <w:rPr>
          <w:lang w:val="fr-FR"/>
        </w:rPr>
        <w:t>s</w:t>
      </w:r>
    </w:p>
    <w:p w14:paraId="43182437" w14:textId="1F8CDDD3" w:rsidR="000944B5" w:rsidRDefault="000944B5" w:rsidP="002D3329">
      <w:pPr>
        <w:pStyle w:val="SingleTxtG"/>
        <w:rPr>
          <w:lang w:val="fr-FR"/>
        </w:rPr>
      </w:pPr>
      <w:r>
        <w:rPr>
          <w:lang w:val="fr-FR"/>
        </w:rPr>
        <w:t>5.</w:t>
      </w:r>
      <w:r>
        <w:rPr>
          <w:lang w:val="fr-FR"/>
        </w:rPr>
        <w:tab/>
        <w:t>Les cinq propositions suivantes ont été rédigées dans le but de respecter la structure logique du RID/ADR/ADN. Elles ont été numérotées afin de faciliter les discussions mais elles font partie d’une systématique globale et doivent être adoptées dans leur ensemble. (Les modifications par rapport aux propositions antérieures apparaissent en texte rayé ou souligné.)</w:t>
      </w:r>
    </w:p>
    <w:p w14:paraId="7001665F" w14:textId="33C86CAD" w:rsidR="000944B5" w:rsidRDefault="00B226D9" w:rsidP="00F13727">
      <w:pPr>
        <w:pStyle w:val="H1G"/>
        <w:spacing w:before="320"/>
        <w:rPr>
          <w:lang w:val="fr-FR"/>
        </w:rPr>
      </w:pPr>
      <w:r>
        <w:rPr>
          <w:lang w:val="fr-FR"/>
        </w:rPr>
        <w:tab/>
      </w:r>
      <w:r>
        <w:rPr>
          <w:lang w:val="fr-FR"/>
        </w:rPr>
        <w:tab/>
      </w:r>
      <w:r w:rsidR="000944B5" w:rsidRPr="005F2BFF">
        <w:rPr>
          <w:lang w:val="fr-FR"/>
        </w:rPr>
        <w:t xml:space="preserve">Proposition </w:t>
      </w:r>
      <w:r w:rsidR="000944B5">
        <w:rPr>
          <w:lang w:val="fr-FR"/>
        </w:rPr>
        <w:t>1</w:t>
      </w:r>
    </w:p>
    <w:p w14:paraId="6DEC9BC5" w14:textId="4DEDE4E8" w:rsidR="00751718" w:rsidRDefault="00EA2302" w:rsidP="00751718">
      <w:pPr>
        <w:ind w:left="1134" w:firstLine="3"/>
        <w:rPr>
          <w:lang w:val="fr-FR"/>
        </w:rPr>
      </w:pPr>
      <w:r>
        <w:rPr>
          <w:lang w:val="fr-FR"/>
        </w:rPr>
        <w:t>6.</w:t>
      </w:r>
      <w:r>
        <w:rPr>
          <w:lang w:val="fr-FR"/>
        </w:rPr>
        <w:tab/>
      </w:r>
      <w:r w:rsidR="00751718" w:rsidRPr="005F2BFF">
        <w:rPr>
          <w:lang w:val="fr-FR"/>
        </w:rPr>
        <w:t>M</w:t>
      </w:r>
      <w:r w:rsidR="00751718">
        <w:rPr>
          <w:lang w:val="fr-FR"/>
        </w:rPr>
        <w:t>odifier le Tableau A du Chapitre 3.2 comme suit :</w:t>
      </w:r>
    </w:p>
    <w:tbl>
      <w:tblPr>
        <w:tblpPr w:leftFromText="141" w:rightFromText="141" w:vertAnchor="text" w:horzAnchor="margin" w:tblpXSpec="right" w:tblpY="207"/>
        <w:tblW w:w="8504" w:type="dxa"/>
        <w:tblCellMar>
          <w:left w:w="70" w:type="dxa"/>
          <w:right w:w="70" w:type="dxa"/>
        </w:tblCellMar>
        <w:tblLook w:val="04A0" w:firstRow="1" w:lastRow="0" w:firstColumn="1" w:lastColumn="0" w:noHBand="0" w:noVBand="1"/>
      </w:tblPr>
      <w:tblGrid>
        <w:gridCol w:w="540"/>
        <w:gridCol w:w="1418"/>
        <w:gridCol w:w="522"/>
        <w:gridCol w:w="450"/>
        <w:gridCol w:w="387"/>
        <w:gridCol w:w="401"/>
        <w:gridCol w:w="696"/>
        <w:gridCol w:w="516"/>
        <w:gridCol w:w="529"/>
        <w:gridCol w:w="697"/>
        <w:gridCol w:w="566"/>
        <w:gridCol w:w="630"/>
        <w:gridCol w:w="578"/>
        <w:gridCol w:w="574"/>
      </w:tblGrid>
      <w:tr w:rsidR="00751718" w:rsidRPr="005F2BFF" w14:paraId="0207A7C2" w14:textId="77777777" w:rsidTr="00757C15">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920C316"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(1)</w:t>
            </w:r>
          </w:p>
        </w:tc>
        <w:tc>
          <w:tcPr>
            <w:tcW w:w="1418" w:type="dxa"/>
            <w:tcBorders>
              <w:top w:val="single" w:sz="4" w:space="0" w:color="auto"/>
              <w:left w:val="nil"/>
              <w:bottom w:val="single" w:sz="4" w:space="0" w:color="auto"/>
              <w:right w:val="single" w:sz="4" w:space="0" w:color="auto"/>
            </w:tcBorders>
            <w:shd w:val="clear" w:color="auto" w:fill="auto"/>
            <w:hideMark/>
          </w:tcPr>
          <w:p w14:paraId="68E8F9D5"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(2)</w:t>
            </w:r>
          </w:p>
        </w:tc>
        <w:tc>
          <w:tcPr>
            <w:tcW w:w="522" w:type="dxa"/>
            <w:tcBorders>
              <w:top w:val="single" w:sz="4" w:space="0" w:color="auto"/>
              <w:left w:val="nil"/>
              <w:bottom w:val="single" w:sz="4" w:space="0" w:color="auto"/>
              <w:right w:val="single" w:sz="4" w:space="0" w:color="auto"/>
            </w:tcBorders>
            <w:shd w:val="clear" w:color="auto" w:fill="auto"/>
            <w:hideMark/>
          </w:tcPr>
          <w:p w14:paraId="4CC54E39"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(3a)</w:t>
            </w:r>
          </w:p>
        </w:tc>
        <w:tc>
          <w:tcPr>
            <w:tcW w:w="450" w:type="dxa"/>
            <w:tcBorders>
              <w:top w:val="single" w:sz="4" w:space="0" w:color="auto"/>
              <w:left w:val="nil"/>
              <w:bottom w:val="single" w:sz="4" w:space="0" w:color="auto"/>
              <w:right w:val="single" w:sz="4" w:space="0" w:color="auto"/>
            </w:tcBorders>
            <w:shd w:val="clear" w:color="auto" w:fill="auto"/>
            <w:hideMark/>
          </w:tcPr>
          <w:p w14:paraId="4856C57C"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(3b)</w:t>
            </w:r>
          </w:p>
        </w:tc>
        <w:tc>
          <w:tcPr>
            <w:tcW w:w="387" w:type="dxa"/>
            <w:tcBorders>
              <w:top w:val="single" w:sz="4" w:space="0" w:color="auto"/>
              <w:left w:val="nil"/>
              <w:bottom w:val="single" w:sz="4" w:space="0" w:color="auto"/>
              <w:right w:val="single" w:sz="4" w:space="0" w:color="auto"/>
            </w:tcBorders>
            <w:shd w:val="clear" w:color="auto" w:fill="auto"/>
            <w:hideMark/>
          </w:tcPr>
          <w:p w14:paraId="43E30BA6"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(4)</w:t>
            </w:r>
          </w:p>
        </w:tc>
        <w:tc>
          <w:tcPr>
            <w:tcW w:w="401" w:type="dxa"/>
            <w:tcBorders>
              <w:top w:val="single" w:sz="4" w:space="0" w:color="auto"/>
              <w:left w:val="nil"/>
              <w:bottom w:val="single" w:sz="4" w:space="0" w:color="auto"/>
              <w:right w:val="single" w:sz="4" w:space="0" w:color="auto"/>
            </w:tcBorders>
            <w:shd w:val="clear" w:color="auto" w:fill="auto"/>
            <w:hideMark/>
          </w:tcPr>
          <w:p w14:paraId="7842C4D4"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(5)</w:t>
            </w:r>
          </w:p>
        </w:tc>
        <w:tc>
          <w:tcPr>
            <w:tcW w:w="696" w:type="dxa"/>
            <w:tcBorders>
              <w:top w:val="single" w:sz="4" w:space="0" w:color="auto"/>
              <w:left w:val="nil"/>
              <w:bottom w:val="single" w:sz="4" w:space="0" w:color="auto"/>
              <w:right w:val="single" w:sz="4" w:space="0" w:color="auto"/>
            </w:tcBorders>
            <w:shd w:val="clear" w:color="auto" w:fill="auto"/>
            <w:hideMark/>
          </w:tcPr>
          <w:p w14:paraId="3485FDF0"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(6)</w:t>
            </w:r>
          </w:p>
        </w:tc>
        <w:tc>
          <w:tcPr>
            <w:tcW w:w="516" w:type="dxa"/>
            <w:tcBorders>
              <w:top w:val="single" w:sz="4" w:space="0" w:color="auto"/>
              <w:left w:val="nil"/>
              <w:bottom w:val="single" w:sz="4" w:space="0" w:color="auto"/>
              <w:right w:val="single" w:sz="4" w:space="0" w:color="auto"/>
            </w:tcBorders>
            <w:shd w:val="clear" w:color="auto" w:fill="auto"/>
            <w:hideMark/>
          </w:tcPr>
          <w:p w14:paraId="136BC305"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(7a)</w:t>
            </w:r>
          </w:p>
        </w:tc>
        <w:tc>
          <w:tcPr>
            <w:tcW w:w="529" w:type="dxa"/>
            <w:tcBorders>
              <w:top w:val="single" w:sz="4" w:space="0" w:color="auto"/>
              <w:left w:val="nil"/>
              <w:bottom w:val="single" w:sz="4" w:space="0" w:color="auto"/>
              <w:right w:val="single" w:sz="4" w:space="0" w:color="auto"/>
            </w:tcBorders>
            <w:shd w:val="clear" w:color="auto" w:fill="auto"/>
            <w:hideMark/>
          </w:tcPr>
          <w:p w14:paraId="282560B3"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(7b)</w:t>
            </w:r>
          </w:p>
        </w:tc>
        <w:tc>
          <w:tcPr>
            <w:tcW w:w="697" w:type="dxa"/>
            <w:tcBorders>
              <w:top w:val="single" w:sz="4" w:space="0" w:color="auto"/>
              <w:left w:val="nil"/>
              <w:bottom w:val="single" w:sz="4" w:space="0" w:color="auto"/>
              <w:right w:val="single" w:sz="4" w:space="0" w:color="auto"/>
            </w:tcBorders>
            <w:shd w:val="clear" w:color="auto" w:fill="auto"/>
            <w:hideMark/>
          </w:tcPr>
          <w:p w14:paraId="3CFB6A40"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(8)</w:t>
            </w:r>
          </w:p>
        </w:tc>
        <w:tc>
          <w:tcPr>
            <w:tcW w:w="566" w:type="dxa"/>
            <w:tcBorders>
              <w:top w:val="single" w:sz="4" w:space="0" w:color="auto"/>
              <w:left w:val="nil"/>
              <w:bottom w:val="single" w:sz="4" w:space="0" w:color="auto"/>
              <w:right w:val="single" w:sz="4" w:space="0" w:color="auto"/>
            </w:tcBorders>
            <w:shd w:val="clear" w:color="auto" w:fill="auto"/>
            <w:hideMark/>
          </w:tcPr>
          <w:p w14:paraId="1427EE12"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(9a)</w:t>
            </w:r>
          </w:p>
        </w:tc>
        <w:tc>
          <w:tcPr>
            <w:tcW w:w="630" w:type="dxa"/>
            <w:tcBorders>
              <w:top w:val="single" w:sz="4" w:space="0" w:color="auto"/>
              <w:left w:val="nil"/>
              <w:bottom w:val="single" w:sz="4" w:space="0" w:color="auto"/>
              <w:right w:val="single" w:sz="4" w:space="0" w:color="auto"/>
            </w:tcBorders>
            <w:shd w:val="clear" w:color="auto" w:fill="auto"/>
            <w:hideMark/>
          </w:tcPr>
          <w:p w14:paraId="5AE4F3B1"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(9b)</w:t>
            </w:r>
          </w:p>
        </w:tc>
        <w:tc>
          <w:tcPr>
            <w:tcW w:w="578" w:type="dxa"/>
            <w:tcBorders>
              <w:top w:val="single" w:sz="4" w:space="0" w:color="auto"/>
              <w:left w:val="nil"/>
              <w:bottom w:val="single" w:sz="4" w:space="0" w:color="auto"/>
              <w:right w:val="single" w:sz="4" w:space="0" w:color="auto"/>
            </w:tcBorders>
            <w:shd w:val="clear" w:color="auto" w:fill="auto"/>
            <w:hideMark/>
          </w:tcPr>
          <w:p w14:paraId="1C65AE43"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(10)</w:t>
            </w:r>
          </w:p>
        </w:tc>
        <w:tc>
          <w:tcPr>
            <w:tcW w:w="574" w:type="dxa"/>
            <w:tcBorders>
              <w:top w:val="single" w:sz="4" w:space="0" w:color="auto"/>
              <w:left w:val="nil"/>
              <w:bottom w:val="single" w:sz="4" w:space="0" w:color="auto"/>
              <w:right w:val="single" w:sz="4" w:space="0" w:color="auto"/>
            </w:tcBorders>
            <w:shd w:val="clear" w:color="auto" w:fill="auto"/>
            <w:hideMark/>
          </w:tcPr>
          <w:p w14:paraId="03DAF578" w14:textId="77777777" w:rsidR="00751718" w:rsidRPr="005F2BFF" w:rsidRDefault="00751718" w:rsidP="00757C15">
            <w:pPr>
              <w:suppressAutoHyphens w:val="0"/>
              <w:kinsoku/>
              <w:overflowPunct/>
              <w:autoSpaceDE/>
              <w:autoSpaceDN/>
              <w:adjustRightInd/>
              <w:snapToGrid/>
              <w:spacing w:line="240" w:lineRule="auto"/>
              <w:jc w:val="center"/>
              <w:rPr>
                <w:b/>
                <w:bCs/>
                <w:sz w:val="18"/>
                <w:szCs w:val="18"/>
                <w:lang w:val="fr-FR" w:eastAsia="fr-FR"/>
              </w:rPr>
            </w:pPr>
            <w:r w:rsidRPr="005F2BFF">
              <w:rPr>
                <w:b/>
                <w:bCs/>
                <w:sz w:val="18"/>
                <w:szCs w:val="18"/>
                <w:lang w:val="fr-FR" w:eastAsia="fr-FR"/>
              </w:rPr>
              <w:t>(11)</w:t>
            </w:r>
          </w:p>
        </w:tc>
      </w:tr>
      <w:tr w:rsidR="00751718" w:rsidRPr="005F2BFF" w14:paraId="352F22A6" w14:textId="77777777" w:rsidTr="00757C15">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ABB6290"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2212</w:t>
            </w:r>
          </w:p>
        </w:tc>
        <w:tc>
          <w:tcPr>
            <w:tcW w:w="1418" w:type="dxa"/>
            <w:tcBorders>
              <w:top w:val="single" w:sz="4" w:space="0" w:color="auto"/>
              <w:left w:val="nil"/>
              <w:bottom w:val="single" w:sz="4" w:space="0" w:color="auto"/>
              <w:right w:val="single" w:sz="4" w:space="0" w:color="auto"/>
            </w:tcBorders>
            <w:shd w:val="clear" w:color="auto" w:fill="auto"/>
            <w:hideMark/>
          </w:tcPr>
          <w:p w14:paraId="01C12B26" w14:textId="77777777" w:rsidR="00751718" w:rsidRPr="005F2BFF" w:rsidRDefault="00751718" w:rsidP="00757C15">
            <w:pPr>
              <w:suppressAutoHyphens w:val="0"/>
              <w:kinsoku/>
              <w:overflowPunct/>
              <w:autoSpaceDE/>
              <w:autoSpaceDN/>
              <w:adjustRightInd/>
              <w:snapToGrid/>
              <w:spacing w:line="240" w:lineRule="auto"/>
              <w:rPr>
                <w:lang w:val="fr-FR" w:eastAsia="fr-FR"/>
              </w:rPr>
            </w:pPr>
            <w:r w:rsidRPr="005F2BFF">
              <w:rPr>
                <w:lang w:val="fr-FR" w:eastAsia="fr-FR"/>
              </w:rPr>
              <w:t xml:space="preserve">AMIANTE, AMPHIBOLE (amosite, trémolite, actinolite, anthophyllite, </w:t>
            </w:r>
            <w:proofErr w:type="spellStart"/>
            <w:r w:rsidRPr="005F2BFF">
              <w:rPr>
                <w:lang w:val="fr-FR" w:eastAsia="fr-FR"/>
              </w:rPr>
              <w:t>crocidolite</w:t>
            </w:r>
            <w:proofErr w:type="spellEnd"/>
            <w:r w:rsidRPr="005F2BFF">
              <w:rPr>
                <w:lang w:val="fr-FR" w:eastAsia="fr-FR"/>
              </w:rPr>
              <w:t>)</w:t>
            </w:r>
          </w:p>
        </w:tc>
        <w:tc>
          <w:tcPr>
            <w:tcW w:w="522" w:type="dxa"/>
            <w:tcBorders>
              <w:top w:val="single" w:sz="4" w:space="0" w:color="auto"/>
              <w:left w:val="nil"/>
              <w:bottom w:val="single" w:sz="4" w:space="0" w:color="auto"/>
              <w:right w:val="single" w:sz="4" w:space="0" w:color="auto"/>
            </w:tcBorders>
            <w:shd w:val="clear" w:color="auto" w:fill="auto"/>
            <w:hideMark/>
          </w:tcPr>
          <w:p w14:paraId="6AA10C85"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9</w:t>
            </w:r>
          </w:p>
        </w:tc>
        <w:tc>
          <w:tcPr>
            <w:tcW w:w="450" w:type="dxa"/>
            <w:tcBorders>
              <w:top w:val="single" w:sz="4" w:space="0" w:color="auto"/>
              <w:left w:val="nil"/>
              <w:bottom w:val="single" w:sz="4" w:space="0" w:color="auto"/>
              <w:right w:val="single" w:sz="4" w:space="0" w:color="auto"/>
            </w:tcBorders>
            <w:shd w:val="clear" w:color="auto" w:fill="auto"/>
            <w:hideMark/>
          </w:tcPr>
          <w:p w14:paraId="3F6A419B"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M1</w:t>
            </w:r>
          </w:p>
        </w:tc>
        <w:tc>
          <w:tcPr>
            <w:tcW w:w="387" w:type="dxa"/>
            <w:tcBorders>
              <w:top w:val="single" w:sz="4" w:space="0" w:color="auto"/>
              <w:left w:val="nil"/>
              <w:bottom w:val="single" w:sz="4" w:space="0" w:color="auto"/>
              <w:right w:val="single" w:sz="4" w:space="0" w:color="auto"/>
            </w:tcBorders>
            <w:shd w:val="clear" w:color="auto" w:fill="auto"/>
            <w:hideMark/>
          </w:tcPr>
          <w:p w14:paraId="6A63A861"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II</w:t>
            </w:r>
          </w:p>
        </w:tc>
        <w:tc>
          <w:tcPr>
            <w:tcW w:w="401" w:type="dxa"/>
            <w:tcBorders>
              <w:top w:val="single" w:sz="4" w:space="0" w:color="auto"/>
              <w:left w:val="nil"/>
              <w:bottom w:val="single" w:sz="4" w:space="0" w:color="auto"/>
              <w:right w:val="single" w:sz="4" w:space="0" w:color="auto"/>
            </w:tcBorders>
            <w:shd w:val="clear" w:color="auto" w:fill="auto"/>
            <w:hideMark/>
          </w:tcPr>
          <w:p w14:paraId="0C3F7F9C"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9</w:t>
            </w:r>
          </w:p>
        </w:tc>
        <w:tc>
          <w:tcPr>
            <w:tcW w:w="696" w:type="dxa"/>
            <w:tcBorders>
              <w:top w:val="single" w:sz="4" w:space="0" w:color="auto"/>
              <w:left w:val="nil"/>
              <w:bottom w:val="single" w:sz="4" w:space="0" w:color="auto"/>
              <w:right w:val="single" w:sz="4" w:space="0" w:color="auto"/>
            </w:tcBorders>
            <w:shd w:val="clear" w:color="auto" w:fill="auto"/>
            <w:hideMark/>
          </w:tcPr>
          <w:p w14:paraId="7B0F4C80" w14:textId="77777777" w:rsidR="00751718" w:rsidRPr="001D749E" w:rsidRDefault="00751718" w:rsidP="00757C15">
            <w:pPr>
              <w:suppressAutoHyphens w:val="0"/>
              <w:kinsoku/>
              <w:overflowPunct/>
              <w:autoSpaceDE/>
              <w:autoSpaceDN/>
              <w:adjustRightInd/>
              <w:snapToGrid/>
              <w:spacing w:line="240" w:lineRule="auto"/>
              <w:jc w:val="center"/>
              <w:rPr>
                <w:lang w:val="fr-FR" w:eastAsia="fr-FR"/>
              </w:rPr>
            </w:pPr>
            <w:r w:rsidRPr="001D749E">
              <w:rPr>
                <w:lang w:val="fr-FR" w:eastAsia="fr-FR"/>
              </w:rPr>
              <w:t>168</w:t>
            </w:r>
            <w:r w:rsidRPr="001D749E">
              <w:rPr>
                <w:lang w:val="fr-FR" w:eastAsia="fr-FR"/>
              </w:rPr>
              <w:br/>
              <w:t>274</w:t>
            </w:r>
            <w:r w:rsidRPr="001D749E">
              <w:rPr>
                <w:lang w:val="fr-FR" w:eastAsia="fr-FR"/>
              </w:rPr>
              <w:br/>
              <w:t>542</w:t>
            </w:r>
          </w:p>
          <w:p w14:paraId="14F6B99F" w14:textId="7A26A9D0" w:rsidR="00751718" w:rsidRPr="001D749E" w:rsidRDefault="00751718" w:rsidP="00757C15">
            <w:pPr>
              <w:suppressAutoHyphens w:val="0"/>
              <w:kinsoku/>
              <w:overflowPunct/>
              <w:autoSpaceDE/>
              <w:autoSpaceDN/>
              <w:adjustRightInd/>
              <w:snapToGrid/>
              <w:spacing w:line="240" w:lineRule="auto"/>
              <w:jc w:val="center"/>
              <w:rPr>
                <w:u w:val="single"/>
                <w:lang w:val="fr-FR" w:eastAsia="fr-FR"/>
              </w:rPr>
            </w:pPr>
            <w:r w:rsidRPr="001D749E">
              <w:rPr>
                <w:u w:val="single"/>
                <w:lang w:val="fr-FR" w:eastAsia="fr-FR"/>
              </w:rPr>
              <w:t>xxx</w:t>
            </w:r>
          </w:p>
        </w:tc>
        <w:tc>
          <w:tcPr>
            <w:tcW w:w="516" w:type="dxa"/>
            <w:tcBorders>
              <w:top w:val="single" w:sz="4" w:space="0" w:color="auto"/>
              <w:left w:val="nil"/>
              <w:bottom w:val="single" w:sz="4" w:space="0" w:color="auto"/>
              <w:right w:val="single" w:sz="4" w:space="0" w:color="auto"/>
            </w:tcBorders>
            <w:shd w:val="clear" w:color="auto" w:fill="auto"/>
            <w:hideMark/>
          </w:tcPr>
          <w:p w14:paraId="583BCA9F"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1 kg</w:t>
            </w:r>
          </w:p>
        </w:tc>
        <w:tc>
          <w:tcPr>
            <w:tcW w:w="529" w:type="dxa"/>
            <w:tcBorders>
              <w:top w:val="single" w:sz="4" w:space="0" w:color="auto"/>
              <w:left w:val="nil"/>
              <w:bottom w:val="single" w:sz="4" w:space="0" w:color="auto"/>
              <w:right w:val="single" w:sz="4" w:space="0" w:color="auto"/>
            </w:tcBorders>
            <w:shd w:val="clear" w:color="auto" w:fill="auto"/>
            <w:hideMark/>
          </w:tcPr>
          <w:p w14:paraId="08D92901"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E0</w:t>
            </w:r>
          </w:p>
        </w:tc>
        <w:tc>
          <w:tcPr>
            <w:tcW w:w="697" w:type="dxa"/>
            <w:tcBorders>
              <w:top w:val="single" w:sz="4" w:space="0" w:color="auto"/>
              <w:left w:val="nil"/>
              <w:bottom w:val="single" w:sz="4" w:space="0" w:color="auto"/>
              <w:right w:val="single" w:sz="4" w:space="0" w:color="auto"/>
            </w:tcBorders>
            <w:shd w:val="clear" w:color="auto" w:fill="auto"/>
            <w:hideMark/>
          </w:tcPr>
          <w:p w14:paraId="0E06CCC7"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P002</w:t>
            </w:r>
            <w:r w:rsidRPr="005F2BFF">
              <w:rPr>
                <w:lang w:val="fr-FR" w:eastAsia="fr-FR"/>
              </w:rPr>
              <w:br/>
              <w:t>IBC08</w:t>
            </w:r>
          </w:p>
        </w:tc>
        <w:tc>
          <w:tcPr>
            <w:tcW w:w="566" w:type="dxa"/>
            <w:tcBorders>
              <w:top w:val="single" w:sz="4" w:space="0" w:color="auto"/>
              <w:left w:val="nil"/>
              <w:bottom w:val="single" w:sz="4" w:space="0" w:color="auto"/>
              <w:right w:val="single" w:sz="4" w:space="0" w:color="auto"/>
            </w:tcBorders>
            <w:shd w:val="clear" w:color="auto" w:fill="auto"/>
            <w:hideMark/>
          </w:tcPr>
          <w:p w14:paraId="35EAB7B9"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PP37</w:t>
            </w:r>
            <w:r w:rsidRPr="005F2BFF">
              <w:rPr>
                <w:lang w:val="fr-FR" w:eastAsia="fr-FR"/>
              </w:rPr>
              <w:br/>
              <w:t>B4</w:t>
            </w:r>
          </w:p>
        </w:tc>
        <w:tc>
          <w:tcPr>
            <w:tcW w:w="630" w:type="dxa"/>
            <w:tcBorders>
              <w:top w:val="single" w:sz="4" w:space="0" w:color="auto"/>
              <w:left w:val="nil"/>
              <w:bottom w:val="single" w:sz="4" w:space="0" w:color="auto"/>
              <w:right w:val="single" w:sz="4" w:space="0" w:color="auto"/>
            </w:tcBorders>
            <w:shd w:val="clear" w:color="auto" w:fill="auto"/>
            <w:hideMark/>
          </w:tcPr>
          <w:p w14:paraId="08970E59"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MP10</w:t>
            </w:r>
          </w:p>
        </w:tc>
        <w:tc>
          <w:tcPr>
            <w:tcW w:w="578" w:type="dxa"/>
            <w:tcBorders>
              <w:top w:val="single" w:sz="4" w:space="0" w:color="auto"/>
              <w:left w:val="nil"/>
              <w:bottom w:val="single" w:sz="4" w:space="0" w:color="auto"/>
              <w:right w:val="single" w:sz="4" w:space="0" w:color="auto"/>
            </w:tcBorders>
            <w:shd w:val="clear" w:color="auto" w:fill="auto"/>
            <w:hideMark/>
          </w:tcPr>
          <w:p w14:paraId="260E3384"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T3</w:t>
            </w:r>
          </w:p>
        </w:tc>
        <w:tc>
          <w:tcPr>
            <w:tcW w:w="574" w:type="dxa"/>
            <w:tcBorders>
              <w:top w:val="single" w:sz="4" w:space="0" w:color="auto"/>
              <w:left w:val="nil"/>
              <w:bottom w:val="single" w:sz="4" w:space="0" w:color="auto"/>
              <w:right w:val="single" w:sz="4" w:space="0" w:color="auto"/>
            </w:tcBorders>
            <w:shd w:val="clear" w:color="auto" w:fill="auto"/>
            <w:hideMark/>
          </w:tcPr>
          <w:p w14:paraId="09DB17DD" w14:textId="77777777" w:rsidR="00751718" w:rsidRPr="005F2BFF" w:rsidRDefault="00751718" w:rsidP="00757C15">
            <w:pPr>
              <w:suppressAutoHyphens w:val="0"/>
              <w:kinsoku/>
              <w:overflowPunct/>
              <w:autoSpaceDE/>
              <w:autoSpaceDN/>
              <w:adjustRightInd/>
              <w:snapToGrid/>
              <w:spacing w:line="240" w:lineRule="auto"/>
              <w:jc w:val="center"/>
              <w:rPr>
                <w:lang w:val="fr-FR" w:eastAsia="fr-FR"/>
              </w:rPr>
            </w:pPr>
            <w:r w:rsidRPr="005F2BFF">
              <w:rPr>
                <w:lang w:val="fr-FR" w:eastAsia="fr-FR"/>
              </w:rPr>
              <w:t>TP33</w:t>
            </w:r>
          </w:p>
        </w:tc>
      </w:tr>
      <w:tr w:rsidR="00751718" w:rsidRPr="00364B98" w14:paraId="1AAA8EAB" w14:textId="77777777" w:rsidTr="00757C15">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C50F7F8"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2590</w:t>
            </w:r>
          </w:p>
        </w:tc>
        <w:tc>
          <w:tcPr>
            <w:tcW w:w="1418" w:type="dxa"/>
            <w:tcBorders>
              <w:top w:val="single" w:sz="4" w:space="0" w:color="auto"/>
              <w:left w:val="nil"/>
              <w:bottom w:val="single" w:sz="4" w:space="0" w:color="auto"/>
              <w:right w:val="single" w:sz="4" w:space="0" w:color="auto"/>
            </w:tcBorders>
            <w:shd w:val="clear" w:color="auto" w:fill="auto"/>
            <w:hideMark/>
          </w:tcPr>
          <w:p w14:paraId="7945D1BD" w14:textId="77777777" w:rsidR="00751718" w:rsidRPr="00364B98" w:rsidRDefault="00751718" w:rsidP="00757C15">
            <w:pPr>
              <w:suppressAutoHyphens w:val="0"/>
              <w:kinsoku/>
              <w:overflowPunct/>
              <w:autoSpaceDE/>
              <w:autoSpaceDN/>
              <w:adjustRightInd/>
              <w:snapToGrid/>
              <w:spacing w:line="240" w:lineRule="auto"/>
              <w:rPr>
                <w:lang w:val="fr-FR" w:eastAsia="fr-FR"/>
              </w:rPr>
            </w:pPr>
            <w:r w:rsidRPr="00364B98">
              <w:rPr>
                <w:lang w:val="fr-FR" w:eastAsia="fr-FR"/>
              </w:rPr>
              <w:t>AMIANTE, CHRYSOTILE</w:t>
            </w:r>
          </w:p>
        </w:tc>
        <w:tc>
          <w:tcPr>
            <w:tcW w:w="522" w:type="dxa"/>
            <w:tcBorders>
              <w:top w:val="single" w:sz="4" w:space="0" w:color="auto"/>
              <w:left w:val="nil"/>
              <w:bottom w:val="single" w:sz="4" w:space="0" w:color="auto"/>
              <w:right w:val="single" w:sz="4" w:space="0" w:color="auto"/>
            </w:tcBorders>
            <w:shd w:val="clear" w:color="auto" w:fill="auto"/>
            <w:hideMark/>
          </w:tcPr>
          <w:p w14:paraId="068C2830"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9</w:t>
            </w:r>
          </w:p>
        </w:tc>
        <w:tc>
          <w:tcPr>
            <w:tcW w:w="450" w:type="dxa"/>
            <w:tcBorders>
              <w:top w:val="single" w:sz="4" w:space="0" w:color="auto"/>
              <w:left w:val="nil"/>
              <w:bottom w:val="single" w:sz="4" w:space="0" w:color="auto"/>
              <w:right w:val="single" w:sz="4" w:space="0" w:color="auto"/>
            </w:tcBorders>
            <w:shd w:val="clear" w:color="auto" w:fill="auto"/>
            <w:hideMark/>
          </w:tcPr>
          <w:p w14:paraId="49EE7BE6"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M1</w:t>
            </w:r>
          </w:p>
        </w:tc>
        <w:tc>
          <w:tcPr>
            <w:tcW w:w="387" w:type="dxa"/>
            <w:tcBorders>
              <w:top w:val="single" w:sz="4" w:space="0" w:color="auto"/>
              <w:left w:val="nil"/>
              <w:bottom w:val="single" w:sz="4" w:space="0" w:color="auto"/>
              <w:right w:val="single" w:sz="4" w:space="0" w:color="auto"/>
            </w:tcBorders>
            <w:shd w:val="clear" w:color="auto" w:fill="auto"/>
            <w:hideMark/>
          </w:tcPr>
          <w:p w14:paraId="5D1404D0"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III</w:t>
            </w:r>
          </w:p>
        </w:tc>
        <w:tc>
          <w:tcPr>
            <w:tcW w:w="401" w:type="dxa"/>
            <w:tcBorders>
              <w:top w:val="single" w:sz="4" w:space="0" w:color="auto"/>
              <w:left w:val="nil"/>
              <w:bottom w:val="single" w:sz="4" w:space="0" w:color="auto"/>
              <w:right w:val="single" w:sz="4" w:space="0" w:color="auto"/>
            </w:tcBorders>
            <w:shd w:val="clear" w:color="auto" w:fill="auto"/>
            <w:hideMark/>
          </w:tcPr>
          <w:p w14:paraId="64098CBB"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9</w:t>
            </w:r>
          </w:p>
        </w:tc>
        <w:tc>
          <w:tcPr>
            <w:tcW w:w="696" w:type="dxa"/>
            <w:tcBorders>
              <w:top w:val="single" w:sz="4" w:space="0" w:color="auto"/>
              <w:left w:val="nil"/>
              <w:bottom w:val="single" w:sz="4" w:space="0" w:color="auto"/>
              <w:right w:val="single" w:sz="4" w:space="0" w:color="auto"/>
            </w:tcBorders>
            <w:shd w:val="clear" w:color="auto" w:fill="auto"/>
            <w:hideMark/>
          </w:tcPr>
          <w:p w14:paraId="5D68D4B9" w14:textId="77777777" w:rsidR="00751718" w:rsidRPr="001D749E" w:rsidRDefault="00751718" w:rsidP="00757C15">
            <w:pPr>
              <w:suppressAutoHyphens w:val="0"/>
              <w:kinsoku/>
              <w:overflowPunct/>
              <w:autoSpaceDE/>
              <w:autoSpaceDN/>
              <w:adjustRightInd/>
              <w:snapToGrid/>
              <w:spacing w:line="240" w:lineRule="auto"/>
              <w:jc w:val="center"/>
              <w:rPr>
                <w:lang w:val="fr-FR" w:eastAsia="fr-FR"/>
              </w:rPr>
            </w:pPr>
            <w:r w:rsidRPr="001D749E">
              <w:rPr>
                <w:lang w:val="fr-FR" w:eastAsia="fr-FR"/>
              </w:rPr>
              <w:t>168</w:t>
            </w:r>
          </w:p>
          <w:p w14:paraId="19B5A18A" w14:textId="0F33C982" w:rsidR="00751718" w:rsidRPr="001D749E" w:rsidRDefault="00751718" w:rsidP="00757C15">
            <w:pPr>
              <w:suppressAutoHyphens w:val="0"/>
              <w:kinsoku/>
              <w:overflowPunct/>
              <w:autoSpaceDE/>
              <w:autoSpaceDN/>
              <w:adjustRightInd/>
              <w:snapToGrid/>
              <w:spacing w:line="240" w:lineRule="auto"/>
              <w:jc w:val="center"/>
              <w:rPr>
                <w:u w:val="single"/>
                <w:lang w:val="fr-FR" w:eastAsia="fr-FR"/>
              </w:rPr>
            </w:pPr>
            <w:r w:rsidRPr="001D749E">
              <w:rPr>
                <w:u w:val="single"/>
                <w:lang w:val="fr-FR" w:eastAsia="fr-FR"/>
              </w:rPr>
              <w:t>xxx</w:t>
            </w:r>
          </w:p>
        </w:tc>
        <w:tc>
          <w:tcPr>
            <w:tcW w:w="516" w:type="dxa"/>
            <w:tcBorders>
              <w:top w:val="single" w:sz="4" w:space="0" w:color="auto"/>
              <w:left w:val="nil"/>
              <w:bottom w:val="single" w:sz="4" w:space="0" w:color="auto"/>
              <w:right w:val="single" w:sz="4" w:space="0" w:color="auto"/>
            </w:tcBorders>
            <w:shd w:val="clear" w:color="auto" w:fill="auto"/>
            <w:hideMark/>
          </w:tcPr>
          <w:p w14:paraId="6802E6EC"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5 kg</w:t>
            </w:r>
          </w:p>
        </w:tc>
        <w:tc>
          <w:tcPr>
            <w:tcW w:w="529" w:type="dxa"/>
            <w:tcBorders>
              <w:top w:val="single" w:sz="4" w:space="0" w:color="auto"/>
              <w:left w:val="nil"/>
              <w:bottom w:val="single" w:sz="4" w:space="0" w:color="auto"/>
              <w:right w:val="single" w:sz="4" w:space="0" w:color="auto"/>
            </w:tcBorders>
            <w:shd w:val="clear" w:color="auto" w:fill="auto"/>
            <w:hideMark/>
          </w:tcPr>
          <w:p w14:paraId="5261E9FD"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E1</w:t>
            </w:r>
          </w:p>
        </w:tc>
        <w:tc>
          <w:tcPr>
            <w:tcW w:w="697" w:type="dxa"/>
            <w:tcBorders>
              <w:top w:val="single" w:sz="4" w:space="0" w:color="auto"/>
              <w:left w:val="nil"/>
              <w:bottom w:val="single" w:sz="4" w:space="0" w:color="auto"/>
              <w:right w:val="single" w:sz="4" w:space="0" w:color="auto"/>
            </w:tcBorders>
            <w:shd w:val="clear" w:color="auto" w:fill="auto"/>
            <w:hideMark/>
          </w:tcPr>
          <w:p w14:paraId="115A6B3A"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P002</w:t>
            </w:r>
            <w:r w:rsidRPr="00364B98">
              <w:rPr>
                <w:lang w:val="fr-FR" w:eastAsia="fr-FR"/>
              </w:rPr>
              <w:br/>
              <w:t>IBC08</w:t>
            </w:r>
            <w:r w:rsidRPr="00364B98">
              <w:rPr>
                <w:lang w:val="fr-FR" w:eastAsia="fr-FR"/>
              </w:rPr>
              <w:br/>
              <w:t>R001</w:t>
            </w:r>
          </w:p>
        </w:tc>
        <w:tc>
          <w:tcPr>
            <w:tcW w:w="566" w:type="dxa"/>
            <w:tcBorders>
              <w:top w:val="single" w:sz="4" w:space="0" w:color="auto"/>
              <w:left w:val="nil"/>
              <w:bottom w:val="single" w:sz="4" w:space="0" w:color="auto"/>
              <w:right w:val="single" w:sz="4" w:space="0" w:color="auto"/>
            </w:tcBorders>
            <w:shd w:val="clear" w:color="auto" w:fill="auto"/>
            <w:hideMark/>
          </w:tcPr>
          <w:p w14:paraId="54D03B27"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PP37</w:t>
            </w:r>
            <w:r w:rsidRPr="00364B98">
              <w:rPr>
                <w:lang w:val="fr-FR" w:eastAsia="fr-FR"/>
              </w:rPr>
              <w:br/>
              <w:t>B4</w:t>
            </w:r>
          </w:p>
        </w:tc>
        <w:tc>
          <w:tcPr>
            <w:tcW w:w="630" w:type="dxa"/>
            <w:tcBorders>
              <w:top w:val="single" w:sz="4" w:space="0" w:color="auto"/>
              <w:left w:val="nil"/>
              <w:bottom w:val="single" w:sz="4" w:space="0" w:color="auto"/>
              <w:right w:val="single" w:sz="4" w:space="0" w:color="auto"/>
            </w:tcBorders>
            <w:shd w:val="clear" w:color="auto" w:fill="auto"/>
            <w:hideMark/>
          </w:tcPr>
          <w:p w14:paraId="537A3204"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MP10</w:t>
            </w:r>
          </w:p>
        </w:tc>
        <w:tc>
          <w:tcPr>
            <w:tcW w:w="578" w:type="dxa"/>
            <w:tcBorders>
              <w:top w:val="single" w:sz="4" w:space="0" w:color="auto"/>
              <w:left w:val="nil"/>
              <w:bottom w:val="single" w:sz="4" w:space="0" w:color="auto"/>
              <w:right w:val="single" w:sz="4" w:space="0" w:color="auto"/>
            </w:tcBorders>
            <w:shd w:val="clear" w:color="auto" w:fill="auto"/>
            <w:hideMark/>
          </w:tcPr>
          <w:p w14:paraId="11DD9E0B"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T1</w:t>
            </w:r>
          </w:p>
        </w:tc>
        <w:tc>
          <w:tcPr>
            <w:tcW w:w="574" w:type="dxa"/>
            <w:tcBorders>
              <w:top w:val="single" w:sz="4" w:space="0" w:color="auto"/>
              <w:left w:val="nil"/>
              <w:bottom w:val="single" w:sz="4" w:space="0" w:color="auto"/>
              <w:right w:val="single" w:sz="4" w:space="0" w:color="auto"/>
            </w:tcBorders>
            <w:shd w:val="clear" w:color="auto" w:fill="auto"/>
            <w:hideMark/>
          </w:tcPr>
          <w:p w14:paraId="7E04D69F" w14:textId="77777777" w:rsidR="00751718" w:rsidRPr="00364B98" w:rsidRDefault="00751718" w:rsidP="00757C15">
            <w:pPr>
              <w:suppressAutoHyphens w:val="0"/>
              <w:kinsoku/>
              <w:overflowPunct/>
              <w:autoSpaceDE/>
              <w:autoSpaceDN/>
              <w:adjustRightInd/>
              <w:snapToGrid/>
              <w:spacing w:line="240" w:lineRule="auto"/>
              <w:jc w:val="center"/>
              <w:rPr>
                <w:lang w:val="fr-FR" w:eastAsia="fr-FR"/>
              </w:rPr>
            </w:pPr>
            <w:r w:rsidRPr="00364B98">
              <w:rPr>
                <w:lang w:val="fr-FR" w:eastAsia="fr-FR"/>
              </w:rPr>
              <w:t>TP33</w:t>
            </w:r>
          </w:p>
        </w:tc>
      </w:tr>
    </w:tbl>
    <w:p w14:paraId="1C30082C" w14:textId="77777777" w:rsidR="00751718" w:rsidRDefault="00751718" w:rsidP="00751718">
      <w:pPr>
        <w:ind w:left="1134" w:firstLine="3"/>
        <w:rPr>
          <w:lang w:val="fr-FR"/>
        </w:rPr>
      </w:pPr>
    </w:p>
    <w:tbl>
      <w:tblPr>
        <w:tblW w:w="8505" w:type="dxa"/>
        <w:tblInd w:w="1129" w:type="dxa"/>
        <w:tblCellMar>
          <w:left w:w="70" w:type="dxa"/>
          <w:right w:w="70" w:type="dxa"/>
        </w:tblCellMar>
        <w:tblLook w:val="04A0" w:firstRow="1" w:lastRow="0" w:firstColumn="1" w:lastColumn="0" w:noHBand="0" w:noVBand="1"/>
      </w:tblPr>
      <w:tblGrid>
        <w:gridCol w:w="959"/>
        <w:gridCol w:w="697"/>
        <w:gridCol w:w="752"/>
        <w:gridCol w:w="680"/>
        <w:gridCol w:w="696"/>
        <w:gridCol w:w="646"/>
        <w:gridCol w:w="836"/>
        <w:gridCol w:w="708"/>
        <w:gridCol w:w="606"/>
        <w:gridCol w:w="540"/>
        <w:gridCol w:w="1385"/>
      </w:tblGrid>
      <w:tr w:rsidR="00D74706" w:rsidRPr="00364B98" w14:paraId="5DB9C5F4" w14:textId="77777777" w:rsidTr="00757C15">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62F7C"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(12)</w:t>
            </w:r>
          </w:p>
        </w:tc>
        <w:tc>
          <w:tcPr>
            <w:tcW w:w="708" w:type="dxa"/>
            <w:tcBorders>
              <w:top w:val="single" w:sz="4" w:space="0" w:color="auto"/>
              <w:left w:val="nil"/>
              <w:bottom w:val="single" w:sz="4" w:space="0" w:color="auto"/>
              <w:right w:val="single" w:sz="4" w:space="0" w:color="auto"/>
            </w:tcBorders>
            <w:shd w:val="clear" w:color="auto" w:fill="auto"/>
            <w:hideMark/>
          </w:tcPr>
          <w:p w14:paraId="5D48AE64"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(13)</w:t>
            </w:r>
          </w:p>
        </w:tc>
        <w:tc>
          <w:tcPr>
            <w:tcW w:w="709" w:type="dxa"/>
            <w:tcBorders>
              <w:top w:val="single" w:sz="4" w:space="0" w:color="auto"/>
              <w:left w:val="nil"/>
              <w:bottom w:val="single" w:sz="4" w:space="0" w:color="auto"/>
              <w:right w:val="single" w:sz="4" w:space="0" w:color="auto"/>
            </w:tcBorders>
            <w:shd w:val="clear" w:color="auto" w:fill="auto"/>
            <w:hideMark/>
          </w:tcPr>
          <w:p w14:paraId="48572664"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(14)</w:t>
            </w:r>
          </w:p>
        </w:tc>
        <w:tc>
          <w:tcPr>
            <w:tcW w:w="709" w:type="dxa"/>
            <w:tcBorders>
              <w:top w:val="single" w:sz="4" w:space="0" w:color="auto"/>
              <w:left w:val="nil"/>
              <w:bottom w:val="single" w:sz="4" w:space="0" w:color="auto"/>
              <w:right w:val="single" w:sz="4" w:space="0" w:color="auto"/>
            </w:tcBorders>
            <w:shd w:val="clear" w:color="auto" w:fill="auto"/>
            <w:hideMark/>
          </w:tcPr>
          <w:p w14:paraId="5268B207"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(15)</w:t>
            </w:r>
          </w:p>
        </w:tc>
        <w:tc>
          <w:tcPr>
            <w:tcW w:w="709" w:type="dxa"/>
            <w:tcBorders>
              <w:top w:val="single" w:sz="4" w:space="0" w:color="auto"/>
              <w:left w:val="nil"/>
              <w:bottom w:val="single" w:sz="4" w:space="0" w:color="auto"/>
              <w:right w:val="single" w:sz="4" w:space="0" w:color="auto"/>
            </w:tcBorders>
            <w:shd w:val="clear" w:color="auto" w:fill="auto"/>
            <w:hideMark/>
          </w:tcPr>
          <w:p w14:paraId="15829F5F"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(16)</w:t>
            </w:r>
          </w:p>
        </w:tc>
        <w:tc>
          <w:tcPr>
            <w:tcW w:w="567" w:type="dxa"/>
            <w:tcBorders>
              <w:top w:val="single" w:sz="4" w:space="0" w:color="auto"/>
              <w:left w:val="nil"/>
              <w:bottom w:val="single" w:sz="4" w:space="0" w:color="auto"/>
              <w:right w:val="single" w:sz="4" w:space="0" w:color="auto"/>
            </w:tcBorders>
            <w:shd w:val="clear" w:color="auto" w:fill="auto"/>
            <w:hideMark/>
          </w:tcPr>
          <w:p w14:paraId="4F28B768"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(17)</w:t>
            </w:r>
          </w:p>
        </w:tc>
        <w:tc>
          <w:tcPr>
            <w:tcW w:w="850" w:type="dxa"/>
            <w:tcBorders>
              <w:top w:val="single" w:sz="4" w:space="0" w:color="auto"/>
              <w:left w:val="nil"/>
              <w:bottom w:val="single" w:sz="4" w:space="0" w:color="auto"/>
              <w:right w:val="single" w:sz="4" w:space="0" w:color="auto"/>
            </w:tcBorders>
            <w:shd w:val="clear" w:color="auto" w:fill="auto"/>
            <w:hideMark/>
          </w:tcPr>
          <w:p w14:paraId="6810FDF3"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(18)</w:t>
            </w:r>
          </w:p>
        </w:tc>
        <w:tc>
          <w:tcPr>
            <w:tcW w:w="709" w:type="dxa"/>
            <w:tcBorders>
              <w:top w:val="single" w:sz="4" w:space="0" w:color="auto"/>
              <w:left w:val="nil"/>
              <w:bottom w:val="single" w:sz="4" w:space="0" w:color="auto"/>
              <w:right w:val="single" w:sz="4" w:space="0" w:color="auto"/>
            </w:tcBorders>
            <w:shd w:val="clear" w:color="auto" w:fill="auto"/>
            <w:hideMark/>
          </w:tcPr>
          <w:p w14:paraId="6EEB4611"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(19)</w:t>
            </w:r>
          </w:p>
        </w:tc>
        <w:tc>
          <w:tcPr>
            <w:tcW w:w="626" w:type="dxa"/>
            <w:tcBorders>
              <w:top w:val="single" w:sz="4" w:space="0" w:color="auto"/>
              <w:left w:val="nil"/>
              <w:bottom w:val="single" w:sz="4" w:space="0" w:color="auto"/>
              <w:right w:val="single" w:sz="4" w:space="0" w:color="auto"/>
            </w:tcBorders>
            <w:shd w:val="clear" w:color="auto" w:fill="auto"/>
            <w:hideMark/>
          </w:tcPr>
          <w:p w14:paraId="52EBDE81"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(20)</w:t>
            </w:r>
          </w:p>
        </w:tc>
        <w:tc>
          <w:tcPr>
            <w:tcW w:w="540" w:type="dxa"/>
            <w:tcBorders>
              <w:top w:val="single" w:sz="4" w:space="0" w:color="auto"/>
              <w:left w:val="nil"/>
              <w:bottom w:val="single" w:sz="4" w:space="0" w:color="auto"/>
              <w:right w:val="single" w:sz="4" w:space="0" w:color="auto"/>
            </w:tcBorders>
            <w:shd w:val="clear" w:color="auto" w:fill="auto"/>
            <w:hideMark/>
          </w:tcPr>
          <w:p w14:paraId="3DC3DD18"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(1)</w:t>
            </w:r>
          </w:p>
        </w:tc>
        <w:tc>
          <w:tcPr>
            <w:tcW w:w="1385" w:type="dxa"/>
            <w:tcBorders>
              <w:top w:val="single" w:sz="4" w:space="0" w:color="auto"/>
              <w:left w:val="nil"/>
              <w:bottom w:val="single" w:sz="4" w:space="0" w:color="auto"/>
              <w:right w:val="single" w:sz="4" w:space="0" w:color="auto"/>
            </w:tcBorders>
            <w:shd w:val="clear" w:color="auto" w:fill="auto"/>
            <w:hideMark/>
          </w:tcPr>
          <w:p w14:paraId="1E05C095" w14:textId="77777777" w:rsidR="00751718" w:rsidRPr="00364B98" w:rsidRDefault="00751718" w:rsidP="00F13727">
            <w:pPr>
              <w:suppressAutoHyphens w:val="0"/>
              <w:kinsoku/>
              <w:overflowPunct/>
              <w:autoSpaceDE/>
              <w:autoSpaceDN/>
              <w:adjustRightInd/>
              <w:snapToGrid/>
              <w:spacing w:line="220" w:lineRule="exact"/>
              <w:jc w:val="center"/>
              <w:rPr>
                <w:b/>
                <w:bCs/>
                <w:sz w:val="18"/>
                <w:szCs w:val="18"/>
                <w:lang w:val="fr-FR" w:eastAsia="fr-FR"/>
              </w:rPr>
            </w:pPr>
            <w:r w:rsidRPr="00364B98">
              <w:rPr>
                <w:b/>
                <w:bCs/>
                <w:sz w:val="18"/>
                <w:szCs w:val="18"/>
                <w:lang w:val="fr-FR" w:eastAsia="fr-FR"/>
              </w:rPr>
              <w:t>(2)</w:t>
            </w:r>
          </w:p>
        </w:tc>
      </w:tr>
      <w:tr w:rsidR="00D74706" w:rsidRPr="00364B98" w14:paraId="6E156F4C" w14:textId="77777777" w:rsidTr="00757C15">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AEC19D4"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SGAH</w:t>
            </w:r>
          </w:p>
        </w:tc>
        <w:tc>
          <w:tcPr>
            <w:tcW w:w="708" w:type="dxa"/>
            <w:tcBorders>
              <w:top w:val="single" w:sz="4" w:space="0" w:color="auto"/>
              <w:left w:val="nil"/>
              <w:bottom w:val="single" w:sz="4" w:space="0" w:color="auto"/>
              <w:right w:val="single" w:sz="4" w:space="0" w:color="auto"/>
            </w:tcBorders>
            <w:shd w:val="clear" w:color="auto" w:fill="auto"/>
            <w:hideMark/>
          </w:tcPr>
          <w:p w14:paraId="0EA79AFB"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TU15</w:t>
            </w:r>
          </w:p>
        </w:tc>
        <w:tc>
          <w:tcPr>
            <w:tcW w:w="709" w:type="dxa"/>
            <w:tcBorders>
              <w:top w:val="single" w:sz="4" w:space="0" w:color="auto"/>
              <w:left w:val="nil"/>
              <w:bottom w:val="single" w:sz="4" w:space="0" w:color="auto"/>
              <w:right w:val="single" w:sz="4" w:space="0" w:color="auto"/>
            </w:tcBorders>
            <w:shd w:val="clear" w:color="auto" w:fill="auto"/>
            <w:hideMark/>
          </w:tcPr>
          <w:p w14:paraId="59826107" w14:textId="324E486F" w:rsidR="00DF0BF9" w:rsidRDefault="00DF0BF9" w:rsidP="00F13727">
            <w:pPr>
              <w:suppressAutoHyphens w:val="0"/>
              <w:kinsoku/>
              <w:overflowPunct/>
              <w:autoSpaceDE/>
              <w:autoSpaceDN/>
              <w:adjustRightInd/>
              <w:snapToGrid/>
              <w:spacing w:line="220" w:lineRule="exact"/>
              <w:jc w:val="center"/>
              <w:rPr>
                <w:lang w:val="fr-FR" w:eastAsia="fr-FR"/>
              </w:rPr>
            </w:pPr>
            <w:r>
              <w:rPr>
                <w:lang w:val="fr-FR" w:eastAsia="fr-FR"/>
              </w:rPr>
              <w:t>(ADR:)</w:t>
            </w:r>
          </w:p>
          <w:p w14:paraId="4EF1552B" w14:textId="0820484D"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AT</w:t>
            </w:r>
          </w:p>
        </w:tc>
        <w:tc>
          <w:tcPr>
            <w:tcW w:w="709" w:type="dxa"/>
            <w:tcBorders>
              <w:top w:val="single" w:sz="4" w:space="0" w:color="auto"/>
              <w:left w:val="nil"/>
              <w:bottom w:val="single" w:sz="4" w:space="0" w:color="auto"/>
              <w:right w:val="single" w:sz="4" w:space="0" w:color="auto"/>
            </w:tcBorders>
            <w:shd w:val="clear" w:color="auto" w:fill="auto"/>
            <w:hideMark/>
          </w:tcPr>
          <w:p w14:paraId="1B5D1F20"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2</w:t>
            </w:r>
            <w:r w:rsidRPr="00364B98">
              <w:rPr>
                <w:lang w:val="fr-FR" w:eastAsia="fr-FR"/>
              </w:rPr>
              <w:br/>
              <w:t>(E)</w:t>
            </w:r>
          </w:p>
        </w:tc>
        <w:tc>
          <w:tcPr>
            <w:tcW w:w="709" w:type="dxa"/>
            <w:tcBorders>
              <w:top w:val="single" w:sz="4" w:space="0" w:color="auto"/>
              <w:left w:val="nil"/>
              <w:bottom w:val="single" w:sz="4" w:space="0" w:color="auto"/>
              <w:right w:val="single" w:sz="4" w:space="0" w:color="auto"/>
            </w:tcBorders>
            <w:shd w:val="clear" w:color="auto" w:fill="auto"/>
            <w:hideMark/>
          </w:tcPr>
          <w:p w14:paraId="5E7FD38F" w14:textId="3957E968" w:rsidR="00751718" w:rsidRPr="00364B98" w:rsidRDefault="00DF0BF9" w:rsidP="00F13727">
            <w:pPr>
              <w:suppressAutoHyphens w:val="0"/>
              <w:kinsoku/>
              <w:overflowPunct/>
              <w:autoSpaceDE/>
              <w:autoSpaceDN/>
              <w:adjustRightInd/>
              <w:snapToGrid/>
              <w:spacing w:line="220" w:lineRule="exact"/>
              <w:jc w:val="center"/>
              <w:rPr>
                <w:lang w:val="fr-FR" w:eastAsia="fr-FR"/>
              </w:rPr>
            </w:pPr>
            <w:r>
              <w:rPr>
                <w:lang w:val="fr-FR" w:eastAsia="fr-FR"/>
              </w:rPr>
              <w:t>W</w:t>
            </w:r>
            <w:r w:rsidR="003372C6">
              <w:rPr>
                <w:lang w:val="fr-FR" w:eastAsia="fr-FR"/>
              </w:rPr>
              <w:t>11/</w:t>
            </w:r>
            <w:r w:rsidR="00A005B3">
              <w:rPr>
                <w:lang w:val="fr-FR" w:eastAsia="fr-FR"/>
              </w:rPr>
              <w:t xml:space="preserve"> </w:t>
            </w:r>
            <w:r w:rsidR="00751718" w:rsidRPr="00364B98">
              <w:rPr>
                <w:lang w:val="fr-FR" w:eastAsia="fr-FR"/>
              </w:rPr>
              <w:t>V11</w:t>
            </w:r>
          </w:p>
        </w:tc>
        <w:tc>
          <w:tcPr>
            <w:tcW w:w="567" w:type="dxa"/>
            <w:tcBorders>
              <w:top w:val="single" w:sz="4" w:space="0" w:color="auto"/>
              <w:left w:val="nil"/>
              <w:bottom w:val="single" w:sz="4" w:space="0" w:color="auto"/>
              <w:right w:val="single" w:sz="4" w:space="0" w:color="auto"/>
            </w:tcBorders>
            <w:shd w:val="clear" w:color="auto" w:fill="auto"/>
            <w:hideMark/>
          </w:tcPr>
          <w:p w14:paraId="68E3F2FB" w14:textId="77777777" w:rsidR="00751718" w:rsidRPr="001D749E" w:rsidRDefault="00751718" w:rsidP="00F13727">
            <w:pPr>
              <w:suppressAutoHyphens w:val="0"/>
              <w:kinsoku/>
              <w:overflowPunct/>
              <w:autoSpaceDE/>
              <w:autoSpaceDN/>
              <w:adjustRightInd/>
              <w:snapToGrid/>
              <w:spacing w:line="220" w:lineRule="exact"/>
              <w:jc w:val="center"/>
              <w:rPr>
                <w:lang w:val="fr-FR" w:eastAsia="fr-FR"/>
              </w:rPr>
            </w:pPr>
            <w:r w:rsidRPr="001D749E">
              <w:rPr>
                <w:lang w:val="fr-FR" w:eastAsia="fr-FR"/>
              </w:rPr>
              <w:t>VC1</w:t>
            </w:r>
          </w:p>
          <w:p w14:paraId="0BED85D1" w14:textId="77777777" w:rsidR="00751718" w:rsidRPr="001D749E" w:rsidRDefault="00751718" w:rsidP="00F13727">
            <w:pPr>
              <w:suppressAutoHyphens w:val="0"/>
              <w:kinsoku/>
              <w:overflowPunct/>
              <w:autoSpaceDE/>
              <w:autoSpaceDN/>
              <w:adjustRightInd/>
              <w:snapToGrid/>
              <w:spacing w:line="220" w:lineRule="exact"/>
              <w:jc w:val="center"/>
              <w:rPr>
                <w:lang w:val="fr-FR" w:eastAsia="fr-FR"/>
              </w:rPr>
            </w:pPr>
            <w:r w:rsidRPr="001D749E">
              <w:rPr>
                <w:lang w:val="fr-FR" w:eastAsia="fr-FR"/>
              </w:rPr>
              <w:t>VC2</w:t>
            </w:r>
          </w:p>
          <w:p w14:paraId="3233555B" w14:textId="77777777" w:rsidR="00751718" w:rsidRPr="001D749E" w:rsidRDefault="00751718" w:rsidP="00F13727">
            <w:pPr>
              <w:suppressAutoHyphens w:val="0"/>
              <w:kinsoku/>
              <w:overflowPunct/>
              <w:autoSpaceDE/>
              <w:autoSpaceDN/>
              <w:adjustRightInd/>
              <w:snapToGrid/>
              <w:spacing w:line="220" w:lineRule="exact"/>
              <w:jc w:val="center"/>
              <w:rPr>
                <w:u w:val="single"/>
                <w:lang w:val="fr-FR" w:eastAsia="fr-FR"/>
              </w:rPr>
            </w:pPr>
            <w:proofErr w:type="spellStart"/>
            <w:r w:rsidRPr="001D749E">
              <w:rPr>
                <w:u w:val="single"/>
                <w:lang w:val="fr-FR" w:eastAsia="fr-FR"/>
              </w:rPr>
              <w:t>APxx</w:t>
            </w:r>
            <w:proofErr w:type="spellEnd"/>
            <w:r w:rsidRPr="001D749E">
              <w:rPr>
                <w:u w:val="single"/>
                <w:lang w:val="fr-FR" w:eastAsia="fr-FR"/>
              </w:rPr>
              <w:t> </w:t>
            </w:r>
          </w:p>
        </w:tc>
        <w:tc>
          <w:tcPr>
            <w:tcW w:w="850" w:type="dxa"/>
            <w:tcBorders>
              <w:top w:val="single" w:sz="4" w:space="0" w:color="auto"/>
              <w:left w:val="nil"/>
              <w:bottom w:val="single" w:sz="4" w:space="0" w:color="auto"/>
              <w:right w:val="single" w:sz="4" w:space="0" w:color="auto"/>
            </w:tcBorders>
            <w:shd w:val="clear" w:color="auto" w:fill="auto"/>
            <w:hideMark/>
          </w:tcPr>
          <w:p w14:paraId="2E3267A1" w14:textId="77777777" w:rsidR="005A3E80" w:rsidRPr="001D749E" w:rsidRDefault="005A3E80"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CW13</w:t>
            </w:r>
          </w:p>
          <w:p w14:paraId="5EBE4C73" w14:textId="77777777" w:rsidR="005A3E80" w:rsidRPr="001D749E" w:rsidRDefault="005A3E80"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CW28</w:t>
            </w:r>
          </w:p>
          <w:p w14:paraId="4587C420" w14:textId="77777777" w:rsidR="005A3E80" w:rsidRPr="001D749E" w:rsidRDefault="005A3E80"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CW31</w:t>
            </w:r>
          </w:p>
          <w:p w14:paraId="047BCC21" w14:textId="77777777" w:rsidR="005A3E80" w:rsidRPr="001D749E" w:rsidRDefault="005A3E80" w:rsidP="00F13727">
            <w:pPr>
              <w:suppressAutoHyphens w:val="0"/>
              <w:kinsoku/>
              <w:overflowPunct/>
              <w:autoSpaceDE/>
              <w:autoSpaceDN/>
              <w:adjustRightInd/>
              <w:snapToGrid/>
              <w:spacing w:line="220" w:lineRule="exact"/>
              <w:jc w:val="center"/>
              <w:rPr>
                <w:lang w:val="fr-FR" w:eastAsia="fr-FR"/>
              </w:rPr>
            </w:pPr>
            <w:proofErr w:type="spellStart"/>
            <w:r w:rsidRPr="001D749E">
              <w:rPr>
                <w:u w:val="single"/>
                <w:lang w:val="fr-FR" w:eastAsia="fr-FR"/>
              </w:rPr>
              <w:t>CWxx</w:t>
            </w:r>
            <w:proofErr w:type="spellEnd"/>
            <w:r w:rsidRPr="001D749E">
              <w:rPr>
                <w:lang w:val="fr-FR" w:eastAsia="fr-FR"/>
              </w:rPr>
              <w:t>/</w:t>
            </w:r>
          </w:p>
          <w:p w14:paraId="765E40E6" w14:textId="77777777" w:rsidR="00751718" w:rsidRPr="001D749E" w:rsidRDefault="00751718"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CV1</w:t>
            </w:r>
            <w:r w:rsidRPr="001D749E">
              <w:rPr>
                <w:lang w:val="fr-FR" w:eastAsia="fr-FR"/>
              </w:rPr>
              <w:br/>
              <w:t>CV13</w:t>
            </w:r>
            <w:r w:rsidRPr="001D749E">
              <w:rPr>
                <w:lang w:val="fr-FR" w:eastAsia="fr-FR"/>
              </w:rPr>
              <w:br/>
              <w:t>CV28</w:t>
            </w:r>
          </w:p>
          <w:p w14:paraId="18ECA447" w14:textId="77777777" w:rsidR="00751718" w:rsidRPr="001D749E" w:rsidRDefault="00751718" w:rsidP="00F13727">
            <w:pPr>
              <w:suppressAutoHyphens w:val="0"/>
              <w:kinsoku/>
              <w:overflowPunct/>
              <w:autoSpaceDE/>
              <w:autoSpaceDN/>
              <w:adjustRightInd/>
              <w:snapToGrid/>
              <w:spacing w:line="220" w:lineRule="exact"/>
              <w:jc w:val="center"/>
              <w:rPr>
                <w:u w:val="single"/>
                <w:lang w:val="fr-FR" w:eastAsia="fr-FR"/>
              </w:rPr>
            </w:pPr>
            <w:proofErr w:type="spellStart"/>
            <w:r w:rsidRPr="001D749E">
              <w:rPr>
                <w:u w:val="single"/>
                <w:lang w:val="fr-FR" w:eastAsia="fr-FR"/>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496700D9" w14:textId="53C4D830" w:rsidR="00751718" w:rsidRPr="00364B98" w:rsidRDefault="003372C6" w:rsidP="00F13727">
            <w:pPr>
              <w:suppressAutoHyphens w:val="0"/>
              <w:kinsoku/>
              <w:overflowPunct/>
              <w:autoSpaceDE/>
              <w:autoSpaceDN/>
              <w:adjustRightInd/>
              <w:snapToGrid/>
              <w:spacing w:line="220" w:lineRule="exact"/>
              <w:jc w:val="center"/>
              <w:rPr>
                <w:lang w:val="fr-FR" w:eastAsia="fr-FR"/>
              </w:rPr>
            </w:pPr>
            <w:r>
              <w:rPr>
                <w:lang w:val="fr-FR" w:eastAsia="fr-FR"/>
              </w:rPr>
              <w:t>CE9/</w:t>
            </w:r>
            <w:r w:rsidR="00A005B3">
              <w:rPr>
                <w:lang w:val="fr-FR" w:eastAsia="fr-FR"/>
              </w:rPr>
              <w:t xml:space="preserve"> </w:t>
            </w:r>
            <w:r w:rsidR="00751718" w:rsidRPr="00364B98">
              <w:rPr>
                <w:lang w:val="fr-FR" w:eastAsia="fr-FR"/>
              </w:rPr>
              <w:t>S19</w:t>
            </w:r>
          </w:p>
        </w:tc>
        <w:tc>
          <w:tcPr>
            <w:tcW w:w="626" w:type="dxa"/>
            <w:tcBorders>
              <w:top w:val="single" w:sz="4" w:space="0" w:color="auto"/>
              <w:left w:val="nil"/>
              <w:bottom w:val="single" w:sz="4" w:space="0" w:color="auto"/>
              <w:right w:val="single" w:sz="4" w:space="0" w:color="auto"/>
            </w:tcBorders>
            <w:shd w:val="clear" w:color="auto" w:fill="auto"/>
            <w:hideMark/>
          </w:tcPr>
          <w:p w14:paraId="0F98627F"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90</w:t>
            </w:r>
          </w:p>
        </w:tc>
        <w:tc>
          <w:tcPr>
            <w:tcW w:w="540" w:type="dxa"/>
            <w:tcBorders>
              <w:top w:val="single" w:sz="4" w:space="0" w:color="auto"/>
              <w:left w:val="nil"/>
              <w:bottom w:val="single" w:sz="4" w:space="0" w:color="auto"/>
              <w:right w:val="single" w:sz="4" w:space="0" w:color="auto"/>
            </w:tcBorders>
            <w:shd w:val="clear" w:color="auto" w:fill="auto"/>
            <w:hideMark/>
          </w:tcPr>
          <w:p w14:paraId="6407578F"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2212</w:t>
            </w:r>
          </w:p>
        </w:tc>
        <w:tc>
          <w:tcPr>
            <w:tcW w:w="1385" w:type="dxa"/>
            <w:tcBorders>
              <w:top w:val="single" w:sz="4" w:space="0" w:color="auto"/>
              <w:left w:val="nil"/>
              <w:bottom w:val="single" w:sz="4" w:space="0" w:color="auto"/>
              <w:right w:val="single" w:sz="4" w:space="0" w:color="auto"/>
            </w:tcBorders>
            <w:shd w:val="clear" w:color="auto" w:fill="auto"/>
            <w:hideMark/>
          </w:tcPr>
          <w:p w14:paraId="08B6F659" w14:textId="77777777" w:rsidR="00751718" w:rsidRPr="00364B98" w:rsidRDefault="00751718" w:rsidP="00F13727">
            <w:pPr>
              <w:suppressAutoHyphens w:val="0"/>
              <w:kinsoku/>
              <w:overflowPunct/>
              <w:autoSpaceDE/>
              <w:autoSpaceDN/>
              <w:adjustRightInd/>
              <w:snapToGrid/>
              <w:spacing w:line="220" w:lineRule="exact"/>
              <w:rPr>
                <w:lang w:val="fr-FR" w:eastAsia="fr-FR"/>
              </w:rPr>
            </w:pPr>
            <w:r w:rsidRPr="00364B98">
              <w:rPr>
                <w:lang w:val="fr-FR" w:eastAsia="fr-FR"/>
              </w:rPr>
              <w:t xml:space="preserve">AMIANTE, AMPHIBOLE (amosite, trémolite, actinolite, anthophyllite, </w:t>
            </w:r>
            <w:proofErr w:type="spellStart"/>
            <w:r w:rsidRPr="00364B98">
              <w:rPr>
                <w:lang w:val="fr-FR" w:eastAsia="fr-FR"/>
              </w:rPr>
              <w:t>crocidolite</w:t>
            </w:r>
            <w:proofErr w:type="spellEnd"/>
            <w:r w:rsidRPr="00364B98">
              <w:rPr>
                <w:lang w:val="fr-FR" w:eastAsia="fr-FR"/>
              </w:rPr>
              <w:t>)</w:t>
            </w:r>
          </w:p>
        </w:tc>
      </w:tr>
      <w:tr w:rsidR="00D74706" w:rsidRPr="00364B98" w14:paraId="5D6F360A" w14:textId="77777777" w:rsidTr="00757C15">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5BB4F0"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SGAH</w:t>
            </w:r>
          </w:p>
        </w:tc>
        <w:tc>
          <w:tcPr>
            <w:tcW w:w="708" w:type="dxa"/>
            <w:tcBorders>
              <w:top w:val="single" w:sz="4" w:space="0" w:color="auto"/>
              <w:left w:val="nil"/>
              <w:bottom w:val="single" w:sz="4" w:space="0" w:color="auto"/>
              <w:right w:val="single" w:sz="4" w:space="0" w:color="auto"/>
            </w:tcBorders>
            <w:shd w:val="clear" w:color="auto" w:fill="auto"/>
            <w:hideMark/>
          </w:tcPr>
          <w:p w14:paraId="24393E9F"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TU15</w:t>
            </w:r>
          </w:p>
        </w:tc>
        <w:tc>
          <w:tcPr>
            <w:tcW w:w="709" w:type="dxa"/>
            <w:tcBorders>
              <w:top w:val="single" w:sz="4" w:space="0" w:color="auto"/>
              <w:left w:val="nil"/>
              <w:bottom w:val="single" w:sz="4" w:space="0" w:color="auto"/>
              <w:right w:val="single" w:sz="4" w:space="0" w:color="auto"/>
            </w:tcBorders>
            <w:shd w:val="clear" w:color="auto" w:fill="auto"/>
            <w:hideMark/>
          </w:tcPr>
          <w:p w14:paraId="43240EA9" w14:textId="7DA5E773" w:rsidR="00751718" w:rsidRPr="00364B98" w:rsidRDefault="00D74706" w:rsidP="00F13727">
            <w:pPr>
              <w:suppressAutoHyphens w:val="0"/>
              <w:kinsoku/>
              <w:overflowPunct/>
              <w:autoSpaceDE/>
              <w:autoSpaceDN/>
              <w:adjustRightInd/>
              <w:snapToGrid/>
              <w:spacing w:line="220" w:lineRule="exact"/>
              <w:jc w:val="center"/>
              <w:rPr>
                <w:lang w:val="fr-FR" w:eastAsia="fr-FR"/>
              </w:rPr>
            </w:pPr>
            <w:r>
              <w:rPr>
                <w:lang w:val="fr-FR" w:eastAsia="fr-FR"/>
              </w:rPr>
              <w:t>(</w:t>
            </w:r>
            <w:r w:rsidR="00A005B3">
              <w:rPr>
                <w:lang w:val="fr-FR" w:eastAsia="fr-FR"/>
              </w:rPr>
              <w:t>ADR:</w:t>
            </w:r>
            <w:r>
              <w:rPr>
                <w:lang w:val="fr-FR" w:eastAsia="fr-FR"/>
              </w:rPr>
              <w:t xml:space="preserve">) </w:t>
            </w:r>
            <w:r w:rsidR="00751718" w:rsidRPr="00364B98">
              <w:rPr>
                <w:lang w:val="fr-FR" w:eastAsia="fr-FR"/>
              </w:rPr>
              <w:t>AT</w:t>
            </w:r>
          </w:p>
        </w:tc>
        <w:tc>
          <w:tcPr>
            <w:tcW w:w="709" w:type="dxa"/>
            <w:tcBorders>
              <w:top w:val="single" w:sz="4" w:space="0" w:color="auto"/>
              <w:left w:val="nil"/>
              <w:bottom w:val="single" w:sz="4" w:space="0" w:color="auto"/>
              <w:right w:val="single" w:sz="4" w:space="0" w:color="auto"/>
            </w:tcBorders>
            <w:shd w:val="clear" w:color="auto" w:fill="auto"/>
            <w:hideMark/>
          </w:tcPr>
          <w:p w14:paraId="59534C60"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3</w:t>
            </w:r>
            <w:r w:rsidRPr="00364B98">
              <w:rPr>
                <w:lang w:val="fr-FR" w:eastAsia="fr-FR"/>
              </w:rPr>
              <w:br/>
              <w:t>(E)</w:t>
            </w:r>
          </w:p>
        </w:tc>
        <w:tc>
          <w:tcPr>
            <w:tcW w:w="709" w:type="dxa"/>
            <w:tcBorders>
              <w:top w:val="single" w:sz="4" w:space="0" w:color="auto"/>
              <w:left w:val="nil"/>
              <w:bottom w:val="single" w:sz="4" w:space="0" w:color="auto"/>
              <w:right w:val="single" w:sz="4" w:space="0" w:color="auto"/>
            </w:tcBorders>
            <w:shd w:val="clear" w:color="auto" w:fill="auto"/>
            <w:hideMark/>
          </w:tcPr>
          <w:p w14:paraId="6BA5D6B0" w14:textId="75891D3B" w:rsidR="00751718" w:rsidRPr="00364B98" w:rsidRDefault="00D74706" w:rsidP="00F13727">
            <w:pPr>
              <w:suppressAutoHyphens w:val="0"/>
              <w:kinsoku/>
              <w:overflowPunct/>
              <w:autoSpaceDE/>
              <w:autoSpaceDN/>
              <w:adjustRightInd/>
              <w:snapToGrid/>
              <w:spacing w:line="220" w:lineRule="exact"/>
              <w:jc w:val="center"/>
              <w:rPr>
                <w:lang w:val="fr-FR" w:eastAsia="fr-FR"/>
              </w:rPr>
            </w:pPr>
            <w:r>
              <w:rPr>
                <w:lang w:val="fr-FR" w:eastAsia="fr-FR"/>
              </w:rPr>
              <w:t xml:space="preserve">W11/ </w:t>
            </w:r>
            <w:r w:rsidR="00751718" w:rsidRPr="00364B98">
              <w:rPr>
                <w:lang w:val="fr-FR" w:eastAsia="fr-FR"/>
              </w:rPr>
              <w:t>V11</w:t>
            </w:r>
          </w:p>
        </w:tc>
        <w:tc>
          <w:tcPr>
            <w:tcW w:w="567" w:type="dxa"/>
            <w:tcBorders>
              <w:top w:val="single" w:sz="4" w:space="0" w:color="auto"/>
              <w:left w:val="nil"/>
              <w:bottom w:val="single" w:sz="4" w:space="0" w:color="auto"/>
              <w:right w:val="single" w:sz="4" w:space="0" w:color="auto"/>
            </w:tcBorders>
            <w:shd w:val="clear" w:color="auto" w:fill="auto"/>
            <w:hideMark/>
          </w:tcPr>
          <w:p w14:paraId="542A19A5" w14:textId="6474FC28" w:rsidR="00751718" w:rsidRPr="001D749E" w:rsidRDefault="00751718" w:rsidP="00F13727">
            <w:pPr>
              <w:suppressAutoHyphens w:val="0"/>
              <w:kinsoku/>
              <w:overflowPunct/>
              <w:autoSpaceDE/>
              <w:autoSpaceDN/>
              <w:adjustRightInd/>
              <w:snapToGrid/>
              <w:spacing w:line="220" w:lineRule="exact"/>
              <w:jc w:val="center"/>
              <w:rPr>
                <w:lang w:val="fr-FR" w:eastAsia="fr-FR"/>
              </w:rPr>
            </w:pPr>
            <w:r w:rsidRPr="001D749E">
              <w:rPr>
                <w:lang w:val="fr-FR" w:eastAsia="fr-FR"/>
              </w:rPr>
              <w:t>VC1</w:t>
            </w:r>
          </w:p>
          <w:p w14:paraId="6E26A495" w14:textId="77777777" w:rsidR="00751718" w:rsidRPr="001D749E" w:rsidRDefault="00751718" w:rsidP="00F13727">
            <w:pPr>
              <w:suppressAutoHyphens w:val="0"/>
              <w:kinsoku/>
              <w:overflowPunct/>
              <w:autoSpaceDE/>
              <w:autoSpaceDN/>
              <w:adjustRightInd/>
              <w:snapToGrid/>
              <w:spacing w:line="220" w:lineRule="exact"/>
              <w:jc w:val="center"/>
              <w:rPr>
                <w:lang w:val="fr-FR" w:eastAsia="fr-FR"/>
              </w:rPr>
            </w:pPr>
            <w:r w:rsidRPr="001D749E">
              <w:rPr>
                <w:lang w:val="fr-FR" w:eastAsia="fr-FR"/>
              </w:rPr>
              <w:t>VC2</w:t>
            </w:r>
          </w:p>
          <w:p w14:paraId="5B84D992" w14:textId="77777777" w:rsidR="00751718" w:rsidRPr="001D749E" w:rsidRDefault="00751718" w:rsidP="00F13727">
            <w:pPr>
              <w:suppressAutoHyphens w:val="0"/>
              <w:kinsoku/>
              <w:overflowPunct/>
              <w:autoSpaceDE/>
              <w:autoSpaceDN/>
              <w:adjustRightInd/>
              <w:snapToGrid/>
              <w:spacing w:line="220" w:lineRule="exact"/>
              <w:jc w:val="center"/>
              <w:rPr>
                <w:u w:val="single"/>
                <w:lang w:val="fr-FR" w:eastAsia="fr-FR"/>
              </w:rPr>
            </w:pPr>
            <w:proofErr w:type="spellStart"/>
            <w:r w:rsidRPr="001D749E">
              <w:rPr>
                <w:u w:val="single"/>
                <w:lang w:val="fr-FR" w:eastAsia="fr-FR"/>
              </w:rPr>
              <w:t>APxx</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4B80CB31" w14:textId="77777777" w:rsidR="00710E55" w:rsidRPr="001D749E" w:rsidRDefault="00710E55"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CW13</w:t>
            </w:r>
          </w:p>
          <w:p w14:paraId="26FFFFB4" w14:textId="77777777" w:rsidR="00710E55" w:rsidRPr="001D749E" w:rsidRDefault="00710E55"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CW28</w:t>
            </w:r>
          </w:p>
          <w:p w14:paraId="46015B41" w14:textId="77777777" w:rsidR="00710E55" w:rsidRPr="001D749E" w:rsidRDefault="00710E55" w:rsidP="00F13727">
            <w:pPr>
              <w:suppressAutoHyphens w:val="0"/>
              <w:kinsoku/>
              <w:overflowPunct/>
              <w:autoSpaceDE/>
              <w:autoSpaceDN/>
              <w:adjustRightInd/>
              <w:snapToGrid/>
              <w:spacing w:line="220" w:lineRule="exact"/>
              <w:jc w:val="center"/>
              <w:rPr>
                <w:lang w:val="fr-FR" w:eastAsia="fr-FR"/>
              </w:rPr>
            </w:pPr>
            <w:r w:rsidRPr="001D749E">
              <w:rPr>
                <w:lang w:val="fr-FR" w:eastAsia="fr-FR"/>
              </w:rPr>
              <w:t>CW31</w:t>
            </w:r>
          </w:p>
          <w:p w14:paraId="129B902E" w14:textId="493A1DB7" w:rsidR="00751718" w:rsidRPr="001D749E" w:rsidRDefault="00AB5364" w:rsidP="00F13727">
            <w:pPr>
              <w:suppressAutoHyphens w:val="0"/>
              <w:kinsoku/>
              <w:overflowPunct/>
              <w:autoSpaceDE/>
              <w:autoSpaceDN/>
              <w:adjustRightInd/>
              <w:snapToGrid/>
              <w:spacing w:line="220" w:lineRule="exact"/>
              <w:jc w:val="center"/>
              <w:rPr>
                <w:lang w:val="fr-FR" w:eastAsia="fr-FR"/>
              </w:rPr>
            </w:pPr>
            <w:proofErr w:type="spellStart"/>
            <w:r w:rsidRPr="001D749E">
              <w:rPr>
                <w:u w:val="single"/>
                <w:lang w:val="fr-FR" w:eastAsia="fr-FR"/>
              </w:rPr>
              <w:t>CWxx</w:t>
            </w:r>
            <w:proofErr w:type="spellEnd"/>
            <w:r w:rsidRPr="001D749E">
              <w:rPr>
                <w:lang w:val="fr-FR" w:eastAsia="fr-FR"/>
              </w:rPr>
              <w:t xml:space="preserve"> </w:t>
            </w:r>
            <w:r w:rsidR="00751718" w:rsidRPr="001D749E">
              <w:rPr>
                <w:lang w:val="fr-FR" w:eastAsia="fr-FR"/>
              </w:rPr>
              <w:t>CV13</w:t>
            </w:r>
            <w:r w:rsidR="00751718" w:rsidRPr="001D749E">
              <w:rPr>
                <w:lang w:val="fr-FR" w:eastAsia="fr-FR"/>
              </w:rPr>
              <w:br/>
              <w:t>CV28</w:t>
            </w:r>
          </w:p>
          <w:p w14:paraId="74F6FBE4" w14:textId="77777777" w:rsidR="00751718" w:rsidRPr="001D749E" w:rsidRDefault="00751718" w:rsidP="00F13727">
            <w:pPr>
              <w:suppressAutoHyphens w:val="0"/>
              <w:kinsoku/>
              <w:overflowPunct/>
              <w:autoSpaceDE/>
              <w:autoSpaceDN/>
              <w:adjustRightInd/>
              <w:snapToGrid/>
              <w:spacing w:line="220" w:lineRule="exact"/>
              <w:jc w:val="center"/>
              <w:rPr>
                <w:u w:val="single"/>
                <w:lang w:val="fr-FR" w:eastAsia="fr-FR"/>
              </w:rPr>
            </w:pPr>
            <w:proofErr w:type="spellStart"/>
            <w:r w:rsidRPr="001D749E">
              <w:rPr>
                <w:u w:val="single"/>
                <w:lang w:val="fr-FR" w:eastAsia="fr-FR"/>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4449D43A" w14:textId="77777777" w:rsidR="00A0007D" w:rsidRDefault="00A0007D" w:rsidP="00F13727">
            <w:pPr>
              <w:suppressAutoHyphens w:val="0"/>
              <w:kinsoku/>
              <w:overflowPunct/>
              <w:autoSpaceDE/>
              <w:autoSpaceDN/>
              <w:adjustRightInd/>
              <w:snapToGrid/>
              <w:spacing w:line="220" w:lineRule="exact"/>
              <w:jc w:val="center"/>
              <w:rPr>
                <w:lang w:val="fr-FR" w:eastAsia="fr-FR"/>
              </w:rPr>
            </w:pPr>
            <w:r>
              <w:rPr>
                <w:lang w:val="fr-FR" w:eastAsia="fr-FR"/>
              </w:rPr>
              <w:t>(RID:)</w:t>
            </w:r>
          </w:p>
          <w:p w14:paraId="422A4919" w14:textId="5F5F80F9" w:rsidR="00751718" w:rsidRPr="00364B98" w:rsidRDefault="00A0007D" w:rsidP="00F13727">
            <w:pPr>
              <w:suppressAutoHyphens w:val="0"/>
              <w:kinsoku/>
              <w:overflowPunct/>
              <w:autoSpaceDE/>
              <w:autoSpaceDN/>
              <w:adjustRightInd/>
              <w:snapToGrid/>
              <w:spacing w:line="220" w:lineRule="exact"/>
              <w:jc w:val="center"/>
              <w:rPr>
                <w:lang w:val="fr-FR" w:eastAsia="fr-FR"/>
              </w:rPr>
            </w:pPr>
            <w:r>
              <w:rPr>
                <w:lang w:val="fr-FR" w:eastAsia="fr-FR"/>
              </w:rPr>
              <w:t>CE11</w:t>
            </w:r>
            <w:r w:rsidRPr="00364B98">
              <w:rPr>
                <w:lang w:val="fr-FR" w:eastAsia="fr-FR"/>
              </w:rPr>
              <w:t> </w:t>
            </w:r>
            <w:r w:rsidR="00751718" w:rsidRPr="00364B98">
              <w:rPr>
                <w:lang w:val="fr-FR" w:eastAsia="fr-FR"/>
              </w:rPr>
              <w:t> </w:t>
            </w:r>
          </w:p>
        </w:tc>
        <w:tc>
          <w:tcPr>
            <w:tcW w:w="626" w:type="dxa"/>
            <w:tcBorders>
              <w:top w:val="single" w:sz="4" w:space="0" w:color="auto"/>
              <w:left w:val="nil"/>
              <w:bottom w:val="single" w:sz="4" w:space="0" w:color="auto"/>
              <w:right w:val="single" w:sz="4" w:space="0" w:color="auto"/>
            </w:tcBorders>
            <w:shd w:val="clear" w:color="auto" w:fill="auto"/>
            <w:hideMark/>
          </w:tcPr>
          <w:p w14:paraId="6B4313E1"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90</w:t>
            </w:r>
          </w:p>
        </w:tc>
        <w:tc>
          <w:tcPr>
            <w:tcW w:w="540" w:type="dxa"/>
            <w:tcBorders>
              <w:top w:val="single" w:sz="4" w:space="0" w:color="auto"/>
              <w:left w:val="nil"/>
              <w:bottom w:val="single" w:sz="4" w:space="0" w:color="auto"/>
              <w:right w:val="single" w:sz="4" w:space="0" w:color="auto"/>
            </w:tcBorders>
            <w:shd w:val="clear" w:color="auto" w:fill="auto"/>
            <w:hideMark/>
          </w:tcPr>
          <w:p w14:paraId="075E89BD" w14:textId="77777777" w:rsidR="00751718" w:rsidRPr="00364B98" w:rsidRDefault="00751718" w:rsidP="00F13727">
            <w:pPr>
              <w:suppressAutoHyphens w:val="0"/>
              <w:kinsoku/>
              <w:overflowPunct/>
              <w:autoSpaceDE/>
              <w:autoSpaceDN/>
              <w:adjustRightInd/>
              <w:snapToGrid/>
              <w:spacing w:line="220" w:lineRule="exact"/>
              <w:jc w:val="center"/>
              <w:rPr>
                <w:lang w:val="fr-FR" w:eastAsia="fr-FR"/>
              </w:rPr>
            </w:pPr>
            <w:r w:rsidRPr="00364B98">
              <w:rPr>
                <w:lang w:val="fr-FR" w:eastAsia="fr-FR"/>
              </w:rPr>
              <w:t>2590</w:t>
            </w:r>
          </w:p>
        </w:tc>
        <w:tc>
          <w:tcPr>
            <w:tcW w:w="1385" w:type="dxa"/>
            <w:tcBorders>
              <w:top w:val="single" w:sz="4" w:space="0" w:color="auto"/>
              <w:left w:val="nil"/>
              <w:bottom w:val="single" w:sz="4" w:space="0" w:color="auto"/>
              <w:right w:val="single" w:sz="4" w:space="0" w:color="auto"/>
            </w:tcBorders>
            <w:shd w:val="clear" w:color="auto" w:fill="auto"/>
            <w:hideMark/>
          </w:tcPr>
          <w:p w14:paraId="50D6D9D2" w14:textId="77777777" w:rsidR="00751718" w:rsidRPr="00364B98" w:rsidRDefault="00751718" w:rsidP="00F13727">
            <w:pPr>
              <w:suppressAutoHyphens w:val="0"/>
              <w:kinsoku/>
              <w:overflowPunct/>
              <w:autoSpaceDE/>
              <w:autoSpaceDN/>
              <w:adjustRightInd/>
              <w:snapToGrid/>
              <w:spacing w:line="220" w:lineRule="exact"/>
              <w:rPr>
                <w:lang w:val="fr-FR" w:eastAsia="fr-FR"/>
              </w:rPr>
            </w:pPr>
            <w:r w:rsidRPr="00364B98">
              <w:rPr>
                <w:lang w:val="fr-FR" w:eastAsia="fr-FR"/>
              </w:rPr>
              <w:t>AMIANTE, CHRYSOTILE</w:t>
            </w:r>
          </w:p>
        </w:tc>
      </w:tr>
    </w:tbl>
    <w:p w14:paraId="7C3D3F27" w14:textId="1CA83551" w:rsidR="009535A7" w:rsidRDefault="00EA2302" w:rsidP="00C6191E">
      <w:pPr>
        <w:pStyle w:val="H1G"/>
        <w:pageBreakBefore/>
        <w:rPr>
          <w:lang w:val="fr-FR"/>
        </w:rPr>
      </w:pPr>
      <w:r>
        <w:rPr>
          <w:lang w:val="fr-FR"/>
        </w:rPr>
        <w:lastRenderedPageBreak/>
        <w:tab/>
      </w:r>
      <w:r>
        <w:rPr>
          <w:lang w:val="fr-FR"/>
        </w:rPr>
        <w:tab/>
      </w:r>
      <w:r w:rsidR="009535A7" w:rsidRPr="005F2BFF">
        <w:rPr>
          <w:lang w:val="fr-FR"/>
        </w:rPr>
        <w:t xml:space="preserve">Proposition </w:t>
      </w:r>
      <w:r w:rsidR="009535A7">
        <w:rPr>
          <w:lang w:val="fr-FR"/>
        </w:rPr>
        <w:t>2</w:t>
      </w:r>
    </w:p>
    <w:p w14:paraId="3E19727F" w14:textId="50C632BA" w:rsidR="009535A7" w:rsidRPr="00D0759D" w:rsidRDefault="00FE5487" w:rsidP="00FE5487">
      <w:pPr>
        <w:pStyle w:val="H23G"/>
        <w:rPr>
          <w:b w:val="0"/>
          <w:lang w:val="fr-FR"/>
        </w:rPr>
      </w:pPr>
      <w:r>
        <w:rPr>
          <w:lang w:val="fr-FR"/>
        </w:rPr>
        <w:tab/>
      </w:r>
      <w:r>
        <w:rPr>
          <w:lang w:val="fr-FR"/>
        </w:rPr>
        <w:tab/>
      </w:r>
      <w:r w:rsidR="0025718C">
        <w:rPr>
          <w:lang w:val="fr-FR"/>
        </w:rPr>
        <w:tab/>
      </w:r>
      <w:r w:rsidR="009535A7">
        <w:rPr>
          <w:lang w:val="fr-FR"/>
        </w:rPr>
        <w:tab/>
      </w:r>
      <w:r w:rsidR="0025718C">
        <w:rPr>
          <w:lang w:val="fr-FR"/>
        </w:rPr>
        <w:t>Option</w:t>
      </w:r>
      <w:r w:rsidR="0025718C" w:rsidRPr="00D0759D">
        <w:rPr>
          <w:lang w:val="fr-FR"/>
        </w:rPr>
        <w:t xml:space="preserve"> </w:t>
      </w:r>
      <w:r w:rsidR="009535A7" w:rsidRPr="00D0759D">
        <w:rPr>
          <w:lang w:val="fr-FR"/>
        </w:rPr>
        <w:t xml:space="preserve">2A </w:t>
      </w:r>
    </w:p>
    <w:p w14:paraId="714A3532" w14:textId="4C00042C" w:rsidR="009535A7" w:rsidRDefault="00670DE6" w:rsidP="00670DE6">
      <w:pPr>
        <w:pStyle w:val="SingleTxtG"/>
        <w:rPr>
          <w:lang w:val="fr-FR"/>
        </w:rPr>
      </w:pPr>
      <w:r>
        <w:rPr>
          <w:lang w:val="fr-FR"/>
        </w:rPr>
        <w:t>7.</w:t>
      </w:r>
      <w:r>
        <w:rPr>
          <w:lang w:val="fr-FR"/>
        </w:rPr>
        <w:tab/>
      </w:r>
      <w:r w:rsidR="009535A7">
        <w:rPr>
          <w:lang w:val="fr-FR"/>
        </w:rPr>
        <w:t>Au chapitre 3.3 : ajouter la nouvelle disposition spéciale suivante :</w:t>
      </w:r>
    </w:p>
    <w:p w14:paraId="412A078D" w14:textId="6C23B852" w:rsidR="009535A7" w:rsidRDefault="009535A7" w:rsidP="00670DE6">
      <w:pPr>
        <w:pStyle w:val="SingleTxtG"/>
        <w:rPr>
          <w:lang w:val="fr-FR"/>
        </w:rPr>
      </w:pPr>
      <w:r>
        <w:rPr>
          <w:lang w:val="fr-FR"/>
        </w:rPr>
        <w:t>«</w:t>
      </w:r>
      <w:r w:rsidR="002858CC">
        <w:rPr>
          <w:lang w:val="fr-FR"/>
        </w:rPr>
        <w:t xml:space="preserve"> </w:t>
      </w:r>
      <w:r w:rsidRPr="00946D2E">
        <w:rPr>
          <w:lang w:val="fr-FR"/>
        </w:rPr>
        <w:t xml:space="preserve">xxx : Les </w:t>
      </w:r>
      <w:r w:rsidR="00815AE2">
        <w:rPr>
          <w:lang w:val="fr-FR"/>
        </w:rPr>
        <w:t>déchets constitués d'</w:t>
      </w:r>
      <w:r w:rsidRPr="00946D2E">
        <w:rPr>
          <w:lang w:val="fr-FR"/>
        </w:rPr>
        <w:t xml:space="preserve">objets et matériaux contaminés par de l'amiante libre (Nos ONU 2212 et 2590 non fixés ou immergés dans un liant de telle sorte qu'aucune </w:t>
      </w:r>
      <w:r>
        <w:rPr>
          <w:lang w:val="fr-FR"/>
        </w:rPr>
        <w:t>émission</w:t>
      </w:r>
      <w:r w:rsidRPr="00946D2E">
        <w:rPr>
          <w:lang w:val="fr-FR"/>
        </w:rPr>
        <w:t xml:space="preserve"> de quantités dangereuses d'amiante respirable ne puisse se produire) peuvent être transportés en vertu des dispositions du chapitre 7.3 à condition que les dispositions suivantes so</w:t>
      </w:r>
      <w:r>
        <w:rPr>
          <w:lang w:val="fr-FR"/>
        </w:rPr>
        <w:t>ient</w:t>
      </w:r>
      <w:r w:rsidRPr="00946D2E">
        <w:rPr>
          <w:lang w:val="fr-FR"/>
        </w:rPr>
        <w:t xml:space="preserve"> respectées :</w:t>
      </w:r>
    </w:p>
    <w:p w14:paraId="6C5AFF67" w14:textId="28A4329F" w:rsidR="009535A7" w:rsidRDefault="009535A7" w:rsidP="00670DE6">
      <w:pPr>
        <w:pStyle w:val="SingleTxtG"/>
        <w:ind w:firstLine="567"/>
        <w:rPr>
          <w:lang w:val="fr-FR"/>
        </w:rPr>
      </w:pPr>
      <w:r w:rsidRPr="00946D2E">
        <w:rPr>
          <w:lang w:val="fr-FR"/>
        </w:rPr>
        <w:t>a)</w:t>
      </w:r>
      <w:r w:rsidR="00670DE6">
        <w:rPr>
          <w:lang w:val="fr-FR"/>
        </w:rPr>
        <w:tab/>
      </w:r>
      <w:r w:rsidRPr="00946D2E">
        <w:rPr>
          <w:lang w:val="fr-FR"/>
        </w:rPr>
        <w:t>Les déchets sont transportés uniquement du site où ces déchets sont générés vers une installation d'élimination définitive. Seules les opérations de stockage intermédiaire, réalisées sans déchargement ni transfert de l'enceinte de confinement, entre ces deux types de sites sont autorisées,</w:t>
      </w:r>
    </w:p>
    <w:p w14:paraId="2F4F1372" w14:textId="715ED73F" w:rsidR="009535A7" w:rsidRDefault="009535A7" w:rsidP="00670DE6">
      <w:pPr>
        <w:pStyle w:val="SingleTxtG"/>
        <w:ind w:firstLine="567"/>
        <w:rPr>
          <w:lang w:val="fr-FR"/>
        </w:rPr>
      </w:pPr>
      <w:r w:rsidRPr="00946D2E">
        <w:rPr>
          <w:lang w:val="fr-FR"/>
        </w:rPr>
        <w:t>b)</w:t>
      </w:r>
      <w:r w:rsidR="00670DE6">
        <w:rPr>
          <w:lang w:val="fr-FR"/>
        </w:rPr>
        <w:tab/>
      </w:r>
      <w:r w:rsidRPr="00946D2E">
        <w:rPr>
          <w:lang w:val="fr-FR"/>
        </w:rPr>
        <w:t>Les déchets appartiennent à l'une de ces catégories :</w:t>
      </w:r>
    </w:p>
    <w:p w14:paraId="15A4FA4B" w14:textId="13782634" w:rsidR="009535A7" w:rsidRDefault="009535A7" w:rsidP="00670DE6">
      <w:pPr>
        <w:pStyle w:val="SingleTxtG"/>
        <w:ind w:left="1701"/>
        <w:rPr>
          <w:lang w:val="fr-FR"/>
        </w:rPr>
      </w:pPr>
      <w:r w:rsidRPr="00946D2E">
        <w:rPr>
          <w:lang w:val="fr-FR"/>
        </w:rPr>
        <w:t>(i)</w:t>
      </w:r>
      <w:r w:rsidR="00CA268E">
        <w:rPr>
          <w:lang w:val="fr-FR"/>
        </w:rPr>
        <w:tab/>
      </w:r>
      <w:r w:rsidRPr="00946D2E">
        <w:rPr>
          <w:lang w:val="fr-FR"/>
        </w:rPr>
        <w:t xml:space="preserve">Les déchets solides </w:t>
      </w:r>
      <w:r>
        <w:rPr>
          <w:lang w:val="fr-FR"/>
        </w:rPr>
        <w:t>issus de</w:t>
      </w:r>
      <w:r w:rsidRPr="00946D2E">
        <w:rPr>
          <w:lang w:val="fr-FR"/>
        </w:rPr>
        <w:t xml:space="preserve"> travaux </w:t>
      </w:r>
      <w:r>
        <w:rPr>
          <w:lang w:val="fr-FR"/>
        </w:rPr>
        <w:t>de voirie</w:t>
      </w:r>
      <w:r w:rsidRPr="00946D2E">
        <w:rPr>
          <w:lang w:val="fr-FR"/>
        </w:rPr>
        <w:t xml:space="preserve">, y compris les </w:t>
      </w:r>
      <w:proofErr w:type="spellStart"/>
      <w:r>
        <w:rPr>
          <w:lang w:val="fr-FR"/>
        </w:rPr>
        <w:t>fraisâts</w:t>
      </w:r>
      <w:proofErr w:type="spellEnd"/>
      <w:r>
        <w:rPr>
          <w:lang w:val="fr-FR"/>
        </w:rPr>
        <w:t xml:space="preserve"> d’enrobés</w:t>
      </w:r>
      <w:r w:rsidRPr="00946D2E">
        <w:rPr>
          <w:lang w:val="fr-FR"/>
        </w:rPr>
        <w:t xml:space="preserve"> contaminés par l'amiante libre ainsi que leurs résidus de balayage ;</w:t>
      </w:r>
    </w:p>
    <w:p w14:paraId="53B72C4E" w14:textId="0CC5E9ED" w:rsidR="009535A7" w:rsidRDefault="009535A7" w:rsidP="00670DE6">
      <w:pPr>
        <w:pStyle w:val="SingleTxtG"/>
        <w:ind w:firstLine="567"/>
        <w:rPr>
          <w:lang w:val="fr-FR"/>
        </w:rPr>
      </w:pPr>
      <w:r w:rsidRPr="00946D2E">
        <w:rPr>
          <w:lang w:val="fr-FR"/>
        </w:rPr>
        <w:t>(ii)</w:t>
      </w:r>
      <w:r w:rsidR="00CA268E">
        <w:rPr>
          <w:lang w:val="fr-FR"/>
        </w:rPr>
        <w:tab/>
      </w:r>
      <w:r>
        <w:rPr>
          <w:lang w:val="fr-FR"/>
        </w:rPr>
        <w:t>Les terres</w:t>
      </w:r>
      <w:r w:rsidRPr="00946D2E">
        <w:rPr>
          <w:lang w:val="fr-FR"/>
        </w:rPr>
        <w:t xml:space="preserve"> contaminé</w:t>
      </w:r>
      <w:r>
        <w:rPr>
          <w:lang w:val="fr-FR"/>
        </w:rPr>
        <w:t>es</w:t>
      </w:r>
      <w:r w:rsidRPr="00946D2E">
        <w:rPr>
          <w:lang w:val="fr-FR"/>
        </w:rPr>
        <w:t xml:space="preserve"> par de l'amiante libre ;</w:t>
      </w:r>
    </w:p>
    <w:p w14:paraId="651A17BD" w14:textId="1357A8A0" w:rsidR="009535A7" w:rsidRDefault="009535A7" w:rsidP="00670DE6">
      <w:pPr>
        <w:pStyle w:val="SingleTxtG"/>
        <w:ind w:left="1701"/>
        <w:rPr>
          <w:lang w:val="fr-FR"/>
        </w:rPr>
      </w:pPr>
      <w:r w:rsidRPr="00946D2E">
        <w:rPr>
          <w:lang w:val="fr-FR"/>
        </w:rPr>
        <w:t>(iii)</w:t>
      </w:r>
      <w:r w:rsidR="00CA268E">
        <w:rPr>
          <w:lang w:val="fr-FR"/>
        </w:rPr>
        <w:tab/>
      </w:r>
      <w:r w:rsidRPr="00946D2E">
        <w:rPr>
          <w:lang w:val="fr-FR"/>
        </w:rPr>
        <w:t xml:space="preserve">Objets (par exemple, meubles) contaminés par de l'amiante libre provenant de structures ou de bâtiments </w:t>
      </w:r>
      <w:r>
        <w:rPr>
          <w:lang w:val="fr-FR"/>
        </w:rPr>
        <w:t>sinistrés</w:t>
      </w:r>
      <w:r w:rsidRPr="00946D2E">
        <w:rPr>
          <w:lang w:val="fr-FR"/>
        </w:rPr>
        <w:t> ;</w:t>
      </w:r>
    </w:p>
    <w:p w14:paraId="642DBE7F" w14:textId="50A40DFC" w:rsidR="009535A7" w:rsidRDefault="00780BFF" w:rsidP="00CA268E">
      <w:pPr>
        <w:pStyle w:val="SingleTxtG"/>
        <w:ind w:left="1701"/>
        <w:rPr>
          <w:lang w:val="fr-FR"/>
        </w:rPr>
      </w:pPr>
      <w:r>
        <w:rPr>
          <w:lang w:val="fr-FR"/>
        </w:rPr>
        <w:t>(</w:t>
      </w:r>
      <w:r w:rsidR="009535A7" w:rsidRPr="00946D2E">
        <w:rPr>
          <w:lang w:val="fr-FR"/>
        </w:rPr>
        <w:t>iv)</w:t>
      </w:r>
      <w:r w:rsidR="00CA268E">
        <w:rPr>
          <w:lang w:val="fr-FR"/>
        </w:rPr>
        <w:tab/>
      </w:r>
      <w:r w:rsidR="009535A7" w:rsidRPr="00946D2E">
        <w:rPr>
          <w:lang w:val="fr-FR"/>
        </w:rPr>
        <w:t xml:space="preserve">Matériaux provenant </w:t>
      </w:r>
      <w:r w:rsidR="009535A7">
        <w:rPr>
          <w:lang w:val="fr-FR"/>
        </w:rPr>
        <w:t>d’ouvrages ou d’immeubles sinistrés</w:t>
      </w:r>
      <w:r w:rsidR="009535A7" w:rsidRPr="00946D2E">
        <w:rPr>
          <w:lang w:val="fr-FR"/>
        </w:rPr>
        <w:t xml:space="preserve"> contaminés par de l'amiante libre qui ne peuvent, en raison de leur volume ou de leur masse, être emballés conformément à l'instruction d'emballage applicable au numéro ONU utilisé (ONU 2212 ou ONU 2590, selon le cas);</w:t>
      </w:r>
    </w:p>
    <w:p w14:paraId="630394F8" w14:textId="40B95364" w:rsidR="009535A7" w:rsidRDefault="009535A7" w:rsidP="00CA268E">
      <w:pPr>
        <w:pStyle w:val="SingleTxtG"/>
        <w:ind w:left="1701"/>
        <w:rPr>
          <w:lang w:val="fr-FR"/>
        </w:rPr>
      </w:pPr>
      <w:r w:rsidRPr="006E4F79">
        <w:rPr>
          <w:lang w:val="fr-FR"/>
        </w:rPr>
        <w:tab/>
      </w:r>
      <w:r w:rsidR="00780BFF">
        <w:rPr>
          <w:lang w:val="fr-FR"/>
        </w:rPr>
        <w:t>(</w:t>
      </w:r>
      <w:r w:rsidRPr="006E4F79">
        <w:rPr>
          <w:lang w:val="fr-FR"/>
        </w:rPr>
        <w:t>v)</w:t>
      </w:r>
      <w:r w:rsidR="00CA268E">
        <w:rPr>
          <w:lang w:val="fr-FR"/>
        </w:rPr>
        <w:tab/>
      </w:r>
      <w:r w:rsidRPr="006E4F79">
        <w:rPr>
          <w:lang w:val="fr-FR"/>
        </w:rPr>
        <w:t xml:space="preserve">Déchets de chantier contaminés par de l'amiante libre provenant </w:t>
      </w:r>
      <w:r>
        <w:rPr>
          <w:lang w:val="fr-FR"/>
        </w:rPr>
        <w:t>d’ouvrages ou d’immeubles sinistrés dans le cadre de leur démolition</w:t>
      </w:r>
      <w:r w:rsidRPr="006E4F79">
        <w:rPr>
          <w:lang w:val="fr-FR"/>
        </w:rPr>
        <w:t xml:space="preserve"> ou de leur réhabilitation, qui ne peuvent, en raison de leur taille ou de leur masse, être emballés conformément à l'instruction d'emballage applicable au numéro ONU utilisé (ONU 2212 ou ONU</w:t>
      </w:r>
      <w:r w:rsidR="00231BDE">
        <w:rPr>
          <w:lang w:val="fr-FR"/>
        </w:rPr>
        <w:t> </w:t>
      </w:r>
      <w:r w:rsidRPr="006E4F79">
        <w:rPr>
          <w:lang w:val="fr-FR"/>
        </w:rPr>
        <w:t>2590, selon le cas)</w:t>
      </w:r>
      <w:r>
        <w:rPr>
          <w:lang w:val="fr-FR"/>
        </w:rPr>
        <w:t>.</w:t>
      </w:r>
      <w:r w:rsidRPr="006E4F79">
        <w:rPr>
          <w:lang w:val="fr-FR"/>
        </w:rPr>
        <w:t xml:space="preserve"> Ces déchets contaminés par l'amiante ne doivent appartenir qu'aux catégories suivantes :</w:t>
      </w:r>
    </w:p>
    <w:p w14:paraId="1B76E05D" w14:textId="213CFE76" w:rsidR="009535A7" w:rsidRPr="006E4F79" w:rsidRDefault="00BA7380" w:rsidP="00070ECE">
      <w:pPr>
        <w:ind w:left="1701"/>
        <w:jc w:val="both"/>
        <w:rPr>
          <w:lang w:val="fr-FR"/>
        </w:rPr>
      </w:pPr>
      <w:r>
        <w:rPr>
          <w:lang w:val="fr-FR"/>
        </w:rPr>
        <w:t xml:space="preserve"> </w:t>
      </w:r>
      <w:r w:rsidRPr="00707B93">
        <w:rPr>
          <w:lang w:val="fr-FR"/>
        </w:rPr>
        <w:t xml:space="preserve">- </w:t>
      </w:r>
      <w:r w:rsidR="009535A7" w:rsidRPr="006E4F79">
        <w:rPr>
          <w:lang w:val="fr-FR"/>
        </w:rPr>
        <w:t>les éléments de toiture et de façade (toitures contenant de l'amiante, enduits bitumineux, isolants, éléments de structure, encadrements de fenêtres, etc.) ;</w:t>
      </w:r>
    </w:p>
    <w:p w14:paraId="3A8A0356" w14:textId="06C8648C" w:rsidR="009535A7" w:rsidRPr="006E4F79" w:rsidRDefault="008C4259" w:rsidP="00732B1E">
      <w:pPr>
        <w:ind w:left="1701"/>
        <w:jc w:val="both"/>
        <w:rPr>
          <w:lang w:val="fr-FR"/>
        </w:rPr>
      </w:pPr>
      <w:r>
        <w:rPr>
          <w:lang w:val="fr-FR"/>
        </w:rPr>
        <w:tab/>
      </w:r>
      <w:r w:rsidR="00341578">
        <w:rPr>
          <w:lang w:val="fr-FR"/>
        </w:rPr>
        <w:t xml:space="preserve"> - </w:t>
      </w:r>
      <w:r w:rsidR="009535A7" w:rsidRPr="006E4F79">
        <w:rPr>
          <w:lang w:val="fr-FR"/>
        </w:rPr>
        <w:t>éléments de plafonds ;</w:t>
      </w:r>
    </w:p>
    <w:p w14:paraId="5BAED2E2" w14:textId="184409E8" w:rsidR="009535A7" w:rsidRPr="006E4F79" w:rsidRDefault="008C4259" w:rsidP="00732B1E">
      <w:pPr>
        <w:ind w:left="1701"/>
        <w:jc w:val="both"/>
        <w:rPr>
          <w:lang w:val="fr-FR"/>
        </w:rPr>
      </w:pPr>
      <w:r>
        <w:rPr>
          <w:lang w:val="fr-FR"/>
        </w:rPr>
        <w:tab/>
      </w:r>
      <w:r w:rsidR="00341578">
        <w:rPr>
          <w:lang w:val="fr-FR"/>
        </w:rPr>
        <w:t xml:space="preserve"> - </w:t>
      </w:r>
      <w:r w:rsidR="009535A7" w:rsidRPr="006E4F79">
        <w:rPr>
          <w:lang w:val="fr-FR"/>
        </w:rPr>
        <w:t>planchers et parties de planchers ;</w:t>
      </w:r>
    </w:p>
    <w:p w14:paraId="5CDCFD5E" w14:textId="3AD63F59" w:rsidR="009535A7" w:rsidRPr="006E4F79" w:rsidRDefault="00341578" w:rsidP="00732B1E">
      <w:pPr>
        <w:ind w:left="1701"/>
        <w:jc w:val="both"/>
        <w:rPr>
          <w:lang w:val="fr-FR"/>
        </w:rPr>
      </w:pPr>
      <w:r>
        <w:rPr>
          <w:lang w:val="fr-FR"/>
        </w:rPr>
        <w:t xml:space="preserve"> - </w:t>
      </w:r>
      <w:r w:rsidR="009535A7" w:rsidRPr="006E4F79">
        <w:rPr>
          <w:lang w:val="fr-FR"/>
        </w:rPr>
        <w:t>éléments de tuyauterie (y compris vannes et raccords) ;</w:t>
      </w:r>
    </w:p>
    <w:p w14:paraId="24F0F41D" w14:textId="3616FA7C" w:rsidR="009535A7" w:rsidRPr="006E4F79" w:rsidRDefault="00341578" w:rsidP="00732B1E">
      <w:pPr>
        <w:ind w:left="1701"/>
        <w:jc w:val="both"/>
        <w:rPr>
          <w:lang w:val="fr-FR"/>
        </w:rPr>
      </w:pPr>
      <w:r>
        <w:rPr>
          <w:lang w:val="fr-FR"/>
        </w:rPr>
        <w:t xml:space="preserve"> - </w:t>
      </w:r>
      <w:r w:rsidR="009535A7" w:rsidRPr="006E4F79">
        <w:rPr>
          <w:lang w:val="fr-FR"/>
        </w:rPr>
        <w:t>tuyaux et conduits ;</w:t>
      </w:r>
    </w:p>
    <w:p w14:paraId="4AD1C4C4" w14:textId="47434555" w:rsidR="009535A7" w:rsidRPr="006E4F79" w:rsidRDefault="009F4E9D" w:rsidP="00732B1E">
      <w:pPr>
        <w:ind w:left="1701"/>
        <w:jc w:val="both"/>
        <w:rPr>
          <w:lang w:val="fr-FR"/>
        </w:rPr>
      </w:pPr>
      <w:r>
        <w:rPr>
          <w:lang w:val="fr-FR"/>
        </w:rPr>
        <w:tab/>
      </w:r>
      <w:r w:rsidR="00341578">
        <w:rPr>
          <w:lang w:val="fr-FR"/>
        </w:rPr>
        <w:t xml:space="preserve"> - </w:t>
      </w:r>
      <w:r w:rsidR="009535A7" w:rsidRPr="006E4F79">
        <w:rPr>
          <w:lang w:val="fr-FR"/>
        </w:rPr>
        <w:t>fragments de cloisons ;</w:t>
      </w:r>
    </w:p>
    <w:p w14:paraId="6C7670F0" w14:textId="33C053B4" w:rsidR="009535A7" w:rsidRDefault="009F4E9D" w:rsidP="00732B1E">
      <w:pPr>
        <w:ind w:left="1701"/>
        <w:jc w:val="both"/>
        <w:rPr>
          <w:lang w:val="fr-FR"/>
        </w:rPr>
      </w:pPr>
      <w:r>
        <w:rPr>
          <w:lang w:val="fr-FR"/>
        </w:rPr>
        <w:tab/>
      </w:r>
      <w:r w:rsidR="00341578">
        <w:rPr>
          <w:lang w:val="fr-FR"/>
        </w:rPr>
        <w:t xml:space="preserve"> - </w:t>
      </w:r>
      <w:r w:rsidR="009535A7" w:rsidRPr="006E4F79">
        <w:rPr>
          <w:lang w:val="fr-FR"/>
        </w:rPr>
        <w:t>fragments de dalles de béton.</w:t>
      </w:r>
    </w:p>
    <w:p w14:paraId="27B1F197" w14:textId="77777777" w:rsidR="001349B4" w:rsidRPr="006E4F79" w:rsidRDefault="001349B4" w:rsidP="00732B1E">
      <w:pPr>
        <w:ind w:left="1701"/>
        <w:jc w:val="both"/>
        <w:rPr>
          <w:lang w:val="fr-FR"/>
        </w:rPr>
      </w:pPr>
    </w:p>
    <w:p w14:paraId="16D789F2" w14:textId="2C075E75" w:rsidR="009535A7" w:rsidRPr="006E4F79" w:rsidRDefault="009535A7" w:rsidP="009F4E9D">
      <w:pPr>
        <w:pStyle w:val="SingleTxtG"/>
        <w:ind w:firstLine="567"/>
        <w:rPr>
          <w:b/>
          <w:lang w:val="fr-FR"/>
        </w:rPr>
      </w:pPr>
      <w:r w:rsidRPr="006E4F79">
        <w:rPr>
          <w:lang w:val="fr-FR"/>
        </w:rPr>
        <w:t>c)</w:t>
      </w:r>
      <w:r w:rsidR="007F1843">
        <w:rPr>
          <w:lang w:val="fr-FR"/>
        </w:rPr>
        <w:tab/>
      </w:r>
      <w:r w:rsidRPr="006E4F79">
        <w:rPr>
          <w:lang w:val="fr-FR"/>
        </w:rPr>
        <w:t>Les déchets visés par les présentes dispositions ne doivent pas être mélangés ou chargés avec d'autres déchets contenant de l'amiante et tout autre déchet dangereux ou non,</w:t>
      </w:r>
    </w:p>
    <w:p w14:paraId="65D3CBF9" w14:textId="01D4678B" w:rsidR="009535A7" w:rsidRDefault="009535A7" w:rsidP="009F4E9D">
      <w:pPr>
        <w:pStyle w:val="SingleTxtG"/>
        <w:ind w:firstLine="567"/>
        <w:rPr>
          <w:b/>
          <w:lang w:val="fr-FR"/>
        </w:rPr>
      </w:pPr>
      <w:r w:rsidRPr="006E4F79">
        <w:rPr>
          <w:lang w:val="fr-FR"/>
        </w:rPr>
        <w:t>d)</w:t>
      </w:r>
      <w:r w:rsidR="007F1843">
        <w:rPr>
          <w:lang w:val="fr-FR"/>
        </w:rPr>
        <w:tab/>
      </w:r>
      <w:r w:rsidRPr="006E4F79">
        <w:rPr>
          <w:lang w:val="fr-FR"/>
        </w:rPr>
        <w:t>Chaque transport est considéré comme un "chargement complet" au sens</w:t>
      </w:r>
      <w:r w:rsidR="008D1B69">
        <w:rPr>
          <w:lang w:val="fr-FR"/>
        </w:rPr>
        <w:t xml:space="preserve"> de la définition</w:t>
      </w:r>
      <w:r w:rsidRPr="006E4F79">
        <w:rPr>
          <w:lang w:val="fr-FR"/>
        </w:rPr>
        <w:t xml:space="preserve"> du 1.2.1.</w:t>
      </w:r>
      <w:r>
        <w:rPr>
          <w:lang w:val="fr-FR"/>
        </w:rPr>
        <w:t> »</w:t>
      </w:r>
    </w:p>
    <w:p w14:paraId="0944FF1B" w14:textId="5DF89CDC" w:rsidR="009535A7" w:rsidRDefault="00AF31C3" w:rsidP="00AF31C3">
      <w:pPr>
        <w:pStyle w:val="H23G"/>
        <w:rPr>
          <w:lang w:val="fr-FR"/>
        </w:rPr>
      </w:pPr>
      <w:r>
        <w:rPr>
          <w:lang w:val="fr-FR"/>
        </w:rPr>
        <w:tab/>
      </w:r>
      <w:r>
        <w:rPr>
          <w:lang w:val="fr-FR"/>
        </w:rPr>
        <w:tab/>
      </w:r>
      <w:r w:rsidR="008750B4">
        <w:rPr>
          <w:lang w:val="fr-FR"/>
        </w:rPr>
        <w:tab/>
      </w:r>
      <w:r w:rsidR="008750B4">
        <w:rPr>
          <w:lang w:val="fr-FR"/>
        </w:rPr>
        <w:tab/>
        <w:t>Option</w:t>
      </w:r>
      <w:r w:rsidR="008750B4" w:rsidRPr="00D0759D">
        <w:rPr>
          <w:lang w:val="fr-FR"/>
        </w:rPr>
        <w:t xml:space="preserve"> </w:t>
      </w:r>
      <w:r w:rsidR="009535A7" w:rsidRPr="00D0759D">
        <w:rPr>
          <w:lang w:val="fr-FR"/>
        </w:rPr>
        <w:t>2</w:t>
      </w:r>
      <w:r w:rsidR="009535A7">
        <w:rPr>
          <w:lang w:val="fr-FR"/>
        </w:rPr>
        <w:t>B</w:t>
      </w:r>
    </w:p>
    <w:p w14:paraId="62EB33BA" w14:textId="0F638DD7" w:rsidR="009535A7" w:rsidRDefault="007F1843" w:rsidP="007F1843">
      <w:pPr>
        <w:pStyle w:val="SingleTxtG"/>
        <w:rPr>
          <w:lang w:val="fr-FR"/>
        </w:rPr>
      </w:pPr>
      <w:r>
        <w:rPr>
          <w:lang w:val="fr-FR"/>
        </w:rPr>
        <w:t>8.</w:t>
      </w:r>
      <w:r>
        <w:rPr>
          <w:lang w:val="fr-FR"/>
        </w:rPr>
        <w:tab/>
      </w:r>
      <w:r w:rsidR="009535A7">
        <w:rPr>
          <w:lang w:val="fr-FR"/>
        </w:rPr>
        <w:t>Au chapitre 3.3 : ajouter la nouvelle disposition spéciale suivante :</w:t>
      </w:r>
    </w:p>
    <w:p w14:paraId="63C92A1F" w14:textId="0893F06D" w:rsidR="009535A7" w:rsidRDefault="009535A7" w:rsidP="007F1843">
      <w:pPr>
        <w:pStyle w:val="SingleTxtG"/>
        <w:rPr>
          <w:lang w:val="fr-FR"/>
        </w:rPr>
      </w:pPr>
      <w:r>
        <w:rPr>
          <w:lang w:val="fr-FR"/>
        </w:rPr>
        <w:t>« </w:t>
      </w:r>
      <w:r w:rsidRPr="00946D2E">
        <w:rPr>
          <w:lang w:val="fr-FR"/>
        </w:rPr>
        <w:t xml:space="preserve">xxx : Les </w:t>
      </w:r>
      <w:r w:rsidR="00815AE2">
        <w:rPr>
          <w:lang w:val="fr-FR"/>
        </w:rPr>
        <w:t>déchets constitués d'</w:t>
      </w:r>
      <w:r w:rsidRPr="00946D2E">
        <w:rPr>
          <w:lang w:val="fr-FR"/>
        </w:rPr>
        <w:t xml:space="preserve">objets et matériaux contaminés par de l'amiante libre (Nos ONU 2212 et 2590 non fixés ou immergés dans un liant de telle sorte qu'aucune </w:t>
      </w:r>
      <w:r>
        <w:rPr>
          <w:lang w:val="fr-FR"/>
        </w:rPr>
        <w:t>émission</w:t>
      </w:r>
      <w:r w:rsidRPr="00946D2E">
        <w:rPr>
          <w:lang w:val="fr-FR"/>
        </w:rPr>
        <w:t xml:space="preserve"> de quantités dangereuses d'amiante respirable ne puisse se produire) peuvent être transportés en vertu des dispositions du chapitre 7.3 à condition que les dispositions suivantes so</w:t>
      </w:r>
      <w:r>
        <w:rPr>
          <w:lang w:val="fr-FR"/>
        </w:rPr>
        <w:t>ient</w:t>
      </w:r>
      <w:r w:rsidRPr="00946D2E">
        <w:rPr>
          <w:lang w:val="fr-FR"/>
        </w:rPr>
        <w:t xml:space="preserve"> respectées :</w:t>
      </w:r>
    </w:p>
    <w:p w14:paraId="3E33BD5B" w14:textId="025B2F2D" w:rsidR="009535A7" w:rsidRDefault="009535A7" w:rsidP="00C6191E">
      <w:pPr>
        <w:pStyle w:val="SingleTxtG"/>
        <w:rPr>
          <w:lang w:val="fr-FR"/>
        </w:rPr>
      </w:pPr>
      <w:r w:rsidRPr="00946D2E">
        <w:rPr>
          <w:lang w:val="fr-FR"/>
        </w:rPr>
        <w:lastRenderedPageBreak/>
        <w:t>a)</w:t>
      </w:r>
      <w:r w:rsidR="007F1843">
        <w:rPr>
          <w:lang w:val="fr-FR"/>
        </w:rPr>
        <w:tab/>
      </w:r>
      <w:r w:rsidRPr="00946D2E">
        <w:rPr>
          <w:lang w:val="fr-FR"/>
        </w:rPr>
        <w:t>Les déchets sont transportés uniquement du site où ces déchets sont générés vers une installation d'élimination définitive. Seules les opérations de stockage intermédiaire, réalisées sans déchargement ni transfert de l'enceinte de confinement, entre ces deux types de sites sont autorisées</w:t>
      </w:r>
      <w:r w:rsidR="00BA25D7">
        <w:rPr>
          <w:lang w:val="fr-FR"/>
        </w:rPr>
        <w:t> ;</w:t>
      </w:r>
    </w:p>
    <w:p w14:paraId="6ED774CB" w14:textId="71C3AF31" w:rsidR="009535A7" w:rsidRDefault="009535A7" w:rsidP="00C6191E">
      <w:pPr>
        <w:pStyle w:val="SingleTxtG"/>
        <w:rPr>
          <w:lang w:val="fr-FR"/>
        </w:rPr>
      </w:pPr>
      <w:r w:rsidRPr="00946D2E">
        <w:rPr>
          <w:lang w:val="fr-FR"/>
        </w:rPr>
        <w:t>b)</w:t>
      </w:r>
      <w:r w:rsidR="007F1843">
        <w:rPr>
          <w:lang w:val="fr-FR"/>
        </w:rPr>
        <w:tab/>
      </w:r>
      <w:r w:rsidRPr="00946D2E">
        <w:rPr>
          <w:lang w:val="fr-FR"/>
        </w:rPr>
        <w:t>Les déchets appartiennent à l'une de ces catégories :</w:t>
      </w:r>
    </w:p>
    <w:p w14:paraId="5AA87BDE" w14:textId="32AED8FF" w:rsidR="009535A7" w:rsidRDefault="00815AE2" w:rsidP="007F1843">
      <w:pPr>
        <w:pStyle w:val="SingleTxtG"/>
        <w:ind w:left="1701"/>
        <w:rPr>
          <w:lang w:val="fr-FR"/>
        </w:rPr>
      </w:pPr>
      <w:r>
        <w:rPr>
          <w:lang w:val="fr-FR"/>
        </w:rPr>
        <w:t>(</w:t>
      </w:r>
      <w:r w:rsidR="009535A7" w:rsidRPr="00946D2E">
        <w:rPr>
          <w:lang w:val="fr-FR"/>
        </w:rPr>
        <w:t>i)</w:t>
      </w:r>
      <w:r w:rsidR="007F1843">
        <w:rPr>
          <w:lang w:val="fr-FR"/>
        </w:rPr>
        <w:tab/>
      </w:r>
      <w:r w:rsidR="009535A7" w:rsidRPr="00946D2E">
        <w:rPr>
          <w:lang w:val="fr-FR"/>
        </w:rPr>
        <w:t xml:space="preserve">Les déchets solides </w:t>
      </w:r>
      <w:r w:rsidR="009535A7">
        <w:rPr>
          <w:lang w:val="fr-FR"/>
        </w:rPr>
        <w:t>issus de</w:t>
      </w:r>
      <w:r w:rsidR="009535A7" w:rsidRPr="00946D2E">
        <w:rPr>
          <w:lang w:val="fr-FR"/>
        </w:rPr>
        <w:t xml:space="preserve"> travaux </w:t>
      </w:r>
      <w:r w:rsidR="009535A7">
        <w:rPr>
          <w:lang w:val="fr-FR"/>
        </w:rPr>
        <w:t>de voirie</w:t>
      </w:r>
      <w:r w:rsidR="009535A7" w:rsidRPr="00946D2E">
        <w:rPr>
          <w:lang w:val="fr-FR"/>
        </w:rPr>
        <w:t xml:space="preserve">, y compris les </w:t>
      </w:r>
      <w:proofErr w:type="spellStart"/>
      <w:r w:rsidR="009535A7">
        <w:rPr>
          <w:lang w:val="fr-FR"/>
        </w:rPr>
        <w:t>fraisâts</w:t>
      </w:r>
      <w:proofErr w:type="spellEnd"/>
      <w:r w:rsidR="009535A7">
        <w:rPr>
          <w:lang w:val="fr-FR"/>
        </w:rPr>
        <w:t xml:space="preserve"> d’enrobés</w:t>
      </w:r>
      <w:r w:rsidR="009535A7" w:rsidRPr="00946D2E">
        <w:rPr>
          <w:lang w:val="fr-FR"/>
        </w:rPr>
        <w:t xml:space="preserve"> contaminés par l'amiante libre ainsi que leurs résidus de balayage ;</w:t>
      </w:r>
    </w:p>
    <w:p w14:paraId="2A0CFED7" w14:textId="78C76C73" w:rsidR="009535A7" w:rsidRDefault="00815AE2" w:rsidP="007F1843">
      <w:pPr>
        <w:pStyle w:val="SingleTxtG"/>
        <w:ind w:left="1701"/>
        <w:rPr>
          <w:lang w:val="fr-FR"/>
        </w:rPr>
      </w:pPr>
      <w:r>
        <w:rPr>
          <w:lang w:val="fr-FR"/>
        </w:rPr>
        <w:t>(</w:t>
      </w:r>
      <w:r w:rsidR="009535A7" w:rsidRPr="00946D2E">
        <w:rPr>
          <w:lang w:val="fr-FR"/>
        </w:rPr>
        <w:t>ii)</w:t>
      </w:r>
      <w:r w:rsidR="007F1843">
        <w:rPr>
          <w:lang w:val="fr-FR"/>
        </w:rPr>
        <w:tab/>
      </w:r>
      <w:r w:rsidR="009535A7">
        <w:rPr>
          <w:lang w:val="fr-FR"/>
        </w:rPr>
        <w:t>Les terres</w:t>
      </w:r>
      <w:r w:rsidR="009535A7" w:rsidRPr="00946D2E">
        <w:rPr>
          <w:lang w:val="fr-FR"/>
        </w:rPr>
        <w:t xml:space="preserve"> contaminé</w:t>
      </w:r>
      <w:r w:rsidR="009535A7">
        <w:rPr>
          <w:lang w:val="fr-FR"/>
        </w:rPr>
        <w:t>es</w:t>
      </w:r>
      <w:r w:rsidR="009535A7" w:rsidRPr="00946D2E">
        <w:rPr>
          <w:lang w:val="fr-FR"/>
        </w:rPr>
        <w:t xml:space="preserve"> par de l'amiante libre ;</w:t>
      </w:r>
    </w:p>
    <w:p w14:paraId="48A77265" w14:textId="6474D504" w:rsidR="009535A7" w:rsidRDefault="00780BFF" w:rsidP="007F1843">
      <w:pPr>
        <w:pStyle w:val="SingleTxtG"/>
        <w:ind w:left="1701"/>
        <w:rPr>
          <w:lang w:val="fr-FR"/>
        </w:rPr>
      </w:pPr>
      <w:r>
        <w:rPr>
          <w:lang w:val="fr-FR"/>
        </w:rPr>
        <w:t>(</w:t>
      </w:r>
      <w:r w:rsidR="009535A7" w:rsidRPr="00946D2E">
        <w:rPr>
          <w:lang w:val="fr-FR"/>
        </w:rPr>
        <w:t>iii)</w:t>
      </w:r>
      <w:r w:rsidR="007F1843">
        <w:rPr>
          <w:lang w:val="fr-FR"/>
        </w:rPr>
        <w:tab/>
      </w:r>
      <w:r w:rsidR="009535A7" w:rsidRPr="00946D2E">
        <w:rPr>
          <w:lang w:val="fr-FR"/>
        </w:rPr>
        <w:t xml:space="preserve">Objets (par exemple, meubles) contaminés par de l'amiante libre provenant de structures ou de bâtiments </w:t>
      </w:r>
      <w:r w:rsidR="009535A7">
        <w:rPr>
          <w:lang w:val="fr-FR"/>
        </w:rPr>
        <w:t>sinistrés</w:t>
      </w:r>
      <w:r w:rsidR="009535A7" w:rsidRPr="00946D2E">
        <w:rPr>
          <w:lang w:val="fr-FR"/>
        </w:rPr>
        <w:t> ;</w:t>
      </w:r>
    </w:p>
    <w:p w14:paraId="572AA07D" w14:textId="711CE3F3" w:rsidR="009535A7" w:rsidRDefault="00780BFF" w:rsidP="007F1843">
      <w:pPr>
        <w:pStyle w:val="SingleTxtG"/>
        <w:ind w:left="1701"/>
        <w:rPr>
          <w:lang w:val="fr-FR"/>
        </w:rPr>
      </w:pPr>
      <w:r>
        <w:rPr>
          <w:lang w:val="fr-FR"/>
        </w:rPr>
        <w:t>(</w:t>
      </w:r>
      <w:r w:rsidR="009535A7" w:rsidRPr="00946D2E">
        <w:rPr>
          <w:lang w:val="fr-FR"/>
        </w:rPr>
        <w:t>iv)</w:t>
      </w:r>
      <w:r w:rsidR="007F1843">
        <w:rPr>
          <w:lang w:val="fr-FR"/>
        </w:rPr>
        <w:tab/>
      </w:r>
      <w:r w:rsidR="009535A7" w:rsidRPr="00946D2E">
        <w:rPr>
          <w:lang w:val="fr-FR"/>
        </w:rPr>
        <w:t xml:space="preserve">Matériaux provenant de </w:t>
      </w:r>
      <w:r w:rsidR="009535A7">
        <w:rPr>
          <w:lang w:val="fr-FR"/>
        </w:rPr>
        <w:t>d’ouvrages ou d’immeubles sinistrés</w:t>
      </w:r>
      <w:r w:rsidR="009535A7" w:rsidRPr="00946D2E">
        <w:rPr>
          <w:lang w:val="fr-FR"/>
        </w:rPr>
        <w:t xml:space="preserve"> contaminés par de l'amiante libre qui ne peuvent, en raison de leur volume ou de leur masse, être emballés conformément à l'instruction d'emballage applicable au numéro ONU utilisé (ONU 2212 ou ONU 2590, selon le cas);</w:t>
      </w:r>
    </w:p>
    <w:p w14:paraId="195BB21B" w14:textId="7C61D7E3" w:rsidR="009535A7" w:rsidRPr="007F1843" w:rsidRDefault="009535A7" w:rsidP="007F1843">
      <w:pPr>
        <w:pStyle w:val="SingleTxtG"/>
        <w:ind w:left="1701"/>
        <w:rPr>
          <w:strike/>
          <w:lang w:val="fr-FR"/>
        </w:rPr>
      </w:pPr>
      <w:r w:rsidRPr="006E4F79">
        <w:rPr>
          <w:lang w:val="fr-FR"/>
        </w:rPr>
        <w:tab/>
      </w:r>
      <w:r w:rsidR="00780BFF">
        <w:rPr>
          <w:lang w:val="fr-FR"/>
        </w:rPr>
        <w:t>(</w:t>
      </w:r>
      <w:r w:rsidRPr="006E4F79">
        <w:rPr>
          <w:lang w:val="fr-FR"/>
        </w:rPr>
        <w:t>v)</w:t>
      </w:r>
      <w:r w:rsidR="007F1843">
        <w:rPr>
          <w:lang w:val="fr-FR"/>
        </w:rPr>
        <w:tab/>
      </w:r>
      <w:r w:rsidRPr="006E4F79">
        <w:rPr>
          <w:lang w:val="fr-FR"/>
        </w:rPr>
        <w:t xml:space="preserve">Déchets de chantier contaminés par de l'amiante libre provenant </w:t>
      </w:r>
      <w:r>
        <w:rPr>
          <w:lang w:val="fr-FR"/>
        </w:rPr>
        <w:t>d’ouvrages ou d’immeubles sinistrés dans le cadre de leur démolition</w:t>
      </w:r>
      <w:r w:rsidRPr="006E4F79">
        <w:rPr>
          <w:lang w:val="fr-FR"/>
        </w:rPr>
        <w:t xml:space="preserve"> ou de leur réhabilitation, qui ne peuvent, en raison de leur taille ou de leur masse, être emballés conformément à l'instruction d'emballage applicable au numéro ONU utilisé (ONU 2212 ou ONU 2590, selon le cas)</w:t>
      </w:r>
      <w:r>
        <w:rPr>
          <w:lang w:val="fr-FR"/>
        </w:rPr>
        <w:t>.</w:t>
      </w:r>
      <w:r w:rsidRPr="006E4F79">
        <w:rPr>
          <w:lang w:val="fr-FR"/>
        </w:rPr>
        <w:t xml:space="preserve"> </w:t>
      </w:r>
      <w:r w:rsidRPr="007F1843">
        <w:rPr>
          <w:strike/>
          <w:lang w:val="fr-FR"/>
        </w:rPr>
        <w:t>Ces déchets contaminés par l'amiante ne doivent appartenir qu'aux catégories suivantes :</w:t>
      </w:r>
    </w:p>
    <w:p w14:paraId="6DCC6F5A" w14:textId="77777777" w:rsidR="009535A7" w:rsidRPr="003D4D62" w:rsidRDefault="009535A7" w:rsidP="00434DBF">
      <w:pPr>
        <w:pStyle w:val="SingleTxtG"/>
        <w:ind w:left="1701"/>
        <w:rPr>
          <w:strike/>
          <w:lang w:val="fr-FR"/>
        </w:rPr>
      </w:pPr>
      <w:r w:rsidRPr="003D4D62">
        <w:rPr>
          <w:strike/>
          <w:lang w:val="fr-FR"/>
        </w:rPr>
        <w:t xml:space="preserve"> - les éléments de toiture et de façade (toitures contenant de l'amiante, enduits bitumineux, isolants, éléments de structure, encadrements de fenêtres, etc.) ;</w:t>
      </w:r>
    </w:p>
    <w:p w14:paraId="56D8BCB7" w14:textId="77777777" w:rsidR="009535A7" w:rsidRPr="003D4D62" w:rsidRDefault="009535A7" w:rsidP="00434DBF">
      <w:pPr>
        <w:pStyle w:val="SingleTxtG"/>
        <w:ind w:left="1701"/>
        <w:rPr>
          <w:strike/>
          <w:lang w:val="fr-FR"/>
        </w:rPr>
      </w:pPr>
      <w:r w:rsidRPr="003D4D62">
        <w:rPr>
          <w:strike/>
          <w:lang w:val="fr-FR"/>
        </w:rPr>
        <w:t xml:space="preserve"> - éléments de plafonds ;</w:t>
      </w:r>
    </w:p>
    <w:p w14:paraId="53CC9D68" w14:textId="77777777" w:rsidR="009535A7" w:rsidRPr="003D4D62" w:rsidRDefault="009535A7" w:rsidP="00434DBF">
      <w:pPr>
        <w:pStyle w:val="SingleTxtG"/>
        <w:ind w:left="1701"/>
        <w:rPr>
          <w:strike/>
          <w:lang w:val="fr-FR"/>
        </w:rPr>
      </w:pPr>
      <w:r w:rsidRPr="003D4D62">
        <w:rPr>
          <w:strike/>
          <w:lang w:val="fr-FR"/>
        </w:rPr>
        <w:t xml:space="preserve"> - planchers et parties de planchers ;</w:t>
      </w:r>
    </w:p>
    <w:p w14:paraId="6BBF9251" w14:textId="77777777" w:rsidR="009535A7" w:rsidRPr="003D4D62" w:rsidRDefault="009535A7" w:rsidP="00434DBF">
      <w:pPr>
        <w:pStyle w:val="SingleTxtG"/>
        <w:ind w:left="1701"/>
        <w:rPr>
          <w:strike/>
          <w:lang w:val="fr-FR"/>
        </w:rPr>
      </w:pPr>
      <w:r w:rsidRPr="003D4D62">
        <w:rPr>
          <w:strike/>
          <w:lang w:val="fr-FR"/>
        </w:rPr>
        <w:t xml:space="preserve"> - éléments de tuyauterie (y compris vannes et raccords) ;</w:t>
      </w:r>
    </w:p>
    <w:p w14:paraId="2F5D3113" w14:textId="77777777" w:rsidR="009535A7" w:rsidRPr="003D4D62" w:rsidRDefault="009535A7" w:rsidP="00434DBF">
      <w:pPr>
        <w:pStyle w:val="SingleTxtG"/>
        <w:ind w:left="1701"/>
        <w:rPr>
          <w:strike/>
          <w:lang w:val="fr-FR"/>
        </w:rPr>
      </w:pPr>
      <w:r w:rsidRPr="003D4D62">
        <w:rPr>
          <w:strike/>
          <w:lang w:val="fr-FR"/>
        </w:rPr>
        <w:t xml:space="preserve"> - tuyaux et conduits ;</w:t>
      </w:r>
    </w:p>
    <w:p w14:paraId="2530854A" w14:textId="77777777" w:rsidR="009535A7" w:rsidRPr="003D4D62" w:rsidRDefault="009535A7" w:rsidP="00434DBF">
      <w:pPr>
        <w:pStyle w:val="SingleTxtG"/>
        <w:ind w:left="1701"/>
        <w:rPr>
          <w:strike/>
          <w:lang w:val="fr-FR"/>
        </w:rPr>
      </w:pPr>
      <w:r w:rsidRPr="003D4D62">
        <w:rPr>
          <w:strike/>
          <w:lang w:val="fr-FR"/>
        </w:rPr>
        <w:t xml:space="preserve"> - fragments de cloisons ;</w:t>
      </w:r>
    </w:p>
    <w:p w14:paraId="51762420" w14:textId="77777777" w:rsidR="009535A7" w:rsidRPr="003D4D62" w:rsidRDefault="009535A7" w:rsidP="00434DBF">
      <w:pPr>
        <w:pStyle w:val="SingleTxtG"/>
        <w:ind w:left="1701"/>
        <w:rPr>
          <w:strike/>
          <w:lang w:val="fr-FR"/>
        </w:rPr>
      </w:pPr>
      <w:r w:rsidRPr="003D4D62">
        <w:rPr>
          <w:strike/>
          <w:lang w:val="fr-FR"/>
        </w:rPr>
        <w:t xml:space="preserve"> - fragments de dalles de béton.</w:t>
      </w:r>
    </w:p>
    <w:p w14:paraId="3C54BAF7" w14:textId="778943D1" w:rsidR="009535A7" w:rsidRPr="006E4F79" w:rsidRDefault="009535A7" w:rsidP="00C6191E">
      <w:pPr>
        <w:pStyle w:val="SingleTxtG"/>
        <w:rPr>
          <w:b/>
          <w:lang w:val="fr-FR"/>
        </w:rPr>
      </w:pPr>
      <w:r w:rsidRPr="006E4F79">
        <w:rPr>
          <w:lang w:val="fr-FR"/>
        </w:rPr>
        <w:t>c)</w:t>
      </w:r>
      <w:r w:rsidR="00341578">
        <w:rPr>
          <w:lang w:val="fr-FR"/>
        </w:rPr>
        <w:tab/>
      </w:r>
      <w:r w:rsidRPr="006E4F79">
        <w:rPr>
          <w:lang w:val="fr-FR"/>
        </w:rPr>
        <w:t>Les déchets visés par les présentes dispositions ne doivent pas être mélangés ou chargés avec d'autres déchets contenant de l'amiante et tout autre déchet dangereux ou non,</w:t>
      </w:r>
    </w:p>
    <w:p w14:paraId="19955952" w14:textId="73540FE3" w:rsidR="009535A7" w:rsidRPr="006E4F79" w:rsidRDefault="009535A7" w:rsidP="00C6191E">
      <w:pPr>
        <w:pStyle w:val="SingleTxtG"/>
        <w:rPr>
          <w:b/>
          <w:lang w:val="fr-FR"/>
        </w:rPr>
      </w:pPr>
      <w:r w:rsidRPr="006E4F79">
        <w:rPr>
          <w:lang w:val="fr-FR"/>
        </w:rPr>
        <w:t>d)</w:t>
      </w:r>
      <w:r w:rsidR="00341578">
        <w:rPr>
          <w:lang w:val="fr-FR"/>
        </w:rPr>
        <w:tab/>
      </w:r>
      <w:r w:rsidRPr="006E4F79">
        <w:rPr>
          <w:lang w:val="fr-FR"/>
        </w:rPr>
        <w:t xml:space="preserve">Chaque transport est considéré comme un "chargement complet" au sens </w:t>
      </w:r>
      <w:r w:rsidR="00150B71">
        <w:rPr>
          <w:lang w:val="fr-FR"/>
        </w:rPr>
        <w:t xml:space="preserve">de la définition </w:t>
      </w:r>
      <w:r w:rsidRPr="006E4F79">
        <w:rPr>
          <w:lang w:val="fr-FR"/>
        </w:rPr>
        <w:t>du 1.2.1.</w:t>
      </w:r>
      <w:r>
        <w:rPr>
          <w:lang w:val="fr-FR"/>
        </w:rPr>
        <w:t> »</w:t>
      </w:r>
    </w:p>
    <w:p w14:paraId="67C516FA" w14:textId="0B2FD40A" w:rsidR="009535A7" w:rsidRDefault="00434DBF" w:rsidP="00434DBF">
      <w:pPr>
        <w:pStyle w:val="H1G"/>
        <w:rPr>
          <w:lang w:val="fr-FR"/>
        </w:rPr>
      </w:pPr>
      <w:r>
        <w:rPr>
          <w:lang w:val="fr-FR"/>
        </w:rPr>
        <w:tab/>
      </w:r>
      <w:r>
        <w:rPr>
          <w:lang w:val="fr-FR"/>
        </w:rPr>
        <w:tab/>
      </w:r>
      <w:r w:rsidR="009535A7" w:rsidRPr="005F2BFF">
        <w:rPr>
          <w:lang w:val="fr-FR"/>
        </w:rPr>
        <w:t xml:space="preserve">Proposition </w:t>
      </w:r>
      <w:r w:rsidR="009535A7">
        <w:rPr>
          <w:lang w:val="fr-FR"/>
        </w:rPr>
        <w:t>3</w:t>
      </w:r>
    </w:p>
    <w:p w14:paraId="5DDE464D" w14:textId="41D89F2F" w:rsidR="009535A7" w:rsidRDefault="00434DBF" w:rsidP="00434DBF">
      <w:pPr>
        <w:pStyle w:val="SingleTxtG"/>
        <w:rPr>
          <w:lang w:val="fr-FR"/>
        </w:rPr>
      </w:pPr>
      <w:r>
        <w:rPr>
          <w:lang w:val="fr-FR"/>
        </w:rPr>
        <w:t>9.</w:t>
      </w:r>
      <w:r>
        <w:rPr>
          <w:lang w:val="fr-FR"/>
        </w:rPr>
        <w:tab/>
      </w:r>
      <w:r w:rsidR="009535A7">
        <w:rPr>
          <w:lang w:val="fr-FR"/>
        </w:rPr>
        <w:t>Ajouter le paragraphe suivant au chapitre 5.4 :</w:t>
      </w:r>
    </w:p>
    <w:p w14:paraId="19D89FA2" w14:textId="77777777" w:rsidR="009535A7" w:rsidRPr="001B7735" w:rsidRDefault="009535A7" w:rsidP="00434DBF">
      <w:pPr>
        <w:pStyle w:val="SingleTxtG"/>
        <w:rPr>
          <w:lang w:val="fr-FR"/>
        </w:rPr>
      </w:pPr>
      <w:r w:rsidRPr="001B7735">
        <w:rPr>
          <w:lang w:val="fr-FR"/>
        </w:rPr>
        <w:t>« 5.4.1.1.4 : Dispositions particulières pour les déchets contaminés par de l'amiante libre (Nos ONU 2212 et 2590) visés à la disposition spéciale xxx</w:t>
      </w:r>
    </w:p>
    <w:p w14:paraId="2670C439" w14:textId="3DA73D79" w:rsidR="009535A7" w:rsidRPr="001B7735" w:rsidRDefault="009535A7" w:rsidP="00434DBF">
      <w:pPr>
        <w:pStyle w:val="SingleTxtG"/>
        <w:rPr>
          <w:lang w:val="fr-FR"/>
        </w:rPr>
      </w:pPr>
      <w:r w:rsidRPr="001B7735">
        <w:rPr>
          <w:lang w:val="fr-FR"/>
        </w:rPr>
        <w:t>Lorsque la disposition spéciale xxx est appliquée, le document de transport doit porter la mention « Transport selon la disposition spéciale xxx ».</w:t>
      </w:r>
    </w:p>
    <w:p w14:paraId="4F24854A" w14:textId="76157F89" w:rsidR="009535A7" w:rsidRPr="001B7735" w:rsidRDefault="009535A7" w:rsidP="00434DBF">
      <w:pPr>
        <w:pStyle w:val="SingleTxtG"/>
        <w:rPr>
          <w:lang w:val="fr-FR"/>
        </w:rPr>
      </w:pPr>
      <w:r w:rsidRPr="001B7735">
        <w:rPr>
          <w:lang w:val="fr-FR"/>
        </w:rPr>
        <w:t xml:space="preserve">La description des déchets transportés conformément aux </w:t>
      </w:r>
      <w:r w:rsidR="00DC1199">
        <w:rPr>
          <w:lang w:val="fr-FR"/>
        </w:rPr>
        <w:t>paragraphes</w:t>
      </w:r>
      <w:r w:rsidRPr="001B7735">
        <w:rPr>
          <w:lang w:val="fr-FR"/>
        </w:rPr>
        <w:t xml:space="preserve"> b) i), ii), iii), iv) et v) </w:t>
      </w:r>
      <w:r w:rsidR="006254E4">
        <w:rPr>
          <w:lang w:val="fr-FR"/>
        </w:rPr>
        <w:t>de la disposition spéciale</w:t>
      </w:r>
      <w:r w:rsidR="006254E4" w:rsidRPr="001B7735">
        <w:rPr>
          <w:lang w:val="fr-FR"/>
        </w:rPr>
        <w:t xml:space="preserve"> </w:t>
      </w:r>
      <w:r w:rsidR="006254E4">
        <w:rPr>
          <w:lang w:val="fr-FR"/>
        </w:rPr>
        <w:t xml:space="preserve">xxx </w:t>
      </w:r>
      <w:r w:rsidRPr="001B7735">
        <w:rPr>
          <w:lang w:val="fr-FR"/>
        </w:rPr>
        <w:t xml:space="preserve">doit être ajoutée à la description des marchandises dangereuses exigée au 5.4.1.1.1 a) à d) et </w:t>
      </w:r>
      <w:r w:rsidR="00BB7E2D">
        <w:rPr>
          <w:lang w:val="fr-FR"/>
        </w:rPr>
        <w:t>j)/</w:t>
      </w:r>
      <w:r w:rsidRPr="001B7735">
        <w:rPr>
          <w:lang w:val="fr-FR"/>
        </w:rPr>
        <w:t>k). Le document de transport doit également être accompagné des documents suivants :</w:t>
      </w:r>
    </w:p>
    <w:p w14:paraId="471A45C5" w14:textId="189DAF53" w:rsidR="009535A7" w:rsidRPr="001B7735" w:rsidRDefault="009535A7" w:rsidP="00434DBF">
      <w:pPr>
        <w:pStyle w:val="SingleTxtG"/>
        <w:ind w:firstLine="567"/>
        <w:rPr>
          <w:lang w:val="fr-FR"/>
        </w:rPr>
      </w:pPr>
      <w:r w:rsidRPr="001B7735">
        <w:rPr>
          <w:lang w:val="fr-FR"/>
        </w:rPr>
        <w:t>a)</w:t>
      </w:r>
      <w:r w:rsidR="00FA5A60">
        <w:rPr>
          <w:lang w:val="fr-FR"/>
        </w:rPr>
        <w:tab/>
      </w:r>
      <w:r w:rsidRPr="001B7735">
        <w:rPr>
          <w:lang w:val="fr-FR"/>
        </w:rPr>
        <w:t xml:space="preserve">une copie de la fiche </w:t>
      </w:r>
      <w:r>
        <w:rPr>
          <w:lang w:val="fr-FR"/>
        </w:rPr>
        <w:t>technique</w:t>
      </w:r>
      <w:r w:rsidRPr="001B7735">
        <w:rPr>
          <w:lang w:val="fr-FR"/>
        </w:rPr>
        <w:t xml:space="preserve"> du type de conteneur</w:t>
      </w:r>
      <w:r>
        <w:rPr>
          <w:lang w:val="fr-FR"/>
        </w:rPr>
        <w:t>-bag</w:t>
      </w:r>
      <w:r w:rsidRPr="001B7735">
        <w:rPr>
          <w:lang w:val="fr-FR"/>
        </w:rPr>
        <w:t xml:space="preserve"> utilisé, à en-tête du fabricant ou du distributeur des conteneurs</w:t>
      </w:r>
      <w:r>
        <w:rPr>
          <w:lang w:val="fr-FR"/>
        </w:rPr>
        <w:t>-bag</w:t>
      </w:r>
      <w:r w:rsidRPr="001B7735">
        <w:rPr>
          <w:lang w:val="fr-FR"/>
        </w:rPr>
        <w:t>, mentionnant les dimensions de cet emballage et sa contenance maximale en masse;</w:t>
      </w:r>
    </w:p>
    <w:p w14:paraId="55F360E5" w14:textId="051C4E25" w:rsidR="009535A7" w:rsidRDefault="009535A7" w:rsidP="00434DBF">
      <w:pPr>
        <w:pStyle w:val="SingleTxtG"/>
        <w:ind w:firstLine="567"/>
        <w:rPr>
          <w:lang w:val="fr-FR"/>
        </w:rPr>
      </w:pPr>
      <w:r w:rsidRPr="001B7735">
        <w:rPr>
          <w:lang w:val="fr-FR"/>
        </w:rPr>
        <w:lastRenderedPageBreak/>
        <w:t>b)</w:t>
      </w:r>
      <w:r w:rsidR="00FA5A60">
        <w:rPr>
          <w:lang w:val="fr-FR"/>
        </w:rPr>
        <w:tab/>
      </w:r>
      <w:r w:rsidRPr="001B7735">
        <w:rPr>
          <w:lang w:val="fr-FR"/>
        </w:rPr>
        <w:t xml:space="preserve">une copie de la procédure de déchargement conforme </w:t>
      </w:r>
      <w:r>
        <w:rPr>
          <w:lang w:val="fr-FR"/>
        </w:rPr>
        <w:t>à la disposition</w:t>
      </w:r>
      <w:r w:rsidRPr="001B7735">
        <w:rPr>
          <w:lang w:val="fr-FR"/>
        </w:rPr>
        <w:t xml:space="preserve"> </w:t>
      </w:r>
      <w:r w:rsidR="004B5507">
        <w:rPr>
          <w:lang w:val="fr-FR"/>
        </w:rPr>
        <w:t xml:space="preserve">spéciale </w:t>
      </w:r>
      <w:proofErr w:type="spellStart"/>
      <w:r w:rsidR="004B5507">
        <w:rPr>
          <w:lang w:val="fr-FR"/>
        </w:rPr>
        <w:t>CWxx</w:t>
      </w:r>
      <w:proofErr w:type="spellEnd"/>
      <w:r w:rsidR="00402903">
        <w:rPr>
          <w:lang w:val="fr-FR"/>
        </w:rPr>
        <w:t>/</w:t>
      </w:r>
      <w:proofErr w:type="spellStart"/>
      <w:r w:rsidRPr="001B7735">
        <w:rPr>
          <w:lang w:val="fr-FR"/>
        </w:rPr>
        <w:t>CVxx</w:t>
      </w:r>
      <w:proofErr w:type="spellEnd"/>
      <w:r w:rsidR="00402903">
        <w:rPr>
          <w:lang w:val="fr-FR"/>
        </w:rPr>
        <w:t xml:space="preserve"> du 7.5.11</w:t>
      </w:r>
      <w:r w:rsidRPr="001B7735">
        <w:rPr>
          <w:lang w:val="fr-FR"/>
        </w:rPr>
        <w:t>, le cas échéant.</w:t>
      </w:r>
      <w:r w:rsidR="0065378E">
        <w:rPr>
          <w:lang w:val="fr-FR"/>
        </w:rPr>
        <w:t> »</w:t>
      </w:r>
    </w:p>
    <w:p w14:paraId="469CF72A" w14:textId="1DBDBDE4" w:rsidR="009535A7" w:rsidRDefault="00434DBF" w:rsidP="00434DBF">
      <w:pPr>
        <w:pStyle w:val="H1G"/>
        <w:rPr>
          <w:lang w:val="fr-FR"/>
        </w:rPr>
      </w:pPr>
      <w:r>
        <w:rPr>
          <w:lang w:val="fr-FR"/>
        </w:rPr>
        <w:tab/>
      </w:r>
      <w:r>
        <w:rPr>
          <w:lang w:val="fr-FR"/>
        </w:rPr>
        <w:tab/>
      </w:r>
      <w:r w:rsidR="009535A7" w:rsidRPr="005F2BFF">
        <w:rPr>
          <w:lang w:val="fr-FR"/>
        </w:rPr>
        <w:t xml:space="preserve">Proposition </w:t>
      </w:r>
      <w:r w:rsidR="009535A7">
        <w:rPr>
          <w:lang w:val="fr-FR"/>
        </w:rPr>
        <w:t>4</w:t>
      </w:r>
    </w:p>
    <w:p w14:paraId="634485F6" w14:textId="4FFE8CFC" w:rsidR="009535A7" w:rsidRDefault="005A7D31" w:rsidP="005A7D31">
      <w:pPr>
        <w:pStyle w:val="SingleTxtG"/>
        <w:rPr>
          <w:lang w:val="fr-FR"/>
        </w:rPr>
      </w:pPr>
      <w:r>
        <w:rPr>
          <w:lang w:val="fr-FR"/>
        </w:rPr>
        <w:t>10.</w:t>
      </w:r>
      <w:r>
        <w:rPr>
          <w:lang w:val="fr-FR"/>
        </w:rPr>
        <w:tab/>
      </w:r>
      <w:r w:rsidR="009535A7">
        <w:rPr>
          <w:lang w:val="fr-FR"/>
        </w:rPr>
        <w:t xml:space="preserve">Ajouter une nouvelle disposition </w:t>
      </w:r>
      <w:proofErr w:type="spellStart"/>
      <w:r w:rsidR="009535A7">
        <w:rPr>
          <w:lang w:val="fr-FR"/>
        </w:rPr>
        <w:t>APxx</w:t>
      </w:r>
      <w:proofErr w:type="spellEnd"/>
      <w:r w:rsidR="009535A7">
        <w:rPr>
          <w:lang w:val="fr-FR"/>
        </w:rPr>
        <w:t xml:space="preserve"> au 7.3.3.2.7 comme suit :</w:t>
      </w:r>
    </w:p>
    <w:p w14:paraId="752E4ABC" w14:textId="77777777" w:rsidR="00531DA7" w:rsidRDefault="009535A7" w:rsidP="005A7D31">
      <w:pPr>
        <w:pStyle w:val="SingleTxtG"/>
        <w:rPr>
          <w:lang w:val="fr-FR"/>
        </w:rPr>
      </w:pPr>
      <w:r w:rsidRPr="001B7735">
        <w:rPr>
          <w:lang w:val="fr-FR"/>
        </w:rPr>
        <w:t xml:space="preserve">« </w:t>
      </w:r>
      <w:proofErr w:type="spellStart"/>
      <w:r w:rsidRPr="001B7735">
        <w:rPr>
          <w:lang w:val="fr-FR"/>
        </w:rPr>
        <w:t>APxx</w:t>
      </w:r>
      <w:proofErr w:type="spellEnd"/>
      <w:r>
        <w:rPr>
          <w:lang w:val="fr-FR"/>
        </w:rPr>
        <w:tab/>
      </w:r>
      <w:r w:rsidRPr="001B7735">
        <w:rPr>
          <w:lang w:val="fr-FR"/>
        </w:rPr>
        <w:t xml:space="preserve"> Le transport en vrac est autorisé pour les déchets à condition que </w:t>
      </w:r>
      <w:r>
        <w:rPr>
          <w:lang w:val="fr-FR"/>
        </w:rPr>
        <w:t>ces derniers</w:t>
      </w:r>
      <w:r w:rsidRPr="001B7735">
        <w:rPr>
          <w:lang w:val="fr-FR"/>
        </w:rPr>
        <w:t xml:space="preserve"> soient contenus dans un sac de la taille du compartiment de chargement, dénommé « conteneur</w:t>
      </w:r>
      <w:r>
        <w:rPr>
          <w:lang w:val="fr-FR"/>
        </w:rPr>
        <w:t>-bag</w:t>
      </w:r>
      <w:r w:rsidRPr="001B7735">
        <w:rPr>
          <w:lang w:val="fr-FR"/>
        </w:rPr>
        <w:t xml:space="preserve"> » aux fins de la présente disposition. Les conteneurs</w:t>
      </w:r>
      <w:r>
        <w:rPr>
          <w:lang w:val="fr-FR"/>
        </w:rPr>
        <w:t>-bag</w:t>
      </w:r>
      <w:r w:rsidRPr="001B7735">
        <w:rPr>
          <w:lang w:val="fr-FR"/>
        </w:rPr>
        <w:t xml:space="preserve"> doivent être constitués d'au moins deux doublures. </w:t>
      </w:r>
    </w:p>
    <w:p w14:paraId="22C6C2D6" w14:textId="220A0353" w:rsidR="009535A7" w:rsidRDefault="009535A7" w:rsidP="005A7D31">
      <w:pPr>
        <w:pStyle w:val="SingleTxtG"/>
        <w:rPr>
          <w:lang w:val="fr-FR"/>
        </w:rPr>
      </w:pPr>
      <w:r w:rsidRPr="001B7735">
        <w:rPr>
          <w:lang w:val="fr-FR"/>
        </w:rPr>
        <w:t xml:space="preserve">La doublure intérieure doit être rendue étanche à la poussière pour empêcher la libération de quantités dangereuses de fibres d'amiante </w:t>
      </w:r>
      <w:r>
        <w:rPr>
          <w:lang w:val="fr-FR"/>
        </w:rPr>
        <w:t>durant</w:t>
      </w:r>
      <w:r w:rsidRPr="001B7735">
        <w:rPr>
          <w:lang w:val="fr-FR"/>
        </w:rPr>
        <w:t xml:space="preserve"> le transport. La doublure intérieure doit être constituée d'un film de polyéthylène ou de polypropylène. </w:t>
      </w:r>
    </w:p>
    <w:p w14:paraId="3E2D5998" w14:textId="319B93A3" w:rsidR="009535A7" w:rsidRDefault="009535A7" w:rsidP="005A7D31">
      <w:pPr>
        <w:pStyle w:val="SingleTxtG"/>
        <w:rPr>
          <w:lang w:val="fr-FR"/>
        </w:rPr>
      </w:pPr>
      <w:r w:rsidRPr="001B7735">
        <w:rPr>
          <w:lang w:val="fr-FR"/>
        </w:rPr>
        <w:t xml:space="preserve">La </w:t>
      </w:r>
      <w:r w:rsidR="0037717F" w:rsidRPr="001B7735">
        <w:rPr>
          <w:lang w:val="fr-FR"/>
        </w:rPr>
        <w:t xml:space="preserve">doublure </w:t>
      </w:r>
      <w:r w:rsidRPr="001B7735">
        <w:rPr>
          <w:lang w:val="fr-FR"/>
        </w:rPr>
        <w:t xml:space="preserve">extérieure </w:t>
      </w:r>
      <w:r>
        <w:rPr>
          <w:lang w:val="fr-FR"/>
        </w:rPr>
        <w:t xml:space="preserve">est </w:t>
      </w:r>
      <w:r w:rsidRPr="001B7735">
        <w:rPr>
          <w:lang w:val="fr-FR"/>
        </w:rPr>
        <w:t xml:space="preserve">en polypropylène et munie d'un système de fermeture à glissière. </w:t>
      </w:r>
      <w:r>
        <w:rPr>
          <w:lang w:val="fr-FR"/>
        </w:rPr>
        <w:t>Elle</w:t>
      </w:r>
      <w:r w:rsidRPr="001B7735">
        <w:rPr>
          <w:lang w:val="fr-FR"/>
        </w:rPr>
        <w:t xml:space="preserve"> assure la résistance mécanique du conteneur-</w:t>
      </w:r>
      <w:r>
        <w:rPr>
          <w:lang w:val="fr-FR"/>
        </w:rPr>
        <w:t>bag</w:t>
      </w:r>
      <w:r w:rsidRPr="001B7735">
        <w:rPr>
          <w:lang w:val="fr-FR"/>
        </w:rPr>
        <w:t xml:space="preserve"> chargé de déchets aux chocs et contraintes </w:t>
      </w:r>
      <w:r w:rsidR="0037717F">
        <w:rPr>
          <w:lang w:val="fr-FR"/>
        </w:rPr>
        <w:t>dans les condition</w:t>
      </w:r>
      <w:r w:rsidR="00367AB4">
        <w:rPr>
          <w:lang w:val="fr-FR"/>
        </w:rPr>
        <w:t xml:space="preserve">s normales de </w:t>
      </w:r>
      <w:r w:rsidRPr="001B7735">
        <w:rPr>
          <w:lang w:val="fr-FR"/>
        </w:rPr>
        <w:t>transport, notamment lors du transfert de la benne chargée de conteneurs-</w:t>
      </w:r>
      <w:r>
        <w:rPr>
          <w:lang w:val="fr-FR"/>
        </w:rPr>
        <w:t>bag</w:t>
      </w:r>
      <w:r w:rsidRPr="001B7735">
        <w:rPr>
          <w:lang w:val="fr-FR"/>
        </w:rPr>
        <w:t xml:space="preserve"> entre </w:t>
      </w:r>
      <w:r w:rsidR="00DA2F42">
        <w:rPr>
          <w:lang w:val="fr-FR"/>
        </w:rPr>
        <w:t>wagons/</w:t>
      </w:r>
      <w:r w:rsidRPr="001B7735">
        <w:rPr>
          <w:lang w:val="fr-FR"/>
        </w:rPr>
        <w:t>véhicules et entrepôts.</w:t>
      </w:r>
    </w:p>
    <w:p w14:paraId="6CD2EB7E" w14:textId="7E17CD68" w:rsidR="009535A7" w:rsidRPr="001B7735" w:rsidRDefault="009535A7" w:rsidP="005A7D31">
      <w:pPr>
        <w:pStyle w:val="SingleTxtG"/>
        <w:rPr>
          <w:lang w:val="fr-FR"/>
        </w:rPr>
      </w:pPr>
      <w:r>
        <w:rPr>
          <w:lang w:val="fr-FR"/>
        </w:rPr>
        <w:t>Les c</w:t>
      </w:r>
      <w:r w:rsidRPr="001B7735">
        <w:rPr>
          <w:lang w:val="fr-FR"/>
        </w:rPr>
        <w:t>onteneurs-</w:t>
      </w:r>
      <w:r>
        <w:rPr>
          <w:lang w:val="fr-FR"/>
        </w:rPr>
        <w:t>bag</w:t>
      </w:r>
      <w:r w:rsidRPr="001B7735">
        <w:rPr>
          <w:lang w:val="fr-FR"/>
        </w:rPr>
        <w:t> </w:t>
      </w:r>
      <w:r w:rsidR="009D000C">
        <w:rPr>
          <w:lang w:val="fr-FR"/>
        </w:rPr>
        <w:t>doivent</w:t>
      </w:r>
      <w:r w:rsidRPr="001B7735">
        <w:rPr>
          <w:lang w:val="fr-FR"/>
        </w:rPr>
        <w:t>:</w:t>
      </w:r>
    </w:p>
    <w:p w14:paraId="72A1215A" w14:textId="6D7D715C" w:rsidR="009535A7" w:rsidRPr="001B7735" w:rsidRDefault="009535A7" w:rsidP="00C6191E">
      <w:pPr>
        <w:pStyle w:val="SingleTxtG"/>
        <w:tabs>
          <w:tab w:val="left" w:pos="1985"/>
        </w:tabs>
        <w:ind w:left="1701"/>
        <w:rPr>
          <w:lang w:val="fr-FR"/>
        </w:rPr>
      </w:pPr>
      <w:r w:rsidRPr="001B7735">
        <w:rPr>
          <w:lang w:val="fr-FR"/>
        </w:rPr>
        <w:t>a)</w:t>
      </w:r>
      <w:r w:rsidR="005A7D31">
        <w:rPr>
          <w:lang w:val="fr-FR"/>
        </w:rPr>
        <w:tab/>
      </w:r>
      <w:r w:rsidRPr="001B7735">
        <w:rPr>
          <w:lang w:val="fr-FR"/>
        </w:rPr>
        <w:t>être conçu pour résister à la perforation ou à la déchirure par les déchets ou objets contaminés en raison de leurs angles ou de leur rugosité</w:t>
      </w:r>
      <w:r w:rsidR="003171B7">
        <w:rPr>
          <w:lang w:val="fr-FR"/>
        </w:rPr>
        <w:t> ;</w:t>
      </w:r>
    </w:p>
    <w:p w14:paraId="2A897F25" w14:textId="2A9EEFDC" w:rsidR="009535A7" w:rsidRDefault="009535A7" w:rsidP="00C6191E">
      <w:pPr>
        <w:pStyle w:val="SingleTxtG"/>
        <w:tabs>
          <w:tab w:val="left" w:pos="1985"/>
        </w:tabs>
        <w:ind w:left="1701"/>
        <w:rPr>
          <w:lang w:val="fr-FR"/>
        </w:rPr>
      </w:pPr>
      <w:r w:rsidRPr="001B7735">
        <w:rPr>
          <w:lang w:val="fr-FR"/>
        </w:rPr>
        <w:t>b)</w:t>
      </w:r>
      <w:r w:rsidR="005A7D31">
        <w:rPr>
          <w:lang w:val="fr-FR"/>
        </w:rPr>
        <w:tab/>
      </w:r>
      <w:r w:rsidRPr="001B7735">
        <w:rPr>
          <w:lang w:val="fr-FR"/>
        </w:rPr>
        <w:t>avoir un système de fermeture à glissière suffisamment étanche pour empêcher la libération de quantités dangereuses de fibres d'amiante pendant le transport. Les fermetures à lacets ou à rabat ne sont pas autorisées.</w:t>
      </w:r>
    </w:p>
    <w:p w14:paraId="52A1E4AD" w14:textId="065F7CC7" w:rsidR="009535A7" w:rsidRDefault="009535A7" w:rsidP="005A7D31">
      <w:pPr>
        <w:pStyle w:val="SingleTxtG"/>
        <w:rPr>
          <w:lang w:val="fr-FR"/>
        </w:rPr>
      </w:pPr>
      <w:r>
        <w:rPr>
          <w:lang w:val="fr-FR"/>
        </w:rPr>
        <w:tab/>
      </w:r>
      <w:r w:rsidRPr="001B7735">
        <w:rPr>
          <w:lang w:val="fr-FR"/>
        </w:rPr>
        <w:t>Le compartiment de chargement doit avoir des parois métalliques rigides d'une résistance suffisante pour l'usage auquel il est destiné. Les parois doivent être suffisamment hautes pour contenir complètement le conteneur-</w:t>
      </w:r>
      <w:r>
        <w:rPr>
          <w:lang w:val="fr-FR"/>
        </w:rPr>
        <w:t>bag</w:t>
      </w:r>
      <w:r w:rsidRPr="001B7735">
        <w:rPr>
          <w:lang w:val="fr-FR"/>
        </w:rPr>
        <w:t>.</w:t>
      </w:r>
      <w:r w:rsidRPr="00BD530C">
        <w:rPr>
          <w:b/>
          <w:lang w:val="fr-FR"/>
        </w:rPr>
        <w:t xml:space="preserve"> </w:t>
      </w:r>
      <w:r w:rsidRPr="00BD530C">
        <w:rPr>
          <w:lang w:val="fr-FR"/>
        </w:rPr>
        <w:t>À condition que le conteneur-bag offre une protection similaire, la bâche peut être supprimée lors de l'utilisation de la disposition VC1.</w:t>
      </w:r>
    </w:p>
    <w:p w14:paraId="3DA39181" w14:textId="50360351" w:rsidR="009535A7" w:rsidRDefault="009535A7" w:rsidP="005A7D31">
      <w:pPr>
        <w:pStyle w:val="SingleTxtG"/>
        <w:rPr>
          <w:b/>
          <w:lang w:val="fr-FR"/>
        </w:rPr>
      </w:pPr>
      <w:r>
        <w:rPr>
          <w:lang w:val="fr-FR"/>
        </w:rPr>
        <w:tab/>
      </w:r>
      <w:r w:rsidRPr="00AA4324">
        <w:rPr>
          <w:lang w:val="fr-FR"/>
        </w:rPr>
        <w:t xml:space="preserve">Les objets contaminés par de l'amiante libre provenant d'ouvrages ou de bâtiments endommagés, ainsi que les déchets de chantier contaminés par de l'amiante libre provenant d'ouvrages ou de bâtiments lors de leur démolition ou de leur réhabilitation tels que mentionnés à la disposition </w:t>
      </w:r>
      <w:r>
        <w:rPr>
          <w:lang w:val="fr-FR"/>
        </w:rPr>
        <w:t>spéciale</w:t>
      </w:r>
      <w:r w:rsidRPr="00AA4324">
        <w:rPr>
          <w:lang w:val="fr-FR"/>
        </w:rPr>
        <w:t xml:space="preserve"> xxx b) iii), iv) et v), sont transportés dans un conteneur</w:t>
      </w:r>
      <w:r>
        <w:rPr>
          <w:lang w:val="fr-FR"/>
        </w:rPr>
        <w:t>-bag</w:t>
      </w:r>
      <w:r w:rsidRPr="00AA4324">
        <w:rPr>
          <w:lang w:val="fr-FR"/>
        </w:rPr>
        <w:t xml:space="preserve"> avec un deuxième </w:t>
      </w:r>
      <w:r>
        <w:rPr>
          <w:lang w:val="fr-FR"/>
        </w:rPr>
        <w:t>conteneur-bag</w:t>
      </w:r>
      <w:r w:rsidRPr="00AA4324">
        <w:rPr>
          <w:lang w:val="fr-FR"/>
        </w:rPr>
        <w:t xml:space="preserve"> du même type. La masse totale de déchets contenus ne doit pas dépasser 7 tonnes.</w:t>
      </w:r>
    </w:p>
    <w:p w14:paraId="4711D9C1" w14:textId="101C1C6A" w:rsidR="009535A7" w:rsidRDefault="009535A7" w:rsidP="005A7D31">
      <w:pPr>
        <w:pStyle w:val="SingleTxtG"/>
        <w:rPr>
          <w:b/>
          <w:lang w:val="fr-FR"/>
        </w:rPr>
      </w:pPr>
      <w:r>
        <w:rPr>
          <w:lang w:val="fr-FR"/>
        </w:rPr>
        <w:tab/>
      </w:r>
      <w:r w:rsidRPr="00AA4324">
        <w:rPr>
          <w:lang w:val="fr-FR"/>
        </w:rPr>
        <w:t>Dans tous les cas, la masse maximale de déchets ne doit pas dépasser la capacité spécifiée par le fabricant du conteneur-</w:t>
      </w:r>
      <w:r>
        <w:rPr>
          <w:lang w:val="fr-FR"/>
        </w:rPr>
        <w:t>bag</w:t>
      </w:r>
      <w:r w:rsidRPr="00AA4324">
        <w:rPr>
          <w:lang w:val="fr-FR"/>
        </w:rPr>
        <w:t>.</w:t>
      </w:r>
      <w:r>
        <w:rPr>
          <w:lang w:val="fr-FR"/>
        </w:rPr>
        <w:t> »</w:t>
      </w:r>
    </w:p>
    <w:p w14:paraId="0E33300C" w14:textId="1F604D1C" w:rsidR="009535A7" w:rsidRDefault="00AD0D9E" w:rsidP="00AD0D9E">
      <w:pPr>
        <w:pStyle w:val="H1G"/>
        <w:rPr>
          <w:lang w:val="fr-FR"/>
        </w:rPr>
      </w:pPr>
      <w:r>
        <w:rPr>
          <w:lang w:val="fr-FR"/>
        </w:rPr>
        <w:tab/>
      </w:r>
      <w:r>
        <w:rPr>
          <w:lang w:val="fr-FR"/>
        </w:rPr>
        <w:tab/>
      </w:r>
      <w:r w:rsidR="009535A7" w:rsidRPr="005F2BFF">
        <w:rPr>
          <w:lang w:val="fr-FR"/>
        </w:rPr>
        <w:t xml:space="preserve">Proposition </w:t>
      </w:r>
      <w:r w:rsidR="009535A7">
        <w:rPr>
          <w:lang w:val="fr-FR"/>
        </w:rPr>
        <w:t>5</w:t>
      </w:r>
    </w:p>
    <w:p w14:paraId="5978390E" w14:textId="432A164A" w:rsidR="009535A7" w:rsidRDefault="002C230E" w:rsidP="002C230E">
      <w:pPr>
        <w:pStyle w:val="SingleTxtG"/>
        <w:rPr>
          <w:lang w:val="fr-FR"/>
        </w:rPr>
      </w:pPr>
      <w:r>
        <w:rPr>
          <w:lang w:val="fr-FR"/>
        </w:rPr>
        <w:t>11.</w:t>
      </w:r>
      <w:r>
        <w:rPr>
          <w:lang w:val="fr-FR"/>
        </w:rPr>
        <w:tab/>
      </w:r>
      <w:r w:rsidR="009535A7" w:rsidRPr="00AA4324">
        <w:rPr>
          <w:lang w:val="fr-FR"/>
        </w:rPr>
        <w:t xml:space="preserve">Ajouter une nouvelle disposition </w:t>
      </w:r>
      <w:r w:rsidR="00A72838">
        <w:rPr>
          <w:lang w:val="fr-FR"/>
        </w:rPr>
        <w:t>spéciale C</w:t>
      </w:r>
      <w:r w:rsidR="00F44125">
        <w:rPr>
          <w:lang w:val="fr-FR"/>
        </w:rPr>
        <w:t>W/</w:t>
      </w:r>
      <w:proofErr w:type="spellStart"/>
      <w:r w:rsidR="009535A7" w:rsidRPr="00AA4324">
        <w:rPr>
          <w:lang w:val="fr-FR"/>
        </w:rPr>
        <w:t>CVxx</w:t>
      </w:r>
      <w:proofErr w:type="spellEnd"/>
      <w:r w:rsidR="009535A7" w:rsidRPr="00AA4324">
        <w:rPr>
          <w:lang w:val="fr-FR"/>
        </w:rPr>
        <w:t xml:space="preserve"> au 7.5.11 « Dispositions complémentaires applicables à certaines classes ou marchandises spécifiques » comme suit :</w:t>
      </w:r>
    </w:p>
    <w:p w14:paraId="337C38CF" w14:textId="5A49DC74" w:rsidR="009535A7" w:rsidRPr="00AA4324" w:rsidRDefault="009535A7" w:rsidP="002C230E">
      <w:pPr>
        <w:pStyle w:val="SingleTxtG"/>
        <w:rPr>
          <w:lang w:val="fr-FR"/>
        </w:rPr>
      </w:pPr>
      <w:r w:rsidRPr="00AA4324">
        <w:rPr>
          <w:lang w:val="fr-FR"/>
        </w:rPr>
        <w:t xml:space="preserve">« </w:t>
      </w:r>
      <w:r w:rsidR="004341AB">
        <w:rPr>
          <w:lang w:val="fr-FR"/>
        </w:rPr>
        <w:t>CW/</w:t>
      </w:r>
      <w:proofErr w:type="spellStart"/>
      <w:r w:rsidRPr="00AA4324">
        <w:rPr>
          <w:lang w:val="fr-FR"/>
        </w:rPr>
        <w:t>CVxx</w:t>
      </w:r>
      <w:proofErr w:type="spellEnd"/>
      <w:r w:rsidRPr="00AA4324">
        <w:rPr>
          <w:lang w:val="fr-FR"/>
        </w:rPr>
        <w:t xml:space="preserve"> Seuls les moyens de transport suivants sont autorisés :</w:t>
      </w:r>
    </w:p>
    <w:p w14:paraId="3F9C2F3F" w14:textId="6F49D2F8" w:rsidR="009535A7" w:rsidRPr="00AA4324" w:rsidRDefault="009535A7" w:rsidP="002C230E">
      <w:pPr>
        <w:pStyle w:val="SingleTxtG"/>
        <w:rPr>
          <w:lang w:val="fr-FR"/>
        </w:rPr>
      </w:pPr>
      <w:r w:rsidRPr="00AA4324">
        <w:rPr>
          <w:lang w:val="fr-FR"/>
        </w:rPr>
        <w:t>- pour les déchets de travaux routiers ou d'enlèvement de terres polluées par l'amiante : bennes pour travaux publics ou bennes amovibles;</w:t>
      </w:r>
    </w:p>
    <w:p w14:paraId="65CD59C1" w14:textId="19B27BF3" w:rsidR="009535A7" w:rsidRDefault="009535A7" w:rsidP="002C230E">
      <w:pPr>
        <w:pStyle w:val="SingleTxtG"/>
        <w:rPr>
          <w:lang w:val="fr-FR"/>
        </w:rPr>
      </w:pPr>
      <w:r w:rsidRPr="00AA4324">
        <w:rPr>
          <w:lang w:val="fr-FR"/>
        </w:rPr>
        <w:t>- pour tous les autres types de déchets : bennes amovibles.</w:t>
      </w:r>
    </w:p>
    <w:p w14:paraId="1D7789B6" w14:textId="77777777" w:rsidR="009535A7" w:rsidRPr="00AA4324" w:rsidRDefault="009535A7" w:rsidP="002C230E">
      <w:pPr>
        <w:pStyle w:val="SingleTxtG"/>
        <w:rPr>
          <w:lang w:val="fr-FR"/>
        </w:rPr>
      </w:pPr>
      <w:r w:rsidRPr="00AA4324">
        <w:rPr>
          <w:lang w:val="fr-FR"/>
        </w:rPr>
        <w:t>Les bennes ne doivent pas comporter d'arêtes vives internes (marches intérieures, etc.) susceptibles de déchirer le conteneur-</w:t>
      </w:r>
      <w:r>
        <w:rPr>
          <w:lang w:val="fr-FR"/>
        </w:rPr>
        <w:t>bag</w:t>
      </w:r>
      <w:r w:rsidRPr="00AA4324">
        <w:rPr>
          <w:lang w:val="fr-FR"/>
        </w:rPr>
        <w:t xml:space="preserve"> lors du déchargement. Les bennes doivent être contrôlées avant toute opération de chargement.</w:t>
      </w:r>
    </w:p>
    <w:p w14:paraId="0DEAC57D" w14:textId="77777777" w:rsidR="009535A7" w:rsidRPr="00AA4324" w:rsidRDefault="009535A7" w:rsidP="002C230E">
      <w:pPr>
        <w:pStyle w:val="SingleTxtG"/>
        <w:rPr>
          <w:lang w:val="fr-FR"/>
        </w:rPr>
      </w:pPr>
      <w:r w:rsidRPr="00AA4324">
        <w:rPr>
          <w:lang w:val="fr-FR"/>
        </w:rPr>
        <w:t>Les conteneurs-</w:t>
      </w:r>
      <w:r>
        <w:rPr>
          <w:lang w:val="fr-FR"/>
        </w:rPr>
        <w:t>bag</w:t>
      </w:r>
      <w:r w:rsidRPr="00AA4324">
        <w:rPr>
          <w:lang w:val="fr-FR"/>
        </w:rPr>
        <w:t xml:space="preserve"> doivent être placés dans les bennes pour les opérations de transport avant toute opération de remplissage. La doublure extérieure des conteneurs-</w:t>
      </w:r>
      <w:r>
        <w:rPr>
          <w:lang w:val="fr-FR"/>
        </w:rPr>
        <w:t>bag</w:t>
      </w:r>
      <w:r w:rsidRPr="00AA4324">
        <w:rPr>
          <w:lang w:val="fr-FR"/>
        </w:rPr>
        <w:t xml:space="preserve"> doit être positionnée de manière à ce que le rassemblement des crochets de fermeture se trouve du </w:t>
      </w:r>
      <w:r w:rsidRPr="00AA4324">
        <w:rPr>
          <w:lang w:val="fr-FR"/>
        </w:rPr>
        <w:lastRenderedPageBreak/>
        <w:t>côté avant de la benne. Après remplissage, les conteneurs</w:t>
      </w:r>
      <w:r>
        <w:rPr>
          <w:lang w:val="fr-FR"/>
        </w:rPr>
        <w:t>-bag</w:t>
      </w:r>
      <w:r w:rsidRPr="00AA4324">
        <w:rPr>
          <w:lang w:val="fr-FR"/>
        </w:rPr>
        <w:t xml:space="preserve"> doivent être fermés conformément aux instructions du fabricant.</w:t>
      </w:r>
    </w:p>
    <w:p w14:paraId="02A712FF" w14:textId="77777777" w:rsidR="009535A7" w:rsidRPr="00AA4324" w:rsidRDefault="009535A7" w:rsidP="002C230E">
      <w:pPr>
        <w:pStyle w:val="SingleTxtG"/>
        <w:rPr>
          <w:lang w:val="fr-FR"/>
        </w:rPr>
      </w:pPr>
      <w:r w:rsidRPr="00AA4324">
        <w:rPr>
          <w:lang w:val="fr-FR"/>
        </w:rPr>
        <w:t>Une fois chargés, les conteneurs-</w:t>
      </w:r>
      <w:r>
        <w:rPr>
          <w:lang w:val="fr-FR"/>
        </w:rPr>
        <w:t>bag</w:t>
      </w:r>
      <w:r w:rsidRPr="00AA4324">
        <w:rPr>
          <w:lang w:val="fr-FR"/>
        </w:rPr>
        <w:t xml:space="preserve"> ne doivent pas être soulevés ni transférés d'une benne à </w:t>
      </w:r>
      <w:r>
        <w:rPr>
          <w:lang w:val="fr-FR"/>
        </w:rPr>
        <w:t xml:space="preserve">une </w:t>
      </w:r>
      <w:r w:rsidRPr="00AA4324">
        <w:rPr>
          <w:lang w:val="fr-FR"/>
        </w:rPr>
        <w:t>autre. Plusieurs conteneurs-</w:t>
      </w:r>
      <w:r>
        <w:rPr>
          <w:lang w:val="fr-FR"/>
        </w:rPr>
        <w:t>bag</w:t>
      </w:r>
      <w:r w:rsidRPr="00AA4324">
        <w:rPr>
          <w:lang w:val="fr-FR"/>
        </w:rPr>
        <w:t xml:space="preserve"> remplis ne doivent pas être chargés dans la même benne.</w:t>
      </w:r>
    </w:p>
    <w:p w14:paraId="5E907828" w14:textId="77777777" w:rsidR="009535A7" w:rsidRPr="00AA4324" w:rsidRDefault="009535A7" w:rsidP="002C230E">
      <w:pPr>
        <w:pStyle w:val="SingleTxtG"/>
        <w:rPr>
          <w:lang w:val="fr-FR"/>
        </w:rPr>
      </w:pPr>
      <w:r w:rsidRPr="00AA4324">
        <w:rPr>
          <w:lang w:val="fr-FR"/>
        </w:rPr>
        <w:t>Après toute opération de remplissage, et après leur fermeture, les conteneurs</w:t>
      </w:r>
      <w:r>
        <w:rPr>
          <w:lang w:val="fr-FR"/>
        </w:rPr>
        <w:t>-bag</w:t>
      </w:r>
      <w:r w:rsidRPr="00AA4324">
        <w:rPr>
          <w:lang w:val="fr-FR"/>
        </w:rPr>
        <w:t xml:space="preserve"> doivent être décontaminés sur leurs faces externes.</w:t>
      </w:r>
    </w:p>
    <w:p w14:paraId="675E8739" w14:textId="7EBB3F0B" w:rsidR="009535A7" w:rsidRPr="00AA4324" w:rsidRDefault="009535A7" w:rsidP="007A020E">
      <w:pPr>
        <w:pStyle w:val="SingleTxtG"/>
        <w:rPr>
          <w:lang w:val="fr-FR"/>
        </w:rPr>
      </w:pPr>
      <w:r w:rsidRPr="00AA4324">
        <w:rPr>
          <w:lang w:val="fr-FR"/>
        </w:rPr>
        <w:t>Le déchargement des conteneurs-</w:t>
      </w:r>
      <w:r>
        <w:rPr>
          <w:lang w:val="fr-FR"/>
        </w:rPr>
        <w:t>bag</w:t>
      </w:r>
      <w:r w:rsidRPr="00AA4324">
        <w:rPr>
          <w:lang w:val="fr-FR"/>
        </w:rPr>
        <w:t xml:space="preserve"> transportés dans des bennes amovibles s'effectue avec la benne posée au sol.</w:t>
      </w:r>
    </w:p>
    <w:p w14:paraId="01290B0E" w14:textId="5E4292D5" w:rsidR="009535A7" w:rsidRPr="00AA4324" w:rsidRDefault="009535A7" w:rsidP="007A020E">
      <w:pPr>
        <w:pStyle w:val="SingleTxtG"/>
        <w:rPr>
          <w:lang w:val="fr-FR"/>
        </w:rPr>
      </w:pPr>
      <w:r w:rsidRPr="00AA4324">
        <w:rPr>
          <w:lang w:val="fr-FR"/>
        </w:rPr>
        <w:t>Le déchargement de conteneurs-</w:t>
      </w:r>
      <w:r>
        <w:rPr>
          <w:lang w:val="fr-FR"/>
        </w:rPr>
        <w:t>bag</w:t>
      </w:r>
      <w:r w:rsidRPr="00AA4324">
        <w:rPr>
          <w:lang w:val="fr-FR"/>
        </w:rPr>
        <w:t xml:space="preserve"> remplis de déchets de travaux routiers ou de sols contaminés par de l'amiante libre par basculement de la benne est autorisé, à condition de respecter un protocole de déchargement convenu conjointement entre le transporteur et le destinataire, afin d'éviter que les conteneurs-</w:t>
      </w:r>
      <w:r>
        <w:rPr>
          <w:lang w:val="fr-FR"/>
        </w:rPr>
        <w:t>bag</w:t>
      </w:r>
      <w:r w:rsidRPr="00AA4324">
        <w:rPr>
          <w:lang w:val="fr-FR"/>
        </w:rPr>
        <w:t xml:space="preserve"> ne se déchirent lors du déchargement. Le protocole doit garantir que les conteneurs-</w:t>
      </w:r>
      <w:r>
        <w:rPr>
          <w:lang w:val="fr-FR"/>
        </w:rPr>
        <w:t>bag</w:t>
      </w:r>
      <w:r w:rsidRPr="00AA4324">
        <w:rPr>
          <w:lang w:val="fr-FR"/>
        </w:rPr>
        <w:t xml:space="preserve"> ne tombent pas ou ne se </w:t>
      </w:r>
      <w:r>
        <w:rPr>
          <w:lang w:val="fr-FR"/>
        </w:rPr>
        <w:t>déchirent</w:t>
      </w:r>
      <w:r w:rsidRPr="00AA4324">
        <w:rPr>
          <w:lang w:val="fr-FR"/>
        </w:rPr>
        <w:t xml:space="preserve"> pas pendant l'opération de déchargement.</w:t>
      </w:r>
      <w:r w:rsidR="00653369" w:rsidRPr="00653369">
        <w:rPr>
          <w:lang w:val="fr-FR"/>
        </w:rPr>
        <w:t xml:space="preserve"> </w:t>
      </w:r>
      <w:r w:rsidR="00653369">
        <w:rPr>
          <w:lang w:val="fr-FR"/>
        </w:rPr>
        <w:t>»</w:t>
      </w:r>
    </w:p>
    <w:p w14:paraId="0B0F5CEA" w14:textId="11FC5F0A" w:rsidR="009535A7" w:rsidRPr="00F52B36" w:rsidRDefault="00A56214" w:rsidP="00A56214">
      <w:pPr>
        <w:pStyle w:val="HChG"/>
        <w:rPr>
          <w:lang w:val="fr-FR"/>
        </w:rPr>
      </w:pPr>
      <w:r>
        <w:rPr>
          <w:lang w:val="fr-FR"/>
        </w:rPr>
        <w:tab/>
      </w:r>
      <w:r>
        <w:rPr>
          <w:lang w:val="fr-FR"/>
        </w:rPr>
        <w:tab/>
      </w:r>
      <w:r w:rsidR="009535A7" w:rsidRPr="00F52B36">
        <w:rPr>
          <w:lang w:val="fr-FR"/>
        </w:rPr>
        <w:tab/>
        <w:t>Justification</w:t>
      </w:r>
    </w:p>
    <w:p w14:paraId="28C2A601" w14:textId="5323FE88" w:rsidR="00C1626B" w:rsidRPr="00A56214" w:rsidRDefault="00A56214" w:rsidP="00A56214">
      <w:pPr>
        <w:pStyle w:val="SingleTxtG"/>
        <w:rPr>
          <w:rStyle w:val="SingleTxtGChar"/>
        </w:rPr>
      </w:pPr>
      <w:r>
        <w:rPr>
          <w:lang w:val="fr-FR"/>
        </w:rPr>
        <w:t>12</w:t>
      </w:r>
      <w:r w:rsidR="009535A7" w:rsidRPr="00A56214">
        <w:rPr>
          <w:rStyle w:val="SingleTxtGChar"/>
        </w:rPr>
        <w:t>.</w:t>
      </w:r>
      <w:r w:rsidR="009535A7" w:rsidRPr="00A56214">
        <w:rPr>
          <w:rStyle w:val="SingleTxtGChar"/>
        </w:rPr>
        <w:tab/>
        <w:t>Ces modifications autorisant le transport en vrac de déchets contaminés par de l’amiante libre, permettent de faciliter le transport de déchets volumineux qui ne peuvent bénéficier de la disposition spéciale 168 tout en assurant une sécurité quant à la libération de fibres d’amiante durant le transport. Cette proposition participe aux objectifs de développement durable.</w:t>
      </w:r>
    </w:p>
    <w:p w14:paraId="025ABE0A" w14:textId="6E392C25" w:rsidR="007166E8" w:rsidRPr="007166E8" w:rsidRDefault="007166E8" w:rsidP="007166E8">
      <w:pPr>
        <w:spacing w:before="240"/>
        <w:jc w:val="center"/>
        <w:rPr>
          <w:u w:val="single"/>
        </w:rPr>
      </w:pPr>
      <w:r>
        <w:rPr>
          <w:u w:val="single"/>
        </w:rPr>
        <w:tab/>
      </w:r>
      <w:r>
        <w:rPr>
          <w:u w:val="single"/>
        </w:rPr>
        <w:tab/>
      </w:r>
      <w:r>
        <w:rPr>
          <w:u w:val="single"/>
        </w:rPr>
        <w:tab/>
      </w:r>
    </w:p>
    <w:sectPr w:rsidR="007166E8" w:rsidRPr="007166E8" w:rsidSect="001328A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26C2" w14:textId="77777777" w:rsidR="004613F6" w:rsidRDefault="004613F6" w:rsidP="00F95C08">
      <w:pPr>
        <w:spacing w:line="240" w:lineRule="auto"/>
      </w:pPr>
    </w:p>
  </w:endnote>
  <w:endnote w:type="continuationSeparator" w:id="0">
    <w:p w14:paraId="43C5EFC3" w14:textId="77777777" w:rsidR="004613F6" w:rsidRPr="00AC3823" w:rsidRDefault="004613F6" w:rsidP="00AC3823">
      <w:pPr>
        <w:pStyle w:val="Footer"/>
      </w:pPr>
    </w:p>
  </w:endnote>
  <w:endnote w:type="continuationNotice" w:id="1">
    <w:p w14:paraId="62082998" w14:textId="77777777" w:rsidR="004613F6" w:rsidRDefault="00461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9C31" w14:textId="77777777" w:rsidR="001328AF" w:rsidRPr="001328AF" w:rsidRDefault="001328AF" w:rsidP="001328AF">
    <w:pPr>
      <w:pStyle w:val="Footer"/>
      <w:tabs>
        <w:tab w:val="right" w:pos="9638"/>
      </w:tabs>
      <w:rPr>
        <w:sz w:val="18"/>
      </w:rPr>
    </w:pPr>
    <w:r w:rsidRPr="001328AF">
      <w:rPr>
        <w:b/>
        <w:sz w:val="18"/>
      </w:rPr>
      <w:fldChar w:fldCharType="begin"/>
    </w:r>
    <w:r w:rsidRPr="001328AF">
      <w:rPr>
        <w:b/>
        <w:sz w:val="18"/>
      </w:rPr>
      <w:instrText xml:space="preserve"> PAGE  \* MERGEFORMAT </w:instrText>
    </w:r>
    <w:r w:rsidRPr="001328AF">
      <w:rPr>
        <w:b/>
        <w:sz w:val="18"/>
      </w:rPr>
      <w:fldChar w:fldCharType="separate"/>
    </w:r>
    <w:r w:rsidRPr="001328AF">
      <w:rPr>
        <w:b/>
        <w:noProof/>
        <w:sz w:val="18"/>
      </w:rPr>
      <w:t>2</w:t>
    </w:r>
    <w:r w:rsidRPr="001328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56C" w14:textId="77777777" w:rsidR="001328AF" w:rsidRPr="001328AF" w:rsidRDefault="001328AF" w:rsidP="001328AF">
    <w:pPr>
      <w:pStyle w:val="Footer"/>
      <w:tabs>
        <w:tab w:val="right" w:pos="9638"/>
      </w:tabs>
      <w:rPr>
        <w:b/>
        <w:sz w:val="18"/>
      </w:rPr>
    </w:pPr>
    <w:r>
      <w:tab/>
    </w:r>
    <w:r w:rsidRPr="001328AF">
      <w:rPr>
        <w:b/>
        <w:sz w:val="18"/>
      </w:rPr>
      <w:fldChar w:fldCharType="begin"/>
    </w:r>
    <w:r w:rsidRPr="001328AF">
      <w:rPr>
        <w:b/>
        <w:sz w:val="18"/>
      </w:rPr>
      <w:instrText xml:space="preserve"> PAGE  \* MERGEFORMAT </w:instrText>
    </w:r>
    <w:r w:rsidRPr="001328AF">
      <w:rPr>
        <w:b/>
        <w:sz w:val="18"/>
      </w:rPr>
      <w:fldChar w:fldCharType="separate"/>
    </w:r>
    <w:r w:rsidRPr="001328AF">
      <w:rPr>
        <w:b/>
        <w:noProof/>
        <w:sz w:val="18"/>
      </w:rPr>
      <w:t>3</w:t>
    </w:r>
    <w:r w:rsidRPr="001328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2C8" w14:textId="7D783257" w:rsidR="000D3EE9" w:rsidRPr="0032761C" w:rsidRDefault="0032761C" w:rsidP="0032761C">
    <w:pPr>
      <w:pStyle w:val="Footer"/>
      <w:tabs>
        <w:tab w:val="left" w:pos="6520"/>
        <w:tab w:val="right" w:pos="9638"/>
      </w:tabs>
      <w:spacing w:before="120"/>
      <w:rPr>
        <w:sz w:val="20"/>
      </w:rPr>
    </w:pPr>
    <w:r>
      <w:rPr>
        <w:sz w:val="20"/>
      </w:rPr>
      <w:t>GE.23-13368  (F)</w:t>
    </w:r>
    <w:bookmarkStart w:id="0" w:name="_GoBack"/>
    <w:bookmarkEnd w:id="0"/>
    <w:r>
      <w:rPr>
        <w:sz w:val="20"/>
      </w:rPr>
      <w:tab/>
    </w:r>
    <w:r w:rsidRPr="0032761C">
      <w:rPr>
        <w:noProof/>
        <w:sz w:val="20"/>
        <w:lang w:eastAsia="fr-CH"/>
      </w:rPr>
      <w:drawing>
        <wp:inline distT="0" distB="0" distL="0" distR="0" wp14:anchorId="454E492C" wp14:editId="6759E729">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65F6B58" wp14:editId="04305CCA">
          <wp:extent cx="639445" cy="6394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B557" w14:textId="77777777" w:rsidR="004613F6" w:rsidRPr="00AC3823" w:rsidRDefault="004613F6" w:rsidP="00AC3823">
      <w:pPr>
        <w:pStyle w:val="Footer"/>
        <w:tabs>
          <w:tab w:val="right" w:pos="2155"/>
        </w:tabs>
        <w:spacing w:after="80" w:line="240" w:lineRule="atLeast"/>
        <w:ind w:left="680"/>
        <w:rPr>
          <w:u w:val="single"/>
        </w:rPr>
      </w:pPr>
      <w:r>
        <w:rPr>
          <w:u w:val="single"/>
        </w:rPr>
        <w:tab/>
      </w:r>
    </w:p>
  </w:footnote>
  <w:footnote w:type="continuationSeparator" w:id="0">
    <w:p w14:paraId="5A0C2A59" w14:textId="77777777" w:rsidR="004613F6" w:rsidRPr="00AC3823" w:rsidRDefault="004613F6" w:rsidP="00AC3823">
      <w:pPr>
        <w:pStyle w:val="Footer"/>
        <w:tabs>
          <w:tab w:val="right" w:pos="2155"/>
        </w:tabs>
        <w:spacing w:after="80" w:line="240" w:lineRule="atLeast"/>
        <w:ind w:left="680"/>
        <w:rPr>
          <w:u w:val="single"/>
        </w:rPr>
      </w:pPr>
      <w:r>
        <w:rPr>
          <w:u w:val="single"/>
        </w:rPr>
        <w:tab/>
      </w:r>
    </w:p>
  </w:footnote>
  <w:footnote w:type="continuationNotice" w:id="1">
    <w:p w14:paraId="5C73B476" w14:textId="77777777" w:rsidR="004613F6" w:rsidRPr="00AC3823" w:rsidRDefault="004613F6">
      <w:pPr>
        <w:spacing w:line="240" w:lineRule="auto"/>
        <w:rPr>
          <w:sz w:val="2"/>
          <w:szCs w:val="2"/>
        </w:rPr>
      </w:pPr>
    </w:p>
  </w:footnote>
  <w:footnote w:id="2">
    <w:p w14:paraId="6FBA7C28" w14:textId="444DFBA6" w:rsidR="00B76312" w:rsidRDefault="00B76312" w:rsidP="00707B93">
      <w:pPr>
        <w:pStyle w:val="FootnoteText"/>
        <w:rPr>
          <w:lang w:val="fr-FR"/>
        </w:rPr>
      </w:pPr>
      <w:r>
        <w:rPr>
          <w:rStyle w:val="FootnoteReference"/>
          <w:sz w:val="20"/>
          <w:lang w:val="fr-FR"/>
        </w:rPr>
        <w:tab/>
      </w:r>
      <w:r w:rsidRPr="00707B93">
        <w:rPr>
          <w:rStyle w:val="FootnoteReference"/>
          <w:sz w:val="20"/>
          <w:vertAlign w:val="baseline"/>
          <w:lang w:val="fr-FR"/>
        </w:rPr>
        <w:t>*</w:t>
      </w:r>
      <w:r>
        <w:rPr>
          <w:rStyle w:val="FootnoteReference"/>
          <w:lang w:val="fr-FR"/>
        </w:rPr>
        <w:tab/>
      </w:r>
      <w:r w:rsidR="00555C6A" w:rsidRPr="0083055C">
        <w:t>A/77/6 (Sect. 20), table</w:t>
      </w:r>
      <w:r w:rsidR="00555C6A">
        <w:t>au</w:t>
      </w:r>
      <w:r w:rsidR="00555C6A" w:rsidRPr="0083055C">
        <w:t xml:space="preserve"> 20.6</w:t>
      </w:r>
      <w:r>
        <w:rPr>
          <w:lang w:val="fr-FR"/>
        </w:rPr>
        <w:t>.</w:t>
      </w:r>
    </w:p>
  </w:footnote>
  <w:footnote w:id="3">
    <w:p w14:paraId="603A0C61" w14:textId="304E48A3" w:rsidR="00B76312" w:rsidRDefault="00B76312" w:rsidP="00707B93">
      <w:pPr>
        <w:pStyle w:val="FootnoteText"/>
        <w:rPr>
          <w:lang w:val="fr-FR"/>
        </w:rPr>
      </w:pPr>
      <w:r>
        <w:rPr>
          <w:rStyle w:val="FootnoteReference"/>
          <w:lang w:val="fr-FR"/>
        </w:rPr>
        <w:tab/>
      </w:r>
      <w:r w:rsidRPr="00707B93">
        <w:rPr>
          <w:rStyle w:val="FootnoteReference"/>
          <w:sz w:val="20"/>
          <w:vertAlign w:val="baseline"/>
          <w:lang w:val="fr-FR"/>
        </w:rPr>
        <w:t>**</w:t>
      </w:r>
      <w:r>
        <w:rPr>
          <w:rStyle w:val="FootnoteReference"/>
          <w:lang w:val="fr-FR"/>
        </w:rPr>
        <w:tab/>
      </w:r>
      <w:r>
        <w:rPr>
          <w:lang w:val="fr-FR"/>
        </w:rPr>
        <w:t>Diffusée par l’Organisation intergouvernementale pour les transports internationaux ferroviaires (OTIF) sous la cote OTIF/RID/RC/202</w:t>
      </w:r>
      <w:r w:rsidR="00555C6A">
        <w:rPr>
          <w:lang w:val="fr-FR"/>
        </w:rPr>
        <w:t>3</w:t>
      </w:r>
      <w:r>
        <w:rPr>
          <w:lang w:val="fr-FR"/>
        </w:rPr>
        <w:t>/</w:t>
      </w:r>
      <w:r w:rsidR="00555C6A">
        <w:rPr>
          <w:lang w:val="fr-FR"/>
        </w:rPr>
        <w:t>51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3FBA" w14:textId="4893BEB4" w:rsidR="001328AF" w:rsidRPr="001328AF" w:rsidRDefault="00A73827">
    <w:pPr>
      <w:pStyle w:val="Header"/>
    </w:pPr>
    <w:r>
      <w:fldChar w:fldCharType="begin"/>
    </w:r>
    <w:r>
      <w:instrText xml:space="preserve"> TITLE  \* MERGEFORMAT </w:instrText>
    </w:r>
    <w:r>
      <w:fldChar w:fldCharType="separate"/>
    </w:r>
    <w:r>
      <w:t>ECE/TRANS/WP.15/AC.1/2023/51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B317" w14:textId="32A703CC" w:rsidR="001328AF" w:rsidRPr="001328AF" w:rsidRDefault="00A73827" w:rsidP="001328AF">
    <w:pPr>
      <w:pStyle w:val="Header"/>
      <w:jc w:val="right"/>
    </w:pPr>
    <w:r>
      <w:fldChar w:fldCharType="begin"/>
    </w:r>
    <w:r>
      <w:instrText xml:space="preserve"> TITLE  \* MERGEFORMAT </w:instrText>
    </w:r>
    <w:r>
      <w:fldChar w:fldCharType="separate"/>
    </w:r>
    <w:r>
      <w:t>ECE/TRANS/WP.15/AC.1/2023/51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B1D86"/>
    <w:multiLevelType w:val="hybridMultilevel"/>
    <w:tmpl w:val="753E676E"/>
    <w:lvl w:ilvl="0" w:tplc="CAE41390">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56396906">
    <w:abstractNumId w:val="13"/>
  </w:num>
  <w:num w:numId="2" w16cid:durableId="1561597983">
    <w:abstractNumId w:val="12"/>
  </w:num>
  <w:num w:numId="3" w16cid:durableId="547838891">
    <w:abstractNumId w:val="10"/>
  </w:num>
  <w:num w:numId="4" w16cid:durableId="1266421893">
    <w:abstractNumId w:val="8"/>
  </w:num>
  <w:num w:numId="5" w16cid:durableId="1754740206">
    <w:abstractNumId w:val="3"/>
  </w:num>
  <w:num w:numId="6" w16cid:durableId="1968581395">
    <w:abstractNumId w:val="2"/>
  </w:num>
  <w:num w:numId="7" w16cid:durableId="7368446">
    <w:abstractNumId w:val="1"/>
  </w:num>
  <w:num w:numId="8" w16cid:durableId="707220232">
    <w:abstractNumId w:val="0"/>
  </w:num>
  <w:num w:numId="9" w16cid:durableId="1550529927">
    <w:abstractNumId w:val="9"/>
  </w:num>
  <w:num w:numId="10" w16cid:durableId="1940137444">
    <w:abstractNumId w:val="7"/>
  </w:num>
  <w:num w:numId="11" w16cid:durableId="74129606">
    <w:abstractNumId w:val="6"/>
  </w:num>
  <w:num w:numId="12" w16cid:durableId="2116319365">
    <w:abstractNumId w:val="5"/>
  </w:num>
  <w:num w:numId="13" w16cid:durableId="1693414334">
    <w:abstractNumId w:val="4"/>
  </w:num>
  <w:num w:numId="14" w16cid:durableId="1059549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328AF"/>
    <w:rsid w:val="0000294C"/>
    <w:rsid w:val="00005940"/>
    <w:rsid w:val="0001207F"/>
    <w:rsid w:val="00017F94"/>
    <w:rsid w:val="00023842"/>
    <w:rsid w:val="00027B1D"/>
    <w:rsid w:val="000313C9"/>
    <w:rsid w:val="000334F9"/>
    <w:rsid w:val="0004639C"/>
    <w:rsid w:val="00070ECE"/>
    <w:rsid w:val="0007796D"/>
    <w:rsid w:val="000942EE"/>
    <w:rsid w:val="000944B5"/>
    <w:rsid w:val="000A52BF"/>
    <w:rsid w:val="000B7790"/>
    <w:rsid w:val="000C2049"/>
    <w:rsid w:val="000D3EE9"/>
    <w:rsid w:val="000D62F3"/>
    <w:rsid w:val="000E1EC6"/>
    <w:rsid w:val="000F57F3"/>
    <w:rsid w:val="00111F2F"/>
    <w:rsid w:val="001328AF"/>
    <w:rsid w:val="001349B4"/>
    <w:rsid w:val="001433FD"/>
    <w:rsid w:val="0014365E"/>
    <w:rsid w:val="00150B71"/>
    <w:rsid w:val="001541D3"/>
    <w:rsid w:val="00156B77"/>
    <w:rsid w:val="00176178"/>
    <w:rsid w:val="00177140"/>
    <w:rsid w:val="001D400F"/>
    <w:rsid w:val="001D749E"/>
    <w:rsid w:val="001E6139"/>
    <w:rsid w:val="001F525A"/>
    <w:rsid w:val="002029EF"/>
    <w:rsid w:val="00210253"/>
    <w:rsid w:val="00223272"/>
    <w:rsid w:val="00226653"/>
    <w:rsid w:val="00231BDE"/>
    <w:rsid w:val="0023562A"/>
    <w:rsid w:val="00240333"/>
    <w:rsid w:val="00244C2B"/>
    <w:rsid w:val="0024779E"/>
    <w:rsid w:val="0025718C"/>
    <w:rsid w:val="002832AC"/>
    <w:rsid w:val="002858CC"/>
    <w:rsid w:val="002C230E"/>
    <w:rsid w:val="002D3329"/>
    <w:rsid w:val="002D795D"/>
    <w:rsid w:val="002D7C93"/>
    <w:rsid w:val="003171B7"/>
    <w:rsid w:val="0032761C"/>
    <w:rsid w:val="003372C6"/>
    <w:rsid w:val="00341578"/>
    <w:rsid w:val="00345535"/>
    <w:rsid w:val="00367AB4"/>
    <w:rsid w:val="0037241C"/>
    <w:rsid w:val="0037717F"/>
    <w:rsid w:val="003819FF"/>
    <w:rsid w:val="003F65D2"/>
    <w:rsid w:val="00402903"/>
    <w:rsid w:val="00413B7F"/>
    <w:rsid w:val="0043322B"/>
    <w:rsid w:val="004341AB"/>
    <w:rsid w:val="00434DBF"/>
    <w:rsid w:val="00441C3B"/>
    <w:rsid w:val="004426A4"/>
    <w:rsid w:val="00446B0A"/>
    <w:rsid w:val="00446FE5"/>
    <w:rsid w:val="00452396"/>
    <w:rsid w:val="004613F6"/>
    <w:rsid w:val="00471288"/>
    <w:rsid w:val="0049687C"/>
    <w:rsid w:val="004A5497"/>
    <w:rsid w:val="004B5507"/>
    <w:rsid w:val="004E468C"/>
    <w:rsid w:val="005316B0"/>
    <w:rsid w:val="00531DA7"/>
    <w:rsid w:val="005505B7"/>
    <w:rsid w:val="00555C6A"/>
    <w:rsid w:val="00573BE5"/>
    <w:rsid w:val="00586ED3"/>
    <w:rsid w:val="00587BAC"/>
    <w:rsid w:val="00596AA9"/>
    <w:rsid w:val="005A145A"/>
    <w:rsid w:val="005A3E80"/>
    <w:rsid w:val="005A7D31"/>
    <w:rsid w:val="005B4D0F"/>
    <w:rsid w:val="00613D7A"/>
    <w:rsid w:val="006254E4"/>
    <w:rsid w:val="00653369"/>
    <w:rsid w:val="0065378E"/>
    <w:rsid w:val="00670DE6"/>
    <w:rsid w:val="006D3BF3"/>
    <w:rsid w:val="006F42DE"/>
    <w:rsid w:val="00702CC6"/>
    <w:rsid w:val="00703D0F"/>
    <w:rsid w:val="00706363"/>
    <w:rsid w:val="00707B93"/>
    <w:rsid w:val="00710E55"/>
    <w:rsid w:val="007158BB"/>
    <w:rsid w:val="0071601D"/>
    <w:rsid w:val="007166E8"/>
    <w:rsid w:val="00732B1E"/>
    <w:rsid w:val="007403DD"/>
    <w:rsid w:val="00751718"/>
    <w:rsid w:val="0075410D"/>
    <w:rsid w:val="00780146"/>
    <w:rsid w:val="00780BFF"/>
    <w:rsid w:val="0079213A"/>
    <w:rsid w:val="007A020E"/>
    <w:rsid w:val="007A62E6"/>
    <w:rsid w:val="007B15A6"/>
    <w:rsid w:val="007D55F3"/>
    <w:rsid w:val="007E79D8"/>
    <w:rsid w:val="007F1843"/>
    <w:rsid w:val="007F57DB"/>
    <w:rsid w:val="0080684C"/>
    <w:rsid w:val="00814BA4"/>
    <w:rsid w:val="00815AE2"/>
    <w:rsid w:val="008204DA"/>
    <w:rsid w:val="008535AD"/>
    <w:rsid w:val="008571F1"/>
    <w:rsid w:val="00871C75"/>
    <w:rsid w:val="008750B4"/>
    <w:rsid w:val="008767E8"/>
    <w:rsid w:val="008776DC"/>
    <w:rsid w:val="008826B3"/>
    <w:rsid w:val="00883605"/>
    <w:rsid w:val="008C4259"/>
    <w:rsid w:val="008C7C49"/>
    <w:rsid w:val="008D1B69"/>
    <w:rsid w:val="008E6043"/>
    <w:rsid w:val="008E6F9B"/>
    <w:rsid w:val="00932F8D"/>
    <w:rsid w:val="009350CF"/>
    <w:rsid w:val="009535A7"/>
    <w:rsid w:val="00961E7B"/>
    <w:rsid w:val="009705C8"/>
    <w:rsid w:val="009C1CF4"/>
    <w:rsid w:val="009C60E6"/>
    <w:rsid w:val="009D000C"/>
    <w:rsid w:val="009D3FF0"/>
    <w:rsid w:val="009D5B77"/>
    <w:rsid w:val="009F02C9"/>
    <w:rsid w:val="009F4E9D"/>
    <w:rsid w:val="00A0007D"/>
    <w:rsid w:val="00A005B3"/>
    <w:rsid w:val="00A12A17"/>
    <w:rsid w:val="00A168BA"/>
    <w:rsid w:val="00A30353"/>
    <w:rsid w:val="00A35D6D"/>
    <w:rsid w:val="00A56214"/>
    <w:rsid w:val="00A62D91"/>
    <w:rsid w:val="00A6688B"/>
    <w:rsid w:val="00A67F66"/>
    <w:rsid w:val="00A72838"/>
    <w:rsid w:val="00A73827"/>
    <w:rsid w:val="00A90D54"/>
    <w:rsid w:val="00AA113A"/>
    <w:rsid w:val="00AB5364"/>
    <w:rsid w:val="00AC3823"/>
    <w:rsid w:val="00AD0D9E"/>
    <w:rsid w:val="00AE323C"/>
    <w:rsid w:val="00AF31C3"/>
    <w:rsid w:val="00AF774C"/>
    <w:rsid w:val="00B000D2"/>
    <w:rsid w:val="00B00181"/>
    <w:rsid w:val="00B00B0D"/>
    <w:rsid w:val="00B226D9"/>
    <w:rsid w:val="00B40927"/>
    <w:rsid w:val="00B50E25"/>
    <w:rsid w:val="00B64918"/>
    <w:rsid w:val="00B6662D"/>
    <w:rsid w:val="00B72A17"/>
    <w:rsid w:val="00B76312"/>
    <w:rsid w:val="00B765F7"/>
    <w:rsid w:val="00B84807"/>
    <w:rsid w:val="00BA0CA9"/>
    <w:rsid w:val="00BA25D7"/>
    <w:rsid w:val="00BA5E66"/>
    <w:rsid w:val="00BA7380"/>
    <w:rsid w:val="00BA7627"/>
    <w:rsid w:val="00BB7E2D"/>
    <w:rsid w:val="00BC575A"/>
    <w:rsid w:val="00BF2A8B"/>
    <w:rsid w:val="00C02897"/>
    <w:rsid w:val="00C1626B"/>
    <w:rsid w:val="00C56621"/>
    <w:rsid w:val="00C6191E"/>
    <w:rsid w:val="00C665AA"/>
    <w:rsid w:val="00C66A47"/>
    <w:rsid w:val="00C7616F"/>
    <w:rsid w:val="00CA268E"/>
    <w:rsid w:val="00CA695A"/>
    <w:rsid w:val="00CB16B5"/>
    <w:rsid w:val="00CE0608"/>
    <w:rsid w:val="00D3439C"/>
    <w:rsid w:val="00D44CF3"/>
    <w:rsid w:val="00D46C8C"/>
    <w:rsid w:val="00D64BC8"/>
    <w:rsid w:val="00D67E54"/>
    <w:rsid w:val="00D74706"/>
    <w:rsid w:val="00DA2F42"/>
    <w:rsid w:val="00DB1831"/>
    <w:rsid w:val="00DB1D37"/>
    <w:rsid w:val="00DC1199"/>
    <w:rsid w:val="00DC30F5"/>
    <w:rsid w:val="00DD3BFD"/>
    <w:rsid w:val="00DE239D"/>
    <w:rsid w:val="00DF0BF9"/>
    <w:rsid w:val="00DF431C"/>
    <w:rsid w:val="00DF6678"/>
    <w:rsid w:val="00E20396"/>
    <w:rsid w:val="00E428C8"/>
    <w:rsid w:val="00E659FE"/>
    <w:rsid w:val="00E917F9"/>
    <w:rsid w:val="00EA2302"/>
    <w:rsid w:val="00EA2D37"/>
    <w:rsid w:val="00EF2E22"/>
    <w:rsid w:val="00F0592C"/>
    <w:rsid w:val="00F06ED4"/>
    <w:rsid w:val="00F13727"/>
    <w:rsid w:val="00F15B78"/>
    <w:rsid w:val="00F17F52"/>
    <w:rsid w:val="00F43289"/>
    <w:rsid w:val="00F44125"/>
    <w:rsid w:val="00F660DF"/>
    <w:rsid w:val="00F84C0E"/>
    <w:rsid w:val="00F95C08"/>
    <w:rsid w:val="00FA5A60"/>
    <w:rsid w:val="00FD1581"/>
    <w:rsid w:val="00FD7ECA"/>
    <w:rsid w:val="00FE54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7D7F"/>
  <w15:docId w15:val="{6E5B36D3-232A-498D-9E38-4453A29A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customStyle="1" w:styleId="H1GChar">
    <w:name w:val="_ H_1_G Char"/>
    <w:link w:val="H1G"/>
    <w:qFormat/>
    <w:locked/>
    <w:rsid w:val="00B76312"/>
    <w:rPr>
      <w:b/>
      <w:sz w:val="24"/>
    </w:rPr>
  </w:style>
  <w:style w:type="paragraph" w:styleId="ListParagraph">
    <w:name w:val="List Paragraph"/>
    <w:basedOn w:val="Normal"/>
    <w:uiPriority w:val="34"/>
    <w:semiHidden/>
    <w:qFormat/>
    <w:rsid w:val="000944B5"/>
    <w:pPr>
      <w:ind w:left="720"/>
      <w:contextualSpacing/>
    </w:pPr>
  </w:style>
  <w:style w:type="paragraph" w:styleId="Revision">
    <w:name w:val="Revision"/>
    <w:hidden/>
    <w:uiPriority w:val="99"/>
    <w:semiHidden/>
    <w:rsid w:val="000F57F3"/>
    <w:pPr>
      <w:spacing w:after="0" w:line="240" w:lineRule="auto"/>
    </w:pPr>
  </w:style>
  <w:style w:type="character" w:styleId="CommentReference">
    <w:name w:val="annotation reference"/>
    <w:basedOn w:val="DefaultParagraphFont"/>
    <w:uiPriority w:val="99"/>
    <w:semiHidden/>
    <w:unhideWhenUsed/>
    <w:rsid w:val="00DB1D37"/>
    <w:rPr>
      <w:sz w:val="16"/>
      <w:szCs w:val="16"/>
    </w:rPr>
  </w:style>
  <w:style w:type="paragraph" w:styleId="CommentText">
    <w:name w:val="annotation text"/>
    <w:basedOn w:val="Normal"/>
    <w:link w:val="CommentTextChar"/>
    <w:uiPriority w:val="99"/>
    <w:semiHidden/>
    <w:unhideWhenUsed/>
    <w:rsid w:val="00DB1D37"/>
    <w:pPr>
      <w:spacing w:line="240" w:lineRule="auto"/>
    </w:pPr>
  </w:style>
  <w:style w:type="character" w:customStyle="1" w:styleId="CommentTextChar">
    <w:name w:val="Comment Text Char"/>
    <w:basedOn w:val="DefaultParagraphFont"/>
    <w:link w:val="CommentText"/>
    <w:uiPriority w:val="99"/>
    <w:semiHidden/>
    <w:rsid w:val="00DB1D37"/>
  </w:style>
  <w:style w:type="paragraph" w:styleId="CommentSubject">
    <w:name w:val="annotation subject"/>
    <w:basedOn w:val="CommentText"/>
    <w:next w:val="CommentText"/>
    <w:link w:val="CommentSubjectChar"/>
    <w:uiPriority w:val="99"/>
    <w:semiHidden/>
    <w:unhideWhenUsed/>
    <w:rsid w:val="00DB1D37"/>
    <w:rPr>
      <w:b/>
      <w:bCs/>
    </w:rPr>
  </w:style>
  <w:style w:type="character" w:customStyle="1" w:styleId="CommentSubjectChar">
    <w:name w:val="Comment Subject Char"/>
    <w:basedOn w:val="CommentTextChar"/>
    <w:link w:val="CommentSubject"/>
    <w:uiPriority w:val="99"/>
    <w:semiHidden/>
    <w:rsid w:val="00DB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Isabelle Porcu</DisplayName>
        <AccountId>1457</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B1F6ED7-9856-4B41-8A27-C03A7AB21A40}"/>
</file>

<file path=customXml/itemProps2.xml><?xml version="1.0" encoding="utf-8"?>
<ds:datastoreItem xmlns:ds="http://schemas.openxmlformats.org/officeDocument/2006/customXml" ds:itemID="{7E3146B1-0810-48ED-8742-98F94F67B461}">
  <ds:schemaRefs>
    <ds:schemaRef ds:uri="http://schemas.microsoft.com/sharepoint/v3/contenttype/forms"/>
  </ds:schemaRefs>
</ds:datastoreItem>
</file>

<file path=customXml/itemProps3.xml><?xml version="1.0" encoding="utf-8"?>
<ds:datastoreItem xmlns:ds="http://schemas.openxmlformats.org/officeDocument/2006/customXml" ds:itemID="{EEFFE9E0-154D-40BB-9F78-BE3FFC03271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12338</Characters>
  <Application>Microsoft Office Word</Application>
  <DocSecurity>0</DocSecurity>
  <Lines>352</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ECE/TRANS/WP.15/AC.1/2023/51</vt:lpstr>
      <vt:lpstr>ECE/EX/22</vt:lpstr>
    </vt:vector>
  </TitlesOfParts>
  <Company>DCM</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ECE/TRANS/WP.15/AC.1/2023/51</dc:title>
  <dc:subject>FINAL</dc:subject>
  <dc:creator>Luisa PENA-MONTERO</dc:creator>
  <cp:keywords/>
  <dc:description/>
  <cp:lastModifiedBy>Luisa PENA-MONTERO</cp:lastModifiedBy>
  <cp:revision>2</cp:revision>
  <cp:lastPrinted>2023-07-10T15:10:00Z</cp:lastPrinted>
  <dcterms:created xsi:type="dcterms:W3CDTF">2023-07-11T08:37:00Z</dcterms:created>
  <dcterms:modified xsi:type="dcterms:W3CDTF">2023-07-11T08:37:00Z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