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3DB23E94" w14:textId="77777777" w:rsidTr="005316B0">
        <w:trPr>
          <w:trHeight w:hRule="exact" w:val="851"/>
        </w:trPr>
        <w:tc>
          <w:tcPr>
            <w:tcW w:w="1276" w:type="dxa"/>
            <w:tcBorders>
              <w:bottom w:val="single" w:sz="4" w:space="0" w:color="auto"/>
            </w:tcBorders>
          </w:tcPr>
          <w:p w14:paraId="3C1A4BA4" w14:textId="77777777" w:rsidR="001433FD" w:rsidRPr="00DB58B5" w:rsidRDefault="001433FD" w:rsidP="0001207F"/>
        </w:tc>
        <w:tc>
          <w:tcPr>
            <w:tcW w:w="2268" w:type="dxa"/>
            <w:tcBorders>
              <w:bottom w:val="single" w:sz="4" w:space="0" w:color="auto"/>
            </w:tcBorders>
            <w:vAlign w:val="bottom"/>
          </w:tcPr>
          <w:p w14:paraId="57D49603"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8BDD37" w14:textId="5DEB94C9" w:rsidR="001433FD" w:rsidRPr="00D67B73" w:rsidRDefault="00D67B73" w:rsidP="00D67B73">
            <w:pPr>
              <w:jc w:val="right"/>
            </w:pPr>
            <w:r w:rsidRPr="00D67B73">
              <w:rPr>
                <w:sz w:val="40"/>
              </w:rPr>
              <w:t>ECE</w:t>
            </w:r>
            <w:r>
              <w:t>/TRANS/WP.15/AC.1/2023/46</w:t>
            </w:r>
          </w:p>
        </w:tc>
      </w:tr>
      <w:tr w:rsidR="001433FD" w:rsidRPr="00DB58B5" w14:paraId="04C38AFB" w14:textId="77777777" w:rsidTr="007D3236">
        <w:trPr>
          <w:trHeight w:hRule="exact" w:val="2835"/>
        </w:trPr>
        <w:tc>
          <w:tcPr>
            <w:tcW w:w="1276" w:type="dxa"/>
            <w:tcBorders>
              <w:top w:val="single" w:sz="4" w:space="0" w:color="auto"/>
              <w:bottom w:val="single" w:sz="12" w:space="0" w:color="auto"/>
            </w:tcBorders>
          </w:tcPr>
          <w:p w14:paraId="7A17850F" w14:textId="77777777" w:rsidR="001433FD" w:rsidRPr="00DB58B5" w:rsidRDefault="001433FD" w:rsidP="007D3236">
            <w:pPr>
              <w:spacing w:before="120"/>
              <w:jc w:val="center"/>
            </w:pPr>
            <w:r>
              <w:rPr>
                <w:noProof/>
                <w:lang w:eastAsia="fr-CH"/>
              </w:rPr>
              <w:drawing>
                <wp:inline distT="0" distB="0" distL="0" distR="0" wp14:anchorId="054088DD" wp14:editId="17CF335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5893B9"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28030A" w14:textId="77777777" w:rsidR="0001207F" w:rsidRDefault="00215A13" w:rsidP="00215A13">
            <w:pPr>
              <w:spacing w:before="240" w:line="240" w:lineRule="exact"/>
            </w:pPr>
            <w:proofErr w:type="spellStart"/>
            <w:r>
              <w:t>Distr</w:t>
            </w:r>
            <w:proofErr w:type="spellEnd"/>
            <w:r>
              <w:t>. générale</w:t>
            </w:r>
          </w:p>
          <w:p w14:paraId="22096097" w14:textId="1C7AEDC4" w:rsidR="00215A13" w:rsidRDefault="00120B35" w:rsidP="00215A13">
            <w:pPr>
              <w:spacing w:line="240" w:lineRule="exact"/>
            </w:pPr>
            <w:r>
              <w:t>10</w:t>
            </w:r>
            <w:r w:rsidR="00215A13">
              <w:t xml:space="preserve"> juillet 2023</w:t>
            </w:r>
          </w:p>
          <w:p w14:paraId="5CCB3F0B" w14:textId="77777777" w:rsidR="00215A13" w:rsidRDefault="00215A13" w:rsidP="00215A13">
            <w:pPr>
              <w:spacing w:line="240" w:lineRule="exact"/>
            </w:pPr>
          </w:p>
          <w:p w14:paraId="7C3E800E" w14:textId="77777777" w:rsidR="00215A13" w:rsidRPr="00DB58B5" w:rsidRDefault="00215A13" w:rsidP="00215A13">
            <w:pPr>
              <w:spacing w:line="240" w:lineRule="exact"/>
            </w:pPr>
            <w:r>
              <w:t>Original : français</w:t>
            </w:r>
          </w:p>
        </w:tc>
      </w:tr>
    </w:tbl>
    <w:p w14:paraId="59CC44F7" w14:textId="77777777" w:rsidR="0090047B" w:rsidRDefault="0090047B" w:rsidP="00FD1581">
      <w:pPr>
        <w:spacing w:before="120"/>
        <w:rPr>
          <w:b/>
          <w:sz w:val="28"/>
          <w:szCs w:val="28"/>
        </w:rPr>
      </w:pPr>
      <w:r w:rsidRPr="00883605">
        <w:rPr>
          <w:b/>
          <w:sz w:val="28"/>
          <w:szCs w:val="28"/>
        </w:rPr>
        <w:t>Commission économique pour l’Europe</w:t>
      </w:r>
    </w:p>
    <w:p w14:paraId="0C7E8F40" w14:textId="77777777" w:rsidR="0090047B" w:rsidRPr="008A7BD0" w:rsidRDefault="0090047B" w:rsidP="00FD1581">
      <w:pPr>
        <w:spacing w:before="120"/>
        <w:rPr>
          <w:sz w:val="28"/>
          <w:szCs w:val="28"/>
          <w:lang w:val="fr-CA"/>
        </w:rPr>
      </w:pPr>
      <w:r w:rsidRPr="008A7BD0">
        <w:rPr>
          <w:sz w:val="28"/>
          <w:szCs w:val="28"/>
          <w:lang w:val="fr-CA"/>
        </w:rPr>
        <w:t>Comité des transports intérieurs</w:t>
      </w:r>
    </w:p>
    <w:p w14:paraId="6E4A43B8" w14:textId="77777777" w:rsidR="0090047B" w:rsidRPr="008A7BD0" w:rsidRDefault="0090047B" w:rsidP="00FD1581">
      <w:pPr>
        <w:spacing w:before="120"/>
        <w:rPr>
          <w:b/>
          <w:sz w:val="24"/>
          <w:szCs w:val="24"/>
          <w:lang w:val="fr-CA"/>
        </w:rPr>
      </w:pPr>
      <w:r w:rsidRPr="008A7BD0">
        <w:rPr>
          <w:b/>
          <w:bCs/>
          <w:sz w:val="24"/>
          <w:szCs w:val="24"/>
          <w:lang w:val="fr-FR"/>
        </w:rPr>
        <w:t xml:space="preserve">Groupe de travail des transports </w:t>
      </w:r>
      <w:r w:rsidRPr="008A7BD0">
        <w:rPr>
          <w:b/>
          <w:bCs/>
          <w:sz w:val="24"/>
          <w:szCs w:val="24"/>
          <w:lang w:val="fr-FR"/>
        </w:rPr>
        <w:br/>
        <w:t>de marchandises dangereuses</w:t>
      </w:r>
    </w:p>
    <w:p w14:paraId="3214CFE6" w14:textId="77777777" w:rsidR="0090047B" w:rsidRPr="008A7BD0" w:rsidRDefault="0090047B" w:rsidP="00FD1581">
      <w:pPr>
        <w:spacing w:before="120"/>
        <w:rPr>
          <w:b/>
          <w:lang w:val="fr-FR"/>
        </w:rPr>
      </w:pPr>
      <w:r w:rsidRPr="008A7BD0">
        <w:rPr>
          <w:b/>
          <w:lang w:val="fr-FR"/>
        </w:rPr>
        <w:t xml:space="preserve">Réunion commune de la Commission d’experts du RID </w:t>
      </w:r>
      <w:r w:rsidRPr="008A7BD0">
        <w:rPr>
          <w:b/>
          <w:lang w:val="fr-FR"/>
        </w:rPr>
        <w:br/>
        <w:t xml:space="preserve">et du Groupe de travail des transports </w:t>
      </w:r>
      <w:r w:rsidRPr="008A7BD0">
        <w:rPr>
          <w:b/>
          <w:lang w:val="fr-FR"/>
        </w:rPr>
        <w:br/>
        <w:t>de marchandises dangereuses</w:t>
      </w:r>
    </w:p>
    <w:p w14:paraId="71830D9D" w14:textId="4BAE46D5" w:rsidR="00F60025" w:rsidRPr="00555EF1" w:rsidRDefault="00F60025" w:rsidP="00FD1581">
      <w:r w:rsidRPr="00CE2861">
        <w:rPr>
          <w:rFonts w:eastAsiaTheme="minorHAnsi"/>
          <w:lang w:val="fr-FR" w:eastAsia="en-US"/>
        </w:rPr>
        <w:t>Genève, 19-29 septembre 2023</w:t>
      </w:r>
    </w:p>
    <w:p w14:paraId="1E069033" w14:textId="1A8E4C73" w:rsidR="0090047B" w:rsidRPr="008A7BD0" w:rsidRDefault="0090047B" w:rsidP="00FD1581">
      <w:pPr>
        <w:rPr>
          <w:lang w:val="fr-FR"/>
        </w:rPr>
      </w:pPr>
      <w:r w:rsidRPr="00555EF1">
        <w:t xml:space="preserve">Point </w:t>
      </w:r>
      <w:r w:rsidR="00F60025" w:rsidRPr="00555EF1">
        <w:t xml:space="preserve">2 </w:t>
      </w:r>
      <w:r w:rsidRPr="008A7BD0">
        <w:rPr>
          <w:lang w:val="fr-FR"/>
        </w:rPr>
        <w:t>de l’ordre du jour provisoire</w:t>
      </w:r>
    </w:p>
    <w:p w14:paraId="5CB77641" w14:textId="4C555084" w:rsidR="00C1626B" w:rsidRDefault="0047616A" w:rsidP="00F06ED4">
      <w:pPr>
        <w:rPr>
          <w:b/>
          <w:bCs/>
          <w:lang w:val="fr-FR"/>
        </w:rPr>
      </w:pPr>
      <w:r>
        <w:rPr>
          <w:b/>
          <w:bCs/>
          <w:lang w:val="fr-FR"/>
        </w:rPr>
        <w:t>Citernes</w:t>
      </w:r>
    </w:p>
    <w:p w14:paraId="4FDC4F74" w14:textId="77777777" w:rsidR="00EB70AF" w:rsidRDefault="00EB70AF" w:rsidP="00EB70AF">
      <w:pPr>
        <w:keepNext/>
        <w:keepLines/>
        <w:tabs>
          <w:tab w:val="right" w:pos="851"/>
        </w:tabs>
        <w:spacing w:before="360" w:after="240" w:line="300" w:lineRule="exact"/>
        <w:ind w:left="1134" w:right="1134" w:hanging="1134"/>
        <w:jc w:val="both"/>
        <w:rPr>
          <w:b/>
          <w:sz w:val="28"/>
          <w:lang w:val="fr-FR"/>
        </w:rPr>
      </w:pPr>
      <w:r w:rsidRPr="00992739">
        <w:rPr>
          <w:b/>
          <w:sz w:val="28"/>
          <w:lang w:val="fr-FR"/>
        </w:rPr>
        <w:tab/>
      </w:r>
      <w:r w:rsidRPr="00992739">
        <w:rPr>
          <w:b/>
          <w:sz w:val="28"/>
          <w:lang w:val="fr-FR"/>
        </w:rPr>
        <w:tab/>
      </w:r>
      <w:r>
        <w:rPr>
          <w:b/>
          <w:sz w:val="28"/>
          <w:lang w:val="fr-FR"/>
        </w:rPr>
        <w:t>Suppression du double agrément de citernes au titre des chapitres 6.7 et 6.8 du RID/ADR</w:t>
      </w:r>
    </w:p>
    <w:p w14:paraId="51E0E8D6" w14:textId="77777777" w:rsidR="00EB70AF" w:rsidRPr="00992739" w:rsidRDefault="00EB70AF" w:rsidP="00EB70AF">
      <w:pPr>
        <w:spacing w:line="240" w:lineRule="auto"/>
        <w:rPr>
          <w:sz w:val="24"/>
          <w:szCs w:val="24"/>
          <w:lang w:val="fr-FR"/>
        </w:rPr>
      </w:pPr>
      <w:r w:rsidRPr="00992739">
        <w:rPr>
          <w:rFonts w:eastAsia="Arial"/>
          <w:sz w:val="24"/>
          <w:szCs w:val="24"/>
          <w:lang w:val="fr-FR"/>
        </w:rPr>
        <w:tab/>
      </w:r>
      <w:r w:rsidRPr="00992739">
        <w:rPr>
          <w:rFonts w:eastAsia="Arial"/>
          <w:sz w:val="24"/>
          <w:szCs w:val="24"/>
          <w:lang w:val="fr-FR"/>
        </w:rPr>
        <w:tab/>
      </w:r>
      <w:r w:rsidRPr="00992739">
        <w:rPr>
          <w:rFonts w:eastAsia="Arial"/>
          <w:b/>
          <w:sz w:val="24"/>
          <w:lang w:val="fr-FR"/>
        </w:rPr>
        <w:t>Communication du Gouvernement de la France</w:t>
      </w:r>
      <w:r w:rsidRPr="00992739">
        <w:rPr>
          <w:b/>
          <w:vertAlign w:val="superscript"/>
          <w:lang w:val="fr-FR"/>
        </w:rPr>
        <w:footnoteReference w:customMarkFollows="1" w:id="2"/>
        <w:t xml:space="preserve">*, </w:t>
      </w:r>
      <w:r w:rsidRPr="00992739">
        <w:rPr>
          <w:b/>
          <w:vertAlign w:val="superscript"/>
          <w:lang w:val="fr-FR"/>
        </w:rPr>
        <w:footnoteReference w:customMarkFollows="1" w:id="3"/>
        <w:t>**</w:t>
      </w:r>
    </w:p>
    <w:p w14:paraId="3C512F76" w14:textId="77777777" w:rsidR="00EB70AF" w:rsidRPr="00992739" w:rsidRDefault="00EB70AF" w:rsidP="00EB70AF">
      <w:pPr>
        <w:spacing w:after="120" w:line="240" w:lineRule="auto"/>
        <w:rPr>
          <w:lang w:val="fr-FR"/>
        </w:rPr>
      </w:pPr>
    </w:p>
    <w:tbl>
      <w:tblPr>
        <w:tblW w:w="9629" w:type="dxa"/>
        <w:jc w:val="center"/>
        <w:tblBorders>
          <w:top w:val="single" w:sz="4" w:space="0" w:color="auto"/>
          <w:left w:val="single" w:sz="4" w:space="0" w:color="auto"/>
          <w:bottom w:val="single" w:sz="4" w:space="0" w:color="auto"/>
          <w:right w:val="single" w:sz="4" w:space="0" w:color="auto"/>
        </w:tblBorders>
        <w:tblCellMar>
          <w:left w:w="5" w:type="dxa"/>
          <w:right w:w="5" w:type="dxa"/>
        </w:tblCellMar>
        <w:tblLook w:val="01E0" w:firstRow="1" w:lastRow="1" w:firstColumn="1" w:lastColumn="1" w:noHBand="0" w:noVBand="0"/>
      </w:tblPr>
      <w:tblGrid>
        <w:gridCol w:w="9629"/>
      </w:tblGrid>
      <w:tr w:rsidR="00EB70AF" w:rsidRPr="00992739" w14:paraId="58B54DE0" w14:textId="77777777" w:rsidTr="00A546C6">
        <w:trPr>
          <w:jc w:val="center"/>
        </w:trPr>
        <w:tc>
          <w:tcPr>
            <w:tcW w:w="9629" w:type="dxa"/>
            <w:tcBorders>
              <w:top w:val="single" w:sz="4" w:space="0" w:color="auto"/>
              <w:left w:val="single" w:sz="4" w:space="0" w:color="auto"/>
              <w:bottom w:val="nil"/>
              <w:right w:val="single" w:sz="4" w:space="0" w:color="auto"/>
            </w:tcBorders>
            <w:hideMark/>
          </w:tcPr>
          <w:p w14:paraId="119693EB" w14:textId="77777777" w:rsidR="00EB70AF" w:rsidRPr="00992739" w:rsidRDefault="00EB70AF" w:rsidP="00A546C6">
            <w:pPr>
              <w:spacing w:before="240" w:after="120"/>
              <w:ind w:left="255"/>
              <w:rPr>
                <w:i/>
                <w:sz w:val="24"/>
                <w:lang w:val="fr-FR"/>
              </w:rPr>
            </w:pPr>
            <w:r w:rsidRPr="00992739">
              <w:rPr>
                <w:i/>
                <w:sz w:val="24"/>
                <w:lang w:val="fr-FR"/>
              </w:rPr>
              <w:t>Résumé</w:t>
            </w:r>
          </w:p>
        </w:tc>
      </w:tr>
      <w:tr w:rsidR="00EB70AF" w:rsidRPr="00992739" w14:paraId="52F2190C" w14:textId="77777777" w:rsidTr="00A546C6">
        <w:trPr>
          <w:jc w:val="center"/>
        </w:trPr>
        <w:tc>
          <w:tcPr>
            <w:tcW w:w="9629" w:type="dxa"/>
            <w:tcBorders>
              <w:top w:val="nil"/>
              <w:left w:val="single" w:sz="4" w:space="0" w:color="auto"/>
              <w:bottom w:val="nil"/>
              <w:right w:val="single" w:sz="4" w:space="0" w:color="auto"/>
            </w:tcBorders>
            <w:hideMark/>
          </w:tcPr>
          <w:p w14:paraId="3E796A5C" w14:textId="69F7D4DD" w:rsidR="00EB70AF" w:rsidRPr="00992739" w:rsidRDefault="00EB70AF" w:rsidP="00A546C6">
            <w:pPr>
              <w:tabs>
                <w:tab w:val="left" w:pos="3686"/>
              </w:tabs>
              <w:spacing w:after="120"/>
              <w:ind w:left="3686" w:right="1134" w:hanging="2552"/>
              <w:jc w:val="both"/>
              <w:rPr>
                <w:lang w:val="fr-FR"/>
              </w:rPr>
            </w:pPr>
            <w:r w:rsidRPr="00992739">
              <w:rPr>
                <w:b/>
                <w:lang w:val="fr-FR"/>
              </w:rPr>
              <w:t>Résumé analytique :</w:t>
            </w:r>
            <w:r w:rsidRPr="00992739">
              <w:rPr>
                <w:b/>
                <w:lang w:val="fr-FR"/>
              </w:rPr>
              <w:tab/>
            </w:r>
            <w:r w:rsidRPr="00992739">
              <w:rPr>
                <w:lang w:val="fr-FR"/>
              </w:rPr>
              <w:t xml:space="preserve">Ce document vise à </w:t>
            </w:r>
            <w:r>
              <w:rPr>
                <w:lang w:val="fr-FR"/>
              </w:rPr>
              <w:t>clarifier le régime applicable aux citernes mobiles du chapitre 6.7 en interdisant leur agrément au titre du chapitre 6.8 et en harmonisant leur utilisation en transport terrestre avec les règles applicables aux conteneurs-citernes du chapitre 6.8.</w:t>
            </w:r>
          </w:p>
        </w:tc>
      </w:tr>
      <w:tr w:rsidR="00EB70AF" w:rsidRPr="00992739" w14:paraId="62A63CDB" w14:textId="77777777" w:rsidTr="00A546C6">
        <w:trPr>
          <w:jc w:val="center"/>
        </w:trPr>
        <w:tc>
          <w:tcPr>
            <w:tcW w:w="9629" w:type="dxa"/>
            <w:tcBorders>
              <w:top w:val="nil"/>
              <w:left w:val="single" w:sz="4" w:space="0" w:color="auto"/>
              <w:bottom w:val="nil"/>
              <w:right w:val="single" w:sz="4" w:space="0" w:color="auto"/>
            </w:tcBorders>
            <w:hideMark/>
          </w:tcPr>
          <w:p w14:paraId="2CB7C218" w14:textId="77777777" w:rsidR="00EB70AF" w:rsidRDefault="00EB70AF" w:rsidP="00A546C6">
            <w:pPr>
              <w:tabs>
                <w:tab w:val="left" w:pos="3686"/>
              </w:tabs>
              <w:spacing w:after="120"/>
              <w:ind w:left="3686" w:right="1134" w:hanging="2552"/>
              <w:jc w:val="both"/>
              <w:rPr>
                <w:lang w:val="fr-FR"/>
              </w:rPr>
            </w:pPr>
            <w:r w:rsidRPr="00992739">
              <w:rPr>
                <w:b/>
                <w:lang w:val="fr-FR"/>
              </w:rPr>
              <w:t>Mesures à prendre :</w:t>
            </w:r>
            <w:r w:rsidRPr="00992739">
              <w:rPr>
                <w:b/>
                <w:lang w:val="fr-FR"/>
              </w:rPr>
              <w:tab/>
            </w:r>
            <w:r w:rsidRPr="00992739">
              <w:rPr>
                <w:lang w:val="fr-FR"/>
              </w:rPr>
              <w:t xml:space="preserve">Modifier </w:t>
            </w:r>
            <w:r>
              <w:rPr>
                <w:lang w:val="fr-FR"/>
              </w:rPr>
              <w:t>les 1.6.4, 3.2.1, 4.2.5.1.1, 6.7 et 6.8.</w:t>
            </w:r>
          </w:p>
          <w:p w14:paraId="209DD94E" w14:textId="1FBC48BC" w:rsidR="00EB70AF" w:rsidRPr="00992739" w:rsidRDefault="00EB70AF" w:rsidP="00A546C6">
            <w:pPr>
              <w:tabs>
                <w:tab w:val="left" w:pos="3686"/>
              </w:tabs>
              <w:ind w:left="3686" w:right="1134" w:hanging="2552"/>
              <w:jc w:val="both"/>
              <w:rPr>
                <w:b/>
                <w:lang w:val="fr-FR"/>
              </w:rPr>
            </w:pPr>
            <w:r>
              <w:rPr>
                <w:b/>
                <w:lang w:val="fr-FR"/>
              </w:rPr>
              <w:t>Documents connexes :</w:t>
            </w:r>
            <w:r w:rsidRPr="00992739">
              <w:rPr>
                <w:b/>
                <w:lang w:val="fr-FR"/>
              </w:rPr>
              <w:t xml:space="preserve"> </w:t>
            </w:r>
            <w:r w:rsidRPr="00992739">
              <w:rPr>
                <w:b/>
                <w:lang w:val="fr-FR"/>
              </w:rPr>
              <w:tab/>
            </w:r>
            <w:r w:rsidRPr="00806E0B">
              <w:rPr>
                <w:rStyle w:val="lev"/>
                <w:b w:val="0"/>
                <w:bCs w:val="0"/>
              </w:rPr>
              <w:t>ECE/TRANS/WP.15/AC.1/168/Add.1, paragraphes 17 à 20</w:t>
            </w:r>
            <w:r w:rsidR="00037A01" w:rsidRPr="00806E0B">
              <w:rPr>
                <w:rStyle w:val="lev"/>
                <w:b w:val="0"/>
                <w:bCs w:val="0"/>
              </w:rPr>
              <w:br/>
            </w:r>
            <w:r w:rsidR="00037A01" w:rsidRPr="00806E0B">
              <w:rPr>
                <w:bCs/>
                <w:lang w:val="fr-FR"/>
              </w:rPr>
              <w:t xml:space="preserve">Document informel INF.33 de la session de </w:t>
            </w:r>
            <w:r w:rsidR="00367214">
              <w:rPr>
                <w:bCs/>
                <w:lang w:val="fr-FR"/>
              </w:rPr>
              <w:t>printemps</w:t>
            </w:r>
            <w:r w:rsidR="00037A01" w:rsidRPr="00806E0B">
              <w:rPr>
                <w:bCs/>
                <w:lang w:val="fr-FR"/>
              </w:rPr>
              <w:t xml:space="preserve"> 202</w:t>
            </w:r>
            <w:r w:rsidR="00367214">
              <w:rPr>
                <w:bCs/>
                <w:lang w:val="fr-FR"/>
              </w:rPr>
              <w:t>3</w:t>
            </w:r>
            <w:r w:rsidR="007448AE">
              <w:rPr>
                <w:bCs/>
                <w:lang w:val="fr-FR"/>
              </w:rPr>
              <w:t xml:space="preserve"> de la Réunion commune.</w:t>
            </w:r>
          </w:p>
        </w:tc>
      </w:tr>
      <w:tr w:rsidR="00EB70AF" w:rsidRPr="00992739" w14:paraId="38530E48" w14:textId="77777777" w:rsidTr="00555EF1">
        <w:trPr>
          <w:trHeight w:val="284"/>
          <w:jc w:val="center"/>
        </w:trPr>
        <w:tc>
          <w:tcPr>
            <w:tcW w:w="9629" w:type="dxa"/>
            <w:tcBorders>
              <w:top w:val="nil"/>
              <w:left w:val="single" w:sz="4" w:space="0" w:color="auto"/>
              <w:bottom w:val="single" w:sz="4" w:space="0" w:color="auto"/>
              <w:right w:val="single" w:sz="4" w:space="0" w:color="auto"/>
            </w:tcBorders>
          </w:tcPr>
          <w:p w14:paraId="1E798E41" w14:textId="62640582" w:rsidR="00EB70AF" w:rsidRPr="00992739" w:rsidRDefault="00EB70AF" w:rsidP="00555EF1">
            <w:pPr>
              <w:tabs>
                <w:tab w:val="left" w:pos="3686"/>
              </w:tabs>
              <w:ind w:left="3686" w:right="1134" w:hanging="2552"/>
              <w:jc w:val="both"/>
              <w:rPr>
                <w:lang w:val="fr-FR"/>
              </w:rPr>
            </w:pPr>
            <w:r w:rsidRPr="00992739">
              <w:rPr>
                <w:b/>
                <w:lang w:val="fr-FR"/>
              </w:rPr>
              <w:tab/>
            </w:r>
          </w:p>
        </w:tc>
      </w:tr>
    </w:tbl>
    <w:p w14:paraId="4C6F9030" w14:textId="77777777" w:rsidR="00F72446" w:rsidRDefault="00F72446" w:rsidP="00806E0B">
      <w:pPr>
        <w:pStyle w:val="HChG"/>
        <w:rPr>
          <w:lang w:val="fr-FR"/>
        </w:rPr>
      </w:pPr>
    </w:p>
    <w:p w14:paraId="3EC9635C" w14:textId="77777777" w:rsidR="00F72446" w:rsidRDefault="00F72446">
      <w:pPr>
        <w:suppressAutoHyphens w:val="0"/>
        <w:kinsoku/>
        <w:overflowPunct/>
        <w:autoSpaceDE/>
        <w:autoSpaceDN/>
        <w:adjustRightInd/>
        <w:snapToGrid/>
        <w:spacing w:after="200" w:line="276" w:lineRule="auto"/>
        <w:rPr>
          <w:b/>
          <w:sz w:val="28"/>
          <w:lang w:val="fr-FR"/>
        </w:rPr>
      </w:pPr>
      <w:r>
        <w:rPr>
          <w:lang w:val="fr-FR"/>
        </w:rPr>
        <w:br w:type="page"/>
      </w:r>
    </w:p>
    <w:p w14:paraId="6557C29C" w14:textId="6EFB6E75" w:rsidR="00EB70AF" w:rsidRPr="00992739" w:rsidRDefault="00EB70AF" w:rsidP="00806E0B">
      <w:pPr>
        <w:pStyle w:val="HChG"/>
        <w:rPr>
          <w:lang w:val="fr-FR"/>
        </w:rPr>
      </w:pPr>
      <w:r w:rsidRPr="00992739">
        <w:rPr>
          <w:lang w:val="fr-FR"/>
        </w:rPr>
        <w:lastRenderedPageBreak/>
        <w:tab/>
      </w:r>
      <w:r>
        <w:rPr>
          <w:lang w:val="fr-FR"/>
        </w:rPr>
        <w:tab/>
      </w:r>
      <w:r w:rsidRPr="00992739">
        <w:rPr>
          <w:lang w:val="fr-FR"/>
        </w:rPr>
        <w:t>Introduction</w:t>
      </w:r>
    </w:p>
    <w:p w14:paraId="72D1CE6F" w14:textId="05D6CD5D" w:rsidR="00EB70AF" w:rsidRPr="00E13EA3" w:rsidRDefault="00EB70AF" w:rsidP="00EB70AF">
      <w:pPr>
        <w:pStyle w:val="SingleTxtG"/>
        <w:rPr>
          <w:lang w:val="fr-FR"/>
        </w:rPr>
      </w:pPr>
      <w:r>
        <w:t>1.</w:t>
      </w:r>
      <w:r>
        <w:tab/>
      </w:r>
      <w:r>
        <w:rPr>
          <w:lang w:val="fr-FR"/>
        </w:rPr>
        <w:t>Lors de la session de la Réunion commune de mars 2023,</w:t>
      </w:r>
      <w:r w:rsidRPr="00E13EA3">
        <w:rPr>
          <w:lang w:val="fr-FR"/>
        </w:rPr>
        <w:t xml:space="preserve"> </w:t>
      </w:r>
      <w:r>
        <w:rPr>
          <w:lang w:val="fr-FR"/>
        </w:rPr>
        <w:t>l</w:t>
      </w:r>
      <w:r w:rsidRPr="00E13EA3">
        <w:rPr>
          <w:lang w:val="fr-FR"/>
        </w:rPr>
        <w:t xml:space="preserve">e groupe de travail </w:t>
      </w:r>
      <w:r>
        <w:rPr>
          <w:lang w:val="fr-FR"/>
        </w:rPr>
        <w:t xml:space="preserve">des citernes </w:t>
      </w:r>
      <w:r w:rsidRPr="00E13EA3">
        <w:rPr>
          <w:lang w:val="fr-FR"/>
        </w:rPr>
        <w:t xml:space="preserve">a </w:t>
      </w:r>
      <w:r>
        <w:rPr>
          <w:lang w:val="fr-FR"/>
        </w:rPr>
        <w:t xml:space="preserve">discuté le document </w:t>
      </w:r>
      <w:r w:rsidR="003D5F72">
        <w:rPr>
          <w:lang w:val="fr-FR"/>
        </w:rPr>
        <w:t xml:space="preserve">informel </w:t>
      </w:r>
      <w:r>
        <w:rPr>
          <w:lang w:val="fr-FR"/>
        </w:rPr>
        <w:t>INF.33 de la France sur les difficultés</w:t>
      </w:r>
      <w:r w:rsidRPr="00E13EA3">
        <w:rPr>
          <w:lang w:val="fr-FR"/>
        </w:rPr>
        <w:t xml:space="preserve"> </w:t>
      </w:r>
      <w:r>
        <w:rPr>
          <w:lang w:val="fr-FR"/>
        </w:rPr>
        <w:t xml:space="preserve">que présentent le </w:t>
      </w:r>
      <w:r w:rsidRPr="00E13EA3">
        <w:rPr>
          <w:lang w:val="fr-FR"/>
        </w:rPr>
        <w:t>double a</w:t>
      </w:r>
      <w:r>
        <w:rPr>
          <w:lang w:val="fr-FR"/>
        </w:rPr>
        <w:t>grément</w:t>
      </w:r>
      <w:r w:rsidRPr="00E13EA3">
        <w:rPr>
          <w:lang w:val="fr-FR"/>
        </w:rPr>
        <w:t xml:space="preserve"> </w:t>
      </w:r>
      <w:r>
        <w:rPr>
          <w:lang w:val="fr-FR"/>
        </w:rPr>
        <w:t xml:space="preserve">de citernes </w:t>
      </w:r>
      <w:r w:rsidRPr="00E13EA3">
        <w:rPr>
          <w:lang w:val="fr-FR"/>
        </w:rPr>
        <w:t xml:space="preserve">au titre des </w:t>
      </w:r>
      <w:r w:rsidRPr="00161E96">
        <w:rPr>
          <w:lang w:val="fr-FR" w:eastAsia="fr-FR"/>
        </w:rPr>
        <w:t>chapitres</w:t>
      </w:r>
      <w:r w:rsidRPr="00E13EA3">
        <w:rPr>
          <w:lang w:val="fr-FR"/>
        </w:rPr>
        <w:t xml:space="preserve"> 6.7 et 6.8</w:t>
      </w:r>
      <w:r>
        <w:rPr>
          <w:lang w:val="fr-FR"/>
        </w:rPr>
        <w:t xml:space="preserve">. Il a convenu que ce double agrément </w:t>
      </w:r>
      <w:r w:rsidRPr="00E13EA3">
        <w:rPr>
          <w:lang w:val="fr-FR"/>
        </w:rPr>
        <w:t>pose des problèmes en termes d'agrément, de numéros d'agrément, d</w:t>
      </w:r>
      <w:r>
        <w:rPr>
          <w:lang w:val="fr-FR"/>
        </w:rPr>
        <w:t>e contrôle</w:t>
      </w:r>
      <w:r w:rsidRPr="00E13EA3">
        <w:rPr>
          <w:lang w:val="fr-FR"/>
        </w:rPr>
        <w:t>, d'utilisation, de marquage et d'identification du type de citerne.</w:t>
      </w:r>
    </w:p>
    <w:p w14:paraId="75E96A83" w14:textId="77777777" w:rsidR="00EB70AF" w:rsidRDefault="00EB70AF" w:rsidP="00EB70AF">
      <w:pPr>
        <w:pStyle w:val="SingleTxtG"/>
        <w:rPr>
          <w:lang w:val="fr-FR"/>
        </w:rPr>
      </w:pPr>
      <w:r>
        <w:rPr>
          <w:lang w:val="fr-FR"/>
        </w:rPr>
        <w:t>2.</w:t>
      </w:r>
      <w:r>
        <w:rPr>
          <w:lang w:val="fr-FR"/>
        </w:rPr>
        <w:tab/>
        <w:t>L</w:t>
      </w:r>
      <w:r w:rsidRPr="00E13EA3">
        <w:rPr>
          <w:lang w:val="fr-FR"/>
        </w:rPr>
        <w:t xml:space="preserve">a plupart des experts qui </w:t>
      </w:r>
      <w:r>
        <w:rPr>
          <w:lang w:val="fr-FR"/>
        </w:rPr>
        <w:t>se sont prononcés</w:t>
      </w:r>
      <w:r w:rsidRPr="00E13EA3">
        <w:rPr>
          <w:lang w:val="fr-FR"/>
        </w:rPr>
        <w:t xml:space="preserve"> ont exprimé une préférence pour interdire </w:t>
      </w:r>
      <w:r>
        <w:rPr>
          <w:lang w:val="fr-FR"/>
        </w:rPr>
        <w:t>ce</w:t>
      </w:r>
      <w:r w:rsidRPr="00E13EA3">
        <w:rPr>
          <w:lang w:val="fr-FR"/>
        </w:rPr>
        <w:t xml:space="preserve"> double a</w:t>
      </w:r>
      <w:r>
        <w:rPr>
          <w:lang w:val="fr-FR"/>
        </w:rPr>
        <w:t>grément mais i</w:t>
      </w:r>
      <w:r w:rsidRPr="00E13EA3">
        <w:rPr>
          <w:lang w:val="fr-FR"/>
        </w:rPr>
        <w:t xml:space="preserve">l a été </w:t>
      </w:r>
      <w:r>
        <w:rPr>
          <w:lang w:val="fr-FR" w:eastAsia="fr-FR"/>
        </w:rPr>
        <w:t xml:space="preserve">également </w:t>
      </w:r>
      <w:r w:rsidRPr="00E13EA3">
        <w:rPr>
          <w:lang w:val="fr-FR"/>
        </w:rPr>
        <w:t>reconnu</w:t>
      </w:r>
      <w:r>
        <w:rPr>
          <w:lang w:val="fr-FR"/>
        </w:rPr>
        <w:t xml:space="preserve"> </w:t>
      </w:r>
      <w:r w:rsidRPr="00E13EA3">
        <w:rPr>
          <w:lang w:val="fr-FR"/>
        </w:rPr>
        <w:t>qu'il y a des avantages pour les utilisateurs à avoir un</w:t>
      </w:r>
      <w:r>
        <w:rPr>
          <w:lang w:val="fr-FR"/>
        </w:rPr>
        <w:t xml:space="preserve"> </w:t>
      </w:r>
      <w:r w:rsidRPr="00E13EA3">
        <w:rPr>
          <w:lang w:val="fr-FR"/>
        </w:rPr>
        <w:t>double a</w:t>
      </w:r>
      <w:r>
        <w:rPr>
          <w:lang w:val="fr-FR"/>
        </w:rPr>
        <w:t>grément de leurs citernes</w:t>
      </w:r>
      <w:r w:rsidRPr="00906E5C">
        <w:rPr>
          <w:lang w:val="fr-FR"/>
        </w:rPr>
        <w:t xml:space="preserve"> </w:t>
      </w:r>
      <w:r>
        <w:rPr>
          <w:lang w:val="fr-FR"/>
        </w:rPr>
        <w:t>du fait de la différence de ces</w:t>
      </w:r>
      <w:r w:rsidRPr="00E13EA3">
        <w:rPr>
          <w:lang w:val="fr-FR"/>
        </w:rPr>
        <w:t xml:space="preserve"> régime</w:t>
      </w:r>
      <w:r>
        <w:rPr>
          <w:lang w:val="fr-FR"/>
        </w:rPr>
        <w:t>s (notamment pour ce qui concerne la vidange en partie basse)</w:t>
      </w:r>
      <w:r w:rsidRPr="00E13EA3">
        <w:rPr>
          <w:lang w:val="fr-FR"/>
        </w:rPr>
        <w:t>.</w:t>
      </w:r>
    </w:p>
    <w:p w14:paraId="16A81CE7" w14:textId="1ED4C95E" w:rsidR="00EB70AF" w:rsidRPr="003128C2" w:rsidRDefault="00EB70AF" w:rsidP="00EB70AF">
      <w:pPr>
        <w:pStyle w:val="SingleTxtG"/>
        <w:rPr>
          <w:lang w:val="fr-FR"/>
        </w:rPr>
      </w:pPr>
      <w:r>
        <w:rPr>
          <w:lang w:val="fr-FR"/>
        </w:rPr>
        <w:t>3.</w:t>
      </w:r>
      <w:r>
        <w:rPr>
          <w:lang w:val="fr-FR"/>
        </w:rPr>
        <w:tab/>
        <w:t xml:space="preserve">Pour faire suite à ces discussions, </w:t>
      </w:r>
      <w:r w:rsidR="004776EE">
        <w:rPr>
          <w:lang w:val="fr-FR"/>
        </w:rPr>
        <w:t>la France</w:t>
      </w:r>
      <w:r w:rsidR="004776EE" w:rsidRPr="003128C2">
        <w:t xml:space="preserve"> </w:t>
      </w:r>
      <w:r>
        <w:t>propos</w:t>
      </w:r>
      <w:r w:rsidR="004776EE">
        <w:t>e</w:t>
      </w:r>
      <w:r>
        <w:t xml:space="preserve"> de supprimer la possibilité de réaliser un double </w:t>
      </w:r>
      <w:r w:rsidRPr="00906E5C">
        <w:rPr>
          <w:lang w:val="fr-FR"/>
        </w:rPr>
        <w:t>agrément citerne mobile/</w:t>
      </w:r>
      <w:r w:rsidRPr="00197114">
        <w:rPr>
          <w:lang w:val="fr-FR"/>
        </w:rPr>
        <w:t>conteneur</w:t>
      </w:r>
      <w:r>
        <w:rPr>
          <w:lang w:val="fr-FR"/>
        </w:rPr>
        <w:t>-</w:t>
      </w:r>
      <w:r w:rsidRPr="00906E5C">
        <w:rPr>
          <w:lang w:val="fr-FR"/>
        </w:rPr>
        <w:t>citerne en raison des problèmes que cela pose.</w:t>
      </w:r>
    </w:p>
    <w:p w14:paraId="4A698064" w14:textId="643DD331" w:rsidR="00EB70AF" w:rsidRDefault="00EB70AF" w:rsidP="00EB70AF">
      <w:pPr>
        <w:pStyle w:val="SingleTxtG"/>
        <w:rPr>
          <w:lang w:val="fr-FR" w:eastAsia="fr-FR"/>
        </w:rPr>
      </w:pPr>
      <w:r>
        <w:rPr>
          <w:lang w:val="fr-FR"/>
        </w:rPr>
        <w:t>4.</w:t>
      </w:r>
      <w:r>
        <w:rPr>
          <w:lang w:val="fr-FR"/>
        </w:rPr>
        <w:tab/>
      </w:r>
      <w:r w:rsidRPr="00906E5C">
        <w:rPr>
          <w:lang w:val="fr-FR"/>
        </w:rPr>
        <w:t xml:space="preserve">Mais, au-delà de la résolution des problèmes évoqués par la suppression du double agrément, </w:t>
      </w:r>
      <w:r w:rsidR="009E3CD5">
        <w:rPr>
          <w:lang w:val="fr-FR"/>
        </w:rPr>
        <w:t>la France pense</w:t>
      </w:r>
      <w:r w:rsidR="009E3CD5" w:rsidRPr="00906E5C">
        <w:rPr>
          <w:lang w:val="fr-FR"/>
        </w:rPr>
        <w:t xml:space="preserve"> </w:t>
      </w:r>
      <w:r w:rsidRPr="00906E5C">
        <w:rPr>
          <w:lang w:val="fr-FR"/>
        </w:rPr>
        <w:t>qu’il est nécessaire de prévoir un dispositif permettant aux exploitants de pouvoir continuer à utiliser des citernes mobiles lorsqu’elles sont utilisées exclusivement</w:t>
      </w:r>
      <w:r>
        <w:t xml:space="preserve"> en transport terrestre selon le RID/ADR, dans des</w:t>
      </w:r>
      <w:r w:rsidRPr="00197114">
        <w:rPr>
          <w:lang w:val="fr-FR" w:eastAsia="fr-FR"/>
        </w:rPr>
        <w:t xml:space="preserve"> conditions équivalentes de sécurité à celles </w:t>
      </w:r>
      <w:r>
        <w:rPr>
          <w:lang w:val="fr-FR" w:eastAsia="fr-FR"/>
        </w:rPr>
        <w:t>applicables aux</w:t>
      </w:r>
      <w:r w:rsidRPr="00197114">
        <w:rPr>
          <w:lang w:val="fr-FR" w:eastAsia="fr-FR"/>
        </w:rPr>
        <w:t xml:space="preserve"> conteneurs</w:t>
      </w:r>
      <w:r>
        <w:rPr>
          <w:lang w:val="fr-FR" w:eastAsia="fr-FR"/>
        </w:rPr>
        <w:t>-</w:t>
      </w:r>
      <w:r w:rsidRPr="00197114">
        <w:rPr>
          <w:lang w:val="fr-FR" w:eastAsia="fr-FR"/>
        </w:rPr>
        <w:t>citernes.</w:t>
      </w:r>
    </w:p>
    <w:p w14:paraId="4C6F5831" w14:textId="3C0F23D4" w:rsidR="00EB70AF" w:rsidRDefault="00EB70AF" w:rsidP="00EB70AF">
      <w:pPr>
        <w:pStyle w:val="SingleTxtG"/>
        <w:rPr>
          <w:lang w:val="fr-FR"/>
        </w:rPr>
      </w:pPr>
      <w:r>
        <w:rPr>
          <w:lang w:val="fr-FR" w:eastAsia="fr-FR"/>
        </w:rPr>
        <w:t>5.</w:t>
      </w:r>
      <w:r>
        <w:rPr>
          <w:lang w:val="fr-FR" w:eastAsia="fr-FR"/>
        </w:rPr>
        <w:tab/>
        <w:t>Pour répondre à cette possibilité qui serait donnée, une instruction de transport en citernes mobiles dont les équipements correspondent à ceux prévus au chapitre 6.8, utilisable uniquement pour un transport ferroviaire ou routier, pourrait être affectée à chaque matière concernée. Cette instruction pourrait être ajoutée entre parenthèses en colonne (10) du tableau</w:t>
      </w:r>
      <w:r w:rsidR="00ED281A">
        <w:rPr>
          <w:lang w:val="fr-FR" w:eastAsia="fr-FR"/>
        </w:rPr>
        <w:t> </w:t>
      </w:r>
      <w:r>
        <w:rPr>
          <w:lang w:val="fr-FR" w:eastAsia="fr-FR"/>
        </w:rPr>
        <w:t>A du chapitre 3.2 en bas de la case (présentation similaire à ce que prévoit l’ADR pour le code de restriction en tunnel en colonne (15)). Alternativement la colonne (10) pourrait être divisée en deux colonnes, la première conforme à l’existante, la seconde listant pour centaines matières les instructions de transport utilisables uniquement en transport ferroviaire ou routier.</w:t>
      </w:r>
    </w:p>
    <w:p w14:paraId="66971DCD" w14:textId="77777777" w:rsidR="00EB70AF" w:rsidRDefault="00EB70AF" w:rsidP="00ED281A">
      <w:pPr>
        <w:pStyle w:val="HChG"/>
        <w:rPr>
          <w:lang w:val="fr-FR"/>
        </w:rPr>
      </w:pPr>
      <w:r w:rsidRPr="00992739">
        <w:rPr>
          <w:lang w:val="fr-FR"/>
        </w:rPr>
        <w:tab/>
      </w:r>
      <w:r w:rsidRPr="00992739">
        <w:rPr>
          <w:lang w:val="fr-FR"/>
        </w:rPr>
        <w:tab/>
        <w:t>Proposition</w:t>
      </w:r>
      <w:r>
        <w:rPr>
          <w:lang w:val="fr-FR"/>
        </w:rPr>
        <w:t>s</w:t>
      </w:r>
    </w:p>
    <w:p w14:paraId="4E5F1EAF" w14:textId="77777777" w:rsidR="00EB70AF" w:rsidRPr="008C7908" w:rsidRDefault="00EB70AF" w:rsidP="00ED281A">
      <w:pPr>
        <w:pStyle w:val="H1G"/>
        <w:rPr>
          <w:lang w:val="fr-FR"/>
        </w:rPr>
      </w:pPr>
      <w:r w:rsidRPr="008C7908">
        <w:rPr>
          <w:lang w:val="fr-FR"/>
        </w:rPr>
        <w:tab/>
      </w:r>
      <w:r w:rsidRPr="008C7908">
        <w:rPr>
          <w:lang w:val="fr-FR"/>
        </w:rPr>
        <w:tab/>
        <w:t>Proposition 1</w:t>
      </w:r>
    </w:p>
    <w:p w14:paraId="3228F7EA" w14:textId="77777777" w:rsidR="00EB70AF" w:rsidRPr="00D01148" w:rsidRDefault="00EB70AF" w:rsidP="00EB70AF">
      <w:pPr>
        <w:pStyle w:val="SingleTxtG"/>
        <w:rPr>
          <w:lang w:val="fr-FR" w:eastAsia="fr-FR"/>
        </w:rPr>
      </w:pPr>
      <w:r>
        <w:rPr>
          <w:lang w:val="fr-FR"/>
        </w:rPr>
        <w:t>6.</w:t>
      </w:r>
      <w:r>
        <w:rPr>
          <w:lang w:val="fr-FR"/>
        </w:rPr>
        <w:tab/>
        <w:t xml:space="preserve">A </w:t>
      </w:r>
      <w:r w:rsidRPr="00197114">
        <w:rPr>
          <w:lang w:val="fr-FR" w:eastAsia="fr-FR"/>
        </w:rPr>
        <w:t>la fin d</w:t>
      </w:r>
      <w:r>
        <w:rPr>
          <w:lang w:val="fr-FR" w:eastAsia="fr-FR"/>
        </w:rPr>
        <w:t>u</w:t>
      </w:r>
      <w:r w:rsidRPr="00197114">
        <w:rPr>
          <w:lang w:val="fr-FR" w:eastAsia="fr-FR"/>
        </w:rPr>
        <w:t xml:space="preserve"> NOTA 1 </w:t>
      </w:r>
      <w:r>
        <w:rPr>
          <w:lang w:val="fr-FR" w:eastAsia="fr-FR"/>
        </w:rPr>
        <w:t xml:space="preserve">sous le titre </w:t>
      </w:r>
      <w:r w:rsidRPr="00197114">
        <w:rPr>
          <w:lang w:val="fr-FR" w:eastAsia="fr-FR"/>
        </w:rPr>
        <w:t xml:space="preserve">du </w:t>
      </w:r>
      <w:r>
        <w:rPr>
          <w:lang w:val="fr-FR" w:eastAsia="fr-FR"/>
        </w:rPr>
        <w:t xml:space="preserve">chapitre </w:t>
      </w:r>
      <w:r w:rsidRPr="00197114">
        <w:rPr>
          <w:lang w:val="fr-FR" w:eastAsia="fr-FR"/>
        </w:rPr>
        <w:t>6.7</w:t>
      </w:r>
      <w:r>
        <w:rPr>
          <w:lang w:val="fr-FR" w:eastAsia="fr-FR"/>
        </w:rPr>
        <w:t>, a</w:t>
      </w:r>
      <w:r w:rsidRPr="00197114">
        <w:rPr>
          <w:lang w:val="fr-FR" w:eastAsia="fr-FR"/>
        </w:rPr>
        <w:t>jouter</w:t>
      </w:r>
      <w:r>
        <w:rPr>
          <w:lang w:val="fr-FR" w:eastAsia="fr-FR"/>
        </w:rPr>
        <w:t> :</w:t>
      </w:r>
      <w:r w:rsidRPr="00197114">
        <w:rPr>
          <w:lang w:val="fr-FR" w:eastAsia="fr-FR"/>
        </w:rPr>
        <w:t xml:space="preserve"> </w:t>
      </w:r>
    </w:p>
    <w:p w14:paraId="68BBABC4" w14:textId="77777777" w:rsidR="00EB70AF" w:rsidRDefault="00EB70AF" w:rsidP="00EB70AF">
      <w:pPr>
        <w:pStyle w:val="SingleTxtG"/>
        <w:ind w:firstLine="567"/>
        <w:rPr>
          <w:lang w:val="fr-FR" w:eastAsia="fr-FR"/>
        </w:rPr>
      </w:pPr>
      <w:r>
        <w:rPr>
          <w:lang w:val="fr-FR" w:eastAsia="fr-FR"/>
        </w:rPr>
        <w:t>« Une citerne mobile conforme au chapitre 6.7 ne peut pas être agréée conformément au chapitre 6.8. »</w:t>
      </w:r>
    </w:p>
    <w:p w14:paraId="02B95D4B" w14:textId="77777777" w:rsidR="00EB70AF" w:rsidRPr="00D01148" w:rsidRDefault="00EB70AF" w:rsidP="00EB70AF">
      <w:pPr>
        <w:pStyle w:val="SingleTxtG"/>
        <w:rPr>
          <w:lang w:val="fr-FR" w:eastAsia="fr-FR"/>
        </w:rPr>
      </w:pPr>
      <w:r>
        <w:rPr>
          <w:lang w:val="fr-FR"/>
        </w:rPr>
        <w:t>7.</w:t>
      </w:r>
      <w:r>
        <w:rPr>
          <w:lang w:val="fr-FR"/>
        </w:rPr>
        <w:tab/>
        <w:t xml:space="preserve">A </w:t>
      </w:r>
      <w:r w:rsidRPr="00197114">
        <w:rPr>
          <w:lang w:val="fr-FR" w:eastAsia="fr-FR"/>
        </w:rPr>
        <w:t>la fin d</w:t>
      </w:r>
      <w:r>
        <w:rPr>
          <w:lang w:val="fr-FR" w:eastAsia="fr-FR"/>
        </w:rPr>
        <w:t>u</w:t>
      </w:r>
      <w:r w:rsidRPr="00197114">
        <w:rPr>
          <w:lang w:val="fr-FR" w:eastAsia="fr-FR"/>
        </w:rPr>
        <w:t xml:space="preserve"> NOTA 1 </w:t>
      </w:r>
      <w:r>
        <w:rPr>
          <w:lang w:val="fr-FR" w:eastAsia="fr-FR"/>
        </w:rPr>
        <w:t xml:space="preserve">sous le titre </w:t>
      </w:r>
      <w:r w:rsidRPr="00197114">
        <w:rPr>
          <w:lang w:val="fr-FR" w:eastAsia="fr-FR"/>
        </w:rPr>
        <w:t xml:space="preserve">du </w:t>
      </w:r>
      <w:r>
        <w:rPr>
          <w:lang w:val="fr-FR" w:eastAsia="fr-FR"/>
        </w:rPr>
        <w:t xml:space="preserve">chapitre </w:t>
      </w:r>
      <w:r w:rsidRPr="00197114">
        <w:rPr>
          <w:lang w:val="fr-FR" w:eastAsia="fr-FR"/>
        </w:rPr>
        <w:t>6.</w:t>
      </w:r>
      <w:r>
        <w:rPr>
          <w:lang w:val="fr-FR" w:eastAsia="fr-FR"/>
        </w:rPr>
        <w:t>8, a</w:t>
      </w:r>
      <w:r w:rsidRPr="00197114">
        <w:rPr>
          <w:lang w:val="fr-FR" w:eastAsia="fr-FR"/>
        </w:rPr>
        <w:t>jouter</w:t>
      </w:r>
      <w:r>
        <w:rPr>
          <w:lang w:val="fr-FR" w:eastAsia="fr-FR"/>
        </w:rPr>
        <w:t> :</w:t>
      </w:r>
      <w:r w:rsidRPr="00197114">
        <w:rPr>
          <w:lang w:val="fr-FR" w:eastAsia="fr-FR"/>
        </w:rPr>
        <w:t xml:space="preserve"> </w:t>
      </w:r>
    </w:p>
    <w:p w14:paraId="1C3CA69E" w14:textId="77777777" w:rsidR="00EB70AF" w:rsidRDefault="00EB70AF" w:rsidP="00EB70AF">
      <w:pPr>
        <w:pStyle w:val="SingleTxtG"/>
        <w:ind w:firstLine="567"/>
        <w:rPr>
          <w:lang w:val="fr-FR" w:eastAsia="fr-FR"/>
        </w:rPr>
      </w:pPr>
      <w:r>
        <w:rPr>
          <w:lang w:val="fr-FR" w:eastAsia="fr-FR"/>
        </w:rPr>
        <w:t>« Un conteneur-citerne conforme au chapitre 6.8 ne peut pas être agréé conformément au chapitre 6.7. »</w:t>
      </w:r>
    </w:p>
    <w:p w14:paraId="5DD0C0DC" w14:textId="77777777" w:rsidR="00EB70AF" w:rsidRPr="008C7908" w:rsidRDefault="00EB70AF" w:rsidP="00ED281A">
      <w:pPr>
        <w:pStyle w:val="H1G"/>
        <w:rPr>
          <w:lang w:val="fr-FR"/>
        </w:rPr>
      </w:pPr>
      <w:r w:rsidRPr="008C7908">
        <w:rPr>
          <w:lang w:val="fr-FR"/>
        </w:rPr>
        <w:tab/>
      </w:r>
      <w:r w:rsidRPr="008C7908">
        <w:rPr>
          <w:lang w:val="fr-FR"/>
        </w:rPr>
        <w:tab/>
        <w:t>Proposition 2</w:t>
      </w:r>
    </w:p>
    <w:p w14:paraId="2C839103" w14:textId="164CDD70" w:rsidR="00EB70AF" w:rsidRDefault="00EB70AF" w:rsidP="00EB70AF">
      <w:pPr>
        <w:pStyle w:val="SingleTxtG"/>
      </w:pPr>
      <w:r>
        <w:t>8.</w:t>
      </w:r>
      <w:r>
        <w:tab/>
        <w:t>En colonne (10) du tableau A du chapitre 3.2, pour les No</w:t>
      </w:r>
      <w:r w:rsidR="0060376A">
        <w:t>s</w:t>
      </w:r>
      <w:r>
        <w:t xml:space="preserve"> ONU donnés </w:t>
      </w:r>
      <w:r w:rsidR="00DA006D">
        <w:t>dans un</w:t>
      </w:r>
      <w:r>
        <w:t xml:space="preserve"> document</w:t>
      </w:r>
      <w:r w:rsidR="00DA006D">
        <w:t xml:space="preserve"> informel soumis par la France</w:t>
      </w:r>
      <w:r>
        <w:t xml:space="preserve">, ajouter en bas de la case, entre parenthèses, l’instruction de transport en citernes mobiles proposée </w:t>
      </w:r>
      <w:r>
        <w:rPr>
          <w:lang w:val="fr-FR" w:eastAsia="fr-FR"/>
        </w:rPr>
        <w:t xml:space="preserve">utilisable uniquement pour un transport ferroviaire ou routier. </w:t>
      </w:r>
    </w:p>
    <w:p w14:paraId="4E5EF8CE" w14:textId="77777777" w:rsidR="00EB70AF" w:rsidRDefault="00EB70AF" w:rsidP="00EB70AF">
      <w:pPr>
        <w:pStyle w:val="SingleTxtG"/>
        <w:rPr>
          <w:lang w:val="fr-FR" w:eastAsia="fr-FR"/>
        </w:rPr>
      </w:pPr>
      <w:r>
        <w:rPr>
          <w:lang w:val="fr-FR" w:eastAsia="fr-FR"/>
        </w:rPr>
        <w:t>9.</w:t>
      </w:r>
      <w:r>
        <w:rPr>
          <w:lang w:val="fr-FR" w:eastAsia="fr-FR"/>
        </w:rPr>
        <w:tab/>
        <w:t>Au 3.2.1, dans les Notes explicatives pour chaque colonne, pour « C</w:t>
      </w:r>
      <w:r w:rsidRPr="00197114">
        <w:rPr>
          <w:lang w:val="fr-FR" w:eastAsia="fr-FR"/>
        </w:rPr>
        <w:t>olonne (10)</w:t>
      </w:r>
      <w:r>
        <w:rPr>
          <w:lang w:val="fr-FR" w:eastAsia="fr-FR"/>
        </w:rPr>
        <w:t> »,</w:t>
      </w:r>
    </w:p>
    <w:p w14:paraId="2C7BD313" w14:textId="77777777" w:rsidR="00EB70AF" w:rsidRDefault="00EB70AF" w:rsidP="00EB70AF">
      <w:pPr>
        <w:pStyle w:val="SingleTxtG"/>
        <w:ind w:firstLine="567"/>
        <w:rPr>
          <w:lang w:val="fr-FR" w:eastAsia="fr-FR"/>
        </w:rPr>
      </w:pPr>
      <w:r>
        <w:rPr>
          <w:lang w:val="fr-FR" w:eastAsia="fr-FR"/>
        </w:rPr>
        <w:t>- au premier paragraphe, ajouter « en haut de la case » après « Contient » ;</w:t>
      </w:r>
    </w:p>
    <w:p w14:paraId="255D4A62" w14:textId="77777777" w:rsidR="00EB70AF" w:rsidRDefault="00EB70AF" w:rsidP="00EB70AF">
      <w:pPr>
        <w:pStyle w:val="SingleTxtG"/>
        <w:ind w:firstLine="567"/>
        <w:rPr>
          <w:lang w:val="fr-FR" w:eastAsia="fr-FR"/>
        </w:rPr>
      </w:pPr>
      <w:r>
        <w:rPr>
          <w:lang w:val="fr-FR" w:eastAsia="fr-FR"/>
        </w:rPr>
        <w:t>- après le deuxième paragraphe, ajouter le paragraphe suivant :</w:t>
      </w:r>
    </w:p>
    <w:p w14:paraId="06FB5A36" w14:textId="3E04EE88" w:rsidR="00EB70AF" w:rsidRDefault="00EB70AF" w:rsidP="00806E0B">
      <w:pPr>
        <w:pStyle w:val="SingleTxtG"/>
        <w:ind w:firstLine="567"/>
        <w:rPr>
          <w:lang w:val="fr-FR" w:eastAsia="fr-FR"/>
        </w:rPr>
      </w:pPr>
      <w:r>
        <w:rPr>
          <w:lang w:val="fr-FR" w:eastAsia="fr-FR"/>
        </w:rPr>
        <w:t>« Contient en bas de la case, entre parenthèses,</w:t>
      </w:r>
      <w:r w:rsidRPr="00197114">
        <w:rPr>
          <w:lang w:val="fr-FR" w:eastAsia="fr-FR"/>
        </w:rPr>
        <w:t xml:space="preserve"> </w:t>
      </w:r>
      <w:r>
        <w:rPr>
          <w:lang w:val="fr-FR" w:eastAsia="fr-FR"/>
        </w:rPr>
        <w:t>une instruction de transport en citernes mobiles utilisable uniquement en transport ferroviaire ou routier. »</w:t>
      </w:r>
    </w:p>
    <w:p w14:paraId="73C07D77" w14:textId="77777777" w:rsidR="00EB70AF" w:rsidRDefault="00EB70AF" w:rsidP="00EB70AF">
      <w:pPr>
        <w:pStyle w:val="SingleTxtG"/>
        <w:rPr>
          <w:lang w:val="fr-FR" w:eastAsia="fr-FR"/>
        </w:rPr>
      </w:pPr>
      <w:r>
        <w:rPr>
          <w:lang w:val="fr-FR" w:eastAsia="fr-FR"/>
        </w:rPr>
        <w:lastRenderedPageBreak/>
        <w:t>10.</w:t>
      </w:r>
      <w:r>
        <w:rPr>
          <w:lang w:val="fr-FR" w:eastAsia="fr-FR"/>
        </w:rPr>
        <w:tab/>
        <w:t xml:space="preserve">A </w:t>
      </w:r>
      <w:r w:rsidRPr="00D01148">
        <w:rPr>
          <w:lang w:val="fr-FR" w:eastAsia="fr-FR"/>
        </w:rPr>
        <w:t>la fin du 4.2.5.1.1</w:t>
      </w:r>
      <w:r>
        <w:rPr>
          <w:lang w:val="fr-FR" w:eastAsia="fr-FR"/>
        </w:rPr>
        <w:t>, ajouter le Nota suivant :</w:t>
      </w:r>
    </w:p>
    <w:p w14:paraId="3A9A32BF" w14:textId="2BDE6118" w:rsidR="00EB70AF" w:rsidRPr="00D01148" w:rsidRDefault="00EB70AF" w:rsidP="00EB70AF">
      <w:pPr>
        <w:pStyle w:val="SingleTxtG"/>
        <w:rPr>
          <w:lang w:val="fr-FR" w:eastAsia="fr-FR"/>
        </w:rPr>
      </w:pPr>
      <w:r>
        <w:rPr>
          <w:lang w:val="fr-FR" w:eastAsia="fr-FR"/>
        </w:rPr>
        <w:tab/>
      </w:r>
      <w:r>
        <w:rPr>
          <w:lang w:val="fr-FR" w:eastAsia="fr-FR"/>
        </w:rPr>
        <w:tab/>
        <w:t>« </w:t>
      </w:r>
      <w:r w:rsidRPr="008C7908">
        <w:rPr>
          <w:b/>
          <w:bCs/>
          <w:i/>
          <w:iCs/>
          <w:lang w:val="fr-FR" w:eastAsia="fr-FR"/>
        </w:rPr>
        <w:t>NOTA </w:t>
      </w:r>
      <w:r>
        <w:rPr>
          <w:b/>
          <w:bCs/>
          <w:i/>
          <w:iCs/>
          <w:lang w:val="fr-FR" w:eastAsia="fr-FR"/>
        </w:rPr>
        <w:t>1</w:t>
      </w:r>
      <w:r>
        <w:rPr>
          <w:lang w:val="fr-FR" w:eastAsia="fr-FR"/>
        </w:rPr>
        <w:t xml:space="preserve">: Alternativement, les instructions de transport en citernes mobiles figurant en colonne (10) </w:t>
      </w:r>
      <w:r w:rsidR="00860B82">
        <w:rPr>
          <w:lang w:val="fr-FR" w:eastAsia="fr-FR"/>
        </w:rPr>
        <w:t xml:space="preserve">du tableau A du chapitre 3.2 </w:t>
      </w:r>
      <w:r>
        <w:rPr>
          <w:lang w:val="fr-FR" w:eastAsia="fr-FR"/>
        </w:rPr>
        <w:t>entre parenthèses en bas de la case peuvent être utilisées pour des transports exclusivement ferroviaire ou routier.</w:t>
      </w:r>
    </w:p>
    <w:p w14:paraId="48998E3F" w14:textId="77777777" w:rsidR="00EB70AF" w:rsidRDefault="00EB70AF" w:rsidP="00EB70AF">
      <w:pPr>
        <w:pStyle w:val="SingleTxtG"/>
        <w:ind w:firstLine="567"/>
        <w:rPr>
          <w:lang w:val="fr-FR" w:eastAsia="fr-FR"/>
        </w:rPr>
      </w:pPr>
      <w:r>
        <w:rPr>
          <w:lang w:val="fr-FR" w:eastAsia="fr-FR"/>
        </w:rPr>
        <w:t>Le Nota</w:t>
      </w:r>
      <w:r w:rsidRPr="00D01148">
        <w:rPr>
          <w:lang w:val="fr-FR" w:eastAsia="fr-FR"/>
        </w:rPr>
        <w:t xml:space="preserve"> </w:t>
      </w:r>
      <w:r>
        <w:rPr>
          <w:lang w:val="fr-FR" w:eastAsia="fr-FR"/>
        </w:rPr>
        <w:t>existant devient NOTA 2.</w:t>
      </w:r>
    </w:p>
    <w:p w14:paraId="45F2DDF4" w14:textId="77777777" w:rsidR="00EB70AF" w:rsidRPr="008C7908" w:rsidRDefault="00EB70AF" w:rsidP="00324818">
      <w:pPr>
        <w:pStyle w:val="H1G"/>
        <w:rPr>
          <w:lang w:val="fr-FR"/>
        </w:rPr>
      </w:pPr>
      <w:r w:rsidRPr="008C7908">
        <w:rPr>
          <w:lang w:val="fr-FR"/>
        </w:rPr>
        <w:tab/>
      </w:r>
      <w:r w:rsidRPr="008C7908">
        <w:rPr>
          <w:lang w:val="fr-FR"/>
        </w:rPr>
        <w:tab/>
        <w:t xml:space="preserve">Proposition </w:t>
      </w:r>
      <w:r>
        <w:rPr>
          <w:lang w:val="fr-FR"/>
        </w:rPr>
        <w:t>3</w:t>
      </w:r>
    </w:p>
    <w:p w14:paraId="1139B608" w14:textId="77777777" w:rsidR="00EB70AF" w:rsidRDefault="00EB70AF" w:rsidP="00EB70AF">
      <w:pPr>
        <w:pStyle w:val="SingleTxtG"/>
        <w:rPr>
          <w:lang w:val="fr-FR" w:eastAsia="fr-FR"/>
        </w:rPr>
      </w:pPr>
      <w:r>
        <w:rPr>
          <w:lang w:val="fr-FR" w:eastAsia="fr-FR"/>
        </w:rPr>
        <w:t>11.</w:t>
      </w:r>
      <w:r>
        <w:rPr>
          <w:lang w:val="fr-FR" w:eastAsia="fr-FR"/>
        </w:rPr>
        <w:tab/>
        <w:t>Au chapitre 1.6, ajouter les nouvelles mesures</w:t>
      </w:r>
      <w:r w:rsidRPr="00D01148">
        <w:rPr>
          <w:lang w:val="fr-FR" w:eastAsia="fr-FR"/>
        </w:rPr>
        <w:t xml:space="preserve"> transitoire</w:t>
      </w:r>
      <w:r>
        <w:rPr>
          <w:lang w:val="fr-FR" w:eastAsia="fr-FR"/>
        </w:rPr>
        <w:t>s</w:t>
      </w:r>
      <w:r w:rsidRPr="00D01148">
        <w:rPr>
          <w:lang w:val="fr-FR" w:eastAsia="fr-FR"/>
        </w:rPr>
        <w:t xml:space="preserve"> </w:t>
      </w:r>
      <w:r>
        <w:rPr>
          <w:lang w:val="fr-FR" w:eastAsia="fr-FR"/>
        </w:rPr>
        <w:t>suivantes :</w:t>
      </w:r>
    </w:p>
    <w:p w14:paraId="6E0902F5" w14:textId="77777777" w:rsidR="00EB70AF" w:rsidRDefault="00EB70AF" w:rsidP="00EB70AF">
      <w:pPr>
        <w:pStyle w:val="SingleTxtG"/>
        <w:ind w:firstLine="567"/>
        <w:rPr>
          <w:lang w:val="fr-FR" w:eastAsia="fr-FR"/>
        </w:rPr>
      </w:pPr>
      <w:r>
        <w:rPr>
          <w:lang w:val="fr-FR" w:eastAsia="fr-FR"/>
        </w:rPr>
        <w:t>« 1.6.4.x</w:t>
      </w:r>
      <w:r>
        <w:rPr>
          <w:lang w:val="fr-FR" w:eastAsia="fr-FR"/>
        </w:rPr>
        <w:tab/>
        <w:t>L</w:t>
      </w:r>
      <w:r w:rsidRPr="00D01148">
        <w:rPr>
          <w:lang w:val="fr-FR" w:eastAsia="fr-FR"/>
        </w:rPr>
        <w:t>es conteneurs</w:t>
      </w:r>
      <w:r>
        <w:rPr>
          <w:lang w:val="fr-FR" w:eastAsia="fr-FR"/>
        </w:rPr>
        <w:t>-</w:t>
      </w:r>
      <w:r w:rsidRPr="00D01148">
        <w:rPr>
          <w:lang w:val="fr-FR" w:eastAsia="fr-FR"/>
        </w:rPr>
        <w:t>citernes</w:t>
      </w:r>
      <w:r>
        <w:rPr>
          <w:lang w:val="fr-FR" w:eastAsia="fr-FR"/>
        </w:rPr>
        <w:t xml:space="preserve"> conformes au chapitre 6.8 qui ont été agréés conformément au chapitre 6.7 peuvent être utilisés jusqu’au prochain contrôle </w:t>
      </w:r>
      <w:r w:rsidRPr="00197114">
        <w:rPr>
          <w:lang w:val="fr-FR" w:eastAsia="fr-FR"/>
        </w:rPr>
        <w:t>périodique ou contrôle intermédiaire effectué avant le 1er juillet 2027. Au-delà l</w:t>
      </w:r>
      <w:r>
        <w:rPr>
          <w:lang w:val="fr-FR" w:eastAsia="fr-FR"/>
        </w:rPr>
        <w:t>’instruction de transport en citerne</w:t>
      </w:r>
      <w:r w:rsidRPr="00197114">
        <w:rPr>
          <w:lang w:val="fr-FR" w:eastAsia="fr-FR"/>
        </w:rPr>
        <w:t>s mobile</w:t>
      </w:r>
      <w:r>
        <w:rPr>
          <w:lang w:val="fr-FR" w:eastAsia="fr-FR"/>
        </w:rPr>
        <w:t>s apposée devra être retirée. »</w:t>
      </w:r>
    </w:p>
    <w:p w14:paraId="6AC357BA" w14:textId="77777777" w:rsidR="00EB70AF" w:rsidRDefault="00EB70AF" w:rsidP="00EB70AF">
      <w:pPr>
        <w:pStyle w:val="SingleTxtG"/>
        <w:ind w:firstLine="567"/>
        <w:rPr>
          <w:lang w:val="fr-FR" w:eastAsia="fr-FR"/>
        </w:rPr>
      </w:pPr>
      <w:r>
        <w:rPr>
          <w:lang w:val="fr-FR" w:eastAsia="fr-FR"/>
        </w:rPr>
        <w:t>« 1.6.4.y</w:t>
      </w:r>
      <w:r>
        <w:rPr>
          <w:lang w:val="fr-FR" w:eastAsia="fr-FR"/>
        </w:rPr>
        <w:tab/>
        <w:t>L</w:t>
      </w:r>
      <w:r w:rsidRPr="00D01148">
        <w:rPr>
          <w:lang w:val="fr-FR" w:eastAsia="fr-FR"/>
        </w:rPr>
        <w:t>es citernes</w:t>
      </w:r>
      <w:r>
        <w:rPr>
          <w:lang w:val="fr-FR" w:eastAsia="fr-FR"/>
        </w:rPr>
        <w:t xml:space="preserve"> mobiles conformes au chapitre 6.7 qui ont été agréées conformément au chapitre 6.8 peuvent être utilisées jusqu’au prochain contrôle </w:t>
      </w:r>
      <w:r w:rsidRPr="00197114">
        <w:rPr>
          <w:lang w:val="fr-FR" w:eastAsia="fr-FR"/>
        </w:rPr>
        <w:t>périodique ou contrôle intermédiaire effectué avant le 1er juillet 2027. Au-delà l</w:t>
      </w:r>
      <w:r>
        <w:rPr>
          <w:lang w:val="fr-FR" w:eastAsia="fr-FR"/>
        </w:rPr>
        <w:t>e code-citerne apposé devra être retiré. »</w:t>
      </w:r>
    </w:p>
    <w:p w14:paraId="63097BF8" w14:textId="5D4E54F6" w:rsidR="00EB70AF" w:rsidRPr="00992739" w:rsidRDefault="00324818" w:rsidP="00324818">
      <w:pPr>
        <w:pStyle w:val="HChG"/>
        <w:rPr>
          <w:lang w:val="fr-FR"/>
        </w:rPr>
      </w:pPr>
      <w:r>
        <w:rPr>
          <w:lang w:val="fr-FR"/>
        </w:rPr>
        <w:tab/>
      </w:r>
      <w:r>
        <w:rPr>
          <w:lang w:val="fr-FR"/>
        </w:rPr>
        <w:tab/>
      </w:r>
      <w:r w:rsidR="00EB70AF" w:rsidRPr="00992739">
        <w:rPr>
          <w:lang w:val="fr-FR"/>
        </w:rPr>
        <w:t>Justification</w:t>
      </w:r>
    </w:p>
    <w:p w14:paraId="7DE5CD87" w14:textId="77777777" w:rsidR="00EB70AF" w:rsidRPr="00992739" w:rsidRDefault="00EB70AF" w:rsidP="00EB70AF">
      <w:pPr>
        <w:spacing w:after="120"/>
        <w:ind w:left="1134" w:right="1134"/>
        <w:jc w:val="both"/>
        <w:rPr>
          <w:lang w:val="fr-FR"/>
        </w:rPr>
      </w:pPr>
      <w:r>
        <w:rPr>
          <w:lang w:val="fr-FR"/>
        </w:rPr>
        <w:t>12</w:t>
      </w:r>
      <w:r w:rsidRPr="00992739">
        <w:rPr>
          <w:lang w:val="fr-FR"/>
        </w:rPr>
        <w:t>.</w:t>
      </w:r>
      <w:r w:rsidRPr="00992739">
        <w:rPr>
          <w:lang w:val="fr-FR"/>
        </w:rPr>
        <w:tab/>
        <w:t>Ce</w:t>
      </w:r>
      <w:r>
        <w:rPr>
          <w:lang w:val="fr-FR"/>
        </w:rPr>
        <w:t>s modifications clar</w:t>
      </w:r>
      <w:r w:rsidRPr="00992739">
        <w:rPr>
          <w:lang w:val="fr-FR"/>
        </w:rPr>
        <w:t>ifi</w:t>
      </w:r>
      <w:r>
        <w:rPr>
          <w:lang w:val="fr-FR"/>
        </w:rPr>
        <w:t xml:space="preserve">ent les exigences applicables aux « conteneurs-citernes » et facilitent </w:t>
      </w:r>
      <w:r w:rsidRPr="00992739">
        <w:rPr>
          <w:lang w:val="fr-FR"/>
        </w:rPr>
        <w:t>l’application de c</w:t>
      </w:r>
      <w:r>
        <w:rPr>
          <w:lang w:val="fr-FR"/>
        </w:rPr>
        <w:t>es exigences</w:t>
      </w:r>
      <w:r w:rsidRPr="00992739">
        <w:rPr>
          <w:lang w:val="fr-FR"/>
        </w:rPr>
        <w:t>.</w:t>
      </w:r>
    </w:p>
    <w:p w14:paraId="59323670" w14:textId="7FB26DCB" w:rsidR="0047616A" w:rsidRPr="00F5762C" w:rsidRDefault="00F5762C" w:rsidP="00F5762C">
      <w:pPr>
        <w:spacing w:before="240"/>
        <w:jc w:val="center"/>
        <w:rPr>
          <w:u w:val="single"/>
        </w:rPr>
      </w:pPr>
      <w:r>
        <w:rPr>
          <w:u w:val="single"/>
        </w:rPr>
        <w:tab/>
      </w:r>
      <w:r>
        <w:rPr>
          <w:u w:val="single"/>
        </w:rPr>
        <w:tab/>
      </w:r>
      <w:r>
        <w:rPr>
          <w:u w:val="single"/>
        </w:rPr>
        <w:tab/>
      </w:r>
    </w:p>
    <w:sectPr w:rsidR="0047616A" w:rsidRPr="00F5762C" w:rsidSect="00215A13">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FEFD" w14:textId="77777777" w:rsidR="003E554D" w:rsidRDefault="003E554D" w:rsidP="00F95C08">
      <w:pPr>
        <w:spacing w:line="240" w:lineRule="auto"/>
      </w:pPr>
    </w:p>
  </w:endnote>
  <w:endnote w:type="continuationSeparator" w:id="0">
    <w:p w14:paraId="1E1BE5BC" w14:textId="77777777" w:rsidR="003E554D" w:rsidRPr="00AC3823" w:rsidRDefault="003E554D" w:rsidP="00AC3823">
      <w:pPr>
        <w:pStyle w:val="Pieddepage"/>
      </w:pPr>
    </w:p>
  </w:endnote>
  <w:endnote w:type="continuationNotice" w:id="1">
    <w:p w14:paraId="253CDDC1" w14:textId="77777777" w:rsidR="003E554D" w:rsidRDefault="003E5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09F3" w14:textId="77777777" w:rsidR="00215A13" w:rsidRPr="00215A13" w:rsidRDefault="00215A13" w:rsidP="00215A13">
    <w:pPr>
      <w:pStyle w:val="Pieddepage"/>
      <w:tabs>
        <w:tab w:val="right" w:pos="9638"/>
      </w:tabs>
      <w:rPr>
        <w:sz w:val="18"/>
      </w:rPr>
    </w:pPr>
    <w:r w:rsidRPr="00215A13">
      <w:rPr>
        <w:b/>
        <w:sz w:val="18"/>
      </w:rPr>
      <w:fldChar w:fldCharType="begin"/>
    </w:r>
    <w:r w:rsidRPr="00215A13">
      <w:rPr>
        <w:b/>
        <w:sz w:val="18"/>
      </w:rPr>
      <w:instrText xml:space="preserve"> PAGE  \* MERGEFORMAT </w:instrText>
    </w:r>
    <w:r w:rsidRPr="00215A13">
      <w:rPr>
        <w:b/>
        <w:sz w:val="18"/>
      </w:rPr>
      <w:fldChar w:fldCharType="separate"/>
    </w:r>
    <w:r w:rsidRPr="00215A13">
      <w:rPr>
        <w:b/>
        <w:noProof/>
        <w:sz w:val="18"/>
      </w:rPr>
      <w:t>2</w:t>
    </w:r>
    <w:r w:rsidRPr="00215A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4C78" w14:textId="77777777" w:rsidR="00215A13" w:rsidRPr="00215A13" w:rsidRDefault="00215A13" w:rsidP="00215A13">
    <w:pPr>
      <w:pStyle w:val="Pieddepage"/>
      <w:tabs>
        <w:tab w:val="right" w:pos="9638"/>
      </w:tabs>
      <w:rPr>
        <w:b/>
        <w:sz w:val="18"/>
      </w:rPr>
    </w:pPr>
    <w:r>
      <w:tab/>
    </w:r>
    <w:r w:rsidRPr="00215A13">
      <w:rPr>
        <w:b/>
        <w:sz w:val="18"/>
      </w:rPr>
      <w:fldChar w:fldCharType="begin"/>
    </w:r>
    <w:r w:rsidRPr="00215A13">
      <w:rPr>
        <w:b/>
        <w:sz w:val="18"/>
      </w:rPr>
      <w:instrText xml:space="preserve"> PAGE  \* MERGEFORMAT </w:instrText>
    </w:r>
    <w:r w:rsidRPr="00215A13">
      <w:rPr>
        <w:b/>
        <w:sz w:val="18"/>
      </w:rPr>
      <w:fldChar w:fldCharType="separate"/>
    </w:r>
    <w:r w:rsidRPr="00215A13">
      <w:rPr>
        <w:b/>
        <w:noProof/>
        <w:sz w:val="18"/>
      </w:rPr>
      <w:t>3</w:t>
    </w:r>
    <w:r w:rsidRPr="00215A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3126" w14:textId="5832FE88" w:rsidR="000D3EE9" w:rsidRPr="00D67B73" w:rsidRDefault="00D67B73" w:rsidP="00D67B73">
    <w:pPr>
      <w:pStyle w:val="Pieddepage"/>
      <w:tabs>
        <w:tab w:val="left" w:pos="6520"/>
        <w:tab w:val="right" w:pos="9638"/>
      </w:tabs>
      <w:spacing w:before="120"/>
      <w:rPr>
        <w:sz w:val="20"/>
      </w:rPr>
    </w:pPr>
    <w:r>
      <w:rPr>
        <w:sz w:val="20"/>
      </w:rPr>
      <w:t>GE.23-13316  (F)</w:t>
    </w:r>
    <w:bookmarkStart w:id="0" w:name="_GoBack"/>
    <w:bookmarkEnd w:id="0"/>
    <w:r>
      <w:rPr>
        <w:sz w:val="20"/>
      </w:rPr>
      <w:tab/>
    </w:r>
    <w:r w:rsidRPr="00D67B73">
      <w:rPr>
        <w:noProof/>
        <w:sz w:val="20"/>
        <w:lang w:eastAsia="fr-CH"/>
      </w:rPr>
      <w:drawing>
        <wp:inline distT="0" distB="0" distL="0" distR="0" wp14:anchorId="0BCFD6DF" wp14:editId="3F72E93A">
          <wp:extent cx="1105200" cy="234000"/>
          <wp:effectExtent l="0" t="0" r="0" b="0"/>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7617484" wp14:editId="1C4FAB97">
          <wp:extent cx="639445" cy="639445"/>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5BA28" w14:textId="77777777" w:rsidR="003E554D" w:rsidRPr="00AC3823" w:rsidRDefault="003E554D" w:rsidP="00AC3823">
      <w:pPr>
        <w:pStyle w:val="Pieddepage"/>
        <w:tabs>
          <w:tab w:val="right" w:pos="2155"/>
        </w:tabs>
        <w:spacing w:after="80" w:line="240" w:lineRule="atLeast"/>
        <w:ind w:left="680"/>
        <w:rPr>
          <w:u w:val="single"/>
        </w:rPr>
      </w:pPr>
      <w:r>
        <w:rPr>
          <w:u w:val="single"/>
        </w:rPr>
        <w:tab/>
      </w:r>
    </w:p>
  </w:footnote>
  <w:footnote w:type="continuationSeparator" w:id="0">
    <w:p w14:paraId="15256396" w14:textId="77777777" w:rsidR="003E554D" w:rsidRPr="00AC3823" w:rsidRDefault="003E554D" w:rsidP="00AC3823">
      <w:pPr>
        <w:pStyle w:val="Pieddepage"/>
        <w:tabs>
          <w:tab w:val="right" w:pos="2155"/>
        </w:tabs>
        <w:spacing w:after="80" w:line="240" w:lineRule="atLeast"/>
        <w:ind w:left="680"/>
        <w:rPr>
          <w:u w:val="single"/>
        </w:rPr>
      </w:pPr>
      <w:r>
        <w:rPr>
          <w:u w:val="single"/>
        </w:rPr>
        <w:tab/>
      </w:r>
    </w:p>
  </w:footnote>
  <w:footnote w:type="continuationNotice" w:id="1">
    <w:p w14:paraId="41AE890A" w14:textId="77777777" w:rsidR="003E554D" w:rsidRPr="00AC3823" w:rsidRDefault="003E554D">
      <w:pPr>
        <w:spacing w:line="240" w:lineRule="auto"/>
        <w:rPr>
          <w:sz w:val="2"/>
          <w:szCs w:val="2"/>
        </w:rPr>
      </w:pPr>
    </w:p>
  </w:footnote>
  <w:footnote w:id="2">
    <w:p w14:paraId="740ABE95" w14:textId="5F6FB06C" w:rsidR="00EB70AF" w:rsidRDefault="00EB70AF" w:rsidP="00EB70AF">
      <w:pPr>
        <w:pStyle w:val="Notedebasdepage"/>
        <w:rPr>
          <w:lang w:val="fr-FR"/>
        </w:rPr>
      </w:pPr>
      <w:r>
        <w:rPr>
          <w:rStyle w:val="Appelnotedebasdep"/>
          <w:sz w:val="20"/>
          <w:lang w:val="fr-FR"/>
        </w:rPr>
        <w:tab/>
      </w:r>
      <w:r>
        <w:rPr>
          <w:rStyle w:val="Appelnotedebasdep"/>
          <w:b/>
          <w:bCs/>
          <w:sz w:val="20"/>
          <w:lang w:val="fr-FR"/>
        </w:rPr>
        <w:t>*</w:t>
      </w:r>
      <w:r>
        <w:rPr>
          <w:rStyle w:val="Appelnotedebasdep"/>
          <w:lang w:val="fr-FR"/>
        </w:rPr>
        <w:tab/>
      </w:r>
      <w:r w:rsidR="00CF1BA2" w:rsidRPr="00CF1BA2">
        <w:t xml:space="preserve"> </w:t>
      </w:r>
      <w:r w:rsidR="00CF1BA2" w:rsidRPr="0083055C">
        <w:t>A/77/6 (Sect. 20), table</w:t>
      </w:r>
      <w:r w:rsidR="00CF1BA2">
        <w:t>au</w:t>
      </w:r>
      <w:r w:rsidR="00CF1BA2" w:rsidRPr="0083055C">
        <w:t xml:space="preserve"> 20.6</w:t>
      </w:r>
      <w:r w:rsidR="00CF1BA2">
        <w:t>.</w:t>
      </w:r>
    </w:p>
  </w:footnote>
  <w:footnote w:id="3">
    <w:p w14:paraId="5B3E54C9" w14:textId="5ACFFF4B" w:rsidR="00EB70AF" w:rsidRDefault="00EB70AF" w:rsidP="00EB70AF">
      <w:pPr>
        <w:pStyle w:val="Notedebasdepage"/>
        <w:rPr>
          <w:lang w:val="fr-FR"/>
        </w:rPr>
      </w:pPr>
      <w:r>
        <w:rPr>
          <w:rStyle w:val="Appelnotedebasdep"/>
          <w:lang w:val="fr-FR"/>
        </w:rPr>
        <w:tab/>
      </w:r>
      <w:r>
        <w:rPr>
          <w:rStyle w:val="Appelnotedebasdep"/>
          <w:b/>
          <w:bCs/>
          <w:sz w:val="20"/>
          <w:lang w:val="fr-FR"/>
        </w:rPr>
        <w:t>**</w:t>
      </w:r>
      <w:r>
        <w:rPr>
          <w:rStyle w:val="Appelnotedebasdep"/>
          <w:lang w:val="fr-FR"/>
        </w:rPr>
        <w:tab/>
      </w:r>
      <w:r>
        <w:rPr>
          <w:lang w:val="fr-FR"/>
        </w:rPr>
        <w:t>Diffusée par l’Organisation intergouvernementale pour les transports internationaux ferroviaires (OTIF) sous la cote OTIF/RID/RC/2023/</w:t>
      </w:r>
      <w:r w:rsidR="006E5FC3">
        <w:rPr>
          <w:lang w:val="fr-FR"/>
        </w:rPr>
        <w:t>46</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D4CA" w14:textId="77777777" w:rsidR="00215A13" w:rsidRPr="00215A13" w:rsidRDefault="00344435">
    <w:pPr>
      <w:pStyle w:val="En-tte"/>
    </w:pPr>
    <w:r>
      <w:fldChar w:fldCharType="begin"/>
    </w:r>
    <w:r>
      <w:instrText xml:space="preserve"> </w:instrText>
    </w:r>
    <w:r>
      <w:instrText xml:space="preserve">TITLE  \* MERGEFORMAT </w:instrText>
    </w:r>
    <w:r>
      <w:fldChar w:fldCharType="separate"/>
    </w:r>
    <w:r w:rsidR="00215A13">
      <w:t>ECE/TRANS/WP.15/AC.1/2023/46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2F5E" w14:textId="77777777" w:rsidR="00215A13" w:rsidRPr="00215A13" w:rsidRDefault="00344435" w:rsidP="00215A13">
    <w:pPr>
      <w:pStyle w:val="En-tte"/>
      <w:jc w:val="right"/>
    </w:pPr>
    <w:r>
      <w:fldChar w:fldCharType="begin"/>
    </w:r>
    <w:r>
      <w:instrText xml:space="preserve"> TITLE  \* MERGEFORMAT </w:instrText>
    </w:r>
    <w:r>
      <w:fldChar w:fldCharType="separate"/>
    </w:r>
    <w:r w:rsidR="00215A13">
      <w:t>ECE/TRANS/WP.15/AC.1/2023/46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989402751">
    <w:abstractNumId w:val="12"/>
  </w:num>
  <w:num w:numId="2" w16cid:durableId="550534745">
    <w:abstractNumId w:val="11"/>
  </w:num>
  <w:num w:numId="3" w16cid:durableId="683240126">
    <w:abstractNumId w:val="10"/>
  </w:num>
  <w:num w:numId="4" w16cid:durableId="1412386209">
    <w:abstractNumId w:val="8"/>
  </w:num>
  <w:num w:numId="5" w16cid:durableId="764616535">
    <w:abstractNumId w:val="3"/>
  </w:num>
  <w:num w:numId="6" w16cid:durableId="1103114568">
    <w:abstractNumId w:val="2"/>
  </w:num>
  <w:num w:numId="7" w16cid:durableId="2118525874">
    <w:abstractNumId w:val="1"/>
  </w:num>
  <w:num w:numId="8" w16cid:durableId="161895606">
    <w:abstractNumId w:val="0"/>
  </w:num>
  <w:num w:numId="9" w16cid:durableId="679086532">
    <w:abstractNumId w:val="9"/>
  </w:num>
  <w:num w:numId="10" w16cid:durableId="1265991468">
    <w:abstractNumId w:val="7"/>
  </w:num>
  <w:num w:numId="11" w16cid:durableId="1002515317">
    <w:abstractNumId w:val="6"/>
  </w:num>
  <w:num w:numId="12" w16cid:durableId="1080131123">
    <w:abstractNumId w:val="5"/>
  </w:num>
  <w:num w:numId="13" w16cid:durableId="8112880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215A13"/>
    <w:rsid w:val="000115AA"/>
    <w:rsid w:val="0001207F"/>
    <w:rsid w:val="00017F94"/>
    <w:rsid w:val="00023842"/>
    <w:rsid w:val="000240A5"/>
    <w:rsid w:val="000334F9"/>
    <w:rsid w:val="00037A01"/>
    <w:rsid w:val="0004639C"/>
    <w:rsid w:val="0007796D"/>
    <w:rsid w:val="000942EE"/>
    <w:rsid w:val="000A52BF"/>
    <w:rsid w:val="000B7790"/>
    <w:rsid w:val="000D3EE9"/>
    <w:rsid w:val="000D62F3"/>
    <w:rsid w:val="00111F2F"/>
    <w:rsid w:val="00120B35"/>
    <w:rsid w:val="00127A0F"/>
    <w:rsid w:val="0013677F"/>
    <w:rsid w:val="001433FD"/>
    <w:rsid w:val="0014365E"/>
    <w:rsid w:val="001541D3"/>
    <w:rsid w:val="00156B77"/>
    <w:rsid w:val="00176178"/>
    <w:rsid w:val="00177140"/>
    <w:rsid w:val="001D400F"/>
    <w:rsid w:val="001F525A"/>
    <w:rsid w:val="00215A13"/>
    <w:rsid w:val="00223272"/>
    <w:rsid w:val="00240333"/>
    <w:rsid w:val="0024779E"/>
    <w:rsid w:val="0025293F"/>
    <w:rsid w:val="002832AC"/>
    <w:rsid w:val="002D7C93"/>
    <w:rsid w:val="00324818"/>
    <w:rsid w:val="00367214"/>
    <w:rsid w:val="0037241C"/>
    <w:rsid w:val="003819FF"/>
    <w:rsid w:val="00383743"/>
    <w:rsid w:val="003B3039"/>
    <w:rsid w:val="003D5F72"/>
    <w:rsid w:val="003E554D"/>
    <w:rsid w:val="0042415A"/>
    <w:rsid w:val="00441C3B"/>
    <w:rsid w:val="00446B0A"/>
    <w:rsid w:val="00446FE5"/>
    <w:rsid w:val="00452396"/>
    <w:rsid w:val="00471288"/>
    <w:rsid w:val="0047616A"/>
    <w:rsid w:val="004776EE"/>
    <w:rsid w:val="0049687C"/>
    <w:rsid w:val="004D0878"/>
    <w:rsid w:val="004E468C"/>
    <w:rsid w:val="005316B0"/>
    <w:rsid w:val="005505B7"/>
    <w:rsid w:val="00555EF1"/>
    <w:rsid w:val="00573BE5"/>
    <w:rsid w:val="00586ED3"/>
    <w:rsid w:val="00596AA9"/>
    <w:rsid w:val="005B4D0F"/>
    <w:rsid w:val="005E2BDC"/>
    <w:rsid w:val="0060376A"/>
    <w:rsid w:val="00644401"/>
    <w:rsid w:val="006E1B15"/>
    <w:rsid w:val="006E5FC3"/>
    <w:rsid w:val="00703D0F"/>
    <w:rsid w:val="00706363"/>
    <w:rsid w:val="007158BB"/>
    <w:rsid w:val="0071601D"/>
    <w:rsid w:val="007448AE"/>
    <w:rsid w:val="0075410D"/>
    <w:rsid w:val="007A62E6"/>
    <w:rsid w:val="0080684C"/>
    <w:rsid w:val="00806E0B"/>
    <w:rsid w:val="008204DA"/>
    <w:rsid w:val="008535AD"/>
    <w:rsid w:val="00860B82"/>
    <w:rsid w:val="00871C75"/>
    <w:rsid w:val="008767E8"/>
    <w:rsid w:val="008776DC"/>
    <w:rsid w:val="00883605"/>
    <w:rsid w:val="008E6043"/>
    <w:rsid w:val="0090047B"/>
    <w:rsid w:val="00961E7B"/>
    <w:rsid w:val="009705C8"/>
    <w:rsid w:val="009B5658"/>
    <w:rsid w:val="009C1CF4"/>
    <w:rsid w:val="009E3CD5"/>
    <w:rsid w:val="009F02C9"/>
    <w:rsid w:val="009F7719"/>
    <w:rsid w:val="00A10C9A"/>
    <w:rsid w:val="00A30353"/>
    <w:rsid w:val="00A62D91"/>
    <w:rsid w:val="00A90D54"/>
    <w:rsid w:val="00AA113A"/>
    <w:rsid w:val="00AB0F7F"/>
    <w:rsid w:val="00AC3823"/>
    <w:rsid w:val="00AE323C"/>
    <w:rsid w:val="00AF774C"/>
    <w:rsid w:val="00B00181"/>
    <w:rsid w:val="00B00B0D"/>
    <w:rsid w:val="00B40927"/>
    <w:rsid w:val="00B50E25"/>
    <w:rsid w:val="00B64918"/>
    <w:rsid w:val="00B765F7"/>
    <w:rsid w:val="00BA0CA9"/>
    <w:rsid w:val="00C02897"/>
    <w:rsid w:val="00C1626B"/>
    <w:rsid w:val="00C237B0"/>
    <w:rsid w:val="00C66A47"/>
    <w:rsid w:val="00C7616F"/>
    <w:rsid w:val="00C77B8E"/>
    <w:rsid w:val="00CA4425"/>
    <w:rsid w:val="00CB16B5"/>
    <w:rsid w:val="00CE0608"/>
    <w:rsid w:val="00CE7527"/>
    <w:rsid w:val="00CF1BA2"/>
    <w:rsid w:val="00D3439C"/>
    <w:rsid w:val="00D37550"/>
    <w:rsid w:val="00D44CF3"/>
    <w:rsid w:val="00D46C8C"/>
    <w:rsid w:val="00D67B73"/>
    <w:rsid w:val="00DA006D"/>
    <w:rsid w:val="00DB1831"/>
    <w:rsid w:val="00DB1A99"/>
    <w:rsid w:val="00DD3BFD"/>
    <w:rsid w:val="00DD7755"/>
    <w:rsid w:val="00DE239D"/>
    <w:rsid w:val="00DF431C"/>
    <w:rsid w:val="00DF6678"/>
    <w:rsid w:val="00E428C8"/>
    <w:rsid w:val="00EB70AF"/>
    <w:rsid w:val="00ED281A"/>
    <w:rsid w:val="00EF2E22"/>
    <w:rsid w:val="00F0592C"/>
    <w:rsid w:val="00F06ED4"/>
    <w:rsid w:val="00F43289"/>
    <w:rsid w:val="00F5762C"/>
    <w:rsid w:val="00F60025"/>
    <w:rsid w:val="00F63841"/>
    <w:rsid w:val="00F660DF"/>
    <w:rsid w:val="00F72446"/>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FD3E"/>
  <w15:docId w15:val="{66D37C2F-E0D8-4ED7-8682-91BD848D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80684C"/>
    <w:pPr>
      <w:tabs>
        <w:tab w:val="left" w:pos="1701"/>
        <w:tab w:val="left" w:pos="2268"/>
        <w:tab w:val="left" w:pos="2835"/>
      </w:tabs>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left" w:pos="1701"/>
        <w:tab w:val="left" w:pos="2268"/>
        <w:tab w:val="left" w:pos="2835"/>
      </w:tabs>
      <w:spacing w:after="120"/>
      <w:ind w:right="1134"/>
      <w:jc w:val="both"/>
    </w:pPr>
  </w:style>
  <w:style w:type="character" w:styleId="Appelnotedebasdep">
    <w:name w:val="footnote reference"/>
    <w:aliases w:val="4_G,Footnote Reference/,4_GR"/>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style>
  <w:style w:type="character" w:customStyle="1" w:styleId="HChGChar">
    <w:name w:val="_ H _Ch_G Char"/>
    <w:link w:val="HChG"/>
    <w:rsid w:val="0001207F"/>
    <w:rPr>
      <w:b/>
      <w:sz w:val="28"/>
    </w:rPr>
  </w:style>
  <w:style w:type="character" w:styleId="lev">
    <w:name w:val="Strong"/>
    <w:basedOn w:val="Policepardfaut"/>
    <w:uiPriority w:val="22"/>
    <w:qFormat/>
    <w:rsid w:val="00EB70AF"/>
    <w:rPr>
      <w:b/>
      <w:bCs/>
    </w:rPr>
  </w:style>
  <w:style w:type="paragraph" w:styleId="Rvision">
    <w:name w:val="Revision"/>
    <w:hidden/>
    <w:uiPriority w:val="99"/>
    <w:semiHidden/>
    <w:rsid w:val="005E2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UserInfo>
        <DisplayName>Nadiya Dzyubynska</DisplayName>
        <AccountId>453</AccountId>
        <AccountType/>
      </UserInfo>
      <UserInfo>
        <DisplayName>Alicia Dorca Garcia</DisplayName>
        <AccountId>1313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2F2A4-228B-443D-9727-B9F0E4C6BC98}">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958FEF29-256B-453A-A5C0-C09CE1D2A048}">
  <ds:schemaRefs>
    <ds:schemaRef ds:uri="http://schemas.microsoft.com/sharepoint/v3/contenttype/forms"/>
  </ds:schemaRefs>
</ds:datastoreItem>
</file>

<file path=customXml/itemProps3.xml><?xml version="1.0" encoding="utf-8"?>
<ds:datastoreItem xmlns:ds="http://schemas.openxmlformats.org/officeDocument/2006/customXml" ds:itemID="{8C294685-FEE6-4FBD-BD71-B140DABABDA7}"/>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4631</Characters>
  <Application>Microsoft Office Word</Application>
  <DocSecurity>0</DocSecurity>
  <Lines>100</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ECE/EX/22</vt:lpstr>
      <vt:lpstr>ECE/EX/22</vt:lpstr>
    </vt:vector>
  </TitlesOfParts>
  <Company>DCM</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ECE/TRANS/WP.15/AC.1/2023/46</dc:title>
  <dc:subject>FINAL</dc:subject>
  <dc:creator>Nadiya Dzyubynska</dc:creator>
  <cp:keywords/>
  <dc:description/>
  <cp:lastModifiedBy>Nathalie Vittoz</cp:lastModifiedBy>
  <cp:revision>2</cp:revision>
  <cp:lastPrinted>2014-05-14T10:59:00Z</cp:lastPrinted>
  <dcterms:created xsi:type="dcterms:W3CDTF">2023-07-11T09:43:00Z</dcterms:created>
  <dcterms:modified xsi:type="dcterms:W3CDTF">2023-07-11T09:43:00Z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