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2E2302" w14:paraId="7ABE76E6" w14:textId="77777777" w:rsidTr="000D1B89">
        <w:trPr>
          <w:cantSplit/>
          <w:trHeight w:hRule="exact" w:val="851"/>
        </w:trPr>
        <w:tc>
          <w:tcPr>
            <w:tcW w:w="1276" w:type="dxa"/>
            <w:tcBorders>
              <w:bottom w:val="single" w:sz="4" w:space="0" w:color="auto"/>
            </w:tcBorders>
            <w:vAlign w:val="bottom"/>
          </w:tcPr>
          <w:p w14:paraId="7AA01296" w14:textId="77777777" w:rsidR="00717266" w:rsidRPr="002E2302" w:rsidRDefault="00717266" w:rsidP="000D1B89">
            <w:pPr>
              <w:spacing w:after="80"/>
            </w:pPr>
          </w:p>
        </w:tc>
        <w:tc>
          <w:tcPr>
            <w:tcW w:w="2268" w:type="dxa"/>
            <w:tcBorders>
              <w:bottom w:val="single" w:sz="4" w:space="0" w:color="auto"/>
            </w:tcBorders>
            <w:vAlign w:val="bottom"/>
          </w:tcPr>
          <w:p w14:paraId="69F60B5C" w14:textId="77777777" w:rsidR="00717266" w:rsidRPr="002E2302" w:rsidRDefault="00717266" w:rsidP="000D1B89">
            <w:pPr>
              <w:spacing w:after="80" w:line="300" w:lineRule="exact"/>
              <w:rPr>
                <w:b/>
                <w:sz w:val="24"/>
                <w:szCs w:val="24"/>
              </w:rPr>
            </w:pPr>
            <w:r w:rsidRPr="002E2302">
              <w:rPr>
                <w:sz w:val="28"/>
                <w:szCs w:val="28"/>
              </w:rPr>
              <w:t>United Nations</w:t>
            </w:r>
          </w:p>
        </w:tc>
        <w:tc>
          <w:tcPr>
            <w:tcW w:w="6095" w:type="dxa"/>
            <w:gridSpan w:val="2"/>
            <w:tcBorders>
              <w:bottom w:val="single" w:sz="4" w:space="0" w:color="auto"/>
            </w:tcBorders>
            <w:vAlign w:val="bottom"/>
          </w:tcPr>
          <w:p w14:paraId="1F1EC6D4" w14:textId="77777777" w:rsidR="00717266" w:rsidRPr="002E2302" w:rsidRDefault="002E2302" w:rsidP="002E2302">
            <w:pPr>
              <w:suppressAutoHyphens w:val="0"/>
              <w:spacing w:after="20"/>
              <w:jc w:val="right"/>
            </w:pPr>
            <w:r w:rsidRPr="002E2302">
              <w:rPr>
                <w:sz w:val="40"/>
              </w:rPr>
              <w:t>ECE</w:t>
            </w:r>
            <w:r w:rsidRPr="002E2302">
              <w:t>/TRANS/WP.15/AC.1/2023/46</w:t>
            </w:r>
          </w:p>
        </w:tc>
      </w:tr>
      <w:tr w:rsidR="00717266" w:rsidRPr="002E2302" w14:paraId="1F9F802E" w14:textId="77777777" w:rsidTr="000D1B89">
        <w:trPr>
          <w:cantSplit/>
          <w:trHeight w:hRule="exact" w:val="2835"/>
        </w:trPr>
        <w:tc>
          <w:tcPr>
            <w:tcW w:w="1276" w:type="dxa"/>
            <w:tcBorders>
              <w:top w:val="single" w:sz="4" w:space="0" w:color="auto"/>
              <w:bottom w:val="single" w:sz="12" w:space="0" w:color="auto"/>
            </w:tcBorders>
          </w:tcPr>
          <w:p w14:paraId="77E4451F" w14:textId="77777777" w:rsidR="00717266" w:rsidRPr="002E2302" w:rsidRDefault="00717266" w:rsidP="000D1B89">
            <w:pPr>
              <w:spacing w:before="120"/>
            </w:pPr>
            <w:r w:rsidRPr="002E2302">
              <w:rPr>
                <w:noProof/>
                <w:lang w:eastAsia="fr-CH"/>
              </w:rPr>
              <w:drawing>
                <wp:inline distT="0" distB="0" distL="0" distR="0" wp14:anchorId="30515F2E" wp14:editId="3CBD3B68">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B3CA1F0" w14:textId="77777777" w:rsidR="00717266" w:rsidRPr="002E2302" w:rsidRDefault="00717266" w:rsidP="000D1B89">
            <w:pPr>
              <w:spacing w:before="120" w:line="420" w:lineRule="exact"/>
              <w:rPr>
                <w:sz w:val="40"/>
                <w:szCs w:val="40"/>
              </w:rPr>
            </w:pPr>
            <w:r w:rsidRPr="002E2302">
              <w:rPr>
                <w:b/>
                <w:sz w:val="40"/>
                <w:szCs w:val="40"/>
              </w:rPr>
              <w:t>Economic and Social Council</w:t>
            </w:r>
          </w:p>
        </w:tc>
        <w:tc>
          <w:tcPr>
            <w:tcW w:w="2835" w:type="dxa"/>
            <w:tcBorders>
              <w:top w:val="single" w:sz="4" w:space="0" w:color="auto"/>
              <w:bottom w:val="single" w:sz="12" w:space="0" w:color="auto"/>
            </w:tcBorders>
          </w:tcPr>
          <w:p w14:paraId="301D286A" w14:textId="6B2E4948" w:rsidR="00717266" w:rsidRPr="002E2302" w:rsidRDefault="002E2302" w:rsidP="002E2302">
            <w:pPr>
              <w:spacing w:before="240"/>
            </w:pPr>
            <w:r w:rsidRPr="002E2302">
              <w:t>Distr.: General</w:t>
            </w:r>
          </w:p>
          <w:p w14:paraId="69A43522" w14:textId="0ECA70AC" w:rsidR="002E2302" w:rsidRPr="002E2302" w:rsidRDefault="002E2302" w:rsidP="002E2302">
            <w:pPr>
              <w:suppressAutoHyphens w:val="0"/>
            </w:pPr>
            <w:r w:rsidRPr="002E2302">
              <w:t>10 July 2023</w:t>
            </w:r>
          </w:p>
          <w:p w14:paraId="5B975641" w14:textId="1B1B49D7" w:rsidR="002E2302" w:rsidRPr="002E2302" w:rsidRDefault="002E2302" w:rsidP="002E2302">
            <w:pPr>
              <w:suppressAutoHyphens w:val="0"/>
            </w:pPr>
            <w:r w:rsidRPr="002E2302">
              <w:t>English</w:t>
            </w:r>
          </w:p>
          <w:p w14:paraId="57D4F3F2" w14:textId="7FCCFDE5" w:rsidR="002E2302" w:rsidRPr="002E2302" w:rsidRDefault="002E2302" w:rsidP="002E2302">
            <w:pPr>
              <w:suppressAutoHyphens w:val="0"/>
            </w:pPr>
            <w:r w:rsidRPr="002E2302">
              <w:t>Original: French</w:t>
            </w:r>
          </w:p>
        </w:tc>
      </w:tr>
    </w:tbl>
    <w:p w14:paraId="285629D7" w14:textId="77777777" w:rsidR="002E2302" w:rsidRPr="002E2302" w:rsidRDefault="002E2302">
      <w:pPr>
        <w:spacing w:before="120"/>
        <w:rPr>
          <w:b/>
          <w:sz w:val="28"/>
          <w:szCs w:val="28"/>
        </w:rPr>
      </w:pPr>
      <w:r w:rsidRPr="002E2302">
        <w:rPr>
          <w:b/>
          <w:sz w:val="28"/>
          <w:szCs w:val="28"/>
        </w:rPr>
        <w:t>Economic Commission for Europe</w:t>
      </w:r>
    </w:p>
    <w:p w14:paraId="0C8FF0A7" w14:textId="77777777" w:rsidR="002E2302" w:rsidRPr="002E2302" w:rsidRDefault="002E2302">
      <w:pPr>
        <w:spacing w:before="120"/>
        <w:rPr>
          <w:sz w:val="28"/>
          <w:szCs w:val="28"/>
        </w:rPr>
      </w:pPr>
      <w:r w:rsidRPr="002E2302">
        <w:rPr>
          <w:sz w:val="28"/>
          <w:szCs w:val="28"/>
        </w:rPr>
        <w:t>Inland Transport Committee</w:t>
      </w:r>
    </w:p>
    <w:p w14:paraId="090FFE74" w14:textId="27C46B6B" w:rsidR="002E2302" w:rsidRPr="002E2302" w:rsidRDefault="002E2302" w:rsidP="002E2302">
      <w:pPr>
        <w:spacing w:before="120" w:after="120"/>
        <w:rPr>
          <w:b/>
          <w:sz w:val="24"/>
          <w:szCs w:val="24"/>
        </w:rPr>
      </w:pPr>
      <w:r w:rsidRPr="002E2302">
        <w:rPr>
          <w:b/>
          <w:sz w:val="24"/>
          <w:szCs w:val="24"/>
        </w:rPr>
        <w:t>Working Party on the Transport of Dangerous Goods</w:t>
      </w:r>
    </w:p>
    <w:p w14:paraId="1270DB09" w14:textId="3559C29C" w:rsidR="002E2302" w:rsidRPr="002E2302" w:rsidRDefault="002E2302" w:rsidP="002E2302">
      <w:pPr>
        <w:rPr>
          <w:b/>
          <w:bCs/>
          <w:color w:val="000000" w:themeColor="text1"/>
        </w:rPr>
      </w:pPr>
      <w:r w:rsidRPr="002E2302">
        <w:rPr>
          <w:b/>
          <w:bCs/>
          <w:color w:val="000000" w:themeColor="text1"/>
        </w:rPr>
        <w:t xml:space="preserve">Joint Meeting of the RID Committee of Experts and </w:t>
      </w:r>
      <w:r w:rsidRPr="002E2302">
        <w:rPr>
          <w:b/>
          <w:bCs/>
          <w:color w:val="000000" w:themeColor="text1"/>
        </w:rPr>
        <w:br/>
      </w:r>
      <w:r w:rsidRPr="002E2302">
        <w:rPr>
          <w:b/>
          <w:bCs/>
          <w:color w:val="000000" w:themeColor="text1"/>
        </w:rPr>
        <w:t>the Working Party on the Transport of Dangerous Goods</w:t>
      </w:r>
    </w:p>
    <w:p w14:paraId="0E8FAA82" w14:textId="77777777" w:rsidR="002E2302" w:rsidRPr="002E2302" w:rsidRDefault="002E2302" w:rsidP="002E2302">
      <w:pPr>
        <w:rPr>
          <w:color w:val="000000" w:themeColor="text1"/>
        </w:rPr>
      </w:pPr>
      <w:r w:rsidRPr="002E2302">
        <w:rPr>
          <w:color w:val="000000" w:themeColor="text1"/>
        </w:rPr>
        <w:t>Geneva, 19–29 September 2023</w:t>
      </w:r>
    </w:p>
    <w:p w14:paraId="388D0695" w14:textId="77777777" w:rsidR="002E2302" w:rsidRPr="002E2302" w:rsidRDefault="002E2302" w:rsidP="002E2302">
      <w:pPr>
        <w:rPr>
          <w:color w:val="000000" w:themeColor="text1"/>
        </w:rPr>
      </w:pPr>
      <w:r w:rsidRPr="002E2302">
        <w:rPr>
          <w:color w:val="000000" w:themeColor="text1"/>
        </w:rPr>
        <w:t>Item 2 of the provisional agenda</w:t>
      </w:r>
    </w:p>
    <w:p w14:paraId="1542554D" w14:textId="77777777" w:rsidR="002E2302" w:rsidRPr="002E2302" w:rsidRDefault="002E2302" w:rsidP="002E2302">
      <w:pPr>
        <w:rPr>
          <w:b/>
          <w:bCs/>
          <w:color w:val="000000" w:themeColor="text1"/>
        </w:rPr>
      </w:pPr>
      <w:r w:rsidRPr="002E2302">
        <w:rPr>
          <w:b/>
          <w:bCs/>
          <w:color w:val="000000" w:themeColor="text1"/>
        </w:rPr>
        <w:t>Tanks</w:t>
      </w:r>
    </w:p>
    <w:p w14:paraId="2CCF3647" w14:textId="77777777" w:rsidR="002E2302" w:rsidRPr="002E2302" w:rsidRDefault="002E2302" w:rsidP="002E2302">
      <w:pPr>
        <w:pStyle w:val="HChG"/>
      </w:pPr>
      <w:r w:rsidRPr="002E2302">
        <w:tab/>
      </w:r>
      <w:r w:rsidRPr="002E2302">
        <w:tab/>
        <w:t>Elimination of dual approval of tanks under Chapters 6.7 and 6.8 of RID/ADR</w:t>
      </w:r>
    </w:p>
    <w:p w14:paraId="24620A53" w14:textId="212D6BA0" w:rsidR="002E2302" w:rsidRPr="002E2302" w:rsidRDefault="002E2302" w:rsidP="002E2302">
      <w:pPr>
        <w:pStyle w:val="H1G"/>
      </w:pPr>
      <w:r w:rsidRPr="002E2302">
        <w:tab/>
      </w:r>
      <w:r w:rsidRPr="002E2302">
        <w:tab/>
        <w:t>Transmitted by the Government of France</w:t>
      </w:r>
      <w:r w:rsidRPr="002E2302">
        <w:rPr>
          <w:b w:val="0"/>
          <w:bCs/>
          <w:sz w:val="20"/>
          <w:szCs w:val="16"/>
        </w:rPr>
        <w:footnoteReference w:customMarkFollows="1" w:id="1"/>
        <w:t>*</w:t>
      </w:r>
      <w:r w:rsidRPr="002E2302">
        <w:rPr>
          <w:b w:val="0"/>
          <w:bCs/>
          <w:position w:val="8"/>
          <w:sz w:val="20"/>
          <w:szCs w:val="16"/>
        </w:rPr>
        <w:t>,</w:t>
      </w:r>
      <w:r w:rsidRPr="002E2302">
        <w:rPr>
          <w:b w:val="0"/>
          <w:bCs/>
          <w:sz w:val="20"/>
          <w:szCs w:val="16"/>
        </w:rPr>
        <w:t xml:space="preserve"> </w:t>
      </w:r>
      <w:r w:rsidRPr="002E2302">
        <w:rPr>
          <w:b w:val="0"/>
          <w:bCs/>
          <w:sz w:val="20"/>
          <w:szCs w:val="16"/>
        </w:rPr>
        <w:footnoteReference w:customMarkFollows="1" w:id="2"/>
        <w:t>**</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2E2302" w:rsidRPr="002E2302" w14:paraId="40E40A1D" w14:textId="77777777" w:rsidTr="002E2302">
        <w:trPr>
          <w:jc w:val="center"/>
        </w:trPr>
        <w:tc>
          <w:tcPr>
            <w:tcW w:w="9637" w:type="dxa"/>
            <w:tcBorders>
              <w:bottom w:val="nil"/>
            </w:tcBorders>
          </w:tcPr>
          <w:p w14:paraId="564219C9" w14:textId="60DCB251" w:rsidR="002E2302" w:rsidRPr="002E2302" w:rsidRDefault="002E2302" w:rsidP="002E2302">
            <w:pPr>
              <w:tabs>
                <w:tab w:val="left" w:pos="255"/>
              </w:tabs>
              <w:suppressAutoHyphens w:val="0"/>
              <w:spacing w:before="240" w:after="120"/>
              <w:rPr>
                <w:sz w:val="24"/>
              </w:rPr>
            </w:pPr>
            <w:r w:rsidRPr="002E2302">
              <w:tab/>
            </w:r>
            <w:r w:rsidRPr="002E2302">
              <w:rPr>
                <w:i/>
                <w:sz w:val="24"/>
              </w:rPr>
              <w:t>Summary</w:t>
            </w:r>
          </w:p>
        </w:tc>
      </w:tr>
      <w:tr w:rsidR="002E2302" w:rsidRPr="002E2302" w14:paraId="40822C13" w14:textId="77777777" w:rsidTr="002E2302">
        <w:trPr>
          <w:jc w:val="center"/>
        </w:trPr>
        <w:tc>
          <w:tcPr>
            <w:tcW w:w="9637" w:type="dxa"/>
            <w:tcBorders>
              <w:top w:val="nil"/>
              <w:bottom w:val="nil"/>
            </w:tcBorders>
            <w:shd w:val="clear" w:color="auto" w:fill="auto"/>
          </w:tcPr>
          <w:p w14:paraId="0764C910" w14:textId="4B579647" w:rsidR="002E2302" w:rsidRPr="002E2302" w:rsidRDefault="002E2302" w:rsidP="002E2302">
            <w:pPr>
              <w:pStyle w:val="SingleTxtG"/>
              <w:tabs>
                <w:tab w:val="clear" w:pos="2268"/>
                <w:tab w:val="left" w:pos="3670"/>
              </w:tabs>
              <w:ind w:left="3670" w:hanging="2536"/>
              <w:jc w:val="left"/>
            </w:pPr>
            <w:r w:rsidRPr="002E2302">
              <w:rPr>
                <w:b/>
                <w:bCs/>
              </w:rPr>
              <w:t>Executive summary</w:t>
            </w:r>
            <w:r w:rsidRPr="002E2302">
              <w:t>:</w:t>
            </w:r>
            <w:r w:rsidRPr="002E2302">
              <w:tab/>
              <w:t>This document aims to clarify the regime applicable to portable tanks under Chapter 6.7 by prohibiting their approval under Chapter 6.8 and by harmonizing their use in land transport with the rules applicable to tank-containers under Chapter 6.8.</w:t>
            </w:r>
          </w:p>
        </w:tc>
      </w:tr>
      <w:tr w:rsidR="002E2302" w:rsidRPr="002E2302" w14:paraId="43952274" w14:textId="77777777" w:rsidTr="002E2302">
        <w:trPr>
          <w:jc w:val="center"/>
        </w:trPr>
        <w:tc>
          <w:tcPr>
            <w:tcW w:w="9637" w:type="dxa"/>
            <w:tcBorders>
              <w:top w:val="nil"/>
              <w:bottom w:val="nil"/>
            </w:tcBorders>
            <w:shd w:val="clear" w:color="auto" w:fill="auto"/>
          </w:tcPr>
          <w:p w14:paraId="6C77E688" w14:textId="77777777" w:rsidR="002E2302" w:rsidRPr="002E2302" w:rsidRDefault="002E2302" w:rsidP="002E2302">
            <w:pPr>
              <w:pStyle w:val="SingleTxtG"/>
              <w:tabs>
                <w:tab w:val="clear" w:pos="2268"/>
                <w:tab w:val="left" w:pos="3670"/>
              </w:tabs>
              <w:ind w:left="3670" w:hanging="2536"/>
              <w:jc w:val="left"/>
            </w:pPr>
            <w:r w:rsidRPr="002E2302">
              <w:rPr>
                <w:b/>
                <w:bCs/>
              </w:rPr>
              <w:t>Action to be taken</w:t>
            </w:r>
            <w:r w:rsidRPr="002E2302">
              <w:t>:</w:t>
            </w:r>
            <w:r w:rsidRPr="002E2302">
              <w:tab/>
              <w:t>Amend 1.6.4, 3.2.1, 4.2.5.1.1, 6.7 and 6.8.</w:t>
            </w:r>
          </w:p>
          <w:p w14:paraId="2F9D60BE" w14:textId="2173D0A6" w:rsidR="002E2302" w:rsidRPr="002E2302" w:rsidRDefault="002E2302" w:rsidP="002E2302">
            <w:pPr>
              <w:pStyle w:val="SingleTxtG"/>
              <w:tabs>
                <w:tab w:val="clear" w:pos="2268"/>
                <w:tab w:val="left" w:pos="3670"/>
              </w:tabs>
              <w:ind w:left="3670" w:hanging="2536"/>
              <w:jc w:val="left"/>
            </w:pPr>
            <w:r w:rsidRPr="002E2302">
              <w:rPr>
                <w:b/>
                <w:bCs/>
              </w:rPr>
              <w:t>Related documents</w:t>
            </w:r>
            <w:r w:rsidRPr="002E2302">
              <w:t>:</w:t>
            </w:r>
            <w:r w:rsidRPr="002E2302">
              <w:tab/>
            </w:r>
            <w:hyperlink r:id="rId9" w:history="1">
              <w:r w:rsidR="00763693">
                <w:rPr>
                  <w:rStyle w:val="Hyperlink"/>
                </w:rPr>
                <w:t>ECE/TRANS/WP.15/AC.1/168/Add.1</w:t>
              </w:r>
            </w:hyperlink>
            <w:r w:rsidRPr="002E2302">
              <w:t>, paragraphs 17–20; Informal document INF.33 from the spring 2023 session of the Joint Meeting</w:t>
            </w:r>
          </w:p>
        </w:tc>
      </w:tr>
      <w:tr w:rsidR="002E2302" w:rsidRPr="002E2302" w14:paraId="5A2D12DB" w14:textId="77777777" w:rsidTr="002E2302">
        <w:trPr>
          <w:jc w:val="center"/>
        </w:trPr>
        <w:tc>
          <w:tcPr>
            <w:tcW w:w="9637" w:type="dxa"/>
            <w:tcBorders>
              <w:top w:val="nil"/>
            </w:tcBorders>
          </w:tcPr>
          <w:p w14:paraId="5CE1B6C2" w14:textId="77777777" w:rsidR="002E2302" w:rsidRPr="002E2302" w:rsidRDefault="002E2302" w:rsidP="002E2302">
            <w:pPr>
              <w:suppressAutoHyphens w:val="0"/>
            </w:pPr>
          </w:p>
        </w:tc>
      </w:tr>
    </w:tbl>
    <w:p w14:paraId="71078964" w14:textId="77777777" w:rsidR="002E2302" w:rsidRPr="002E2302" w:rsidRDefault="002E2302">
      <w:pPr>
        <w:suppressAutoHyphens w:val="0"/>
        <w:spacing w:after="200" w:line="276" w:lineRule="auto"/>
      </w:pPr>
      <w:r w:rsidRPr="002E2302">
        <w:br w:type="page"/>
      </w:r>
    </w:p>
    <w:p w14:paraId="143E41FF" w14:textId="77777777" w:rsidR="002E2302" w:rsidRPr="002E2302" w:rsidRDefault="002E2302" w:rsidP="002E2302">
      <w:pPr>
        <w:pStyle w:val="HChG"/>
      </w:pPr>
      <w:r w:rsidRPr="002E2302">
        <w:lastRenderedPageBreak/>
        <w:tab/>
      </w:r>
      <w:r w:rsidRPr="002E2302">
        <w:tab/>
        <w:t>Introduction</w:t>
      </w:r>
    </w:p>
    <w:p w14:paraId="3376810B" w14:textId="77777777" w:rsidR="002E2302" w:rsidRPr="002E2302" w:rsidRDefault="002E2302" w:rsidP="002E2302">
      <w:pPr>
        <w:pStyle w:val="SingleTxtG"/>
      </w:pPr>
      <w:r w:rsidRPr="002E2302">
        <w:t>1.</w:t>
      </w:r>
      <w:r w:rsidRPr="002E2302">
        <w:tab/>
        <w:t>At the March 2023 session of the Joint Meeting, the Working Group on Tanks discussed informal document INF.33 from France on the difficulties of dual approval of tanks under Chapters 6.7 and 6.8. It agreed that the dual approval was problematic in terms of approval, approval numbers, inspection, use, marking and tank type identification.</w:t>
      </w:r>
    </w:p>
    <w:p w14:paraId="64415FAE" w14:textId="77777777" w:rsidR="002E2302" w:rsidRPr="002E2302" w:rsidRDefault="002E2302" w:rsidP="002E2302">
      <w:pPr>
        <w:pStyle w:val="SingleTxtG"/>
      </w:pPr>
      <w:r w:rsidRPr="002E2302">
        <w:t>2.</w:t>
      </w:r>
      <w:r w:rsidRPr="002E2302">
        <w:tab/>
        <w:t>Most of the experts who took the floor expressed a preference for forbidding dual approval, but it was also recognized that there were advantages for users in having dual approval of their tanks, given the difference in the regimes in question (particularly in respect of bottom opening discharging).</w:t>
      </w:r>
    </w:p>
    <w:p w14:paraId="3B008A80" w14:textId="77777777" w:rsidR="002E2302" w:rsidRPr="002E2302" w:rsidRDefault="002E2302" w:rsidP="002E2302">
      <w:pPr>
        <w:pStyle w:val="SingleTxtG"/>
      </w:pPr>
      <w:r w:rsidRPr="002E2302">
        <w:t>3.</w:t>
      </w:r>
      <w:r w:rsidRPr="002E2302">
        <w:tab/>
        <w:t>Following up on these discussions, France is proposing to eliminate the possibility of dual mobile tank/tank-container approvals because of the problems posed.</w:t>
      </w:r>
    </w:p>
    <w:p w14:paraId="1ECE26BF" w14:textId="77777777" w:rsidR="002E2302" w:rsidRPr="002E2302" w:rsidRDefault="002E2302" w:rsidP="002E2302">
      <w:pPr>
        <w:pStyle w:val="SingleTxtG"/>
      </w:pPr>
      <w:r w:rsidRPr="002E2302">
        <w:t>4.</w:t>
      </w:r>
      <w:r w:rsidRPr="002E2302">
        <w:tab/>
        <w:t>However, in addition to resolving the problems noted in relation to the elimination of dual approvals, France believes it is necessary to provide a mechanism enabling operators to continue to use portable tanks when used exclusively for land transport under RID/ADR, in safety conditions equivalent to those applicable to tank-containers.</w:t>
      </w:r>
    </w:p>
    <w:p w14:paraId="65B1237C" w14:textId="77777777" w:rsidR="002E2302" w:rsidRPr="002E2302" w:rsidRDefault="002E2302" w:rsidP="002E2302">
      <w:pPr>
        <w:pStyle w:val="SingleTxtG"/>
      </w:pPr>
      <w:r w:rsidRPr="002E2302">
        <w:t>5.</w:t>
      </w:r>
      <w:r w:rsidRPr="002E2302">
        <w:tab/>
        <w:t>To make this possibility available, a portable tank instruction for equipment corresponding to the equipment mentioned in Chapter 6.8, applicable for rail or road transport only, could be assigned for each of the materials in question. This instruction could be added in brackets in column (10) of Table A of Chapter 3.2, at the bottom of the cell (</w:t>
      </w:r>
      <w:proofErr w:type="gramStart"/>
      <w:r w:rsidRPr="002E2302">
        <w:t>similar to</w:t>
      </w:r>
      <w:proofErr w:type="gramEnd"/>
      <w:r w:rsidRPr="002E2302">
        <w:t xml:space="preserve"> the ADR presentation of tunnel restriction codes in column (15)). Alternatively, column (10) could be divided into two columns, with the first conforming to the current one and the second listing the transport instructions usable in rail or road transport only for hundreds of materials.</w:t>
      </w:r>
    </w:p>
    <w:p w14:paraId="57AB2B6E" w14:textId="77777777" w:rsidR="002E2302" w:rsidRPr="002E2302" w:rsidRDefault="002E2302" w:rsidP="002E2302">
      <w:pPr>
        <w:pStyle w:val="HChG"/>
      </w:pPr>
      <w:r w:rsidRPr="002E2302">
        <w:tab/>
      </w:r>
      <w:r w:rsidRPr="002E2302">
        <w:tab/>
        <w:t>Proposals</w:t>
      </w:r>
    </w:p>
    <w:p w14:paraId="5CADFD91" w14:textId="77777777" w:rsidR="002E2302" w:rsidRPr="002E2302" w:rsidRDefault="002E2302" w:rsidP="002E2302">
      <w:pPr>
        <w:pStyle w:val="H1G"/>
      </w:pPr>
      <w:r w:rsidRPr="002E2302">
        <w:tab/>
      </w:r>
      <w:r w:rsidRPr="002E2302">
        <w:tab/>
        <w:t>Proposal 1</w:t>
      </w:r>
    </w:p>
    <w:p w14:paraId="19E57F04" w14:textId="77777777" w:rsidR="002E2302" w:rsidRPr="002E2302" w:rsidRDefault="002E2302" w:rsidP="002E2302">
      <w:pPr>
        <w:pStyle w:val="SingleTxtG"/>
      </w:pPr>
      <w:r w:rsidRPr="002E2302">
        <w:t>6.</w:t>
      </w:r>
      <w:r w:rsidRPr="002E2302">
        <w:tab/>
        <w:t xml:space="preserve">At the end of NOTE 1 under the title of Chapter 6.7, add: </w:t>
      </w:r>
    </w:p>
    <w:p w14:paraId="1446800B" w14:textId="3395A891" w:rsidR="002E2302" w:rsidRPr="002E2302" w:rsidRDefault="002E2302" w:rsidP="002E2302">
      <w:pPr>
        <w:pStyle w:val="SingleTxtG"/>
      </w:pPr>
      <w:r w:rsidRPr="002E2302">
        <w:tab/>
        <w:t>“</w:t>
      </w:r>
      <w:r w:rsidRPr="002E2302">
        <w:t>A portable tank complying with Chapter 6.7 cannot be approved in accordance with Chapter 6.8.</w:t>
      </w:r>
      <w:r w:rsidRPr="002E2302">
        <w:t>”</w:t>
      </w:r>
    </w:p>
    <w:p w14:paraId="6FAAD353" w14:textId="77777777" w:rsidR="002E2302" w:rsidRPr="002E2302" w:rsidRDefault="002E2302" w:rsidP="002E2302">
      <w:pPr>
        <w:pStyle w:val="SingleTxtG"/>
      </w:pPr>
      <w:r w:rsidRPr="002E2302">
        <w:t>7.</w:t>
      </w:r>
      <w:r w:rsidRPr="002E2302">
        <w:tab/>
        <w:t xml:space="preserve">At the end of NOTE 1 under the title of Chapter 6.8, add: </w:t>
      </w:r>
    </w:p>
    <w:p w14:paraId="077A133D" w14:textId="68D5EBE0" w:rsidR="002E2302" w:rsidRPr="002E2302" w:rsidRDefault="002E2302" w:rsidP="002E2302">
      <w:pPr>
        <w:pStyle w:val="SingleTxtG"/>
      </w:pPr>
      <w:r w:rsidRPr="002E2302">
        <w:tab/>
        <w:t>“</w:t>
      </w:r>
      <w:r w:rsidRPr="002E2302">
        <w:t>A portable tank complying with Chapter 6.8 cannot be approved in accordance with Chapter 6.7.</w:t>
      </w:r>
      <w:r w:rsidRPr="002E2302">
        <w:t>”</w:t>
      </w:r>
    </w:p>
    <w:p w14:paraId="7140B6D7" w14:textId="77777777" w:rsidR="002E2302" w:rsidRPr="002E2302" w:rsidRDefault="002E2302" w:rsidP="002E2302">
      <w:pPr>
        <w:pStyle w:val="H1G"/>
      </w:pPr>
      <w:r w:rsidRPr="002E2302">
        <w:tab/>
      </w:r>
      <w:r w:rsidRPr="002E2302">
        <w:tab/>
        <w:t>Proposal 2</w:t>
      </w:r>
    </w:p>
    <w:p w14:paraId="5AB35256" w14:textId="77777777" w:rsidR="002E2302" w:rsidRPr="002E2302" w:rsidRDefault="002E2302" w:rsidP="002E2302">
      <w:pPr>
        <w:pStyle w:val="SingleTxtG"/>
      </w:pPr>
      <w:r w:rsidRPr="002E2302">
        <w:t>8.</w:t>
      </w:r>
      <w:r w:rsidRPr="002E2302">
        <w:tab/>
        <w:t>In column (10) of Table A of Chapter 3.2, for the UN numbers cited in an informal document submitted by France, at the bottom of the cell, add in brackets, the proposed portable tank instruction usable for rail or road transport only.</w:t>
      </w:r>
    </w:p>
    <w:p w14:paraId="2C6A8D60" w14:textId="7DECEB45" w:rsidR="002E2302" w:rsidRPr="002E2302" w:rsidRDefault="002E2302" w:rsidP="002E2302">
      <w:pPr>
        <w:pStyle w:val="SingleTxtG"/>
      </w:pPr>
      <w:r w:rsidRPr="002E2302">
        <w:t>9.</w:t>
      </w:r>
      <w:r w:rsidRPr="002E2302">
        <w:tab/>
        <w:t xml:space="preserve">In 3.2.1, in the explanatory notes for each column, under </w:t>
      </w:r>
      <w:r w:rsidRPr="002E2302">
        <w:t>“</w:t>
      </w:r>
      <w:r w:rsidRPr="002E2302">
        <w:t>column (10)</w:t>
      </w:r>
      <w:r w:rsidRPr="002E2302">
        <w:t>”</w:t>
      </w:r>
      <w:r w:rsidRPr="002E2302">
        <w:t>,</w:t>
      </w:r>
    </w:p>
    <w:p w14:paraId="0EBE7771" w14:textId="2790205F" w:rsidR="002E2302" w:rsidRPr="002E2302" w:rsidRDefault="002E2302" w:rsidP="002E2302">
      <w:pPr>
        <w:pStyle w:val="Bullet1G"/>
      </w:pPr>
      <w:r w:rsidRPr="002E2302">
        <w:t xml:space="preserve">in the first paragraph, add </w:t>
      </w:r>
      <w:r w:rsidRPr="002E2302">
        <w:t>“</w:t>
      </w:r>
      <w:r w:rsidRPr="002E2302">
        <w:t>at the top of the cell</w:t>
      </w:r>
      <w:r w:rsidRPr="002E2302">
        <w:t>”</w:t>
      </w:r>
      <w:r w:rsidRPr="002E2302">
        <w:t xml:space="preserve"> after </w:t>
      </w:r>
      <w:r w:rsidRPr="002E2302">
        <w:t>“</w:t>
      </w:r>
      <w:r w:rsidRPr="002E2302">
        <w:t>Contains</w:t>
      </w:r>
      <w:r w:rsidRPr="002E2302">
        <w:t>”</w:t>
      </w:r>
      <w:r w:rsidRPr="002E2302">
        <w:t>;</w:t>
      </w:r>
    </w:p>
    <w:p w14:paraId="3BF8DC2E" w14:textId="0FB5FAE4" w:rsidR="002E2302" w:rsidRPr="002E2302" w:rsidRDefault="002E2302" w:rsidP="002E2302">
      <w:pPr>
        <w:pStyle w:val="Bullet1G"/>
      </w:pPr>
      <w:r w:rsidRPr="002E2302">
        <w:t>after the last paragraph, add the following text:</w:t>
      </w:r>
    </w:p>
    <w:p w14:paraId="5523980B" w14:textId="40E988AF" w:rsidR="002E2302" w:rsidRPr="002E2302" w:rsidRDefault="002E2302" w:rsidP="002E2302">
      <w:pPr>
        <w:pStyle w:val="SingleTxtG"/>
      </w:pPr>
      <w:r w:rsidRPr="002E2302">
        <w:tab/>
        <w:t>“</w:t>
      </w:r>
      <w:r w:rsidRPr="002E2302">
        <w:t>Contains at the bottom of the cell, between brackets, a portable tank instruction that can be used for rail or road transport only.</w:t>
      </w:r>
      <w:r w:rsidRPr="002E2302">
        <w:t>”</w:t>
      </w:r>
    </w:p>
    <w:p w14:paraId="518CB4D6" w14:textId="77777777" w:rsidR="002E2302" w:rsidRPr="002E2302" w:rsidRDefault="002E2302" w:rsidP="002E2302">
      <w:pPr>
        <w:pStyle w:val="SingleTxtG"/>
      </w:pPr>
      <w:r w:rsidRPr="002E2302">
        <w:t>10.</w:t>
      </w:r>
      <w:r w:rsidRPr="002E2302">
        <w:tab/>
        <w:t>At the end of 4.2.5.1.1, insert the following note:</w:t>
      </w:r>
    </w:p>
    <w:p w14:paraId="1E026397" w14:textId="7F3A66EF" w:rsidR="002E2302" w:rsidRPr="002E2302" w:rsidRDefault="002E2302" w:rsidP="002E2302">
      <w:pPr>
        <w:pStyle w:val="SingleTxtG"/>
      </w:pPr>
      <w:r w:rsidRPr="002E2302">
        <w:tab/>
      </w:r>
      <w:r w:rsidRPr="002E2302">
        <w:t>“</w:t>
      </w:r>
      <w:r w:rsidRPr="002E2302">
        <w:rPr>
          <w:b/>
          <w:bCs/>
          <w:i/>
          <w:iCs/>
        </w:rPr>
        <w:t>NOTE 1</w:t>
      </w:r>
      <w:r w:rsidRPr="002E2302">
        <w:t>: Alternatively, the portable tank instructions given in column (10) of Table A of Chapter 3.2 in brackets at the bottom of the cell may be used for carriage by rail or road only.</w:t>
      </w:r>
      <w:r w:rsidRPr="002E2302">
        <w:t>”</w:t>
      </w:r>
    </w:p>
    <w:p w14:paraId="5CB35645" w14:textId="53A52FC8" w:rsidR="002E2302" w:rsidRPr="002E2302" w:rsidRDefault="002E2302" w:rsidP="002E2302">
      <w:pPr>
        <w:pStyle w:val="SingleTxtG"/>
      </w:pPr>
      <w:r w:rsidRPr="002E2302">
        <w:tab/>
      </w:r>
      <w:r w:rsidRPr="002E2302">
        <w:t>The existing note becomes NOTE 2.</w:t>
      </w:r>
    </w:p>
    <w:p w14:paraId="67017AAB" w14:textId="77777777" w:rsidR="002E2302" w:rsidRPr="002E2302" w:rsidRDefault="002E2302" w:rsidP="002E2302">
      <w:pPr>
        <w:pStyle w:val="H1G"/>
      </w:pPr>
      <w:r w:rsidRPr="002E2302">
        <w:lastRenderedPageBreak/>
        <w:tab/>
      </w:r>
      <w:r w:rsidRPr="002E2302">
        <w:tab/>
        <w:t>Proposal 3</w:t>
      </w:r>
    </w:p>
    <w:p w14:paraId="3ECBD7A6" w14:textId="77777777" w:rsidR="002E2302" w:rsidRPr="002E2302" w:rsidRDefault="002E2302" w:rsidP="002E2302">
      <w:pPr>
        <w:pStyle w:val="SingleTxtG"/>
      </w:pPr>
      <w:r w:rsidRPr="002E2302">
        <w:t>11.</w:t>
      </w:r>
      <w:r w:rsidRPr="002E2302">
        <w:tab/>
        <w:t>In Chapter 1.6, add the following transitional measures:</w:t>
      </w:r>
    </w:p>
    <w:p w14:paraId="2D1CD9DE" w14:textId="051D0AFB" w:rsidR="002E2302" w:rsidRPr="002E2302" w:rsidRDefault="002E2302" w:rsidP="002E2302">
      <w:pPr>
        <w:pStyle w:val="SingleTxtG"/>
      </w:pPr>
      <w:r w:rsidRPr="002E2302">
        <w:tab/>
        <w:t>“</w:t>
      </w:r>
      <w:r w:rsidRPr="002E2302">
        <w:t>1.6.4.x</w:t>
      </w:r>
      <w:r w:rsidRPr="002E2302">
        <w:tab/>
        <w:t>Tank-containers conforming to Chapter 6.8 which have been approved in accordance with Chapter 6.7 may be used until the next periodic or intermediate inspection carried out before 1 July 2027. After that, the transport instruction for portable tanks shall be withdrawn.</w:t>
      </w:r>
      <w:r w:rsidRPr="002E2302">
        <w:t>”</w:t>
      </w:r>
    </w:p>
    <w:p w14:paraId="46DED5F7" w14:textId="32DF1932" w:rsidR="002E2302" w:rsidRPr="002E2302" w:rsidRDefault="002E2302" w:rsidP="002E2302">
      <w:pPr>
        <w:pStyle w:val="SingleTxtG"/>
      </w:pPr>
      <w:r w:rsidRPr="002E2302">
        <w:tab/>
        <w:t>“</w:t>
      </w:r>
      <w:r w:rsidRPr="002E2302">
        <w:t>1.6.4.y</w:t>
      </w:r>
      <w:r w:rsidRPr="002E2302">
        <w:tab/>
        <w:t>Tank-containers conforming to Chapter 6.7 which have been approved in accordance with Chapter 6.8 may be used until the next periodic or intermediate inspection carried out before 1 July 2027. After that, the tank code shall be withdrawn.</w:t>
      </w:r>
      <w:r w:rsidRPr="002E2302">
        <w:t>”</w:t>
      </w:r>
    </w:p>
    <w:p w14:paraId="6DC34709" w14:textId="77777777" w:rsidR="002E2302" w:rsidRPr="002E2302" w:rsidRDefault="002E2302" w:rsidP="002E2302">
      <w:pPr>
        <w:pStyle w:val="H1G"/>
      </w:pPr>
      <w:r w:rsidRPr="002E2302">
        <w:tab/>
      </w:r>
      <w:r w:rsidRPr="002E2302">
        <w:tab/>
        <w:t>Justification</w:t>
      </w:r>
    </w:p>
    <w:p w14:paraId="1D932078" w14:textId="156D319A" w:rsidR="007268F9" w:rsidRPr="002E2302" w:rsidRDefault="002E2302" w:rsidP="002E2302">
      <w:pPr>
        <w:pStyle w:val="SingleTxtG"/>
      </w:pPr>
      <w:r w:rsidRPr="002E2302">
        <w:t>12.</w:t>
      </w:r>
      <w:r w:rsidRPr="002E2302">
        <w:tab/>
        <w:t xml:space="preserve">These amendments clarify the requirements applicable to </w:t>
      </w:r>
      <w:r w:rsidRPr="002E2302">
        <w:t>“</w:t>
      </w:r>
      <w:r w:rsidRPr="002E2302">
        <w:t>tank-containers</w:t>
      </w:r>
      <w:r w:rsidRPr="002E2302">
        <w:t>”</w:t>
      </w:r>
      <w:r w:rsidRPr="002E2302">
        <w:t xml:space="preserve"> and facilitate their application.</w:t>
      </w:r>
    </w:p>
    <w:p w14:paraId="1E9A0084" w14:textId="4E7A094A" w:rsidR="002E2302" w:rsidRPr="002E2302" w:rsidRDefault="002E2302" w:rsidP="002E2302">
      <w:pPr>
        <w:spacing w:before="240"/>
        <w:jc w:val="center"/>
        <w:rPr>
          <w:u w:val="single"/>
        </w:rPr>
      </w:pPr>
      <w:r w:rsidRPr="002E2302">
        <w:rPr>
          <w:u w:val="single"/>
        </w:rPr>
        <w:tab/>
      </w:r>
      <w:r w:rsidRPr="002E2302">
        <w:rPr>
          <w:u w:val="single"/>
        </w:rPr>
        <w:tab/>
      </w:r>
      <w:r w:rsidRPr="002E2302">
        <w:rPr>
          <w:u w:val="single"/>
        </w:rPr>
        <w:tab/>
      </w:r>
    </w:p>
    <w:sectPr w:rsidR="002E2302" w:rsidRPr="002E2302" w:rsidSect="0058769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BB7F2" w14:textId="77777777" w:rsidR="001E6EB2" w:rsidRPr="00FB1744" w:rsidRDefault="001E6EB2" w:rsidP="00FB1744">
      <w:pPr>
        <w:pStyle w:val="Footer"/>
      </w:pPr>
    </w:p>
  </w:endnote>
  <w:endnote w:type="continuationSeparator" w:id="0">
    <w:p w14:paraId="1FA14064" w14:textId="77777777" w:rsidR="001E6EB2" w:rsidRPr="00FB1744" w:rsidRDefault="001E6EB2"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E08B" w14:textId="77777777" w:rsidR="002E2302" w:rsidRDefault="002E2302" w:rsidP="002E2302">
    <w:pPr>
      <w:pStyle w:val="Footer"/>
      <w:tabs>
        <w:tab w:val="right" w:pos="9638"/>
      </w:tabs>
    </w:pPr>
    <w:r w:rsidRPr="002E2302">
      <w:rPr>
        <w:b/>
        <w:bCs/>
        <w:sz w:val="18"/>
      </w:rPr>
      <w:fldChar w:fldCharType="begin"/>
    </w:r>
    <w:r w:rsidRPr="002E2302">
      <w:rPr>
        <w:b/>
        <w:bCs/>
        <w:sz w:val="18"/>
      </w:rPr>
      <w:instrText xml:space="preserve"> PAGE  \* MERGEFORMAT </w:instrText>
    </w:r>
    <w:r w:rsidRPr="002E2302">
      <w:rPr>
        <w:b/>
        <w:bCs/>
        <w:sz w:val="18"/>
      </w:rPr>
      <w:fldChar w:fldCharType="separate"/>
    </w:r>
    <w:r w:rsidRPr="002E2302">
      <w:rPr>
        <w:b/>
        <w:bCs/>
        <w:noProof/>
        <w:sz w:val="18"/>
      </w:rPr>
      <w:t>2</w:t>
    </w:r>
    <w:r w:rsidRPr="002E2302">
      <w:rPr>
        <w:b/>
        <w:bCs/>
        <w:sz w:val="18"/>
      </w:rPr>
      <w:fldChar w:fldCharType="end"/>
    </w:r>
    <w:r>
      <w:tab/>
      <w:t>GE.23-13316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7C3A" w14:textId="77777777" w:rsidR="002E2302" w:rsidRDefault="002E2302" w:rsidP="002E2302">
    <w:pPr>
      <w:pStyle w:val="Footer"/>
      <w:tabs>
        <w:tab w:val="right" w:pos="9638"/>
      </w:tabs>
    </w:pPr>
    <w:r>
      <w:t>GE.23-13316</w:t>
    </w:r>
    <w:r>
      <w:tab/>
    </w:r>
    <w:r w:rsidRPr="002E2302">
      <w:rPr>
        <w:b/>
        <w:bCs/>
        <w:sz w:val="18"/>
      </w:rPr>
      <w:fldChar w:fldCharType="begin"/>
    </w:r>
    <w:r w:rsidRPr="002E2302">
      <w:rPr>
        <w:b/>
        <w:bCs/>
        <w:sz w:val="18"/>
      </w:rPr>
      <w:instrText xml:space="preserve"> PAGE  \* MERGEFORMAT </w:instrText>
    </w:r>
    <w:r w:rsidRPr="002E2302">
      <w:rPr>
        <w:b/>
        <w:bCs/>
        <w:sz w:val="18"/>
      </w:rPr>
      <w:fldChar w:fldCharType="separate"/>
    </w:r>
    <w:r w:rsidRPr="002E2302">
      <w:rPr>
        <w:b/>
        <w:bCs/>
        <w:noProof/>
        <w:sz w:val="18"/>
      </w:rPr>
      <w:t>3</w:t>
    </w:r>
    <w:r w:rsidRPr="002E230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CC7B" w14:textId="77777777" w:rsidR="00C448F7" w:rsidRDefault="002E2302">
    <w:pPr>
      <w:pStyle w:val="Footer"/>
      <w:rPr>
        <w:sz w:val="20"/>
      </w:rPr>
    </w:pPr>
    <w:r w:rsidRPr="0027112F">
      <w:rPr>
        <w:noProof/>
        <w:lang w:val="en-US"/>
      </w:rPr>
      <w:drawing>
        <wp:anchor distT="0" distB="0" distL="114300" distR="114300" simplePos="0" relativeHeight="251659264" behindDoc="0" locked="1" layoutInCell="1" allowOverlap="1" wp14:anchorId="4ABDBDB3" wp14:editId="6C236586">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9F5511E" w14:textId="169833A3" w:rsidR="002E2302" w:rsidRPr="002E2302" w:rsidRDefault="002E2302" w:rsidP="002E2302">
    <w:pPr>
      <w:pStyle w:val="Footer"/>
      <w:tabs>
        <w:tab w:val="right" w:pos="7370"/>
      </w:tabs>
      <w:rPr>
        <w:sz w:val="20"/>
      </w:rPr>
    </w:pPr>
    <w:r>
      <w:rPr>
        <w:sz w:val="20"/>
      </w:rPr>
      <w:t>GE.23-13316  (E)</w:t>
    </w:r>
    <w:r>
      <w:rPr>
        <w:noProof/>
        <w:sz w:val="20"/>
      </w:rPr>
      <w:drawing>
        <wp:anchor distT="0" distB="0" distL="114300" distR="114300" simplePos="0" relativeHeight="251660288" behindDoc="0" locked="0" layoutInCell="1" allowOverlap="1" wp14:anchorId="24FABC4B" wp14:editId="42165167">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120723    120723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B16F" w14:textId="77777777" w:rsidR="001E6EB2" w:rsidRPr="00FB1744" w:rsidRDefault="001E6EB2" w:rsidP="00FB1744">
      <w:pPr>
        <w:tabs>
          <w:tab w:val="right" w:pos="2155"/>
        </w:tabs>
        <w:spacing w:after="80" w:line="240" w:lineRule="auto"/>
        <w:ind w:left="680"/>
      </w:pPr>
      <w:r>
        <w:rPr>
          <w:u w:val="single"/>
        </w:rPr>
        <w:tab/>
      </w:r>
    </w:p>
  </w:footnote>
  <w:footnote w:type="continuationSeparator" w:id="0">
    <w:p w14:paraId="10EF4A3A" w14:textId="77777777" w:rsidR="001E6EB2" w:rsidRPr="00FB1744" w:rsidRDefault="001E6EB2" w:rsidP="00FB1744">
      <w:pPr>
        <w:tabs>
          <w:tab w:val="right" w:pos="2155"/>
        </w:tabs>
        <w:spacing w:after="80" w:line="240" w:lineRule="auto"/>
        <w:ind w:left="680"/>
      </w:pPr>
      <w:r>
        <w:rPr>
          <w:u w:val="single"/>
        </w:rPr>
        <w:tab/>
      </w:r>
    </w:p>
  </w:footnote>
  <w:footnote w:id="1">
    <w:p w14:paraId="6032E565" w14:textId="0435B4A6" w:rsidR="002E2302" w:rsidRPr="005B6B5E" w:rsidRDefault="002E2302" w:rsidP="002E2302">
      <w:pPr>
        <w:pStyle w:val="FootnoteText"/>
        <w:rPr>
          <w:lang w:val="en-US"/>
        </w:rPr>
      </w:pPr>
      <w:r>
        <w:tab/>
      </w:r>
      <w:r w:rsidRPr="002E2302">
        <w:rPr>
          <w:sz w:val="20"/>
          <w:szCs w:val="22"/>
        </w:rPr>
        <w:t>*</w:t>
      </w:r>
      <w:r>
        <w:tab/>
      </w:r>
      <w:hyperlink r:id="rId1" w:history="1">
        <w:r w:rsidR="00763693" w:rsidRPr="00763693">
          <w:rPr>
            <w:rStyle w:val="Hyperlink"/>
          </w:rPr>
          <w:t>A/77/6</w:t>
        </w:r>
      </w:hyperlink>
      <w:r>
        <w:t xml:space="preserve"> (Sect. 20), table 20.6</w:t>
      </w:r>
    </w:p>
  </w:footnote>
  <w:footnote w:id="2">
    <w:p w14:paraId="1B974C54" w14:textId="77777777" w:rsidR="002E2302" w:rsidRPr="005B6B5E" w:rsidRDefault="002E2302" w:rsidP="002E2302">
      <w:pPr>
        <w:pStyle w:val="FootnoteText"/>
        <w:rPr>
          <w:lang w:val="en-US"/>
        </w:rPr>
      </w:pPr>
      <w:r>
        <w:tab/>
      </w:r>
      <w:r w:rsidRPr="002E2302">
        <w:rPr>
          <w:sz w:val="20"/>
          <w:szCs w:val="22"/>
        </w:rPr>
        <w:t>**</w:t>
      </w:r>
      <w:r>
        <w:tab/>
        <w:t>Circulated by the Intergovernmental Organization for International Carriage by Rail (OTIF) under the symbol OTIF/RID/RC/2023/46.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4EBE" w14:textId="77777777" w:rsidR="002E2302" w:rsidRDefault="002E2302" w:rsidP="002E2302">
    <w:pPr>
      <w:pStyle w:val="Header"/>
    </w:pPr>
    <w:r>
      <w:t>ECE/TRANS/WP.15/AC.1/2023/46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AD5B" w14:textId="77777777" w:rsidR="002E2302" w:rsidRDefault="002E2302" w:rsidP="002E2302">
    <w:pPr>
      <w:pStyle w:val="Header"/>
      <w:jc w:val="right"/>
    </w:pPr>
    <w:r>
      <w:t>ECE/TRANS/WP.15/AC.1/2023/46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63149765">
    <w:abstractNumId w:val="3"/>
  </w:num>
  <w:num w:numId="2" w16cid:durableId="1715693417">
    <w:abstractNumId w:val="2"/>
  </w:num>
  <w:num w:numId="3" w16cid:durableId="895581105">
    <w:abstractNumId w:val="0"/>
  </w:num>
  <w:num w:numId="4" w16cid:durableId="51851691">
    <w:abstractNumId w:val="4"/>
  </w:num>
  <w:num w:numId="5" w16cid:durableId="1292320020">
    <w:abstractNumId w:val="5"/>
  </w:num>
  <w:num w:numId="6" w16cid:durableId="205652728">
    <w:abstractNumId w:val="6"/>
  </w:num>
  <w:num w:numId="7" w16cid:durableId="1965304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1E6EB2"/>
    <w:rsid w:val="00046E92"/>
    <w:rsid w:val="000D1B89"/>
    <w:rsid w:val="000F6E29"/>
    <w:rsid w:val="001170DC"/>
    <w:rsid w:val="001E6EB2"/>
    <w:rsid w:val="00245F11"/>
    <w:rsid w:val="00247E2C"/>
    <w:rsid w:val="002D6C53"/>
    <w:rsid w:val="002E2302"/>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63693"/>
    <w:rsid w:val="007C52B0"/>
    <w:rsid w:val="009411B4"/>
    <w:rsid w:val="009D0139"/>
    <w:rsid w:val="009F5CDC"/>
    <w:rsid w:val="00A429CD"/>
    <w:rsid w:val="00A775CF"/>
    <w:rsid w:val="00AB3C7E"/>
    <w:rsid w:val="00B06045"/>
    <w:rsid w:val="00C35A27"/>
    <w:rsid w:val="00C448F7"/>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0FF8F3"/>
  <w15:docId w15:val="{69D5525F-6BC4-4451-BDDD-EFA4AAD9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styleId="Hyperlink">
    <w:name w:val="Hyperlink"/>
    <w:basedOn w:val="DefaultParagraphFont"/>
    <w:uiPriority w:val="99"/>
    <w:unhideWhenUsed/>
    <w:rsid w:val="00763693"/>
    <w:rPr>
      <w:color w:val="0000FF" w:themeColor="hyperlink"/>
    </w:rPr>
  </w:style>
  <w:style w:type="character" w:styleId="UnresolvedMention">
    <w:name w:val="Unresolved Mention"/>
    <w:basedOn w:val="DefaultParagraphFont"/>
    <w:uiPriority w:val="99"/>
    <w:semiHidden/>
    <w:unhideWhenUsed/>
    <w:rsid w:val="00763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docs.org/en/ECE/TRANS/WP.15/AC.1/168/Add.1"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undocs.org/en/A/7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ée un document." ma:contentTypeScope="" ma:versionID="d593cc96c5d428f23a5351564b268b6d">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76aafa040e38551359a67edc98402bfa"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98CD714C-E36D-4A70-B76C-86EAECB31E00}"/>
</file>

<file path=customXml/itemProps3.xml><?xml version="1.0" encoding="utf-8"?>
<ds:datastoreItem xmlns:ds="http://schemas.openxmlformats.org/officeDocument/2006/customXml" ds:itemID="{67914786-EE2C-4350-9BEC-7C031896C272}"/>
</file>

<file path=docProps/app.xml><?xml version="1.0" encoding="utf-8"?>
<Properties xmlns="http://schemas.openxmlformats.org/officeDocument/2006/extended-properties" xmlns:vt="http://schemas.openxmlformats.org/officeDocument/2006/docPropsVTypes">
  <Template>CESCR.dotm</Template>
  <TotalTime>0</TotalTime>
  <Pages>3</Pages>
  <Words>755</Words>
  <Characters>3994</Characters>
  <Application>Microsoft Office Word</Application>
  <DocSecurity>0</DocSecurity>
  <Lines>89</Lines>
  <Paragraphs>47</Paragraphs>
  <ScaleCrop>false</ScaleCrop>
  <HeadingPairs>
    <vt:vector size="2" baseType="variant">
      <vt:variant>
        <vt:lpstr>Title</vt:lpstr>
      </vt:variant>
      <vt:variant>
        <vt:i4>1</vt:i4>
      </vt:variant>
    </vt:vector>
  </HeadingPairs>
  <TitlesOfParts>
    <vt:vector size="1" baseType="lpstr">
      <vt:lpstr>ECE/TRANS/WP.15/AC.1/2023/46</vt:lpstr>
    </vt:vector>
  </TitlesOfParts>
  <Company>DCM</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ECE/TRANS/WP.15/AC.1/2023/46</dc:title>
  <dc:subject>2313316</dc:subject>
  <dc:creator>dm</dc:creator>
  <cp:keywords/>
  <dc:description/>
  <cp:lastModifiedBy>Don Canete Martin</cp:lastModifiedBy>
  <cp:revision>2</cp:revision>
  <cp:lastPrinted>2023-07-12T12:45:00Z</cp:lastPrinted>
  <dcterms:created xsi:type="dcterms:W3CDTF">2023-07-12T12:48:00Z</dcterms:created>
  <dcterms:modified xsi:type="dcterms:W3CDTF">2023-07-12T12:48:00Z</dcterms:modified>
</cp:coreProperties>
</file>