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177DAA6" w14:textId="77777777" w:rsidTr="005316B0">
        <w:trPr>
          <w:trHeight w:hRule="exact" w:val="851"/>
        </w:trPr>
        <w:tc>
          <w:tcPr>
            <w:tcW w:w="1276" w:type="dxa"/>
            <w:tcBorders>
              <w:bottom w:val="single" w:sz="4" w:space="0" w:color="auto"/>
            </w:tcBorders>
          </w:tcPr>
          <w:p w14:paraId="431B3F2E" w14:textId="77777777" w:rsidR="001433FD" w:rsidRPr="00DB58B5" w:rsidRDefault="001433FD" w:rsidP="0001207F"/>
        </w:tc>
        <w:tc>
          <w:tcPr>
            <w:tcW w:w="2268" w:type="dxa"/>
            <w:tcBorders>
              <w:bottom w:val="single" w:sz="4" w:space="0" w:color="auto"/>
            </w:tcBorders>
            <w:vAlign w:val="bottom"/>
          </w:tcPr>
          <w:p w14:paraId="0753A90C"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88E2F7" w14:textId="0A66C407" w:rsidR="001433FD" w:rsidRPr="00B51B13" w:rsidRDefault="00B51B13" w:rsidP="00B51B13">
            <w:pPr>
              <w:jc w:val="right"/>
            </w:pPr>
            <w:r w:rsidRPr="00B51B13">
              <w:rPr>
                <w:sz w:val="40"/>
              </w:rPr>
              <w:t>ECE</w:t>
            </w:r>
            <w:r>
              <w:t>/TRANS/WP.15/262</w:t>
            </w:r>
          </w:p>
        </w:tc>
      </w:tr>
      <w:tr w:rsidR="001433FD" w:rsidRPr="00DB58B5" w14:paraId="59D137F4" w14:textId="77777777" w:rsidTr="007D3236">
        <w:trPr>
          <w:trHeight w:hRule="exact" w:val="2835"/>
        </w:trPr>
        <w:tc>
          <w:tcPr>
            <w:tcW w:w="1276" w:type="dxa"/>
            <w:tcBorders>
              <w:top w:val="single" w:sz="4" w:space="0" w:color="auto"/>
              <w:bottom w:val="single" w:sz="12" w:space="0" w:color="auto"/>
            </w:tcBorders>
          </w:tcPr>
          <w:p w14:paraId="5E0BDFA1" w14:textId="77777777" w:rsidR="001433FD" w:rsidRPr="00DB58B5" w:rsidRDefault="001433FD" w:rsidP="007D3236">
            <w:pPr>
              <w:spacing w:before="120"/>
              <w:jc w:val="center"/>
            </w:pPr>
            <w:r>
              <w:rPr>
                <w:noProof/>
                <w:lang w:eastAsia="fr-CH"/>
              </w:rPr>
              <w:drawing>
                <wp:inline distT="0" distB="0" distL="0" distR="0" wp14:anchorId="58AD6ED3" wp14:editId="10817A4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8F0EB7"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34332E" w14:textId="77777777" w:rsidR="0001207F" w:rsidRDefault="004A7237" w:rsidP="004A7237">
            <w:pPr>
              <w:spacing w:before="240" w:line="240" w:lineRule="exact"/>
            </w:pPr>
            <w:proofErr w:type="spellStart"/>
            <w:r>
              <w:t>Distr</w:t>
            </w:r>
            <w:proofErr w:type="spellEnd"/>
            <w:r>
              <w:t>. générale</w:t>
            </w:r>
          </w:p>
          <w:p w14:paraId="349C6E76" w14:textId="6052A748" w:rsidR="004A7237" w:rsidRDefault="00DF4543" w:rsidP="004A7237">
            <w:pPr>
              <w:spacing w:line="240" w:lineRule="exact"/>
            </w:pPr>
            <w:r>
              <w:t>5</w:t>
            </w:r>
            <w:r w:rsidR="009D6D68">
              <w:t xml:space="preserve"> juin</w:t>
            </w:r>
            <w:r w:rsidR="004A7237">
              <w:t xml:space="preserve"> 2023</w:t>
            </w:r>
          </w:p>
          <w:p w14:paraId="70467D5B" w14:textId="5011A4FB" w:rsidR="004A7237" w:rsidRDefault="004A7237" w:rsidP="004A7237">
            <w:pPr>
              <w:spacing w:line="240" w:lineRule="exact"/>
            </w:pPr>
            <w:r>
              <w:t>Français</w:t>
            </w:r>
          </w:p>
          <w:p w14:paraId="5B43F9C1" w14:textId="095B2B00" w:rsidR="004A7237" w:rsidRPr="00DB58B5" w:rsidRDefault="004A7237" w:rsidP="004A7237">
            <w:pPr>
              <w:spacing w:line="240" w:lineRule="exact"/>
            </w:pPr>
            <w:r>
              <w:t>Original : anglais et français</w:t>
            </w:r>
          </w:p>
        </w:tc>
      </w:tr>
    </w:tbl>
    <w:p w14:paraId="3DF2B874" w14:textId="77777777" w:rsidR="004A7237" w:rsidRDefault="004A7237" w:rsidP="00FD1581">
      <w:pPr>
        <w:spacing w:before="120"/>
        <w:rPr>
          <w:b/>
          <w:sz w:val="28"/>
          <w:szCs w:val="28"/>
        </w:rPr>
      </w:pPr>
      <w:r w:rsidRPr="00883605">
        <w:rPr>
          <w:b/>
          <w:sz w:val="28"/>
          <w:szCs w:val="28"/>
        </w:rPr>
        <w:t>Commission économique pour l’Europe</w:t>
      </w:r>
    </w:p>
    <w:p w14:paraId="239B1196" w14:textId="77777777" w:rsidR="004A7237" w:rsidRPr="00990CE8" w:rsidRDefault="004A7237" w:rsidP="00FD1581">
      <w:pPr>
        <w:spacing w:before="120"/>
        <w:rPr>
          <w:sz w:val="28"/>
          <w:szCs w:val="28"/>
        </w:rPr>
      </w:pPr>
      <w:r w:rsidRPr="00990CE8">
        <w:rPr>
          <w:sz w:val="28"/>
          <w:szCs w:val="28"/>
        </w:rPr>
        <w:t>Comité des transports intérieurs</w:t>
      </w:r>
    </w:p>
    <w:p w14:paraId="0EFE59FF" w14:textId="77777777" w:rsidR="004A7237" w:rsidRPr="00990CE8" w:rsidRDefault="004A7237" w:rsidP="00FD1581">
      <w:pPr>
        <w:spacing w:before="120"/>
        <w:rPr>
          <w:b/>
          <w:sz w:val="24"/>
          <w:szCs w:val="24"/>
        </w:rPr>
      </w:pPr>
      <w:r w:rsidRPr="00990CE8">
        <w:rPr>
          <w:b/>
          <w:sz w:val="24"/>
          <w:szCs w:val="24"/>
        </w:rPr>
        <w:t xml:space="preserve">Groupe de travail des transports </w:t>
      </w:r>
      <w:r w:rsidRPr="00990CE8">
        <w:rPr>
          <w:b/>
          <w:sz w:val="24"/>
          <w:szCs w:val="24"/>
        </w:rPr>
        <w:br/>
        <w:t>de marchandises dangereuses</w:t>
      </w:r>
    </w:p>
    <w:p w14:paraId="4ECF4F72" w14:textId="40B52115" w:rsidR="004A7237" w:rsidRPr="00990CE8" w:rsidRDefault="00F46438" w:rsidP="00FD1581">
      <w:pPr>
        <w:spacing w:before="120"/>
        <w:rPr>
          <w:rFonts w:eastAsia="SimSun"/>
          <w:b/>
        </w:rPr>
      </w:pPr>
      <w:r>
        <w:rPr>
          <w:b/>
        </w:rPr>
        <w:t>113</w:t>
      </w:r>
      <w:r w:rsidRPr="00F46438">
        <w:rPr>
          <w:b/>
          <w:vertAlign w:val="superscript"/>
        </w:rPr>
        <w:t>e</w:t>
      </w:r>
      <w:r>
        <w:rPr>
          <w:b/>
        </w:rPr>
        <w:t xml:space="preserve"> </w:t>
      </w:r>
      <w:r w:rsidR="004A7237">
        <w:rPr>
          <w:b/>
        </w:rPr>
        <w:t>session</w:t>
      </w:r>
    </w:p>
    <w:p w14:paraId="0227B105" w14:textId="71B4BCD1" w:rsidR="004A7237" w:rsidRPr="00990CE8" w:rsidRDefault="004A7237" w:rsidP="00FD1581">
      <w:pPr>
        <w:rPr>
          <w:rFonts w:eastAsia="SimSun"/>
        </w:rPr>
      </w:pPr>
      <w:r w:rsidRPr="00990CE8">
        <w:t xml:space="preserve">Genève, </w:t>
      </w:r>
      <w:r w:rsidR="00F46438">
        <w:t>15-17 mai 2023</w:t>
      </w:r>
    </w:p>
    <w:p w14:paraId="7B3E6251" w14:textId="43750E59" w:rsidR="00F46438" w:rsidRPr="00F46438" w:rsidRDefault="00F46438" w:rsidP="00F4643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b/>
          <w:sz w:val="28"/>
          <w:lang w:val="fr-FR"/>
        </w:rPr>
      </w:pPr>
      <w:r w:rsidRPr="00F46438">
        <w:rPr>
          <w:b/>
          <w:sz w:val="28"/>
          <w:lang w:val="fr-FR"/>
        </w:rPr>
        <w:tab/>
      </w:r>
      <w:r w:rsidRPr="00F46438">
        <w:rPr>
          <w:b/>
          <w:sz w:val="28"/>
          <w:lang w:val="fr-FR"/>
        </w:rPr>
        <w:tab/>
        <w:t>Rapport du Groupe de travail sur sa 11</w:t>
      </w:r>
      <w:r>
        <w:rPr>
          <w:b/>
          <w:sz w:val="28"/>
          <w:lang w:val="fr-FR"/>
        </w:rPr>
        <w:t>3</w:t>
      </w:r>
      <w:r w:rsidRPr="00F46438">
        <w:rPr>
          <w:b/>
          <w:sz w:val="28"/>
          <w:vertAlign w:val="superscript"/>
          <w:lang w:val="fr-FR"/>
        </w:rPr>
        <w:t>e</w:t>
      </w:r>
      <w:r w:rsidRPr="00F46438">
        <w:rPr>
          <w:b/>
          <w:sz w:val="28"/>
          <w:lang w:val="fr-FR"/>
        </w:rPr>
        <w:t xml:space="preserve"> session</w:t>
      </w:r>
      <w:bookmarkStart w:id="0" w:name="_Toc499903628"/>
      <w:bookmarkEnd w:id="0"/>
    </w:p>
    <w:p w14:paraId="234EB46A" w14:textId="01F71C33" w:rsidR="00F46438" w:rsidRPr="00F46438" w:rsidRDefault="00F46438" w:rsidP="00F46438">
      <w:pPr>
        <w:pStyle w:val="SingleTxtG"/>
        <w:rPr>
          <w:lang w:val="fr-FR"/>
        </w:rPr>
      </w:pPr>
      <w:r w:rsidRPr="00F46438">
        <w:rPr>
          <w:lang w:val="fr-FR"/>
        </w:rPr>
        <w:t xml:space="preserve">tenue à Genève du </w:t>
      </w:r>
      <w:r>
        <w:rPr>
          <w:lang w:val="fr-FR"/>
        </w:rPr>
        <w:t>15 au 17</w:t>
      </w:r>
      <w:r w:rsidRPr="00F46438">
        <w:rPr>
          <w:lang w:val="fr-FR"/>
        </w:rPr>
        <w:t xml:space="preserve"> mai 202</w:t>
      </w:r>
      <w:r>
        <w:rPr>
          <w:lang w:val="fr-FR"/>
        </w:rPr>
        <w:t>3</w:t>
      </w:r>
    </w:p>
    <w:p w14:paraId="727599B6" w14:textId="77777777" w:rsidR="00F46438" w:rsidRPr="00ED4CEA" w:rsidRDefault="00F46438" w:rsidP="006E5E26">
      <w:pPr>
        <w:spacing w:after="120"/>
        <w:rPr>
          <w:sz w:val="28"/>
        </w:rPr>
      </w:pPr>
      <w:r w:rsidRPr="00ED4CEA">
        <w:rPr>
          <w:sz w:val="28"/>
        </w:rPr>
        <w:t>Table des matières</w:t>
      </w:r>
    </w:p>
    <w:p w14:paraId="2496C538" w14:textId="77777777" w:rsidR="00F46438" w:rsidRPr="00ED4CEA" w:rsidRDefault="00F46438" w:rsidP="006E5E26">
      <w:pPr>
        <w:tabs>
          <w:tab w:val="right" w:pos="8929"/>
          <w:tab w:val="right" w:pos="9638"/>
        </w:tabs>
        <w:spacing w:after="120"/>
        <w:ind w:left="283"/>
      </w:pPr>
      <w:r w:rsidRPr="00ED4CEA">
        <w:rPr>
          <w:i/>
          <w:sz w:val="18"/>
        </w:rPr>
        <w:tab/>
        <w:t>Paragraphes</w:t>
      </w:r>
      <w:r w:rsidRPr="00ED4CEA">
        <w:rPr>
          <w:i/>
          <w:sz w:val="18"/>
        </w:rPr>
        <w:tab/>
        <w:t>Page</w:t>
      </w:r>
    </w:p>
    <w:p w14:paraId="0716988C" w14:textId="77777777" w:rsidR="00CD3035" w:rsidRDefault="00CD3035" w:rsidP="00CD3035">
      <w:pPr>
        <w:tabs>
          <w:tab w:val="right" w:pos="850"/>
          <w:tab w:val="left" w:pos="1134"/>
          <w:tab w:val="left" w:pos="1559"/>
          <w:tab w:val="left" w:pos="1984"/>
          <w:tab w:val="left" w:leader="dot" w:pos="7654"/>
          <w:tab w:val="right" w:pos="8929"/>
          <w:tab w:val="right" w:pos="9638"/>
        </w:tabs>
        <w:spacing w:after="120"/>
        <w:rPr>
          <w:b/>
          <w:bCs/>
        </w:rPr>
      </w:pPr>
      <w:r>
        <w:tab/>
        <w:t>I.</w:t>
      </w:r>
      <w:r>
        <w:tab/>
      </w:r>
      <w:r w:rsidRPr="00711356">
        <w:t>Participation</w:t>
      </w:r>
      <w:r>
        <w:tab/>
      </w:r>
      <w:r>
        <w:tab/>
        <w:t>1-5</w:t>
      </w:r>
      <w:r>
        <w:tab/>
        <w:t>3</w:t>
      </w:r>
    </w:p>
    <w:p w14:paraId="08E6DFD2" w14:textId="77777777" w:rsidR="00CD3035" w:rsidRDefault="00CD3035" w:rsidP="00CD3035">
      <w:pPr>
        <w:tabs>
          <w:tab w:val="right" w:pos="850"/>
          <w:tab w:val="left" w:pos="1134"/>
          <w:tab w:val="left" w:pos="1559"/>
          <w:tab w:val="left" w:pos="1984"/>
          <w:tab w:val="left" w:leader="dot" w:pos="7654"/>
          <w:tab w:val="right" w:pos="8929"/>
          <w:tab w:val="right" w:pos="9638"/>
        </w:tabs>
        <w:spacing w:after="120"/>
      </w:pPr>
      <w:r>
        <w:tab/>
        <w:t>II.</w:t>
      </w:r>
      <w:r>
        <w:tab/>
      </w:r>
      <w:r>
        <w:rPr>
          <w:lang w:val="fr-FR"/>
        </w:rPr>
        <w:t>Adoption de l’ordre du jour (point 1 de l’ordre du jour)</w:t>
      </w:r>
      <w:r>
        <w:tab/>
      </w:r>
      <w:r>
        <w:tab/>
        <w:t>6</w:t>
      </w:r>
      <w:r>
        <w:tab/>
        <w:t>3</w:t>
      </w:r>
    </w:p>
    <w:p w14:paraId="1C252E2B" w14:textId="7A9FE943" w:rsidR="00CD3035" w:rsidRDefault="00CD3035" w:rsidP="00CD3035">
      <w:pPr>
        <w:tabs>
          <w:tab w:val="right" w:pos="850"/>
          <w:tab w:val="left" w:pos="1134"/>
          <w:tab w:val="left" w:pos="1559"/>
          <w:tab w:val="left" w:pos="1984"/>
          <w:tab w:val="left" w:leader="dot" w:pos="7654"/>
          <w:tab w:val="right" w:pos="8929"/>
          <w:tab w:val="right" w:pos="9638"/>
        </w:tabs>
        <w:spacing w:after="120"/>
      </w:pPr>
      <w:r w:rsidRPr="00232DC7">
        <w:tab/>
        <w:t>III.</w:t>
      </w:r>
      <w:r w:rsidRPr="00232DC7">
        <w:tab/>
      </w:r>
      <w:r w:rsidRPr="009D5F9E">
        <w:rPr>
          <w:bCs/>
          <w:lang w:eastAsia="en-US"/>
        </w:rPr>
        <w:t>Quatre-vingt-</w:t>
      </w:r>
      <w:r>
        <w:rPr>
          <w:bCs/>
          <w:lang w:eastAsia="en-US"/>
        </w:rPr>
        <w:t>cinquième</w:t>
      </w:r>
      <w:r w:rsidRPr="009D5F9E">
        <w:rPr>
          <w:bCs/>
          <w:lang w:eastAsia="en-US"/>
        </w:rPr>
        <w:t xml:space="preserve"> session du Comité des transports intérieurs (CTI) </w:t>
      </w:r>
      <w:r>
        <w:rPr>
          <w:lang w:eastAsia="en-US"/>
        </w:rPr>
        <w:br/>
      </w:r>
      <w:r>
        <w:rPr>
          <w:lang w:eastAsia="en-US"/>
        </w:rPr>
        <w:tab/>
      </w:r>
      <w:r>
        <w:rPr>
          <w:lang w:eastAsia="en-US"/>
        </w:rPr>
        <w:tab/>
      </w:r>
      <w:r w:rsidRPr="00232DC7">
        <w:rPr>
          <w:lang w:eastAsia="en-US"/>
        </w:rPr>
        <w:t xml:space="preserve">(point </w:t>
      </w:r>
      <w:r>
        <w:rPr>
          <w:lang w:eastAsia="en-US"/>
        </w:rPr>
        <w:t>2</w:t>
      </w:r>
      <w:r w:rsidRPr="00232DC7">
        <w:rPr>
          <w:lang w:eastAsia="en-US"/>
        </w:rPr>
        <w:t xml:space="preserve"> de l’ordre du jour)</w:t>
      </w:r>
      <w:r>
        <w:rPr>
          <w:lang w:eastAsia="en-US"/>
        </w:rPr>
        <w:tab/>
      </w:r>
      <w:r>
        <w:rPr>
          <w:lang w:eastAsia="en-US"/>
        </w:rPr>
        <w:tab/>
        <w:t>7-12</w:t>
      </w:r>
      <w:r>
        <w:rPr>
          <w:lang w:eastAsia="en-US"/>
        </w:rPr>
        <w:tab/>
      </w:r>
      <w:r w:rsidR="00ED4E80">
        <w:rPr>
          <w:lang w:eastAsia="en-US"/>
        </w:rPr>
        <w:t>3</w:t>
      </w:r>
    </w:p>
    <w:p w14:paraId="5968E7E9" w14:textId="576FFA6F" w:rsidR="00CD3035" w:rsidRDefault="00CD3035" w:rsidP="00CD3035">
      <w:pPr>
        <w:tabs>
          <w:tab w:val="right" w:pos="851"/>
          <w:tab w:val="left" w:pos="1134"/>
          <w:tab w:val="left" w:pos="1559"/>
          <w:tab w:val="left" w:pos="1984"/>
          <w:tab w:val="left" w:leader="dot" w:pos="7654"/>
          <w:tab w:val="right" w:pos="8929"/>
          <w:tab w:val="right" w:pos="9638"/>
        </w:tabs>
        <w:spacing w:after="120"/>
        <w:ind w:left="1134" w:hanging="1134"/>
        <w:rPr>
          <w:bCs/>
          <w:lang w:eastAsia="en-US"/>
        </w:rPr>
      </w:pPr>
      <w:r w:rsidRPr="00BB05B3">
        <w:rPr>
          <w:bCs/>
        </w:rPr>
        <w:tab/>
      </w:r>
      <w:r w:rsidRPr="00BB05B3">
        <w:rPr>
          <w:bCs/>
          <w:lang w:eastAsia="en-US"/>
        </w:rPr>
        <w:t>IV.</w:t>
      </w:r>
      <w:r w:rsidRPr="00BB05B3">
        <w:rPr>
          <w:bCs/>
          <w:lang w:eastAsia="en-US"/>
        </w:rPr>
        <w:tab/>
        <w:t xml:space="preserve">État de l’Accord relatif au transport international des marchandises dangereuses </w:t>
      </w:r>
      <w:r w:rsidR="007C0337">
        <w:rPr>
          <w:bCs/>
          <w:lang w:eastAsia="en-US"/>
        </w:rPr>
        <w:br/>
      </w:r>
      <w:r w:rsidRPr="00BB05B3">
        <w:rPr>
          <w:bCs/>
          <w:lang w:eastAsia="en-US"/>
        </w:rPr>
        <w:t>par route (ADR) et questions connexes</w:t>
      </w:r>
      <w:r w:rsidR="00284F58">
        <w:rPr>
          <w:bCs/>
          <w:lang w:eastAsia="en-US"/>
        </w:rPr>
        <w:t xml:space="preserve"> </w:t>
      </w:r>
      <w:r w:rsidRPr="00BB05B3">
        <w:rPr>
          <w:bCs/>
          <w:lang w:eastAsia="en-US"/>
        </w:rPr>
        <w:t>(point 3 de l’ordre du jour)</w:t>
      </w:r>
      <w:r>
        <w:rPr>
          <w:bCs/>
          <w:lang w:eastAsia="en-US"/>
        </w:rPr>
        <w:tab/>
      </w:r>
      <w:r>
        <w:rPr>
          <w:bCs/>
          <w:lang w:eastAsia="en-US"/>
        </w:rPr>
        <w:tab/>
        <w:t>13-15</w:t>
      </w:r>
      <w:r>
        <w:rPr>
          <w:bCs/>
          <w:lang w:eastAsia="en-US"/>
        </w:rPr>
        <w:tab/>
        <w:t>4</w:t>
      </w:r>
    </w:p>
    <w:p w14:paraId="2895A9A4" w14:textId="77777777" w:rsidR="00CD3035" w:rsidRPr="002270E4" w:rsidRDefault="00CD3035" w:rsidP="00CD3035">
      <w:pPr>
        <w:tabs>
          <w:tab w:val="right" w:pos="851"/>
          <w:tab w:val="left" w:pos="1134"/>
          <w:tab w:val="left" w:pos="1559"/>
          <w:tab w:val="left" w:pos="1984"/>
          <w:tab w:val="left" w:leader="dot" w:pos="7654"/>
          <w:tab w:val="right" w:pos="8929"/>
          <w:tab w:val="right" w:pos="9638"/>
        </w:tabs>
        <w:spacing w:after="120"/>
        <w:ind w:left="1140"/>
        <w:rPr>
          <w:bCs/>
          <w:lang w:eastAsia="en-US"/>
        </w:rPr>
      </w:pPr>
      <w:r>
        <w:rPr>
          <w:rFonts w:eastAsia="Calibri"/>
          <w:bCs/>
          <w:lang w:val="fr-FR" w:eastAsia="en-US"/>
        </w:rPr>
        <w:t>A.</w:t>
      </w:r>
      <w:r>
        <w:rPr>
          <w:rFonts w:eastAsia="Calibri"/>
          <w:bCs/>
          <w:lang w:val="fr-FR" w:eastAsia="en-US"/>
        </w:rPr>
        <w:tab/>
      </w:r>
      <w:r w:rsidRPr="002270E4">
        <w:rPr>
          <w:rFonts w:eastAsia="Calibri"/>
          <w:bCs/>
          <w:lang w:val="fr-FR" w:eastAsia="en-US"/>
        </w:rPr>
        <w:t>État de l’Accord</w:t>
      </w:r>
      <w:r w:rsidRPr="002270E4">
        <w:rPr>
          <w:rFonts w:eastAsia="Calibri"/>
          <w:bCs/>
          <w:lang w:val="fr-FR" w:eastAsia="en-US"/>
        </w:rPr>
        <w:tab/>
      </w:r>
      <w:r w:rsidRPr="002270E4">
        <w:rPr>
          <w:rFonts w:eastAsia="Calibri"/>
          <w:bCs/>
          <w:lang w:val="fr-FR" w:eastAsia="en-US"/>
        </w:rPr>
        <w:tab/>
        <w:t>1</w:t>
      </w:r>
      <w:r>
        <w:rPr>
          <w:rFonts w:eastAsia="Calibri"/>
          <w:bCs/>
          <w:lang w:val="fr-FR" w:eastAsia="en-US"/>
        </w:rPr>
        <w:t>3</w:t>
      </w:r>
      <w:r w:rsidRPr="002270E4">
        <w:rPr>
          <w:rFonts w:eastAsia="Calibri"/>
          <w:bCs/>
          <w:lang w:val="fr-FR" w:eastAsia="en-US"/>
        </w:rPr>
        <w:tab/>
        <w:t>4</w:t>
      </w:r>
    </w:p>
    <w:p w14:paraId="1099C3CF"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left="1140"/>
      </w:pPr>
      <w:r>
        <w:t>B.</w:t>
      </w:r>
      <w:r>
        <w:tab/>
        <w:t>Protocole d’amendement de 1993</w:t>
      </w:r>
      <w:r>
        <w:tab/>
      </w:r>
      <w:r>
        <w:tab/>
        <w:t>14-15</w:t>
      </w:r>
      <w:r>
        <w:tab/>
        <w:t>4</w:t>
      </w:r>
    </w:p>
    <w:p w14:paraId="75F99DC2"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firstLine="709"/>
      </w:pPr>
      <w:r>
        <w:t>V.</w:t>
      </w:r>
      <w:r>
        <w:tab/>
        <w:t>Travaux de la réunion commune RID/ADR/ADN (point 4 de l’ordre du jour)</w:t>
      </w:r>
      <w:r>
        <w:tab/>
      </w:r>
      <w:r>
        <w:tab/>
        <w:t>16-19</w:t>
      </w:r>
      <w:r>
        <w:tab/>
        <w:t>5</w:t>
      </w:r>
    </w:p>
    <w:p w14:paraId="04261936" w14:textId="31B94460" w:rsidR="00CD3035" w:rsidRDefault="00CD3035" w:rsidP="007C0337">
      <w:pPr>
        <w:tabs>
          <w:tab w:val="right" w:pos="851"/>
          <w:tab w:val="left" w:pos="1134"/>
          <w:tab w:val="left" w:pos="1559"/>
          <w:tab w:val="left" w:pos="1984"/>
          <w:tab w:val="left" w:leader="dot" w:pos="7654"/>
          <w:tab w:val="right" w:pos="8929"/>
          <w:tab w:val="right" w:pos="9638"/>
        </w:tabs>
        <w:spacing w:after="120"/>
        <w:ind w:left="1129" w:hanging="420"/>
        <w:rPr>
          <w:lang w:eastAsia="en-US"/>
        </w:rPr>
      </w:pPr>
      <w:r w:rsidRPr="0080323E">
        <w:tab/>
        <w:t>VI.</w:t>
      </w:r>
      <w:r w:rsidRPr="0080323E">
        <w:tab/>
      </w:r>
      <w:r w:rsidRPr="0080323E">
        <w:rPr>
          <w:lang w:eastAsia="en-US"/>
        </w:rPr>
        <w:t xml:space="preserve">Propositions d’amendements aux annexes A et B de l’ADR </w:t>
      </w:r>
      <w:r w:rsidR="007C0337">
        <w:rPr>
          <w:lang w:eastAsia="en-US"/>
        </w:rPr>
        <w:br/>
      </w:r>
      <w:r w:rsidRPr="0080323E">
        <w:rPr>
          <w:lang w:eastAsia="en-US"/>
        </w:rPr>
        <w:t>(point 5 de l’ordre du jour)</w:t>
      </w:r>
      <w:r>
        <w:rPr>
          <w:lang w:eastAsia="en-US"/>
        </w:rPr>
        <w:tab/>
      </w:r>
      <w:r w:rsidR="007C0337">
        <w:rPr>
          <w:lang w:eastAsia="en-US"/>
        </w:rPr>
        <w:tab/>
      </w:r>
      <w:r>
        <w:rPr>
          <w:lang w:eastAsia="en-US"/>
        </w:rPr>
        <w:t>20-39</w:t>
      </w:r>
      <w:r>
        <w:rPr>
          <w:lang w:eastAsia="en-US"/>
        </w:rPr>
        <w:tab/>
        <w:t>5</w:t>
      </w:r>
    </w:p>
    <w:p w14:paraId="44A1D84D" w14:textId="55B1826A" w:rsidR="00CD3035" w:rsidRDefault="00CD3035" w:rsidP="00CD3035">
      <w:pPr>
        <w:tabs>
          <w:tab w:val="right" w:pos="851"/>
          <w:tab w:val="left" w:pos="1134"/>
          <w:tab w:val="left" w:pos="1559"/>
          <w:tab w:val="left" w:pos="1984"/>
          <w:tab w:val="left" w:leader="dot" w:pos="7654"/>
          <w:tab w:val="right" w:pos="8929"/>
          <w:tab w:val="right" w:pos="9638"/>
        </w:tabs>
        <w:spacing w:after="120"/>
        <w:ind w:left="1144"/>
      </w:pPr>
      <w:r>
        <w:t>A.</w:t>
      </w:r>
      <w:r>
        <w:tab/>
        <w:t>Construction et agrément des véhicules</w:t>
      </w:r>
      <w:r>
        <w:tab/>
      </w:r>
      <w:r>
        <w:tab/>
        <w:t>20</w:t>
      </w:r>
      <w:r w:rsidR="00B3232D">
        <w:t>-29</w:t>
      </w:r>
      <w:r>
        <w:tab/>
        <w:t>5</w:t>
      </w:r>
    </w:p>
    <w:p w14:paraId="0FF3D7D8" w14:textId="77777777" w:rsidR="00CD3035" w:rsidRPr="0080323E" w:rsidRDefault="00CD3035" w:rsidP="00CD3035">
      <w:pPr>
        <w:tabs>
          <w:tab w:val="right" w:pos="851"/>
          <w:tab w:val="left" w:pos="1134"/>
          <w:tab w:val="left" w:pos="1559"/>
          <w:tab w:val="left" w:pos="1984"/>
          <w:tab w:val="left" w:leader="dot" w:pos="7654"/>
          <w:tab w:val="right" w:pos="8929"/>
          <w:tab w:val="right" w:pos="9638"/>
        </w:tabs>
        <w:spacing w:after="120"/>
        <w:ind w:left="1144"/>
      </w:pPr>
      <w:r>
        <w:tab/>
        <w:t>1.</w:t>
      </w:r>
      <w:r>
        <w:tab/>
      </w:r>
      <w:r>
        <w:rPr>
          <w:lang w:eastAsia="en-US"/>
        </w:rPr>
        <w:t>Protection arrière des véhicules</w:t>
      </w:r>
      <w:r>
        <w:tab/>
      </w:r>
      <w:r>
        <w:tab/>
        <w:t>20</w:t>
      </w:r>
      <w:r>
        <w:tab/>
        <w:t>5</w:t>
      </w:r>
    </w:p>
    <w:p w14:paraId="18AC3317" w14:textId="5D92578E" w:rsidR="00CD3035" w:rsidRDefault="00CD3035" w:rsidP="00CD3035">
      <w:pPr>
        <w:tabs>
          <w:tab w:val="right" w:pos="851"/>
          <w:tab w:val="left" w:pos="1134"/>
          <w:tab w:val="left" w:pos="1560"/>
          <w:tab w:val="left" w:pos="1985"/>
          <w:tab w:val="left" w:leader="dot" w:pos="7654"/>
          <w:tab w:val="right" w:pos="8929"/>
          <w:tab w:val="right" w:pos="9638"/>
        </w:tabs>
        <w:spacing w:after="120"/>
        <w:ind w:left="1144"/>
      </w:pPr>
      <w:r>
        <w:tab/>
        <w:t>2.</w:t>
      </w:r>
      <w:r>
        <w:tab/>
      </w:r>
      <w:r w:rsidR="00087076">
        <w:rPr>
          <w:rFonts w:eastAsiaTheme="minorHAnsi"/>
          <w:lang w:val="fr-FR" w:eastAsia="en-US"/>
        </w:rPr>
        <w:t>G</w:t>
      </w:r>
      <w:r w:rsidRPr="00A43DD5">
        <w:rPr>
          <w:rFonts w:eastAsiaTheme="minorHAnsi"/>
          <w:lang w:val="fr-FR" w:eastAsia="en-US"/>
        </w:rPr>
        <w:t xml:space="preserve">roupe de </w:t>
      </w:r>
      <w:r w:rsidRPr="00087076">
        <w:t>travail</w:t>
      </w:r>
      <w:r w:rsidRPr="00A43DD5">
        <w:rPr>
          <w:rFonts w:eastAsiaTheme="minorHAnsi"/>
          <w:lang w:val="fr-FR" w:eastAsia="en-US"/>
        </w:rPr>
        <w:t xml:space="preserve"> informel des véhicules électrifiés</w:t>
      </w:r>
      <w:r>
        <w:tab/>
      </w:r>
      <w:r>
        <w:tab/>
        <w:t>21-23</w:t>
      </w:r>
      <w:r>
        <w:tab/>
        <w:t>5</w:t>
      </w:r>
    </w:p>
    <w:p w14:paraId="2130C6FC" w14:textId="6600D034" w:rsidR="00CD3035" w:rsidRDefault="00CD3035" w:rsidP="00CD3035">
      <w:pPr>
        <w:tabs>
          <w:tab w:val="right" w:pos="851"/>
          <w:tab w:val="left" w:pos="1134"/>
          <w:tab w:val="left" w:pos="1560"/>
          <w:tab w:val="left" w:pos="1985"/>
          <w:tab w:val="left" w:leader="dot" w:pos="7654"/>
          <w:tab w:val="right" w:pos="8929"/>
          <w:tab w:val="right" w:pos="9638"/>
        </w:tabs>
        <w:spacing w:after="120"/>
        <w:ind w:left="1984" w:hanging="840"/>
      </w:pPr>
      <w:r>
        <w:tab/>
        <w:t>3.</w:t>
      </w:r>
      <w:r>
        <w:tab/>
      </w:r>
      <w:r>
        <w:rPr>
          <w:lang w:eastAsia="en-US"/>
        </w:rPr>
        <w:t xml:space="preserve">Complément </w:t>
      </w:r>
      <w:r w:rsidRPr="00946F05">
        <w:rPr>
          <w:rFonts w:eastAsiaTheme="minorHAnsi"/>
          <w:lang w:val="fr-FR" w:eastAsia="en-US"/>
        </w:rPr>
        <w:t xml:space="preserve">18 à la série 11 d’amendements au </w:t>
      </w:r>
      <w:r w:rsidR="006348E7">
        <w:rPr>
          <w:rFonts w:eastAsiaTheme="minorHAnsi"/>
          <w:lang w:val="fr-FR" w:eastAsia="en-US"/>
        </w:rPr>
        <w:br/>
      </w:r>
      <w:r w:rsidRPr="00946F05">
        <w:rPr>
          <w:rFonts w:eastAsiaTheme="minorHAnsi"/>
          <w:lang w:val="fr-FR" w:eastAsia="en-US"/>
        </w:rPr>
        <w:t xml:space="preserve">Règlement ONU </w:t>
      </w:r>
      <w:r>
        <w:rPr>
          <w:rFonts w:eastAsiaTheme="minorHAnsi"/>
          <w:lang w:val="fr-FR" w:eastAsia="en-US"/>
        </w:rPr>
        <w:t>N</w:t>
      </w:r>
      <w:r w:rsidRPr="00946F05">
        <w:rPr>
          <w:rFonts w:eastAsiaTheme="minorHAnsi"/>
          <w:lang w:val="fr-FR" w:eastAsia="en-US"/>
        </w:rPr>
        <w:t>o</w:t>
      </w:r>
      <w:r>
        <w:rPr>
          <w:rFonts w:eastAsiaTheme="minorHAnsi"/>
          <w:lang w:val="fr-FR" w:eastAsia="en-US"/>
        </w:rPr>
        <w:t>.</w:t>
      </w:r>
      <w:r w:rsidRPr="00946F05">
        <w:rPr>
          <w:rFonts w:eastAsiaTheme="minorHAnsi"/>
          <w:lang w:val="fr-FR" w:eastAsia="en-US"/>
        </w:rPr>
        <w:t xml:space="preserve"> 13 (Freinage des véhicules lourds)</w:t>
      </w:r>
      <w:r>
        <w:rPr>
          <w:lang w:val="fr-FR"/>
        </w:rPr>
        <w:tab/>
      </w:r>
      <w:r>
        <w:rPr>
          <w:lang w:val="fr-FR"/>
        </w:rPr>
        <w:tab/>
        <w:t>24-25</w:t>
      </w:r>
      <w:r>
        <w:rPr>
          <w:lang w:val="fr-FR"/>
        </w:rPr>
        <w:tab/>
        <w:t>6</w:t>
      </w:r>
    </w:p>
    <w:p w14:paraId="674E6BEA" w14:textId="4995E784" w:rsidR="00CD3035" w:rsidRDefault="00CD3035" w:rsidP="00CD3035">
      <w:pPr>
        <w:tabs>
          <w:tab w:val="right" w:pos="851"/>
          <w:tab w:val="left" w:pos="1134"/>
          <w:tab w:val="left" w:pos="1560"/>
          <w:tab w:val="left" w:pos="1985"/>
          <w:tab w:val="left" w:leader="dot" w:pos="7654"/>
          <w:tab w:val="right" w:pos="8929"/>
          <w:tab w:val="right" w:pos="9638"/>
        </w:tabs>
        <w:spacing w:after="120"/>
        <w:ind w:left="1984" w:hanging="840"/>
        <w:rPr>
          <w:lang w:eastAsia="fr-FR"/>
        </w:rPr>
      </w:pPr>
      <w:r>
        <w:tab/>
        <w:t>4.</w:t>
      </w:r>
      <w:r>
        <w:tab/>
      </w:r>
      <w:r w:rsidR="008272AD" w:rsidRPr="004F0068">
        <w:rPr>
          <w:lang w:val="fr-FR" w:eastAsia="en-US"/>
        </w:rPr>
        <w:t>Certificat d’agrément</w:t>
      </w:r>
      <w:r>
        <w:rPr>
          <w:lang w:eastAsia="fr-FR"/>
        </w:rPr>
        <w:tab/>
      </w:r>
      <w:r>
        <w:rPr>
          <w:lang w:eastAsia="fr-FR"/>
        </w:rPr>
        <w:tab/>
        <w:t>26-28</w:t>
      </w:r>
      <w:r>
        <w:rPr>
          <w:lang w:eastAsia="fr-FR"/>
        </w:rPr>
        <w:tab/>
        <w:t>6</w:t>
      </w:r>
    </w:p>
    <w:p w14:paraId="468EDCF4"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984" w:hanging="840"/>
      </w:pPr>
      <w:r>
        <w:tab/>
        <w:t>5.</w:t>
      </w:r>
      <w:r>
        <w:tab/>
      </w:r>
      <w:r w:rsidRPr="00837B54">
        <w:rPr>
          <w:lang w:val="fr-FR" w:eastAsia="en-US"/>
        </w:rPr>
        <w:t>Système de surveillance de la pression des pneumatiques</w:t>
      </w:r>
      <w:r>
        <w:tab/>
      </w:r>
      <w:r>
        <w:tab/>
        <w:t>29</w:t>
      </w:r>
      <w:r>
        <w:tab/>
        <w:t>6</w:t>
      </w:r>
    </w:p>
    <w:p w14:paraId="71BF5A86"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left="1144"/>
      </w:pPr>
      <w:r>
        <w:t>B.</w:t>
      </w:r>
      <w:r>
        <w:tab/>
        <w:t>Propositions diverses</w:t>
      </w:r>
      <w:r>
        <w:tab/>
      </w:r>
      <w:r>
        <w:tab/>
        <w:t>30-39</w:t>
      </w:r>
      <w:r>
        <w:tab/>
        <w:t>6</w:t>
      </w:r>
    </w:p>
    <w:p w14:paraId="5500B75F"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left="1144"/>
      </w:pPr>
      <w:r>
        <w:tab/>
        <w:t>1.</w:t>
      </w:r>
      <w:r>
        <w:tab/>
      </w:r>
      <w:r w:rsidRPr="004F0068">
        <w:rPr>
          <w:lang w:val="fr-FR" w:eastAsia="en-US"/>
        </w:rPr>
        <w:t>Symbole « mise à la terre » au 6.8.2.1.27</w:t>
      </w:r>
      <w:r>
        <w:tab/>
      </w:r>
      <w:r>
        <w:tab/>
        <w:t>30-32</w:t>
      </w:r>
      <w:r>
        <w:tab/>
        <w:t>6</w:t>
      </w:r>
    </w:p>
    <w:p w14:paraId="1787988C"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144"/>
      </w:pPr>
      <w:r>
        <w:lastRenderedPageBreak/>
        <w:tab/>
        <w:t>2.</w:t>
      </w:r>
      <w:r>
        <w:tab/>
      </w:r>
      <w:r w:rsidRPr="004F0068">
        <w:rPr>
          <w:lang w:val="fr-FR" w:eastAsia="en-US"/>
        </w:rPr>
        <w:t>Nouvelle section 1.2.3, amendement de conséquence</w:t>
      </w:r>
      <w:r>
        <w:tab/>
      </w:r>
      <w:r>
        <w:tab/>
        <w:t>33</w:t>
      </w:r>
      <w:r>
        <w:tab/>
        <w:t>7</w:t>
      </w:r>
    </w:p>
    <w:p w14:paraId="47F3EEF4" w14:textId="014C94DD" w:rsidR="00CD3035" w:rsidRDefault="00CD3035" w:rsidP="00CD3035">
      <w:pPr>
        <w:tabs>
          <w:tab w:val="right" w:pos="851"/>
          <w:tab w:val="left" w:pos="1134"/>
          <w:tab w:val="left" w:pos="1560"/>
          <w:tab w:val="left" w:pos="1985"/>
          <w:tab w:val="left" w:leader="dot" w:pos="7654"/>
          <w:tab w:val="right" w:pos="8929"/>
          <w:tab w:val="right" w:pos="9638"/>
        </w:tabs>
        <w:spacing w:after="120"/>
        <w:ind w:left="1984" w:hanging="840"/>
      </w:pPr>
      <w:r>
        <w:tab/>
        <w:t>3.</w:t>
      </w:r>
      <w:r>
        <w:tab/>
      </w:r>
      <w:r w:rsidRPr="004F0068">
        <w:rPr>
          <w:lang w:val="fr-FR" w:eastAsia="en-US"/>
        </w:rPr>
        <w:t xml:space="preserve">Formation des conducteurs : nombre </w:t>
      </w:r>
      <w:r>
        <w:rPr>
          <w:lang w:val="fr-FR" w:eastAsia="en-US"/>
        </w:rPr>
        <w:t>maximal de séances</w:t>
      </w:r>
      <w:r w:rsidRPr="004F0068">
        <w:rPr>
          <w:lang w:val="fr-FR" w:eastAsia="en-US"/>
        </w:rPr>
        <w:t xml:space="preserve"> </w:t>
      </w:r>
      <w:r w:rsidR="0018024D">
        <w:rPr>
          <w:lang w:val="fr-FR" w:eastAsia="en-US"/>
        </w:rPr>
        <w:br/>
      </w:r>
      <w:r w:rsidRPr="004F0068">
        <w:rPr>
          <w:lang w:val="fr-FR" w:eastAsia="en-US"/>
        </w:rPr>
        <w:t>d’enseignement par jour</w:t>
      </w:r>
      <w:r>
        <w:tab/>
      </w:r>
      <w:r>
        <w:tab/>
        <w:t>34-35</w:t>
      </w:r>
      <w:r>
        <w:tab/>
        <w:t>7</w:t>
      </w:r>
    </w:p>
    <w:p w14:paraId="7422D40A" w14:textId="4BE33049" w:rsidR="00CD3035" w:rsidRDefault="00CD3035" w:rsidP="00CD3035">
      <w:pPr>
        <w:tabs>
          <w:tab w:val="right" w:pos="851"/>
          <w:tab w:val="left" w:pos="1134"/>
          <w:tab w:val="left" w:pos="1560"/>
          <w:tab w:val="left" w:pos="1985"/>
          <w:tab w:val="left" w:leader="dot" w:pos="7654"/>
          <w:tab w:val="right" w:pos="8929"/>
          <w:tab w:val="right" w:pos="9638"/>
        </w:tabs>
        <w:spacing w:after="120"/>
        <w:ind w:left="1144"/>
      </w:pPr>
      <w:r>
        <w:tab/>
        <w:t>4.</w:t>
      </w:r>
      <w:r>
        <w:tab/>
      </w:r>
      <w:r>
        <w:rPr>
          <w:lang w:val="fr-FR" w:eastAsia="en-US"/>
        </w:rPr>
        <w:t>Différences entre le 6.8.1.5 du RID et de l’ADR</w:t>
      </w:r>
      <w:r>
        <w:tab/>
      </w:r>
      <w:r>
        <w:tab/>
        <w:t>36-37</w:t>
      </w:r>
      <w:r>
        <w:tab/>
      </w:r>
      <w:r w:rsidR="000E5260">
        <w:t>7</w:t>
      </w:r>
    </w:p>
    <w:p w14:paraId="772D75D2" w14:textId="77777777" w:rsidR="00CD3035" w:rsidRPr="00B671C8" w:rsidRDefault="00CD3035" w:rsidP="00CD3035">
      <w:pPr>
        <w:tabs>
          <w:tab w:val="right" w:pos="851"/>
          <w:tab w:val="left" w:pos="1134"/>
          <w:tab w:val="left" w:pos="1560"/>
          <w:tab w:val="left" w:pos="1985"/>
          <w:tab w:val="left" w:leader="dot" w:pos="7654"/>
          <w:tab w:val="right" w:pos="8929"/>
          <w:tab w:val="right" w:pos="9638"/>
        </w:tabs>
        <w:spacing w:after="120"/>
        <w:ind w:left="1984" w:hanging="840"/>
        <w:rPr>
          <w:lang w:val="fr-FR" w:eastAsia="en-US"/>
        </w:rPr>
      </w:pPr>
      <w:r>
        <w:tab/>
        <w:t>5.</w:t>
      </w:r>
      <w:r>
        <w:tab/>
      </w:r>
      <w:r>
        <w:rPr>
          <w:lang w:val="fr-FR" w:eastAsia="en-US"/>
        </w:rPr>
        <w:t>Référence au 8.2.3 dans le chapitre 3.4</w:t>
      </w:r>
      <w:r>
        <w:tab/>
      </w:r>
      <w:r>
        <w:tab/>
        <w:t>38-39</w:t>
      </w:r>
      <w:r>
        <w:tab/>
        <w:t>7</w:t>
      </w:r>
    </w:p>
    <w:p w14:paraId="260DF29A" w14:textId="77777777" w:rsidR="00CD3035" w:rsidRPr="00BA64EB" w:rsidRDefault="00CD3035" w:rsidP="00CD3035">
      <w:pPr>
        <w:tabs>
          <w:tab w:val="right" w:pos="851"/>
          <w:tab w:val="left" w:pos="1134"/>
          <w:tab w:val="left" w:pos="1559"/>
          <w:tab w:val="left" w:pos="1984"/>
          <w:tab w:val="left" w:leader="dot" w:pos="7654"/>
          <w:tab w:val="right" w:pos="8929"/>
          <w:tab w:val="right" w:pos="9638"/>
        </w:tabs>
        <w:spacing w:after="120"/>
        <w:ind w:left="1144" w:hanging="435"/>
      </w:pPr>
      <w:r w:rsidRPr="00BA64EB">
        <w:tab/>
        <w:t>VII.</w:t>
      </w:r>
      <w:r w:rsidRPr="00BA64EB">
        <w:tab/>
      </w:r>
      <w:r w:rsidRPr="00BA64EB">
        <w:rPr>
          <w:lang w:eastAsia="en-US"/>
        </w:rPr>
        <w:t>Interprétation de l’ADR (point 6 de l’ordre du jour)</w:t>
      </w:r>
      <w:r>
        <w:rPr>
          <w:lang w:eastAsia="en-US"/>
        </w:rPr>
        <w:tab/>
      </w:r>
      <w:r>
        <w:rPr>
          <w:lang w:eastAsia="en-US"/>
        </w:rPr>
        <w:tab/>
        <w:t>40-53</w:t>
      </w:r>
      <w:r>
        <w:rPr>
          <w:lang w:eastAsia="en-US"/>
        </w:rPr>
        <w:tab/>
        <w:t>7</w:t>
      </w:r>
    </w:p>
    <w:p w14:paraId="0020B46C"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144"/>
      </w:pPr>
      <w:r>
        <w:t>A.</w:t>
      </w:r>
      <w:r>
        <w:tab/>
      </w:r>
      <w:r>
        <w:rPr>
          <w:lang w:val="fr-FR"/>
        </w:rPr>
        <w:t>Champ d’application de l’ADR</w:t>
      </w:r>
      <w:r>
        <w:tab/>
      </w:r>
      <w:r>
        <w:tab/>
        <w:t>40-45</w:t>
      </w:r>
      <w:r>
        <w:tab/>
        <w:t>7</w:t>
      </w:r>
    </w:p>
    <w:p w14:paraId="01B648BD" w14:textId="5C2F47C2"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B.</w:t>
      </w:r>
      <w:r>
        <w:tab/>
      </w:r>
      <w:r w:rsidRPr="003245B3">
        <w:rPr>
          <w:lang w:val="fr-FR"/>
        </w:rPr>
        <w:t xml:space="preserve">Document de transport − marchandises </w:t>
      </w:r>
      <w:r>
        <w:rPr>
          <w:lang w:val="fr-FR"/>
        </w:rPr>
        <w:t xml:space="preserve">transportées par </w:t>
      </w:r>
      <w:r w:rsidR="00551AF2">
        <w:rPr>
          <w:lang w:val="fr-FR"/>
        </w:rPr>
        <w:br/>
      </w:r>
      <w:r>
        <w:rPr>
          <w:lang w:val="fr-FR"/>
        </w:rPr>
        <w:t>unité de transport et par véhicule</w:t>
      </w:r>
      <w:r>
        <w:tab/>
      </w:r>
      <w:r>
        <w:tab/>
        <w:t>46-47</w:t>
      </w:r>
      <w:r>
        <w:tab/>
        <w:t>8</w:t>
      </w:r>
    </w:p>
    <w:p w14:paraId="4911224C" w14:textId="3F813BBD"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C.</w:t>
      </w:r>
      <w:r>
        <w:tab/>
      </w:r>
      <w:r>
        <w:rPr>
          <w:lang w:val="fr-FR"/>
        </w:rPr>
        <w:t>T</w:t>
      </w:r>
      <w:r w:rsidRPr="00791F90">
        <w:rPr>
          <w:lang w:val="fr-FR"/>
        </w:rPr>
        <w:t xml:space="preserve">ransport de marchandises dangereuses dans le cadre </w:t>
      </w:r>
      <w:r>
        <w:rPr>
          <w:lang w:val="fr-FR"/>
        </w:rPr>
        <w:t>des</w:t>
      </w:r>
      <w:r w:rsidRPr="00791F90">
        <w:rPr>
          <w:lang w:val="fr-FR"/>
        </w:rPr>
        <w:t xml:space="preserve"> missions </w:t>
      </w:r>
      <w:r w:rsidR="00DF4543">
        <w:rPr>
          <w:lang w:val="fr-FR"/>
        </w:rPr>
        <w:br/>
      </w:r>
      <w:r w:rsidRPr="00791F90">
        <w:rPr>
          <w:lang w:val="fr-FR"/>
        </w:rPr>
        <w:t>de protection du public</w:t>
      </w:r>
      <w:r>
        <w:tab/>
      </w:r>
      <w:r>
        <w:tab/>
        <w:t>48-49</w:t>
      </w:r>
      <w:r>
        <w:tab/>
        <w:t>8</w:t>
      </w:r>
    </w:p>
    <w:p w14:paraId="315DA932"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D.</w:t>
      </w:r>
      <w:r>
        <w:tab/>
      </w:r>
      <w:r>
        <w:rPr>
          <w:lang w:val="fr-FR"/>
        </w:rPr>
        <w:t>Examen pour le renouvellement du certificat de conseiller à la sécurité</w:t>
      </w:r>
      <w:r>
        <w:tab/>
      </w:r>
      <w:r>
        <w:tab/>
        <w:t>50-51</w:t>
      </w:r>
      <w:r>
        <w:tab/>
        <w:t>9</w:t>
      </w:r>
    </w:p>
    <w:p w14:paraId="7130B6C8"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E.</w:t>
      </w:r>
      <w:r>
        <w:tab/>
      </w:r>
      <w:r>
        <w:rPr>
          <w:lang w:val="fr-FR"/>
        </w:rPr>
        <w:t xml:space="preserve">Référence aux </w:t>
      </w:r>
      <w:r w:rsidRPr="00795A04">
        <w:rPr>
          <w:lang w:val="fr-FR"/>
        </w:rPr>
        <w:t>machines et équipements en relation avec le 1.1.3.6.3</w:t>
      </w:r>
      <w:r>
        <w:rPr>
          <w:lang w:val="fr-FR"/>
        </w:rPr>
        <w:t>,</w:t>
      </w:r>
      <w:r w:rsidRPr="00795A04">
        <w:rPr>
          <w:lang w:val="fr-FR"/>
        </w:rPr>
        <w:t xml:space="preserve"> </w:t>
      </w:r>
      <w:r>
        <w:rPr>
          <w:lang w:val="fr-FR"/>
        </w:rPr>
        <w:br/>
      </w:r>
      <w:r w:rsidRPr="00795A04">
        <w:rPr>
          <w:lang w:val="fr-FR"/>
        </w:rPr>
        <w:t>premier tiret</w:t>
      </w:r>
      <w:r>
        <w:tab/>
      </w:r>
      <w:r>
        <w:tab/>
        <w:t>52-53</w:t>
      </w:r>
      <w:r>
        <w:tab/>
        <w:t>9</w:t>
      </w:r>
    </w:p>
    <w:p w14:paraId="74E10BC4" w14:textId="62B456D5" w:rsidR="00CD3035" w:rsidRDefault="00CD3035" w:rsidP="00CD3035">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111201">
        <w:tab/>
        <w:t>VIII.</w:t>
      </w:r>
      <w:r w:rsidRPr="00111201">
        <w:tab/>
      </w:r>
      <w:r w:rsidRPr="0013049E">
        <w:rPr>
          <w:lang w:eastAsia="en-US"/>
        </w:rPr>
        <w:t xml:space="preserve">Économie circulaire, utilisation durable des ressources naturelles et </w:t>
      </w:r>
      <w:r w:rsidR="00777738">
        <w:rPr>
          <w:lang w:eastAsia="en-US"/>
        </w:rPr>
        <w:br/>
      </w:r>
      <w:r w:rsidRPr="0013049E">
        <w:rPr>
          <w:lang w:eastAsia="en-US"/>
        </w:rPr>
        <w:t>objectifs de développement durable</w:t>
      </w:r>
      <w:r w:rsidRPr="00495E83">
        <w:rPr>
          <w:lang w:eastAsia="en-US"/>
        </w:rPr>
        <w:t xml:space="preserve"> (point </w:t>
      </w:r>
      <w:r>
        <w:rPr>
          <w:lang w:eastAsia="en-US"/>
        </w:rPr>
        <w:t>7</w:t>
      </w:r>
      <w:r w:rsidRPr="00495E83">
        <w:rPr>
          <w:lang w:eastAsia="en-US"/>
        </w:rPr>
        <w:t xml:space="preserve"> de l’ordre du jour)</w:t>
      </w:r>
      <w:r w:rsidRPr="00111201">
        <w:rPr>
          <w:lang w:eastAsia="en-US"/>
        </w:rPr>
        <w:tab/>
      </w:r>
      <w:r w:rsidRPr="00111201">
        <w:rPr>
          <w:lang w:eastAsia="en-US"/>
        </w:rPr>
        <w:tab/>
      </w:r>
      <w:r>
        <w:rPr>
          <w:lang w:eastAsia="en-US"/>
        </w:rPr>
        <w:t>54-56</w:t>
      </w:r>
      <w:r w:rsidRPr="00111201">
        <w:rPr>
          <w:lang w:eastAsia="en-US"/>
        </w:rPr>
        <w:tab/>
      </w:r>
      <w:r>
        <w:rPr>
          <w:lang w:eastAsia="en-US"/>
        </w:rPr>
        <w:t>9</w:t>
      </w:r>
    </w:p>
    <w:p w14:paraId="788D5ACE"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144" w:hanging="435"/>
        <w:rPr>
          <w:lang w:eastAsia="en-US"/>
        </w:rPr>
      </w:pPr>
      <w:r>
        <w:rPr>
          <w:lang w:eastAsia="en-US"/>
        </w:rPr>
        <w:t>IX.</w:t>
      </w:r>
      <w:r>
        <w:rPr>
          <w:lang w:eastAsia="en-US"/>
        </w:rPr>
        <w:tab/>
        <w:t>Programme de travail</w:t>
      </w:r>
      <w:r w:rsidRPr="00495E83">
        <w:rPr>
          <w:lang w:eastAsia="en-US"/>
        </w:rPr>
        <w:t xml:space="preserve"> (point </w:t>
      </w:r>
      <w:r>
        <w:rPr>
          <w:lang w:eastAsia="en-US"/>
        </w:rPr>
        <w:t>8</w:t>
      </w:r>
      <w:r w:rsidRPr="00495E83">
        <w:rPr>
          <w:lang w:eastAsia="en-US"/>
        </w:rPr>
        <w:t xml:space="preserve"> de l’ordre du jour)</w:t>
      </w:r>
      <w:r>
        <w:rPr>
          <w:lang w:eastAsia="en-US"/>
        </w:rPr>
        <w:tab/>
      </w:r>
      <w:r>
        <w:rPr>
          <w:lang w:eastAsia="en-US"/>
        </w:rPr>
        <w:tab/>
        <w:t>57-58</w:t>
      </w:r>
      <w:r>
        <w:rPr>
          <w:lang w:eastAsia="en-US"/>
        </w:rPr>
        <w:tab/>
        <w:t>9</w:t>
      </w:r>
    </w:p>
    <w:p w14:paraId="61E193BC" w14:textId="07523D6D" w:rsidR="00CD3035" w:rsidRDefault="00CD3035" w:rsidP="00CD3035">
      <w:pPr>
        <w:tabs>
          <w:tab w:val="right" w:pos="851"/>
          <w:tab w:val="left" w:pos="1134"/>
          <w:tab w:val="left" w:pos="1559"/>
          <w:tab w:val="left" w:pos="1984"/>
          <w:tab w:val="left" w:leader="dot" w:pos="7654"/>
          <w:tab w:val="right" w:pos="8929"/>
          <w:tab w:val="right" w:pos="9638"/>
        </w:tabs>
        <w:spacing w:after="120"/>
        <w:ind w:left="1144" w:hanging="435"/>
        <w:rPr>
          <w:lang w:eastAsia="en-US"/>
        </w:rPr>
      </w:pPr>
      <w:r w:rsidRPr="003061D5">
        <w:rPr>
          <w:lang w:eastAsia="en-US"/>
        </w:rPr>
        <w:t>X.</w:t>
      </w:r>
      <w:r w:rsidRPr="003061D5">
        <w:rPr>
          <w:lang w:eastAsia="en-US"/>
        </w:rPr>
        <w:tab/>
      </w:r>
      <w:r w:rsidRPr="00413631">
        <w:rPr>
          <w:lang w:eastAsia="en-US"/>
        </w:rPr>
        <w:t>Questions diverses</w:t>
      </w:r>
      <w:r w:rsidRPr="00495E83">
        <w:rPr>
          <w:lang w:eastAsia="en-US"/>
        </w:rPr>
        <w:t xml:space="preserve"> (point </w:t>
      </w:r>
      <w:r>
        <w:rPr>
          <w:lang w:eastAsia="en-US"/>
        </w:rPr>
        <w:t>9</w:t>
      </w:r>
      <w:r w:rsidRPr="00495E83">
        <w:rPr>
          <w:lang w:eastAsia="en-US"/>
        </w:rPr>
        <w:t xml:space="preserve"> de l’ordre du jour)</w:t>
      </w:r>
      <w:r w:rsidRPr="003061D5">
        <w:rPr>
          <w:lang w:eastAsia="en-US"/>
        </w:rPr>
        <w:tab/>
      </w:r>
      <w:r w:rsidRPr="003061D5">
        <w:rPr>
          <w:lang w:eastAsia="en-US"/>
        </w:rPr>
        <w:tab/>
      </w:r>
      <w:r>
        <w:rPr>
          <w:lang w:eastAsia="en-US"/>
        </w:rPr>
        <w:t>59-6</w:t>
      </w:r>
      <w:r w:rsidR="00FB6B6E">
        <w:rPr>
          <w:lang w:eastAsia="en-US"/>
        </w:rPr>
        <w:t>2</w:t>
      </w:r>
      <w:r>
        <w:rPr>
          <w:lang w:eastAsia="en-US"/>
        </w:rPr>
        <w:tab/>
        <w:t>10</w:t>
      </w:r>
    </w:p>
    <w:p w14:paraId="25ED79BA" w14:textId="6AD8E09C"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A.</w:t>
      </w:r>
      <w:r>
        <w:tab/>
      </w:r>
      <w:r w:rsidRPr="00413631">
        <w:rPr>
          <w:lang w:eastAsia="en-US"/>
        </w:rPr>
        <w:t xml:space="preserve">Approbation de l'autorité compétente conformément </w:t>
      </w:r>
      <w:r>
        <w:rPr>
          <w:lang w:eastAsia="en-US"/>
        </w:rPr>
        <w:t xml:space="preserve">au </w:t>
      </w:r>
      <w:r w:rsidRPr="00413631">
        <w:rPr>
          <w:lang w:eastAsia="en-US"/>
        </w:rPr>
        <w:t>2.1.2.8</w:t>
      </w:r>
      <w:r>
        <w:rPr>
          <w:lang w:eastAsia="en-US"/>
        </w:rPr>
        <w:t xml:space="preserve"> de l’ADR</w:t>
      </w:r>
      <w:r w:rsidRPr="00413631">
        <w:rPr>
          <w:lang w:eastAsia="en-US"/>
        </w:rPr>
        <w:t xml:space="preserve"> </w:t>
      </w:r>
      <w:r w:rsidR="007C0337">
        <w:rPr>
          <w:lang w:eastAsia="en-US"/>
        </w:rPr>
        <w:br/>
      </w:r>
      <w:r w:rsidRPr="00413631">
        <w:rPr>
          <w:lang w:eastAsia="en-US"/>
        </w:rPr>
        <w:t xml:space="preserve">et proposition de modification de la liste des marchandises dangereuses </w:t>
      </w:r>
      <w:r w:rsidR="007C0337">
        <w:rPr>
          <w:lang w:eastAsia="en-US"/>
        </w:rPr>
        <w:br/>
      </w:r>
      <w:r w:rsidRPr="00413631">
        <w:rPr>
          <w:lang w:eastAsia="en-US"/>
        </w:rPr>
        <w:t>du Règlement type</w:t>
      </w:r>
      <w:r>
        <w:tab/>
      </w:r>
      <w:r w:rsidR="007C0337">
        <w:tab/>
      </w:r>
      <w:r>
        <w:t>59</w:t>
      </w:r>
      <w:r>
        <w:tab/>
        <w:t>10</w:t>
      </w:r>
    </w:p>
    <w:p w14:paraId="226393A9" w14:textId="2B4E56CD"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B.</w:t>
      </w:r>
      <w:r>
        <w:tab/>
      </w:r>
      <w:r w:rsidRPr="004F0068">
        <w:rPr>
          <w:lang w:val="fr-FR" w:eastAsia="en-US"/>
        </w:rPr>
        <w:t xml:space="preserve">Dimensions et masses des véhicules - système modulaire </w:t>
      </w:r>
      <w:r w:rsidR="00AC33BA">
        <w:rPr>
          <w:lang w:val="fr-FR" w:eastAsia="en-US"/>
        </w:rPr>
        <w:br/>
      </w:r>
      <w:r w:rsidRPr="004F0068">
        <w:rPr>
          <w:lang w:val="fr-FR" w:eastAsia="en-US"/>
        </w:rPr>
        <w:t>utilisé en Finlande</w:t>
      </w:r>
      <w:r>
        <w:tab/>
      </w:r>
      <w:r>
        <w:tab/>
        <w:t>60</w:t>
      </w:r>
      <w:r>
        <w:tab/>
        <w:t>10</w:t>
      </w:r>
    </w:p>
    <w:p w14:paraId="612491FC"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560" w:hanging="416"/>
      </w:pPr>
      <w:r>
        <w:t>C.</w:t>
      </w:r>
      <w:r>
        <w:tab/>
      </w:r>
      <w:r w:rsidRPr="00A202F1">
        <w:rPr>
          <w:lang w:eastAsia="en-US"/>
        </w:rPr>
        <w:t>Transport de déchets d'emballages vides non nettoyés</w:t>
      </w:r>
      <w:r>
        <w:tab/>
      </w:r>
      <w:r>
        <w:tab/>
        <w:t>61</w:t>
      </w:r>
      <w:r>
        <w:tab/>
        <w:t>10</w:t>
      </w:r>
    </w:p>
    <w:p w14:paraId="53015759"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left="1559" w:hanging="414"/>
        <w:rPr>
          <w:lang w:eastAsia="en-US"/>
        </w:rPr>
      </w:pPr>
      <w:r>
        <w:t>D.</w:t>
      </w:r>
      <w:r>
        <w:tab/>
      </w:r>
      <w:r>
        <w:rPr>
          <w:lang w:eastAsia="en-US"/>
        </w:rPr>
        <w:t xml:space="preserve">Hommage à M. </w:t>
      </w:r>
      <w:r w:rsidRPr="00AD43F0">
        <w:rPr>
          <w:lang w:val="fr-FR"/>
        </w:rPr>
        <w:t>Adrian-</w:t>
      </w:r>
      <w:proofErr w:type="spellStart"/>
      <w:r w:rsidRPr="00AD43F0">
        <w:rPr>
          <w:lang w:val="fr-FR"/>
        </w:rPr>
        <w:t>Teodor</w:t>
      </w:r>
      <w:proofErr w:type="spellEnd"/>
      <w:r w:rsidRPr="00AD43F0">
        <w:rPr>
          <w:lang w:val="fr-FR"/>
        </w:rPr>
        <w:t xml:space="preserve"> RADUTA</w:t>
      </w:r>
      <w:r>
        <w:tab/>
      </w:r>
      <w:r>
        <w:tab/>
        <w:t>62</w:t>
      </w:r>
      <w:r>
        <w:tab/>
        <w:t>10</w:t>
      </w:r>
    </w:p>
    <w:p w14:paraId="7580D343"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left="1144" w:hanging="435"/>
        <w:rPr>
          <w:lang w:eastAsia="en-US"/>
        </w:rPr>
      </w:pPr>
      <w:r>
        <w:rPr>
          <w:lang w:eastAsia="en-US"/>
        </w:rPr>
        <w:t>XI.</w:t>
      </w:r>
      <w:r>
        <w:rPr>
          <w:lang w:eastAsia="en-US"/>
        </w:rPr>
        <w:tab/>
        <w:t>Adoption du rapport (point 10 de l’ordre du jour)</w:t>
      </w:r>
      <w:r>
        <w:rPr>
          <w:lang w:eastAsia="en-US"/>
        </w:rPr>
        <w:tab/>
      </w:r>
      <w:r>
        <w:rPr>
          <w:lang w:eastAsia="en-US"/>
        </w:rPr>
        <w:tab/>
        <w:t>63</w:t>
      </w:r>
      <w:r>
        <w:rPr>
          <w:lang w:eastAsia="en-US"/>
        </w:rPr>
        <w:tab/>
        <w:t>10</w:t>
      </w:r>
    </w:p>
    <w:p w14:paraId="6A359AB0" w14:textId="77777777" w:rsidR="00CD3035" w:rsidRDefault="00CD3035" w:rsidP="00CD3035">
      <w:pPr>
        <w:tabs>
          <w:tab w:val="right" w:pos="851"/>
          <w:tab w:val="left" w:pos="1134"/>
          <w:tab w:val="left" w:pos="1559"/>
          <w:tab w:val="left" w:pos="1984"/>
          <w:tab w:val="left" w:leader="dot" w:pos="7654"/>
          <w:tab w:val="right" w:pos="8929"/>
          <w:tab w:val="right" w:pos="9638"/>
        </w:tabs>
        <w:spacing w:after="120"/>
        <w:ind w:left="1144" w:hanging="435"/>
        <w:rPr>
          <w:lang w:eastAsia="en-US"/>
        </w:rPr>
      </w:pPr>
    </w:p>
    <w:p w14:paraId="257C3AC4" w14:textId="77777777" w:rsidR="00CD3035" w:rsidRDefault="00CD3035" w:rsidP="00CD3035">
      <w:pPr>
        <w:tabs>
          <w:tab w:val="right" w:pos="851"/>
          <w:tab w:val="left" w:pos="1134"/>
          <w:tab w:val="left" w:pos="1560"/>
          <w:tab w:val="left" w:pos="1985"/>
          <w:tab w:val="left" w:leader="dot" w:pos="7654"/>
          <w:tab w:val="right" w:pos="8929"/>
          <w:tab w:val="right" w:pos="9638"/>
        </w:tabs>
        <w:spacing w:after="120"/>
        <w:ind w:left="1144"/>
      </w:pPr>
    </w:p>
    <w:p w14:paraId="29E7291A" w14:textId="77777777" w:rsidR="00CD3035" w:rsidRDefault="00CD3035" w:rsidP="00CD3035">
      <w:pPr>
        <w:spacing w:after="200" w:line="276" w:lineRule="auto"/>
      </w:pPr>
      <w:r>
        <w:t>Annexe</w:t>
      </w:r>
    </w:p>
    <w:p w14:paraId="4718B09D" w14:textId="49CAD0CC" w:rsidR="00F46438" w:rsidRPr="00ED4CEA" w:rsidRDefault="00CD3035" w:rsidP="00ED770C">
      <w:pPr>
        <w:tabs>
          <w:tab w:val="right" w:pos="850"/>
          <w:tab w:val="left" w:pos="1134"/>
          <w:tab w:val="left" w:pos="1559"/>
          <w:tab w:val="left" w:pos="1984"/>
          <w:tab w:val="left" w:leader="dot" w:pos="7654"/>
          <w:tab w:val="right" w:pos="8929"/>
          <w:tab w:val="right" w:pos="9638"/>
        </w:tabs>
        <w:spacing w:after="120"/>
        <w:ind w:left="1134" w:firstLine="12"/>
      </w:pPr>
      <w:r w:rsidRPr="005C2AD1">
        <w:rPr>
          <w:lang w:val="fr-FR"/>
        </w:rPr>
        <w:t>Projet d’amendements aux annexes A et B de l’ADR pour entrée en vigueur</w:t>
      </w:r>
      <w:r w:rsidRPr="005C2AD1">
        <w:rPr>
          <w:lang w:val="fr-FR"/>
        </w:rPr>
        <w:br/>
        <w:t>le 1er janvier 2025</w:t>
      </w:r>
      <w:r w:rsidRPr="005C2AD1">
        <w:rPr>
          <w:lang w:val="fr-FR"/>
        </w:rPr>
        <w:tab/>
      </w:r>
      <w:r>
        <w:rPr>
          <w:lang w:val="fr-FR"/>
        </w:rPr>
        <w:tab/>
      </w:r>
      <w:r>
        <w:rPr>
          <w:lang w:val="fr-FR"/>
        </w:rPr>
        <w:tab/>
        <w:t>11</w:t>
      </w:r>
    </w:p>
    <w:p w14:paraId="4A5C797C" w14:textId="000188BA" w:rsidR="00F46438" w:rsidRDefault="00F46438">
      <w:r>
        <w:br w:type="page"/>
      </w:r>
    </w:p>
    <w:p w14:paraId="22A53CA4" w14:textId="77777777" w:rsidR="00E84A82" w:rsidRPr="00495E83" w:rsidRDefault="00E84A82" w:rsidP="00E84A82">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lastRenderedPageBreak/>
        <w:tab/>
        <w:t>I.</w:t>
      </w:r>
      <w:r w:rsidRPr="00495E83">
        <w:rPr>
          <w:b/>
          <w:sz w:val="28"/>
          <w:lang w:eastAsia="en-US"/>
        </w:rPr>
        <w:tab/>
        <w:t>Participation</w:t>
      </w:r>
    </w:p>
    <w:p w14:paraId="38141587" w14:textId="77777777" w:rsidR="00E84A82" w:rsidRPr="00495E83" w:rsidRDefault="00E84A82" w:rsidP="00E84A82">
      <w:pPr>
        <w:suppressAutoHyphens/>
        <w:kinsoku w:val="0"/>
        <w:overflowPunct w:val="0"/>
        <w:autoSpaceDE w:val="0"/>
        <w:autoSpaceDN w:val="0"/>
        <w:adjustRightInd w:val="0"/>
        <w:snapToGrid w:val="0"/>
        <w:spacing w:after="120"/>
        <w:ind w:left="1134" w:right="1134"/>
        <w:jc w:val="both"/>
        <w:rPr>
          <w:lang w:val="fr-FR"/>
        </w:rPr>
      </w:pPr>
      <w:r w:rsidRPr="00495E83">
        <w:rPr>
          <w:lang w:val="fr-FR"/>
        </w:rPr>
        <w:t>1.</w:t>
      </w:r>
      <w:r w:rsidRPr="00495E83">
        <w:rPr>
          <w:lang w:val="fr-FR"/>
        </w:rPr>
        <w:tab/>
        <w:t>Le Groupe de travail des transports de marchandises dangereuses a tenu sa 11</w:t>
      </w:r>
      <w:r>
        <w:rPr>
          <w:lang w:val="fr-FR"/>
        </w:rPr>
        <w:t>3</w:t>
      </w:r>
      <w:r w:rsidRPr="00495E83">
        <w:rPr>
          <w:lang w:val="fr-FR"/>
        </w:rPr>
        <w:t xml:space="preserve">e session du </w:t>
      </w:r>
      <w:r>
        <w:rPr>
          <w:lang w:val="fr-FR"/>
        </w:rPr>
        <w:t>15 au 17 mai 2023</w:t>
      </w:r>
      <w:r w:rsidRPr="00495E83">
        <w:rPr>
          <w:lang w:val="fr-FR"/>
        </w:rPr>
        <w:t xml:space="preserve"> sous la présidence de M</w:t>
      </w:r>
      <w:r w:rsidRPr="00495E83">
        <w:rPr>
          <w:vertAlign w:val="superscript"/>
          <w:lang w:val="fr-FR"/>
        </w:rPr>
        <w:t>me</w:t>
      </w:r>
      <w:r w:rsidRPr="00495E83">
        <w:rPr>
          <w:lang w:val="fr-FR"/>
        </w:rPr>
        <w:t> A. Roumier (France) et la vice-présidence de M. A. Simoni (Italie).</w:t>
      </w:r>
    </w:p>
    <w:p w14:paraId="758AAD7D" w14:textId="0E7084C3" w:rsidR="00E84A82" w:rsidRPr="00495E83" w:rsidRDefault="00E84A82" w:rsidP="00E84A82">
      <w:pPr>
        <w:suppressAutoHyphens/>
        <w:kinsoku w:val="0"/>
        <w:overflowPunct w:val="0"/>
        <w:autoSpaceDE w:val="0"/>
        <w:autoSpaceDN w:val="0"/>
        <w:adjustRightInd w:val="0"/>
        <w:snapToGrid w:val="0"/>
        <w:spacing w:after="120"/>
        <w:ind w:left="1134" w:right="1134"/>
        <w:jc w:val="both"/>
      </w:pPr>
      <w:r>
        <w:t>2</w:t>
      </w:r>
      <w:r w:rsidRPr="00495E83">
        <w:t>.</w:t>
      </w:r>
      <w:r w:rsidRPr="00495E83">
        <w:tab/>
        <w:t xml:space="preserve">Ont pris part à la session des représentants des pays suivants : Allemagne, Autriche, Bélarus, Belgique, </w:t>
      </w:r>
      <w:r w:rsidRPr="000C39F2">
        <w:t>Bosnie-Herzégovine</w:t>
      </w:r>
      <w:r w:rsidRPr="00495E83">
        <w:t xml:space="preserve">, Danemark, Espagne, Finlande, France, Hongrie, </w:t>
      </w:r>
      <w:r>
        <w:t xml:space="preserve">Irlande, </w:t>
      </w:r>
      <w:r w:rsidRPr="00495E83">
        <w:t>Italie, Lettonie, Luxembourg, Pays-Bas, Pologne, Roumanie, Royaume-Uni, Suède, Suisse et Türkiye.</w:t>
      </w:r>
    </w:p>
    <w:p w14:paraId="642E7F42" w14:textId="77777777" w:rsidR="00E84A82" w:rsidRPr="00495E83" w:rsidRDefault="00E84A82" w:rsidP="00E84A82">
      <w:pPr>
        <w:suppressAutoHyphens/>
        <w:kinsoku w:val="0"/>
        <w:overflowPunct w:val="0"/>
        <w:autoSpaceDE w:val="0"/>
        <w:autoSpaceDN w:val="0"/>
        <w:adjustRightInd w:val="0"/>
        <w:snapToGrid w:val="0"/>
        <w:spacing w:after="120"/>
        <w:ind w:left="1134" w:right="1134"/>
        <w:jc w:val="both"/>
        <w:rPr>
          <w:lang w:val="fr-FR"/>
        </w:rPr>
      </w:pPr>
      <w:r>
        <w:rPr>
          <w:lang w:val="fr-FR"/>
        </w:rPr>
        <w:t>3</w:t>
      </w:r>
      <w:r w:rsidRPr="00495E83">
        <w:rPr>
          <w:lang w:val="fr-FR"/>
        </w:rPr>
        <w:t>.</w:t>
      </w:r>
      <w:r w:rsidRPr="00495E83">
        <w:rPr>
          <w:lang w:val="fr-FR"/>
        </w:rPr>
        <w:tab/>
        <w:t xml:space="preserve">Des représentants </w:t>
      </w:r>
      <w:r>
        <w:rPr>
          <w:lang w:val="fr-FR"/>
        </w:rPr>
        <w:t>du Zimbabwe</w:t>
      </w:r>
      <w:r w:rsidRPr="00495E83">
        <w:rPr>
          <w:lang w:val="fr-FR"/>
        </w:rPr>
        <w:t xml:space="preserve"> ont participé à la session conformément aux dispositions du paragraphe 11 du mandat de la Commission économique pour l’Europe. </w:t>
      </w:r>
    </w:p>
    <w:p w14:paraId="0FE4020D" w14:textId="3D8B84D5" w:rsidR="00E84A82" w:rsidRPr="00495E83" w:rsidRDefault="00E84A82" w:rsidP="00E84A82">
      <w:pPr>
        <w:suppressAutoHyphens/>
        <w:kinsoku w:val="0"/>
        <w:overflowPunct w:val="0"/>
        <w:autoSpaceDE w:val="0"/>
        <w:autoSpaceDN w:val="0"/>
        <w:adjustRightInd w:val="0"/>
        <w:snapToGrid w:val="0"/>
        <w:spacing w:after="120"/>
        <w:ind w:left="1134" w:right="1134"/>
        <w:jc w:val="both"/>
        <w:rPr>
          <w:lang w:val="fr-FR"/>
        </w:rPr>
      </w:pPr>
      <w:r>
        <w:rPr>
          <w:lang w:val="fr-FR"/>
        </w:rPr>
        <w:t>4</w:t>
      </w:r>
      <w:r w:rsidRPr="00495E83">
        <w:rPr>
          <w:lang w:val="fr-FR"/>
        </w:rPr>
        <w:t>.</w:t>
      </w:r>
      <w:r w:rsidRPr="00495E83">
        <w:rPr>
          <w:lang w:val="fr-FR"/>
        </w:rPr>
        <w:tab/>
      </w:r>
      <w:r>
        <w:rPr>
          <w:lang w:val="fr-FR"/>
        </w:rPr>
        <w:t>L’</w:t>
      </w:r>
      <w:r w:rsidRPr="00495E83">
        <w:rPr>
          <w:lang w:val="fr-FR"/>
        </w:rPr>
        <w:t>organisation intergouvernementale suivante était représentée : Organisation intergouvernementale pour les transports internationaux ferroviaires (OTIF)</w:t>
      </w:r>
      <w:r>
        <w:rPr>
          <w:lang w:val="fr-FR"/>
        </w:rPr>
        <w:t>.</w:t>
      </w:r>
    </w:p>
    <w:p w14:paraId="392F54A9" w14:textId="35B5EC72" w:rsidR="00E84A82" w:rsidRPr="00495E83" w:rsidRDefault="00E84A82" w:rsidP="00E84A82">
      <w:pPr>
        <w:suppressAutoHyphens/>
        <w:kinsoku w:val="0"/>
        <w:overflowPunct w:val="0"/>
        <w:autoSpaceDE w:val="0"/>
        <w:autoSpaceDN w:val="0"/>
        <w:adjustRightInd w:val="0"/>
        <w:snapToGrid w:val="0"/>
        <w:spacing w:after="120"/>
        <w:ind w:left="1134" w:right="1134"/>
        <w:jc w:val="both"/>
        <w:rPr>
          <w:lang w:val="fr-FR"/>
        </w:rPr>
      </w:pPr>
      <w:r>
        <w:rPr>
          <w:lang w:val="fr-FR"/>
        </w:rPr>
        <w:t>5</w:t>
      </w:r>
      <w:r w:rsidRPr="005C5879">
        <w:rPr>
          <w:lang w:val="fr-FR"/>
        </w:rPr>
        <w:t>.</w:t>
      </w:r>
      <w:r w:rsidRPr="005C5879">
        <w:rPr>
          <w:lang w:val="fr-FR"/>
        </w:rPr>
        <w:tab/>
        <w:t>Les organisations non gouvernementales suivantes étaient représentées : la</w:t>
      </w:r>
      <w:r w:rsidRPr="00EA58B9">
        <w:rPr>
          <w:lang w:val="fr-FR"/>
        </w:rPr>
        <w:t xml:space="preserve"> Confédération européenne des distributeurs de carburant (</w:t>
      </w:r>
      <w:proofErr w:type="spellStart"/>
      <w:r w:rsidRPr="00EA58B9">
        <w:rPr>
          <w:lang w:val="fr-FR"/>
        </w:rPr>
        <w:t>European</w:t>
      </w:r>
      <w:proofErr w:type="spellEnd"/>
      <w:r w:rsidRPr="00EA58B9">
        <w:rPr>
          <w:lang w:val="fr-FR"/>
        </w:rPr>
        <w:t xml:space="preserve"> </w:t>
      </w:r>
      <w:proofErr w:type="spellStart"/>
      <w:r w:rsidRPr="00EA58B9">
        <w:rPr>
          <w:lang w:val="fr-FR"/>
        </w:rPr>
        <w:t>Confederation</w:t>
      </w:r>
      <w:proofErr w:type="spellEnd"/>
      <w:r w:rsidRPr="00EA58B9">
        <w:rPr>
          <w:lang w:val="fr-FR"/>
        </w:rPr>
        <w:t xml:space="preserve"> of Fuel </w:t>
      </w:r>
      <w:proofErr w:type="spellStart"/>
      <w:r w:rsidRPr="00EA58B9">
        <w:rPr>
          <w:lang w:val="fr-FR"/>
        </w:rPr>
        <w:t>Distributors</w:t>
      </w:r>
      <w:proofErr w:type="spellEnd"/>
      <w:r w:rsidRPr="00EA58B9">
        <w:rPr>
          <w:lang w:val="fr-FR"/>
        </w:rPr>
        <w:t>) (ECFD), le Conseil européen de l’industrie chimique (</w:t>
      </w:r>
      <w:proofErr w:type="spellStart"/>
      <w:r w:rsidRPr="00EA58B9">
        <w:rPr>
          <w:lang w:val="fr-FR"/>
        </w:rPr>
        <w:t>Cefic</w:t>
      </w:r>
      <w:proofErr w:type="spellEnd"/>
      <w:r w:rsidRPr="00EA58B9">
        <w:rPr>
          <w:lang w:val="fr-FR"/>
        </w:rPr>
        <w:t xml:space="preserve">), </w:t>
      </w:r>
      <w:r w:rsidRPr="00B975BA">
        <w:rPr>
          <w:lang w:val="fr-FR"/>
        </w:rPr>
        <w:t xml:space="preserve">International Association of Dangerous </w:t>
      </w:r>
      <w:proofErr w:type="spellStart"/>
      <w:r w:rsidRPr="00B975BA">
        <w:rPr>
          <w:lang w:val="fr-FR"/>
        </w:rPr>
        <w:t>Goods</w:t>
      </w:r>
      <w:proofErr w:type="spellEnd"/>
      <w:r w:rsidRPr="00B975BA">
        <w:rPr>
          <w:lang w:val="fr-FR"/>
        </w:rPr>
        <w:t xml:space="preserve"> </w:t>
      </w:r>
      <w:proofErr w:type="spellStart"/>
      <w:r w:rsidRPr="00B975BA">
        <w:rPr>
          <w:lang w:val="fr-FR"/>
        </w:rPr>
        <w:t>Safety</w:t>
      </w:r>
      <w:proofErr w:type="spellEnd"/>
      <w:r w:rsidRPr="00B975BA">
        <w:rPr>
          <w:lang w:val="fr-FR"/>
        </w:rPr>
        <w:t xml:space="preserve"> </w:t>
      </w:r>
      <w:proofErr w:type="spellStart"/>
      <w:r w:rsidRPr="00B975BA">
        <w:rPr>
          <w:lang w:val="fr-FR"/>
        </w:rPr>
        <w:t>Advisers</w:t>
      </w:r>
      <w:proofErr w:type="spellEnd"/>
      <w:r w:rsidRPr="00B975BA">
        <w:rPr>
          <w:lang w:val="fr-FR"/>
        </w:rPr>
        <w:t xml:space="preserve"> (IASA)</w:t>
      </w:r>
      <w:r>
        <w:rPr>
          <w:lang w:val="fr-FR"/>
        </w:rPr>
        <w:t>,</w:t>
      </w:r>
      <w:r w:rsidRPr="00B975BA">
        <w:rPr>
          <w:lang w:val="fr-FR"/>
        </w:rPr>
        <w:t xml:space="preserve"> </w:t>
      </w:r>
      <w:r w:rsidRPr="00EA58B9">
        <w:rPr>
          <w:lang w:val="fr-FR"/>
        </w:rPr>
        <w:t>l’Organisation internationale des constructeurs automobiles (OICA) et l’Union internationale des transports routiers (IRU).</w:t>
      </w:r>
      <w:r w:rsidRPr="00495E83">
        <w:rPr>
          <w:lang w:val="fr-FR"/>
        </w:rPr>
        <w:t xml:space="preserve"> </w:t>
      </w:r>
    </w:p>
    <w:p w14:paraId="67CFAA1D" w14:textId="77777777" w:rsidR="00E84A82" w:rsidRPr="00495E83" w:rsidRDefault="00E84A82" w:rsidP="00E84A82">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t>II.</w:t>
      </w:r>
      <w:r w:rsidRPr="00495E83">
        <w:rPr>
          <w:b/>
          <w:sz w:val="28"/>
          <w:lang w:eastAsia="en-US"/>
        </w:rPr>
        <w:tab/>
      </w:r>
      <w:bookmarkStart w:id="1" w:name="_Hlk6316889"/>
      <w:r w:rsidRPr="00495E83">
        <w:rPr>
          <w:b/>
          <w:sz w:val="28"/>
          <w:lang w:eastAsia="en-US"/>
        </w:rPr>
        <w:t>Adoption de l’ordre du jour (point 1 de l’ordre du jour)</w:t>
      </w:r>
      <w:bookmarkStart w:id="2" w:name="_Toc499903630"/>
      <w:bookmarkEnd w:id="1"/>
      <w:bookmarkEnd w:id="2"/>
    </w:p>
    <w:p w14:paraId="24BE08C2" w14:textId="31FE0851" w:rsidR="00E84A82" w:rsidRPr="00495E83" w:rsidRDefault="00E84A82" w:rsidP="00E84A82">
      <w:pPr>
        <w:suppressAutoHyphens/>
        <w:kinsoku w:val="0"/>
        <w:overflowPunct w:val="0"/>
        <w:autoSpaceDE w:val="0"/>
        <w:autoSpaceDN w:val="0"/>
        <w:adjustRightInd w:val="0"/>
        <w:snapToGrid w:val="0"/>
        <w:ind w:left="3402" w:right="1134" w:hanging="2268"/>
        <w:jc w:val="both"/>
        <w:rPr>
          <w:lang w:val="fr-FR"/>
        </w:rPr>
      </w:pPr>
      <w:r w:rsidRPr="00495E83">
        <w:rPr>
          <w:i/>
          <w:iCs/>
          <w:lang w:val="fr-FR"/>
        </w:rPr>
        <w:t>Documents </w:t>
      </w:r>
      <w:r w:rsidRPr="00495E83">
        <w:rPr>
          <w:iCs/>
          <w:lang w:val="fr-FR"/>
        </w:rPr>
        <w:t>:</w:t>
      </w:r>
      <w:r w:rsidRPr="00495E83">
        <w:rPr>
          <w:lang w:val="fr-FR"/>
        </w:rPr>
        <w:tab/>
        <w:t>ECE/TRANS/WP.15/2</w:t>
      </w:r>
      <w:r>
        <w:rPr>
          <w:lang w:val="fr-FR"/>
        </w:rPr>
        <w:t>61</w:t>
      </w:r>
      <w:r w:rsidRPr="00495E83">
        <w:rPr>
          <w:lang w:val="fr-FR"/>
        </w:rPr>
        <w:t xml:space="preserve"> et </w:t>
      </w:r>
      <w:r w:rsidR="00D048BD">
        <w:t>ECE/TRANS/WP.15/261/</w:t>
      </w:r>
      <w:r w:rsidRPr="00495E83">
        <w:rPr>
          <w:lang w:val="fr-FR"/>
        </w:rPr>
        <w:t>Add.1 (secrétariat)</w:t>
      </w:r>
    </w:p>
    <w:p w14:paraId="2962B55F" w14:textId="77777777" w:rsidR="00E84A82" w:rsidRPr="00495E83" w:rsidRDefault="00E84A82" w:rsidP="00E84A82">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Documents informels </w:t>
      </w:r>
      <w:r w:rsidRPr="00495E83">
        <w:rPr>
          <w:lang w:val="fr-FR"/>
        </w:rPr>
        <w:t>:</w:t>
      </w:r>
      <w:r w:rsidRPr="00495E83">
        <w:rPr>
          <w:lang w:val="fr-FR"/>
        </w:rPr>
        <w:tab/>
        <w:t>INF.1, INF.2 et INF.</w:t>
      </w:r>
      <w:r>
        <w:rPr>
          <w:lang w:val="fr-FR"/>
        </w:rPr>
        <w:t>3</w:t>
      </w:r>
      <w:r w:rsidRPr="00495E83">
        <w:rPr>
          <w:lang w:val="fr-FR"/>
        </w:rPr>
        <w:t xml:space="preserve"> (secrétariat)</w:t>
      </w:r>
    </w:p>
    <w:p w14:paraId="4AD4CE82" w14:textId="3855B8A0" w:rsidR="00E84A82" w:rsidRPr="00495E83" w:rsidRDefault="00E84A82" w:rsidP="00E84A82">
      <w:pPr>
        <w:suppressAutoHyphens/>
        <w:kinsoku w:val="0"/>
        <w:overflowPunct w:val="0"/>
        <w:autoSpaceDE w:val="0"/>
        <w:autoSpaceDN w:val="0"/>
        <w:adjustRightInd w:val="0"/>
        <w:snapToGrid w:val="0"/>
        <w:spacing w:after="120"/>
        <w:ind w:left="1134" w:right="1134"/>
        <w:jc w:val="both"/>
        <w:rPr>
          <w:lang w:val="fr-FR"/>
        </w:rPr>
      </w:pPr>
      <w:r>
        <w:rPr>
          <w:lang w:val="fr-FR"/>
        </w:rPr>
        <w:t>6</w:t>
      </w:r>
      <w:r w:rsidRPr="00495E83">
        <w:rPr>
          <w:lang w:val="fr-FR"/>
        </w:rPr>
        <w:t>.</w:t>
      </w:r>
      <w:r w:rsidRPr="00495E83">
        <w:rPr>
          <w:lang w:val="fr-FR"/>
        </w:rPr>
        <w:tab/>
        <w:t>Le Groupe de travail a adopté l’ordre du jour provisoire établi par le secrétariat, tel que modifié par le document informel INF.2 pour tenir compte des documents informels INF.1 à INF.</w:t>
      </w:r>
      <w:r>
        <w:rPr>
          <w:lang w:val="fr-FR"/>
        </w:rPr>
        <w:t>27</w:t>
      </w:r>
      <w:r w:rsidRPr="00495E83">
        <w:rPr>
          <w:lang w:val="fr-FR"/>
        </w:rPr>
        <w:t xml:space="preserve">. </w:t>
      </w:r>
    </w:p>
    <w:p w14:paraId="610338A0" w14:textId="77777777" w:rsidR="00E84A82" w:rsidRPr="00495E83" w:rsidRDefault="00E84A82" w:rsidP="00E84A82">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t>III.</w:t>
      </w:r>
      <w:r w:rsidRPr="00495E83">
        <w:rPr>
          <w:b/>
          <w:sz w:val="28"/>
          <w:lang w:eastAsia="en-US"/>
        </w:rPr>
        <w:tab/>
        <w:t>Quatre-vingt-</w:t>
      </w:r>
      <w:r>
        <w:rPr>
          <w:b/>
          <w:sz w:val="28"/>
          <w:lang w:eastAsia="en-US"/>
        </w:rPr>
        <w:t>cinqu</w:t>
      </w:r>
      <w:r w:rsidRPr="00495E83">
        <w:rPr>
          <w:b/>
          <w:sz w:val="28"/>
          <w:lang w:eastAsia="en-US"/>
        </w:rPr>
        <w:t>ième session du Comité des transports intérieurs (CTI) (point 2 de l’ordre du jour)</w:t>
      </w:r>
    </w:p>
    <w:p w14:paraId="53A04570" w14:textId="27FE5867" w:rsidR="00E84A82" w:rsidRDefault="00E84A82" w:rsidP="00E84A82">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w:t>
      </w:r>
      <w:r>
        <w:rPr>
          <w:i/>
          <w:lang w:val="fr-FR"/>
        </w:rPr>
        <w:t>s</w:t>
      </w:r>
      <w:r w:rsidRPr="00495E83">
        <w:rPr>
          <w:i/>
          <w:lang w:val="fr-FR"/>
        </w:rPr>
        <w:t> </w:t>
      </w:r>
      <w:r w:rsidRPr="00495E83">
        <w:rPr>
          <w:lang w:val="fr-FR"/>
        </w:rPr>
        <w:t>:</w:t>
      </w:r>
      <w:r w:rsidRPr="00495E83">
        <w:rPr>
          <w:lang w:val="fr-FR"/>
        </w:rPr>
        <w:tab/>
      </w:r>
      <w:r w:rsidRPr="00495E83">
        <w:rPr>
          <w:lang w:val="fr-FR"/>
        </w:rPr>
        <w:tab/>
        <w:t>ECE/TRANS/3</w:t>
      </w:r>
      <w:r>
        <w:rPr>
          <w:lang w:val="fr-FR"/>
        </w:rPr>
        <w:t>28</w:t>
      </w:r>
      <w:r w:rsidRPr="00495E83">
        <w:rPr>
          <w:lang w:val="fr-FR"/>
        </w:rPr>
        <w:t xml:space="preserve"> et </w:t>
      </w:r>
      <w:r w:rsidR="00EC1756">
        <w:t>ECE/TRANS/328/</w:t>
      </w:r>
      <w:r w:rsidRPr="00495E83">
        <w:rPr>
          <w:lang w:val="fr-FR"/>
        </w:rPr>
        <w:t>Add.</w:t>
      </w:r>
      <w:r>
        <w:rPr>
          <w:lang w:val="fr-FR"/>
        </w:rPr>
        <w:t>1</w:t>
      </w:r>
      <w:r w:rsidRPr="00495E83">
        <w:rPr>
          <w:lang w:val="fr-FR"/>
        </w:rPr>
        <w:t xml:space="preserve"> (Rapport du CTI sur sa quatre-vingt-</w:t>
      </w:r>
      <w:r>
        <w:rPr>
          <w:lang w:val="fr-FR"/>
        </w:rPr>
        <w:t>cinquième</w:t>
      </w:r>
      <w:r w:rsidRPr="00495E83">
        <w:rPr>
          <w:lang w:val="fr-FR"/>
        </w:rPr>
        <w:t xml:space="preserve"> session)</w:t>
      </w:r>
      <w:r>
        <w:rPr>
          <w:lang w:val="fr-FR"/>
        </w:rPr>
        <w:br/>
        <w:t>ECE/TRANS/2023/21 (secrétariat</w:t>
      </w:r>
      <w:r w:rsidR="004C443A">
        <w:rPr>
          <w:lang w:val="fr-FR"/>
        </w:rPr>
        <w:t xml:space="preserve"> du CTI</w:t>
      </w:r>
      <w:r>
        <w:rPr>
          <w:lang w:val="fr-FR"/>
        </w:rPr>
        <w:t>)</w:t>
      </w:r>
      <w:r>
        <w:rPr>
          <w:lang w:val="fr-FR"/>
        </w:rPr>
        <w:br/>
      </w:r>
      <w:r w:rsidRPr="00DA619A">
        <w:t>ECE/TRANS/2023/4/Rev.1</w:t>
      </w:r>
      <w:r>
        <w:t xml:space="preserve"> (secrétariat</w:t>
      </w:r>
      <w:r w:rsidR="004C443A">
        <w:t xml:space="preserve"> du CTI</w:t>
      </w:r>
      <w:r>
        <w:t>)</w:t>
      </w:r>
    </w:p>
    <w:p w14:paraId="4694C86E" w14:textId="77777777" w:rsidR="00E84A82" w:rsidRPr="00495E83" w:rsidRDefault="00E84A82" w:rsidP="00E84A82">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 informel </w:t>
      </w:r>
      <w:r w:rsidRPr="00495E83">
        <w:rPr>
          <w:lang w:val="fr-FR"/>
        </w:rPr>
        <w:t>:</w:t>
      </w:r>
      <w:r w:rsidRPr="00495E83">
        <w:rPr>
          <w:lang w:val="fr-FR"/>
        </w:rPr>
        <w:tab/>
        <w:t>INF.</w:t>
      </w:r>
      <w:r>
        <w:rPr>
          <w:lang w:val="fr-FR"/>
        </w:rPr>
        <w:t>19</w:t>
      </w:r>
      <w:r w:rsidRPr="00495E83">
        <w:rPr>
          <w:lang w:val="fr-FR"/>
        </w:rPr>
        <w:t xml:space="preserve"> (secrétariat)</w:t>
      </w:r>
    </w:p>
    <w:p w14:paraId="54DA0FA2" w14:textId="63AE9773" w:rsidR="00E84A82" w:rsidRDefault="004C443A" w:rsidP="00E84A82">
      <w:pPr>
        <w:suppressAutoHyphens/>
        <w:spacing w:after="120"/>
        <w:ind w:left="1134" w:right="1134"/>
        <w:jc w:val="both"/>
        <w:rPr>
          <w:lang w:val="fr-FR"/>
        </w:rPr>
      </w:pPr>
      <w:r>
        <w:rPr>
          <w:lang w:eastAsia="en-US"/>
        </w:rPr>
        <w:t>7</w:t>
      </w:r>
      <w:r w:rsidR="00E84A82" w:rsidRPr="00B300E6">
        <w:rPr>
          <w:lang w:eastAsia="en-US"/>
        </w:rPr>
        <w:t>.</w:t>
      </w:r>
      <w:r w:rsidR="00E84A82" w:rsidRPr="00B300E6">
        <w:rPr>
          <w:lang w:eastAsia="en-US"/>
        </w:rPr>
        <w:tab/>
        <w:t xml:space="preserve">Le Groupe de travail </w:t>
      </w:r>
      <w:r w:rsidR="00E84A82" w:rsidRPr="00B300E6">
        <w:rPr>
          <w:lang w:val="fr-FR"/>
        </w:rPr>
        <w:t xml:space="preserve">a pris note </w:t>
      </w:r>
      <w:r w:rsidR="00E84A82" w:rsidRPr="00B300E6">
        <w:rPr>
          <w:lang w:eastAsia="en-US"/>
        </w:rPr>
        <w:t xml:space="preserve">des résultats pertinents de la dernière session du </w:t>
      </w:r>
      <w:r w:rsidR="00E84A82" w:rsidRPr="00A846C9">
        <w:rPr>
          <w:lang w:eastAsia="en-US"/>
        </w:rPr>
        <w:t>CTI</w:t>
      </w:r>
      <w:r w:rsidR="00E84A82" w:rsidRPr="00B300E6">
        <w:rPr>
          <w:lang w:eastAsia="en-US"/>
        </w:rPr>
        <w:t xml:space="preserve"> (2</w:t>
      </w:r>
      <w:r w:rsidR="00E84A82">
        <w:rPr>
          <w:lang w:eastAsia="en-US"/>
        </w:rPr>
        <w:t>1</w:t>
      </w:r>
      <w:r w:rsidR="00E84A82" w:rsidRPr="00B300E6">
        <w:rPr>
          <w:lang w:eastAsia="en-US"/>
        </w:rPr>
        <w:t>-2</w:t>
      </w:r>
      <w:r w:rsidR="00E84A82">
        <w:rPr>
          <w:lang w:eastAsia="en-US"/>
        </w:rPr>
        <w:t>4</w:t>
      </w:r>
      <w:r w:rsidR="00E84A82" w:rsidRPr="00B300E6">
        <w:rPr>
          <w:lang w:eastAsia="en-US"/>
        </w:rPr>
        <w:t xml:space="preserve"> février 202</w:t>
      </w:r>
      <w:r w:rsidR="00E84A82">
        <w:rPr>
          <w:lang w:eastAsia="en-US"/>
        </w:rPr>
        <w:t>3</w:t>
      </w:r>
      <w:r w:rsidR="00E84A82" w:rsidRPr="00B300E6">
        <w:rPr>
          <w:lang w:eastAsia="en-US"/>
        </w:rPr>
        <w:t>). Le Groupe de travail a noté avec satisfaction que le Comité avait approuvé les résultats de ses travaux pour 202</w:t>
      </w:r>
      <w:r w:rsidR="00E84A82">
        <w:rPr>
          <w:lang w:eastAsia="en-US"/>
        </w:rPr>
        <w:t>2</w:t>
      </w:r>
      <w:r w:rsidR="00E84A82" w:rsidRPr="00B300E6">
        <w:rPr>
          <w:lang w:eastAsia="en-US"/>
        </w:rPr>
        <w:t xml:space="preserve"> et adopté son programme de travail et </w:t>
      </w:r>
      <w:r w:rsidR="00E84A82">
        <w:rPr>
          <w:lang w:eastAsia="en-US"/>
        </w:rPr>
        <w:t xml:space="preserve">son </w:t>
      </w:r>
      <w:r w:rsidR="00E84A82" w:rsidRPr="00B300E6">
        <w:rPr>
          <w:lang w:eastAsia="en-US"/>
        </w:rPr>
        <w:t>programme de réunions pour 202</w:t>
      </w:r>
      <w:r w:rsidR="00E84A82">
        <w:rPr>
          <w:lang w:eastAsia="en-US"/>
        </w:rPr>
        <w:t xml:space="preserve">3. Le Groupe de travail s’est également félicité de l’approbation de la </w:t>
      </w:r>
      <w:r w:rsidR="00E84A82" w:rsidRPr="00B300E6">
        <w:rPr>
          <w:lang w:eastAsia="en-US"/>
        </w:rPr>
        <w:t>publication</w:t>
      </w:r>
      <w:r w:rsidR="00E84A82">
        <w:rPr>
          <w:lang w:eastAsia="en-US"/>
        </w:rPr>
        <w:t>, en 2024,</w:t>
      </w:r>
      <w:r w:rsidR="00E84A82" w:rsidRPr="00B300E6">
        <w:rPr>
          <w:lang w:eastAsia="en-US"/>
        </w:rPr>
        <w:t xml:space="preserve"> des textes consolidés de l’ADR et de l’ADN tels qu’ils seront amendés le 1er janvier 202</w:t>
      </w:r>
      <w:r w:rsidR="00E84A82">
        <w:rPr>
          <w:lang w:eastAsia="en-US"/>
        </w:rPr>
        <w:t>5</w:t>
      </w:r>
      <w:r w:rsidR="00E84A82" w:rsidRPr="00B300E6">
        <w:rPr>
          <w:lang w:val="fr-FR"/>
        </w:rPr>
        <w:t>.</w:t>
      </w:r>
    </w:p>
    <w:p w14:paraId="4C96945D" w14:textId="35C85DE4" w:rsidR="00E84A82" w:rsidRDefault="004C443A" w:rsidP="00E84A82">
      <w:pPr>
        <w:suppressAutoHyphens/>
        <w:spacing w:after="120"/>
        <w:ind w:left="1134" w:right="1134"/>
        <w:jc w:val="both"/>
      </w:pPr>
      <w:r>
        <w:rPr>
          <w:lang w:val="fr-FR"/>
        </w:rPr>
        <w:t>8</w:t>
      </w:r>
      <w:r w:rsidR="00E84A82">
        <w:rPr>
          <w:lang w:val="fr-FR"/>
        </w:rPr>
        <w:t>.</w:t>
      </w:r>
      <w:r w:rsidR="00E84A82">
        <w:rPr>
          <w:lang w:val="fr-FR"/>
        </w:rPr>
        <w:tab/>
      </w:r>
      <w:r w:rsidR="00E84A82" w:rsidRPr="00B300E6">
        <w:rPr>
          <w:lang w:val="fr-FR"/>
        </w:rPr>
        <w:t>Le Groupe de travail a noté avec intérêt la poursuite des travaux relatifs à la mise en œuvre de la Stratégie du Comité à l’horizon 2030</w:t>
      </w:r>
      <w:r w:rsidR="00E84A82">
        <w:rPr>
          <w:lang w:val="fr-FR"/>
        </w:rPr>
        <w:t xml:space="preserve">. Il a noté que le Comité </w:t>
      </w:r>
      <w:r w:rsidR="00E84A82">
        <w:t xml:space="preserve">avait encouragé tous les groupes de travail à examiner leur mandat et, le cas échéant, à l’harmoniser avec celui du Comité. Le secrétariat a indiqué qu’il préparerait un projet de modification du mandat pour la prochaine session sur la base du mandat actuel (ECE/TRANS/WP.15/190/Add.1) et de l’état des lieux et du modèle figurant dans le document du Comité </w:t>
      </w:r>
      <w:r w:rsidR="00E84A82" w:rsidRPr="00DA619A">
        <w:t>ECE/TRANS/2023/4/Rev.1</w:t>
      </w:r>
      <w:r w:rsidR="00E84A82">
        <w:t>.</w:t>
      </w:r>
    </w:p>
    <w:p w14:paraId="47C69DCF" w14:textId="0279BA5B" w:rsidR="00E84A82" w:rsidRDefault="002B4C77" w:rsidP="00E84A82">
      <w:pPr>
        <w:suppressAutoHyphens/>
        <w:spacing w:after="120"/>
        <w:ind w:left="1134" w:right="1134"/>
        <w:jc w:val="both"/>
      </w:pPr>
      <w:r>
        <w:t>9</w:t>
      </w:r>
      <w:r w:rsidR="00E84A82">
        <w:t>.</w:t>
      </w:r>
      <w:r w:rsidR="00E84A82">
        <w:tab/>
        <w:t xml:space="preserve">Le Groupe de travail a noté la décision du Comité de procéder à l'examen des mandats et la prolongation de ses groupes de travail au cours de l'année 2023 (voir </w:t>
      </w:r>
      <w:r w:rsidR="00696EC8">
        <w:t xml:space="preserve">le </w:t>
      </w:r>
      <w:r w:rsidR="00874CCF">
        <w:t xml:space="preserve">paragraphe </w:t>
      </w:r>
      <w:r w:rsidR="00E84A82">
        <w:t xml:space="preserve">18 du document ECE/TRANS/328) conformément aux décisions prises lors de la réforme de </w:t>
      </w:r>
      <w:r w:rsidR="00E84A82">
        <w:lastRenderedPageBreak/>
        <w:t>2005 de la CEE et aux directives aux fins de l’établissement et du fonctionnement de groupes de travail sous l’égide de la CEE (ECE/EX/1). Le Groupe de travail a également noté que cet examen serait réalisé sur la base des contributions qui seraient fournies par les présidents des groupes de travail et porterait notamment sur l’identification des moyens possibles pour améliorer l'efficacité et les méthodes de travail.</w:t>
      </w:r>
    </w:p>
    <w:p w14:paraId="29A0E8DD" w14:textId="69AC9641" w:rsidR="00E84A82" w:rsidRDefault="006C590C" w:rsidP="00E84A82">
      <w:pPr>
        <w:suppressAutoHyphens/>
        <w:spacing w:after="120"/>
        <w:ind w:left="1134" w:right="1134"/>
        <w:jc w:val="both"/>
      </w:pPr>
      <w:r>
        <w:t>10</w:t>
      </w:r>
      <w:r w:rsidR="00E84A82">
        <w:t>.</w:t>
      </w:r>
      <w:r w:rsidR="00E84A82">
        <w:tab/>
        <w:t>Dans ce contexte, le Groupe de travail s’est félicité du rappel, dans le document informel INF.19, des règles relatives aux méthodes de travail qu’il avait adoptées par le passé. Il a souhaité reprendre les discussions concernant son calendrier de sessions et ses règles de documentation à la prochaine session sur la base du document informel INF.19 qui sera</w:t>
      </w:r>
      <w:r w:rsidR="002B4C77">
        <w:t>it</w:t>
      </w:r>
      <w:r w:rsidR="00E84A82">
        <w:t xml:space="preserve"> soumis en tant que document officiel.</w:t>
      </w:r>
    </w:p>
    <w:p w14:paraId="1D1237E2" w14:textId="0F46D895" w:rsidR="00E84A82" w:rsidRDefault="006C590C" w:rsidP="00E84A82">
      <w:pPr>
        <w:suppressAutoHyphens/>
        <w:spacing w:after="120"/>
        <w:ind w:left="1134" w:right="1134"/>
        <w:jc w:val="both"/>
      </w:pPr>
      <w:r>
        <w:t>11</w:t>
      </w:r>
      <w:r w:rsidR="00E84A82">
        <w:t xml:space="preserve">. </w:t>
      </w:r>
      <w:r w:rsidR="00E84A82">
        <w:tab/>
        <w:t>Le Groupe de travail a d’ores et déjà confirmé que l’agenda des dernières sessions des périodes bisannuelles (sessions de novembre des années impaires) pourrait être étendu aux nouvelles propositions d’amendements comme cela s’était déjà observé les années précédentes. Ceci avait notamment permis de profiter du temps libéré par le fait que les textes adoptés par la Réunion commune concernant les dispositions communes aux trois modes de transport terrestre n’étaient, en général, plus rediscutés au sein du Groupe de travail</w:t>
      </w:r>
      <w:r>
        <w:t>,</w:t>
      </w:r>
      <w:r w:rsidR="00E84A82">
        <w:t xml:space="preserve"> pour se consacrer à des dispositions nouvelles spécifiques au transport routier.</w:t>
      </w:r>
    </w:p>
    <w:p w14:paraId="5EF6AB85" w14:textId="2F52EAFB" w:rsidR="00E84A82" w:rsidRDefault="006C590C" w:rsidP="00E84A82">
      <w:pPr>
        <w:suppressAutoHyphens/>
        <w:spacing w:after="120"/>
        <w:ind w:left="1134" w:right="1134"/>
        <w:jc w:val="both"/>
      </w:pPr>
      <w:r>
        <w:rPr>
          <w:lang w:val="fr-FR"/>
        </w:rPr>
        <w:t>12</w:t>
      </w:r>
      <w:r w:rsidR="00E84A82">
        <w:rPr>
          <w:lang w:val="fr-FR"/>
        </w:rPr>
        <w:t>.</w:t>
      </w:r>
      <w:r w:rsidR="00E84A82">
        <w:rPr>
          <w:lang w:val="fr-FR"/>
        </w:rPr>
        <w:tab/>
      </w:r>
      <w:r w:rsidR="00E84A82" w:rsidRPr="00B300E6">
        <w:rPr>
          <w:lang w:val="fr-FR"/>
        </w:rPr>
        <w:t>Le Groupe de travail a noté avec satisfaction</w:t>
      </w:r>
      <w:r w:rsidR="00E84A82">
        <w:t xml:space="preserve"> les actions du CTI</w:t>
      </w:r>
      <w:r w:rsidR="00E84A82" w:rsidRPr="000A11B6">
        <w:t xml:space="preserve"> sur l'adaptation et l'atténuation du changement climatique</w:t>
      </w:r>
      <w:r w:rsidR="00E84A82">
        <w:t xml:space="preserve"> et a confirmé son soutien </w:t>
      </w:r>
      <w:r w:rsidR="00E84A82" w:rsidRPr="0072470E">
        <w:t xml:space="preserve">à l'élaboration de la stratégie </w:t>
      </w:r>
      <w:r w:rsidR="00E84A82">
        <w:t xml:space="preserve">du CTI </w:t>
      </w:r>
      <w:r w:rsidR="00E84A82" w:rsidRPr="0072470E">
        <w:t>sur la réduction des émissions de gaz à effet de serre dans les transports terrestres</w:t>
      </w:r>
      <w:r w:rsidR="00E84A82">
        <w:t xml:space="preserve"> sur la base du projet présenté en session par un membre du secrétariat du Comité. Notant que la date limite pour transmettre des contributions et commentaires sur le projet était le vendredi 29 septembre 2023, le Groupe de travail a invité les délégations qui le souhaiteraient à transmettre leur contribution à la présidente avant début septembre en se basant sur le travail préliminaire repris dans le document </w:t>
      </w:r>
      <w:r w:rsidR="00E84A82">
        <w:rPr>
          <w:lang w:val="fr-FR"/>
        </w:rPr>
        <w:t>ECE/TRANS/2023/21</w:t>
      </w:r>
      <w:r w:rsidR="00E84A82">
        <w:t>.</w:t>
      </w:r>
    </w:p>
    <w:p w14:paraId="381F0607" w14:textId="77777777" w:rsidR="00E84A82" w:rsidRPr="00495E83" w:rsidRDefault="00E84A82" w:rsidP="00E84A82">
      <w:pPr>
        <w:keepNext/>
        <w:keepLines/>
        <w:tabs>
          <w:tab w:val="right" w:pos="851"/>
        </w:tabs>
        <w:suppressAutoHyphens/>
        <w:spacing w:before="360" w:after="240" w:line="300" w:lineRule="exact"/>
        <w:ind w:left="1134" w:right="1134" w:hanging="1134"/>
        <w:rPr>
          <w:b/>
          <w:sz w:val="28"/>
          <w:lang w:eastAsia="en-US"/>
        </w:rPr>
      </w:pPr>
      <w:r w:rsidRPr="00495E83">
        <w:rPr>
          <w:b/>
          <w:sz w:val="28"/>
          <w:lang w:eastAsia="en-US"/>
        </w:rPr>
        <w:tab/>
        <w:t>IV.</w:t>
      </w:r>
      <w:r w:rsidRPr="00495E83">
        <w:rPr>
          <w:b/>
          <w:sz w:val="28"/>
          <w:lang w:eastAsia="en-US"/>
        </w:rPr>
        <w:tab/>
        <w:t>État de l’Accord relatif au transport international des marchandises dangereuses par route (ADR) et questions connexes (point 3 de l’ordre du jour)</w:t>
      </w:r>
    </w:p>
    <w:p w14:paraId="193705EC" w14:textId="77777777" w:rsidR="00E84A82" w:rsidRPr="00495E83" w:rsidRDefault="00E84A82" w:rsidP="00E84A82">
      <w:pPr>
        <w:keepNext/>
        <w:keepLines/>
        <w:tabs>
          <w:tab w:val="right" w:pos="851"/>
        </w:tabs>
        <w:suppressAutoHyphens/>
        <w:spacing w:before="360" w:after="240" w:line="270" w:lineRule="exact"/>
        <w:ind w:left="1134" w:right="1134" w:hanging="1134"/>
        <w:rPr>
          <w:rFonts w:eastAsia="Calibri"/>
          <w:b/>
          <w:sz w:val="24"/>
          <w:lang w:val="fr-FR" w:eastAsia="en-US"/>
        </w:rPr>
      </w:pPr>
      <w:r w:rsidRPr="00495E83">
        <w:rPr>
          <w:rFonts w:eastAsia="Calibri"/>
          <w:b/>
          <w:sz w:val="24"/>
          <w:lang w:val="fr-FR" w:eastAsia="en-US"/>
        </w:rPr>
        <w:tab/>
        <w:t>A.</w:t>
      </w:r>
      <w:r w:rsidRPr="00495E83">
        <w:rPr>
          <w:rFonts w:eastAsia="Calibri"/>
          <w:b/>
          <w:sz w:val="24"/>
          <w:lang w:val="fr-FR" w:eastAsia="en-US"/>
        </w:rPr>
        <w:tab/>
        <w:t xml:space="preserve">État de l’Accord </w:t>
      </w:r>
    </w:p>
    <w:p w14:paraId="6EEAFE3B" w14:textId="25A5A684" w:rsidR="00E84A82" w:rsidRDefault="006C590C" w:rsidP="00E84A82">
      <w:pPr>
        <w:suppressAutoHyphens/>
        <w:kinsoku w:val="0"/>
        <w:overflowPunct w:val="0"/>
        <w:autoSpaceDE w:val="0"/>
        <w:autoSpaceDN w:val="0"/>
        <w:adjustRightInd w:val="0"/>
        <w:snapToGrid w:val="0"/>
        <w:spacing w:after="120"/>
        <w:ind w:left="1134" w:right="1134"/>
        <w:jc w:val="both"/>
      </w:pPr>
      <w:r>
        <w:t>13</w:t>
      </w:r>
      <w:r w:rsidR="00E84A82">
        <w:t>.</w:t>
      </w:r>
      <w:r w:rsidR="00E84A82">
        <w:tab/>
        <w:t>Aucun changement n’a été signalé en ce qui concerne l’état de l’ADR (54 Parties contractantes) et du Protocole d’amendement de 1993 (40 Parties contractantes) depuis la dernière session.</w:t>
      </w:r>
    </w:p>
    <w:p w14:paraId="482812EC" w14:textId="77777777" w:rsidR="00E84A82" w:rsidRPr="00495E83" w:rsidRDefault="00E84A82" w:rsidP="00E84A82">
      <w:pPr>
        <w:keepNext/>
        <w:keepLines/>
        <w:tabs>
          <w:tab w:val="right" w:pos="851"/>
        </w:tabs>
        <w:suppressAutoHyphens/>
        <w:spacing w:before="360" w:after="240" w:line="270" w:lineRule="exact"/>
        <w:ind w:left="1134" w:right="1134" w:hanging="1134"/>
        <w:rPr>
          <w:rFonts w:eastAsia="Calibri"/>
          <w:b/>
          <w:sz w:val="24"/>
          <w:lang w:val="fr-FR" w:eastAsia="en-US"/>
        </w:rPr>
      </w:pPr>
      <w:r w:rsidRPr="00495E83">
        <w:rPr>
          <w:rFonts w:eastAsia="Calibri"/>
          <w:b/>
          <w:sz w:val="24"/>
          <w:lang w:val="fr-FR" w:eastAsia="en-US"/>
        </w:rPr>
        <w:tab/>
        <w:t>B.</w:t>
      </w:r>
      <w:r w:rsidRPr="00495E83">
        <w:rPr>
          <w:rFonts w:eastAsia="Calibri"/>
          <w:b/>
          <w:sz w:val="24"/>
          <w:lang w:val="fr-FR" w:eastAsia="en-US"/>
        </w:rPr>
        <w:tab/>
        <w:t>Protocole d’amendement de 1993</w:t>
      </w:r>
    </w:p>
    <w:p w14:paraId="446ABA61" w14:textId="139D55BD" w:rsidR="00E84A82" w:rsidRDefault="006C590C" w:rsidP="00E84A82">
      <w:pPr>
        <w:suppressAutoHyphens/>
        <w:spacing w:after="120"/>
        <w:ind w:left="1134" w:right="1134"/>
        <w:jc w:val="both"/>
        <w:rPr>
          <w:lang w:eastAsia="en-US"/>
        </w:rPr>
      </w:pPr>
      <w:r>
        <w:rPr>
          <w:lang w:eastAsia="en-US"/>
        </w:rPr>
        <w:t>14</w:t>
      </w:r>
      <w:r w:rsidR="00E84A82" w:rsidRPr="00495E83">
        <w:rPr>
          <w:lang w:eastAsia="en-US"/>
        </w:rPr>
        <w:t>.</w:t>
      </w:r>
      <w:r w:rsidR="00E84A82" w:rsidRPr="00495E83">
        <w:rPr>
          <w:lang w:eastAsia="en-US"/>
        </w:rPr>
        <w:tab/>
        <w:t>Le Groupe de travail a encouragé les pays qui n’avaient pas encore déposé l’instrument juridique nécessaire pour l’entrée en vigueur du Protocole de 1993 (</w:t>
      </w:r>
      <w:r w:rsidR="00E84A82" w:rsidRPr="00495E83">
        <w:rPr>
          <w:lang w:val="fr-FR"/>
        </w:rPr>
        <w:t>Arménie, Azerbaïdjan, Bélarus, Bosnie-Herzégovine, Croatie, Islande, Kazakhstan, Maroc, Monténégro, Macédoine du Nord, Nigéria, Saint</w:t>
      </w:r>
      <w:r w:rsidR="00E84A82" w:rsidRPr="00495E83">
        <w:rPr>
          <w:lang w:val="fr-FR"/>
        </w:rPr>
        <w:noBreakHyphen/>
        <w:t>Marin, Tadjikistan et Ouganda</w:t>
      </w:r>
      <w:r w:rsidR="00E84A82" w:rsidRPr="00495E83">
        <w:rPr>
          <w:lang w:eastAsia="en-US"/>
        </w:rPr>
        <w:t>) à prendre les mesures nécessaires pour ratifier le Protocole ou y adhérer, afin qu’il puisse prendre effet.</w:t>
      </w:r>
    </w:p>
    <w:p w14:paraId="4D7D027D" w14:textId="11108F4F" w:rsidR="00E84A82" w:rsidRPr="00495E83" w:rsidRDefault="00E84A82" w:rsidP="00E84A82">
      <w:pPr>
        <w:suppressAutoHyphens/>
        <w:spacing w:after="120"/>
        <w:ind w:left="1134" w:right="1134"/>
        <w:jc w:val="both"/>
        <w:rPr>
          <w:lang w:eastAsia="en-US"/>
        </w:rPr>
      </w:pPr>
      <w:r>
        <w:rPr>
          <w:lang w:eastAsia="en-US"/>
        </w:rPr>
        <w:t>15.</w:t>
      </w:r>
      <w:r>
        <w:rPr>
          <w:lang w:eastAsia="en-US"/>
        </w:rPr>
        <w:tab/>
      </w:r>
      <w:r w:rsidRPr="00C35B14">
        <w:rPr>
          <w:lang w:eastAsia="en-US"/>
        </w:rPr>
        <w:t xml:space="preserve">Il a été noté que lorsque le Protocole entrerait en vigueur, </w:t>
      </w:r>
      <w:r>
        <w:rPr>
          <w:lang w:eastAsia="en-US"/>
        </w:rPr>
        <w:t xml:space="preserve">le champ d’application </w:t>
      </w:r>
      <w:r w:rsidRPr="00C35B14">
        <w:rPr>
          <w:lang w:eastAsia="en-US"/>
        </w:rPr>
        <w:t xml:space="preserve">de l'ADR </w:t>
      </w:r>
      <w:r>
        <w:rPr>
          <w:lang w:eastAsia="en-US"/>
        </w:rPr>
        <w:t xml:space="preserve">serait restreint aux véhicules avec au </w:t>
      </w:r>
      <w:r w:rsidRPr="00C35B14">
        <w:rPr>
          <w:lang w:eastAsia="en-US"/>
        </w:rPr>
        <w:t>moins quatre roues (voir</w:t>
      </w:r>
      <w:r w:rsidR="00696EC8">
        <w:rPr>
          <w:lang w:eastAsia="en-US"/>
        </w:rPr>
        <w:t xml:space="preserve"> les</w:t>
      </w:r>
      <w:r w:rsidRPr="00C35B14">
        <w:rPr>
          <w:lang w:eastAsia="en-US"/>
        </w:rPr>
        <w:t xml:space="preserve"> paragraphes </w:t>
      </w:r>
      <w:r w:rsidR="00BB478A">
        <w:rPr>
          <w:lang w:eastAsia="en-US"/>
        </w:rPr>
        <w:t>40 à</w:t>
      </w:r>
      <w:r w:rsidR="00D048BD">
        <w:rPr>
          <w:lang w:eastAsia="en-US"/>
        </w:rPr>
        <w:t> </w:t>
      </w:r>
      <w:r w:rsidR="00BB478A">
        <w:rPr>
          <w:lang w:eastAsia="en-US"/>
        </w:rPr>
        <w:t>45</w:t>
      </w:r>
      <w:r w:rsidRPr="00C35B14">
        <w:rPr>
          <w:lang w:eastAsia="en-US"/>
        </w:rPr>
        <w:t>)</w:t>
      </w:r>
      <w:r>
        <w:rPr>
          <w:lang w:eastAsia="en-US"/>
        </w:rPr>
        <w:t>.</w:t>
      </w:r>
    </w:p>
    <w:p w14:paraId="0FCC94BD" w14:textId="77777777" w:rsidR="0062494F" w:rsidRPr="00495E83" w:rsidRDefault="0062494F" w:rsidP="0062494F">
      <w:pPr>
        <w:pStyle w:val="HChG"/>
        <w:rPr>
          <w:b w:val="0"/>
          <w:lang w:eastAsia="en-US"/>
        </w:rPr>
      </w:pPr>
      <w:r w:rsidRPr="00495E83">
        <w:rPr>
          <w:lang w:eastAsia="en-US"/>
        </w:rPr>
        <w:lastRenderedPageBreak/>
        <w:tab/>
        <w:t>V.</w:t>
      </w:r>
      <w:r w:rsidRPr="00495E83">
        <w:rPr>
          <w:lang w:eastAsia="en-US"/>
        </w:rPr>
        <w:tab/>
      </w:r>
      <w:r w:rsidRPr="00356095">
        <w:rPr>
          <w:lang w:eastAsia="en-US"/>
        </w:rPr>
        <w:t>Travaux de la Réunion commune RID/ADR/ADN</w:t>
      </w:r>
      <w:r w:rsidRPr="00495E83">
        <w:rPr>
          <w:lang w:eastAsia="en-US"/>
        </w:rPr>
        <w:t xml:space="preserve"> (point </w:t>
      </w:r>
      <w:r>
        <w:rPr>
          <w:lang w:eastAsia="en-US"/>
        </w:rPr>
        <w:t>4</w:t>
      </w:r>
      <w:r w:rsidRPr="00495E83">
        <w:rPr>
          <w:lang w:eastAsia="en-US"/>
        </w:rPr>
        <w:t xml:space="preserve"> de l’ordre du jour)</w:t>
      </w:r>
    </w:p>
    <w:p w14:paraId="3672CC4F" w14:textId="77777777" w:rsidR="0062494F" w:rsidRDefault="0062494F" w:rsidP="0062494F">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w:t>
      </w:r>
      <w:r>
        <w:rPr>
          <w:i/>
          <w:lang w:val="fr-FR"/>
        </w:rPr>
        <w:t>s</w:t>
      </w:r>
      <w:r w:rsidRPr="00495E83">
        <w:rPr>
          <w:i/>
          <w:lang w:val="fr-FR"/>
        </w:rPr>
        <w:t> </w:t>
      </w:r>
      <w:r w:rsidRPr="00495E83">
        <w:rPr>
          <w:lang w:val="fr-FR"/>
        </w:rPr>
        <w:t>:</w:t>
      </w:r>
      <w:r w:rsidRPr="00495E83">
        <w:rPr>
          <w:lang w:val="fr-FR"/>
        </w:rPr>
        <w:tab/>
      </w:r>
      <w:r w:rsidRPr="00495E83">
        <w:rPr>
          <w:lang w:val="fr-FR"/>
        </w:rPr>
        <w:tab/>
        <w:t>ECE/TRANS/</w:t>
      </w:r>
      <w:r>
        <w:rPr>
          <w:lang w:val="fr-FR"/>
        </w:rPr>
        <w:t>WP.15/AC.1/168</w:t>
      </w:r>
      <w:r w:rsidRPr="00495E83">
        <w:rPr>
          <w:lang w:val="fr-FR"/>
        </w:rPr>
        <w:t xml:space="preserve"> (</w:t>
      </w:r>
      <w:r w:rsidRPr="00C16A26">
        <w:rPr>
          <w:lang w:val="fr-FR"/>
        </w:rPr>
        <w:t>Rapport de la Réunion commune sur sa session de printemps 2023</w:t>
      </w:r>
      <w:r w:rsidRPr="00495E83">
        <w:rPr>
          <w:lang w:val="fr-FR"/>
        </w:rPr>
        <w:t>)</w:t>
      </w:r>
      <w:r>
        <w:rPr>
          <w:lang w:val="fr-FR"/>
        </w:rPr>
        <w:br/>
        <w:t>ECE/TRANS/WP.15/AC.1/2023/14 (Allemagne)</w:t>
      </w:r>
    </w:p>
    <w:p w14:paraId="6D14CEA2" w14:textId="77777777" w:rsidR="0062494F" w:rsidRPr="00495E83" w:rsidRDefault="0062494F" w:rsidP="0062494F">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w:t>
      </w:r>
      <w:r>
        <w:rPr>
          <w:i/>
          <w:iCs/>
          <w:lang w:val="fr-FR"/>
        </w:rPr>
        <w:t>s</w:t>
      </w:r>
      <w:r w:rsidRPr="00495E83">
        <w:rPr>
          <w:i/>
          <w:iCs/>
          <w:lang w:val="fr-FR"/>
        </w:rPr>
        <w:t xml:space="preserve"> informel</w:t>
      </w:r>
      <w:r>
        <w:rPr>
          <w:i/>
          <w:iCs/>
          <w:lang w:val="fr-FR"/>
        </w:rPr>
        <w:t>s</w:t>
      </w:r>
      <w:r w:rsidRPr="00495E83">
        <w:rPr>
          <w:i/>
          <w:iCs/>
          <w:lang w:val="fr-FR"/>
        </w:rPr>
        <w:t> </w:t>
      </w:r>
      <w:r w:rsidRPr="00495E83">
        <w:rPr>
          <w:lang w:val="fr-FR"/>
        </w:rPr>
        <w:t>:</w:t>
      </w:r>
      <w:r w:rsidRPr="00495E83">
        <w:rPr>
          <w:lang w:val="fr-FR"/>
        </w:rPr>
        <w:tab/>
        <w:t>INF.</w:t>
      </w:r>
      <w:r>
        <w:rPr>
          <w:lang w:val="fr-FR"/>
        </w:rPr>
        <w:t>7</w:t>
      </w:r>
      <w:r w:rsidRPr="00495E83">
        <w:rPr>
          <w:lang w:val="fr-FR"/>
        </w:rPr>
        <w:t xml:space="preserve"> (secrétariat)</w:t>
      </w:r>
      <w:r>
        <w:rPr>
          <w:lang w:val="fr-FR"/>
        </w:rPr>
        <w:t>, INF.8 (France), INF.18 (Finlande), INF.24 (Allemagne)</w:t>
      </w:r>
    </w:p>
    <w:p w14:paraId="5248182F" w14:textId="6EDB916B" w:rsidR="0062494F" w:rsidRDefault="0062494F" w:rsidP="0062494F">
      <w:pPr>
        <w:pStyle w:val="SingleTxtG"/>
        <w:rPr>
          <w:lang w:val="fr-FR"/>
        </w:rPr>
      </w:pPr>
      <w:r w:rsidRPr="00495E83">
        <w:rPr>
          <w:lang w:eastAsia="en-US"/>
        </w:rPr>
        <w:t>1</w:t>
      </w:r>
      <w:r>
        <w:rPr>
          <w:lang w:eastAsia="en-US"/>
        </w:rPr>
        <w:t>6</w:t>
      </w:r>
      <w:r w:rsidRPr="00495E83">
        <w:rPr>
          <w:lang w:eastAsia="en-US"/>
        </w:rPr>
        <w:t>.</w:t>
      </w:r>
      <w:r w:rsidRPr="00495E83">
        <w:rPr>
          <w:lang w:eastAsia="en-US"/>
        </w:rPr>
        <w:tab/>
      </w:r>
      <w:r w:rsidRPr="006E3703">
        <w:rPr>
          <w:lang w:val="fr-FR"/>
        </w:rPr>
        <w:t>Le Groupe de travail a entériné les amendements adoptés par la Réunion commune à sa session de printemps 202</w:t>
      </w:r>
      <w:r>
        <w:rPr>
          <w:lang w:val="fr-FR"/>
        </w:rPr>
        <w:t>3</w:t>
      </w:r>
      <w:r w:rsidRPr="006E3703">
        <w:rPr>
          <w:lang w:val="fr-FR"/>
        </w:rPr>
        <w:t xml:space="preserve"> tels que reproduits dans le document informel INF.</w:t>
      </w:r>
      <w:r>
        <w:rPr>
          <w:lang w:val="fr-FR"/>
        </w:rPr>
        <w:t>7</w:t>
      </w:r>
      <w:r w:rsidRPr="006E3703">
        <w:rPr>
          <w:lang w:val="fr-FR"/>
        </w:rPr>
        <w:t xml:space="preserve"> en anglais, français et russe avec quelques modifications éditoriales (voir annexe). L</w:t>
      </w:r>
      <w:r>
        <w:rPr>
          <w:lang w:val="fr-FR"/>
        </w:rPr>
        <w:t>’</w:t>
      </w:r>
      <w:r w:rsidRPr="006E3703">
        <w:rPr>
          <w:lang w:val="fr-FR"/>
        </w:rPr>
        <w:t>amendement</w:t>
      </w:r>
      <w:r>
        <w:rPr>
          <w:lang w:val="fr-FR"/>
        </w:rPr>
        <w:t xml:space="preserve"> au 6.8.2.2.11 et les mesures transitoires associées,</w:t>
      </w:r>
      <w:r w:rsidRPr="006E3703">
        <w:rPr>
          <w:lang w:val="fr-FR"/>
        </w:rPr>
        <w:t xml:space="preserve"> figurant entre crochet</w:t>
      </w:r>
      <w:r>
        <w:rPr>
          <w:lang w:val="fr-FR"/>
        </w:rPr>
        <w:t>s,</w:t>
      </w:r>
      <w:r w:rsidRPr="006E3703">
        <w:rPr>
          <w:lang w:val="fr-FR"/>
        </w:rPr>
        <w:t xml:space="preserve"> seront confirmés lors de la 11</w:t>
      </w:r>
      <w:r>
        <w:rPr>
          <w:lang w:val="fr-FR"/>
        </w:rPr>
        <w:t>4</w:t>
      </w:r>
      <w:r w:rsidRPr="006E3703">
        <w:rPr>
          <w:lang w:val="fr-FR"/>
        </w:rPr>
        <w:t>e session après un nouvel examen à la prochaine session de la Réunion commune.</w:t>
      </w:r>
    </w:p>
    <w:p w14:paraId="32D49C51" w14:textId="77777777" w:rsidR="0062494F" w:rsidRDefault="0062494F" w:rsidP="0062494F">
      <w:pPr>
        <w:pStyle w:val="SingleTxtG"/>
        <w:rPr>
          <w:lang w:val="fr-FR"/>
        </w:rPr>
      </w:pPr>
      <w:r>
        <w:rPr>
          <w:lang w:val="fr-FR"/>
        </w:rPr>
        <w:t>17.</w:t>
      </w:r>
      <w:r>
        <w:rPr>
          <w:lang w:val="fr-FR"/>
        </w:rPr>
        <w:tab/>
        <w:t xml:space="preserve">Le Groupe de travail est convenu de maintenir la référence au chapitre 3.5 dans le texte du 5.4.1.1.21 tel que modifié bien que le 3.5.6 fasse référence à des documents autres que le document de transport prévu au chapitre 5.4 de l’ADR. </w:t>
      </w:r>
    </w:p>
    <w:p w14:paraId="217D8FB7" w14:textId="7866A97B" w:rsidR="0062494F" w:rsidRDefault="0062494F" w:rsidP="0062494F">
      <w:pPr>
        <w:pStyle w:val="SingleTxtG"/>
        <w:rPr>
          <w:lang w:val="fr-FR"/>
        </w:rPr>
      </w:pPr>
      <w:r>
        <w:rPr>
          <w:lang w:val="fr-FR"/>
        </w:rPr>
        <w:t>18.</w:t>
      </w:r>
      <w:r>
        <w:rPr>
          <w:lang w:val="fr-FR"/>
        </w:rPr>
        <w:tab/>
        <w:t xml:space="preserve">Le </w:t>
      </w:r>
      <w:r w:rsidRPr="00BF7787">
        <w:rPr>
          <w:lang w:val="fr-FR"/>
        </w:rPr>
        <w:t xml:space="preserve">texte du document ECE/TRANS/WP.15/AC.1/2023/14 </w:t>
      </w:r>
      <w:r>
        <w:rPr>
          <w:lang w:val="fr-FR"/>
        </w:rPr>
        <w:t>a été</w:t>
      </w:r>
      <w:r w:rsidRPr="00BF7787">
        <w:rPr>
          <w:lang w:val="fr-FR"/>
        </w:rPr>
        <w:t xml:space="preserve"> adopté avec les modifications rédactionnelles </w:t>
      </w:r>
      <w:r>
        <w:rPr>
          <w:lang w:val="fr-FR"/>
        </w:rPr>
        <w:t>adoptées par la Réunion commune et avec des modifications rédactionnelles supplémentaire (voir annexe).</w:t>
      </w:r>
    </w:p>
    <w:p w14:paraId="68FF3379" w14:textId="77777777" w:rsidR="0062494F" w:rsidRDefault="0062494F" w:rsidP="0062494F">
      <w:pPr>
        <w:pStyle w:val="SingleTxtG"/>
        <w:rPr>
          <w:lang w:val="fr-FR"/>
        </w:rPr>
      </w:pPr>
      <w:r>
        <w:rPr>
          <w:lang w:val="fr-FR"/>
        </w:rPr>
        <w:t>19.</w:t>
      </w:r>
      <w:r>
        <w:rPr>
          <w:lang w:val="fr-FR"/>
        </w:rPr>
        <w:tab/>
        <w:t>Le Groupe de travail a considéré les différentes options figurant dans le document informel INF.18 pour tenir compte des conséquences éventuelles sur la rédaction du 5.4.1.4.2 de l’amendement adopté au 5.4.0.1. La plupart des délégations qui se sont prononcées étaient en faveur de l’amendement de conséquence proposé en option 2. Le Groupe de travail a cependant noté que la rédaction de ce paragraphe devrait peut-être être revue plus en avant pour faire référence à l’identification des marchandises transportées par véhicule plutôt que par unité de transport. Le texte actuel a été maintenu.</w:t>
      </w:r>
    </w:p>
    <w:p w14:paraId="21669A8D" w14:textId="77777777" w:rsidR="0062494F" w:rsidRPr="00495E83" w:rsidRDefault="0062494F" w:rsidP="0062494F">
      <w:pPr>
        <w:pStyle w:val="HChG"/>
        <w:rPr>
          <w:b w:val="0"/>
          <w:lang w:eastAsia="en-US"/>
        </w:rPr>
      </w:pPr>
      <w:r w:rsidRPr="00495E83">
        <w:rPr>
          <w:lang w:eastAsia="en-US"/>
        </w:rPr>
        <w:tab/>
        <w:t>V</w:t>
      </w:r>
      <w:r>
        <w:rPr>
          <w:lang w:eastAsia="en-US"/>
        </w:rPr>
        <w:t>I</w:t>
      </w:r>
      <w:r w:rsidRPr="00495E83">
        <w:rPr>
          <w:lang w:eastAsia="en-US"/>
        </w:rPr>
        <w:t>.</w:t>
      </w:r>
      <w:r w:rsidRPr="00495E83">
        <w:rPr>
          <w:lang w:eastAsia="en-US"/>
        </w:rPr>
        <w:tab/>
      </w:r>
      <w:r w:rsidRPr="00AF3986">
        <w:rPr>
          <w:lang w:eastAsia="en-US"/>
        </w:rPr>
        <w:t>Propositions d’amendements aux annexes A et B de l’ADR</w:t>
      </w:r>
      <w:r w:rsidRPr="00495E83">
        <w:rPr>
          <w:lang w:eastAsia="en-US"/>
        </w:rPr>
        <w:t xml:space="preserve"> (point </w:t>
      </w:r>
      <w:r>
        <w:rPr>
          <w:lang w:eastAsia="en-US"/>
        </w:rPr>
        <w:t>5</w:t>
      </w:r>
      <w:r w:rsidRPr="00495E83">
        <w:rPr>
          <w:lang w:eastAsia="en-US"/>
        </w:rPr>
        <w:t xml:space="preserve"> de l’ordre du jour)</w:t>
      </w:r>
    </w:p>
    <w:p w14:paraId="747EC7C0" w14:textId="77777777" w:rsidR="003A0932" w:rsidRDefault="003A0932" w:rsidP="003A0932">
      <w:pPr>
        <w:pStyle w:val="H1G"/>
        <w:rPr>
          <w:lang w:eastAsia="en-US"/>
        </w:rPr>
      </w:pPr>
      <w:r>
        <w:rPr>
          <w:lang w:eastAsia="en-US"/>
        </w:rPr>
        <w:tab/>
        <w:t>A.</w:t>
      </w:r>
      <w:r>
        <w:rPr>
          <w:lang w:eastAsia="en-US"/>
        </w:rPr>
        <w:tab/>
      </w:r>
      <w:r>
        <w:t>Construction et agrément des véhicules</w:t>
      </w:r>
    </w:p>
    <w:p w14:paraId="3EC1F47B" w14:textId="77777777" w:rsidR="003A0932" w:rsidRDefault="003A0932" w:rsidP="003A0932">
      <w:pPr>
        <w:pStyle w:val="H23G"/>
        <w:rPr>
          <w:lang w:eastAsia="en-US"/>
        </w:rPr>
      </w:pPr>
      <w:r>
        <w:rPr>
          <w:lang w:eastAsia="en-US"/>
        </w:rPr>
        <w:tab/>
        <w:t>1.</w:t>
      </w:r>
      <w:r>
        <w:rPr>
          <w:lang w:eastAsia="en-US"/>
        </w:rPr>
        <w:tab/>
        <w:t>Protection arrière des véhicules</w:t>
      </w:r>
    </w:p>
    <w:p w14:paraId="31CCE388" w14:textId="77777777" w:rsidR="003A0932" w:rsidRDefault="003A0932" w:rsidP="003A0932">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 </w:t>
      </w:r>
      <w:r w:rsidRPr="00495E83">
        <w:rPr>
          <w:lang w:val="fr-FR"/>
        </w:rPr>
        <w:t>:</w:t>
      </w:r>
      <w:r w:rsidRPr="00495E83">
        <w:rPr>
          <w:lang w:val="fr-FR"/>
        </w:rPr>
        <w:tab/>
      </w:r>
      <w:r w:rsidRPr="00495E83">
        <w:rPr>
          <w:lang w:val="fr-FR"/>
        </w:rPr>
        <w:tab/>
      </w:r>
      <w:r>
        <w:rPr>
          <w:lang w:val="fr-FR"/>
        </w:rPr>
        <w:t>ECE/TRANS/WP.15/2023/1 (Royaume-Uni)</w:t>
      </w:r>
    </w:p>
    <w:p w14:paraId="1C41B1E0" w14:textId="77777777" w:rsidR="003A0932" w:rsidRPr="00495E83" w:rsidRDefault="003A0932" w:rsidP="003A0932">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 informel </w:t>
      </w:r>
      <w:r w:rsidRPr="00495E83">
        <w:rPr>
          <w:lang w:val="fr-FR"/>
        </w:rPr>
        <w:t>:</w:t>
      </w:r>
      <w:r w:rsidRPr="00495E83">
        <w:rPr>
          <w:lang w:val="fr-FR"/>
        </w:rPr>
        <w:tab/>
        <w:t>INF.</w:t>
      </w:r>
      <w:r>
        <w:rPr>
          <w:lang w:val="fr-FR"/>
        </w:rPr>
        <w:t>9</w:t>
      </w:r>
      <w:r w:rsidRPr="00495E83">
        <w:rPr>
          <w:lang w:val="fr-FR"/>
        </w:rPr>
        <w:t xml:space="preserve"> (</w:t>
      </w:r>
      <w:r>
        <w:rPr>
          <w:lang w:val="fr-FR"/>
        </w:rPr>
        <w:t>Pays-Bas</w:t>
      </w:r>
      <w:r w:rsidRPr="00495E83">
        <w:rPr>
          <w:lang w:val="fr-FR"/>
        </w:rPr>
        <w:t>)</w:t>
      </w:r>
    </w:p>
    <w:p w14:paraId="1F518D35" w14:textId="330BED6B" w:rsidR="003A0932" w:rsidRDefault="00D72958" w:rsidP="003A0932">
      <w:pPr>
        <w:pStyle w:val="SingleTxtG"/>
        <w:rPr>
          <w:lang w:eastAsia="en-US"/>
        </w:rPr>
      </w:pPr>
      <w:r>
        <w:rPr>
          <w:lang w:eastAsia="en-US"/>
        </w:rPr>
        <w:t>20</w:t>
      </w:r>
      <w:r w:rsidR="003A0932" w:rsidRPr="00210B71">
        <w:rPr>
          <w:lang w:eastAsia="en-US"/>
        </w:rPr>
        <w:t>.</w:t>
      </w:r>
      <w:r w:rsidR="003A0932" w:rsidRPr="00210B71">
        <w:rPr>
          <w:lang w:eastAsia="en-US"/>
        </w:rPr>
        <w:tab/>
      </w:r>
      <w:r w:rsidR="003A0932">
        <w:rPr>
          <w:lang w:eastAsia="en-US"/>
        </w:rPr>
        <w:t>Plusieurs délégations étaient en faveur de la proposition du Royaume-Uni. Plusieurs délégations appuyaient les commentaires des Pays-Bas repris dans le document informel INF.9 et préféraient poursuivre la discussion à la session suivante sur la base d’une proposition révisée pour tenir compte de ces commentaires. Le Groupe de travail a invité les délégations qui le souhaiteraient à transmettre leurs commentaires aux représentants du Royaume-Uni et des Pays-Bas qui préparer</w:t>
      </w:r>
      <w:r w:rsidR="00A01F39">
        <w:rPr>
          <w:lang w:eastAsia="en-US"/>
        </w:rPr>
        <w:t>aie</w:t>
      </w:r>
      <w:r w:rsidR="003A0932">
        <w:rPr>
          <w:lang w:eastAsia="en-US"/>
        </w:rPr>
        <w:t>nt une proposition révisée pour la prochaine session.</w:t>
      </w:r>
      <w:r w:rsidR="003A0932" w:rsidRPr="00210B71">
        <w:rPr>
          <w:lang w:eastAsia="en-US"/>
        </w:rPr>
        <w:t xml:space="preserve"> </w:t>
      </w:r>
    </w:p>
    <w:p w14:paraId="16A2F1E3" w14:textId="723FB6A1" w:rsidR="003A0932" w:rsidRDefault="003A0932" w:rsidP="003A0932">
      <w:pPr>
        <w:pStyle w:val="H23G"/>
        <w:rPr>
          <w:lang w:eastAsia="en-US"/>
        </w:rPr>
      </w:pPr>
      <w:r>
        <w:rPr>
          <w:lang w:eastAsia="en-US"/>
        </w:rPr>
        <w:tab/>
        <w:t>2.</w:t>
      </w:r>
      <w:r>
        <w:rPr>
          <w:lang w:eastAsia="en-US"/>
        </w:rPr>
        <w:tab/>
      </w:r>
      <w:bookmarkStart w:id="3" w:name="_Hlk103239770"/>
      <w:r w:rsidR="00087076">
        <w:rPr>
          <w:rFonts w:eastAsiaTheme="minorHAnsi"/>
          <w:lang w:val="fr-FR" w:eastAsia="en-US"/>
        </w:rPr>
        <w:t>G</w:t>
      </w:r>
      <w:r w:rsidRPr="00A43DD5">
        <w:rPr>
          <w:rFonts w:eastAsiaTheme="minorHAnsi"/>
          <w:lang w:val="fr-FR" w:eastAsia="en-US"/>
        </w:rPr>
        <w:t>roupe de travail informel des véhicules électrifiés</w:t>
      </w:r>
      <w:bookmarkEnd w:id="3"/>
    </w:p>
    <w:p w14:paraId="04265DD2" w14:textId="77777777" w:rsidR="003A0932" w:rsidRDefault="003A0932" w:rsidP="003A0932">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 </w:t>
      </w:r>
      <w:r w:rsidRPr="00495E83">
        <w:rPr>
          <w:lang w:val="fr-FR"/>
        </w:rPr>
        <w:t>:</w:t>
      </w:r>
      <w:r w:rsidRPr="00495E83">
        <w:rPr>
          <w:lang w:val="fr-FR"/>
        </w:rPr>
        <w:tab/>
      </w:r>
      <w:r w:rsidRPr="00495E83">
        <w:rPr>
          <w:lang w:val="fr-FR"/>
        </w:rPr>
        <w:tab/>
      </w:r>
      <w:r>
        <w:rPr>
          <w:lang w:val="fr-FR"/>
        </w:rPr>
        <w:t>ECE/TRANS/WP.15/2023/4 (Pays-Bas)</w:t>
      </w:r>
    </w:p>
    <w:p w14:paraId="4EE9F849" w14:textId="77777777" w:rsidR="003A0932" w:rsidRPr="00495E83" w:rsidRDefault="003A0932" w:rsidP="003A0932">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 informel </w:t>
      </w:r>
      <w:r w:rsidRPr="00495E83">
        <w:rPr>
          <w:lang w:val="fr-FR"/>
        </w:rPr>
        <w:t>:</w:t>
      </w:r>
      <w:r w:rsidRPr="00495E83">
        <w:rPr>
          <w:lang w:val="fr-FR"/>
        </w:rPr>
        <w:tab/>
        <w:t>INF.</w:t>
      </w:r>
      <w:r>
        <w:rPr>
          <w:lang w:val="fr-FR"/>
        </w:rPr>
        <w:t>5</w:t>
      </w:r>
      <w:r w:rsidRPr="00495E83">
        <w:rPr>
          <w:lang w:val="fr-FR"/>
        </w:rPr>
        <w:t xml:space="preserve"> (</w:t>
      </w:r>
      <w:r>
        <w:rPr>
          <w:lang w:val="fr-FR"/>
        </w:rPr>
        <w:t xml:space="preserve">Président du </w:t>
      </w:r>
      <w:r w:rsidRPr="00424C54">
        <w:rPr>
          <w:lang w:val="fr-FR"/>
        </w:rPr>
        <w:t>groupe de travail informel des véhicules électrifiés</w:t>
      </w:r>
      <w:r w:rsidRPr="00495E83">
        <w:rPr>
          <w:lang w:val="fr-FR"/>
        </w:rPr>
        <w:t>)</w:t>
      </w:r>
      <w:r>
        <w:rPr>
          <w:lang w:val="fr-FR"/>
        </w:rPr>
        <w:t>, INF.27 (Pays-Bas)</w:t>
      </w:r>
    </w:p>
    <w:p w14:paraId="00E6EECD" w14:textId="20C69752" w:rsidR="003A0932" w:rsidRDefault="00D72958" w:rsidP="003A0932">
      <w:pPr>
        <w:pStyle w:val="SingleTxtG"/>
        <w:rPr>
          <w:lang w:val="fr-FR"/>
        </w:rPr>
      </w:pPr>
      <w:r>
        <w:rPr>
          <w:lang w:eastAsia="en-US"/>
        </w:rPr>
        <w:t>21</w:t>
      </w:r>
      <w:r w:rsidR="003A0932" w:rsidRPr="00210B71">
        <w:rPr>
          <w:lang w:eastAsia="en-US"/>
        </w:rPr>
        <w:t>.</w:t>
      </w:r>
      <w:r w:rsidR="003A0932" w:rsidRPr="00210B71">
        <w:rPr>
          <w:lang w:eastAsia="en-US"/>
        </w:rPr>
        <w:tab/>
      </w:r>
      <w:r w:rsidR="003A0932" w:rsidRPr="00807CA2">
        <w:rPr>
          <w:rFonts w:eastAsiaTheme="minorHAnsi"/>
          <w:lang w:val="fr-FR" w:eastAsia="en-US"/>
        </w:rPr>
        <w:t>Le représentant des Pays-Bas, en tant que Président du groupe de travail informel des véhicules électrifiés</w:t>
      </w:r>
      <w:r w:rsidR="003A0932">
        <w:rPr>
          <w:rFonts w:eastAsiaTheme="minorHAnsi"/>
          <w:lang w:val="fr-FR" w:eastAsia="en-US"/>
        </w:rPr>
        <w:t>, a</w:t>
      </w:r>
      <w:r w:rsidR="003A0932" w:rsidRPr="00807CA2">
        <w:rPr>
          <w:rFonts w:eastAsiaTheme="minorHAnsi"/>
          <w:lang w:val="fr-FR" w:eastAsia="en-US"/>
        </w:rPr>
        <w:t xml:space="preserve"> présenté l’état d’avancement </w:t>
      </w:r>
      <w:r w:rsidR="003A0932">
        <w:rPr>
          <w:rFonts w:eastAsiaTheme="minorHAnsi"/>
          <w:lang w:val="fr-FR" w:eastAsia="en-US"/>
        </w:rPr>
        <w:t>des</w:t>
      </w:r>
      <w:r w:rsidR="003A0932" w:rsidRPr="00807CA2">
        <w:rPr>
          <w:rFonts w:eastAsiaTheme="minorHAnsi"/>
          <w:lang w:val="fr-FR" w:eastAsia="en-US"/>
        </w:rPr>
        <w:t xml:space="preserve"> travaux</w:t>
      </w:r>
      <w:r w:rsidR="003A0932">
        <w:rPr>
          <w:rFonts w:eastAsiaTheme="minorHAnsi"/>
          <w:lang w:val="fr-FR" w:eastAsia="en-US"/>
        </w:rPr>
        <w:t xml:space="preserve"> du groupe et les propositions d’amendements du document </w:t>
      </w:r>
      <w:r w:rsidR="003A0932">
        <w:rPr>
          <w:lang w:val="fr-FR"/>
        </w:rPr>
        <w:t xml:space="preserve">ECE/TRANS/WP.15/2023/4 </w:t>
      </w:r>
      <w:r w:rsidR="003A0932">
        <w:rPr>
          <w:rFonts w:eastAsiaTheme="minorHAnsi"/>
          <w:lang w:val="fr-FR" w:eastAsia="en-US"/>
        </w:rPr>
        <w:t xml:space="preserve">visant à modifier les </w:t>
      </w:r>
      <w:r w:rsidR="003A0932">
        <w:rPr>
          <w:lang w:val="fr-FR"/>
        </w:rPr>
        <w:t xml:space="preserve">dispositions </w:t>
      </w:r>
      <w:r w:rsidR="003A0932">
        <w:rPr>
          <w:lang w:val="fr-FR"/>
        </w:rPr>
        <w:lastRenderedPageBreak/>
        <w:t>relatives à la mise sous tension des systèmes électriques pour leur application aux véhicules électriques.</w:t>
      </w:r>
    </w:p>
    <w:p w14:paraId="3663DFA0" w14:textId="71F789D6" w:rsidR="003A0932" w:rsidRDefault="00D72958" w:rsidP="003A0932">
      <w:pPr>
        <w:pStyle w:val="SingleTxtG"/>
        <w:rPr>
          <w:lang w:val="fr-FR"/>
        </w:rPr>
      </w:pPr>
      <w:r>
        <w:rPr>
          <w:lang w:val="fr-FR"/>
        </w:rPr>
        <w:t>22</w:t>
      </w:r>
      <w:r w:rsidR="003A0932">
        <w:rPr>
          <w:lang w:val="fr-FR"/>
        </w:rPr>
        <w:t>.</w:t>
      </w:r>
      <w:r w:rsidR="003A0932">
        <w:rPr>
          <w:lang w:val="fr-FR"/>
        </w:rPr>
        <w:tab/>
        <w:t xml:space="preserve">Le Groupe de travail a noté que la fonction de </w:t>
      </w:r>
      <w:r w:rsidR="003A0932" w:rsidRPr="00DB3E5B">
        <w:t xml:space="preserve">secrétariat </w:t>
      </w:r>
      <w:r w:rsidR="003A0932">
        <w:t xml:space="preserve">était toujours vacante et </w:t>
      </w:r>
      <w:r w:rsidR="003A0932" w:rsidRPr="005E33C3">
        <w:rPr>
          <w:lang w:val="fr-FR"/>
        </w:rPr>
        <w:t xml:space="preserve">a </w:t>
      </w:r>
      <w:r w:rsidR="003A0932">
        <w:rPr>
          <w:lang w:val="fr-FR"/>
        </w:rPr>
        <w:t>prié l’OICA de désigner rapidement un nouveau ou une nouvelle secrétaire parmi ses membres afin de ne pas retarder les travaux du groupe informel</w:t>
      </w:r>
      <w:r w:rsidR="003A0932" w:rsidRPr="005E33C3">
        <w:rPr>
          <w:lang w:val="fr-FR"/>
        </w:rPr>
        <w:t>.</w:t>
      </w:r>
    </w:p>
    <w:p w14:paraId="3086DCF6" w14:textId="139F56ED" w:rsidR="003A0932" w:rsidRPr="000B47FD" w:rsidRDefault="00D72958" w:rsidP="003A0932">
      <w:pPr>
        <w:pStyle w:val="SingleTxtG"/>
      </w:pPr>
      <w:r>
        <w:rPr>
          <w:lang w:val="fr-FR"/>
        </w:rPr>
        <w:t>23</w:t>
      </w:r>
      <w:r w:rsidR="003A0932">
        <w:rPr>
          <w:lang w:val="fr-FR"/>
        </w:rPr>
        <w:t>.</w:t>
      </w:r>
      <w:r w:rsidR="003A0932">
        <w:rPr>
          <w:lang w:val="fr-FR"/>
        </w:rPr>
        <w:tab/>
        <w:t>Le Groupe de travail a adopté les propositions d’amendements du document ECE/TRANS/WP.15/2023/4 avec quelques modifications éditoriales et des amendements de conséquence supplémentaires (voir annexe). Il a estimé que la rédaction du nota sous 9.2.2.8 pouvait être améliorée. Ce nota a été maintenu entre crochets pour révision à la session suivante. Le Groupe de travail</w:t>
      </w:r>
      <w:r w:rsidR="003A0932" w:rsidDel="00F171B0">
        <w:rPr>
          <w:lang w:val="fr-FR"/>
        </w:rPr>
        <w:t xml:space="preserve"> </w:t>
      </w:r>
      <w:r w:rsidR="003A0932">
        <w:rPr>
          <w:lang w:val="fr-FR"/>
        </w:rPr>
        <w:t xml:space="preserve">a noté avec satisfaction que l’adoption de ces nouvelles dispositions était une première étape pour permettre d’adopter des dispositions relatives à l’utilisation </w:t>
      </w:r>
      <w:r w:rsidR="003A0932">
        <w:t xml:space="preserve">des véhicules électrifiés à batteries pour la catégorie FL. </w:t>
      </w:r>
    </w:p>
    <w:p w14:paraId="40D79485" w14:textId="77777777" w:rsidR="003A0932" w:rsidRDefault="003A0932" w:rsidP="003A0932">
      <w:pPr>
        <w:pStyle w:val="H23G"/>
        <w:rPr>
          <w:rFonts w:eastAsiaTheme="minorHAnsi"/>
          <w:lang w:val="fr-FR" w:eastAsia="en-US"/>
        </w:rPr>
      </w:pPr>
      <w:r>
        <w:rPr>
          <w:lang w:eastAsia="en-US"/>
        </w:rPr>
        <w:tab/>
        <w:t>3.</w:t>
      </w:r>
      <w:r>
        <w:rPr>
          <w:lang w:eastAsia="en-US"/>
        </w:rPr>
        <w:tab/>
        <w:t xml:space="preserve">Complément </w:t>
      </w:r>
      <w:r w:rsidRPr="00946F05">
        <w:rPr>
          <w:rFonts w:eastAsiaTheme="minorHAnsi"/>
          <w:lang w:val="fr-FR" w:eastAsia="en-US"/>
        </w:rPr>
        <w:t xml:space="preserve">18 à la série 11 d’amendements au Règlement ONU </w:t>
      </w:r>
      <w:r>
        <w:rPr>
          <w:rFonts w:eastAsiaTheme="minorHAnsi"/>
          <w:lang w:val="fr-FR" w:eastAsia="en-US"/>
        </w:rPr>
        <w:t>N</w:t>
      </w:r>
      <w:r w:rsidRPr="00946F05">
        <w:rPr>
          <w:rFonts w:eastAsiaTheme="minorHAnsi"/>
          <w:lang w:val="fr-FR" w:eastAsia="en-US"/>
        </w:rPr>
        <w:t>o</w:t>
      </w:r>
      <w:r>
        <w:rPr>
          <w:rFonts w:eastAsiaTheme="minorHAnsi"/>
          <w:lang w:val="fr-FR" w:eastAsia="en-US"/>
        </w:rPr>
        <w:t>.</w:t>
      </w:r>
      <w:r w:rsidRPr="00946F05">
        <w:rPr>
          <w:rFonts w:eastAsiaTheme="minorHAnsi"/>
          <w:lang w:val="fr-FR" w:eastAsia="en-US"/>
        </w:rPr>
        <w:t xml:space="preserve"> 13 (Freinage des véhicules lourds)</w:t>
      </w:r>
      <w:r>
        <w:rPr>
          <w:rFonts w:eastAsiaTheme="minorHAnsi"/>
          <w:lang w:val="fr-FR" w:eastAsia="en-US"/>
        </w:rPr>
        <w:t xml:space="preserve"> </w:t>
      </w:r>
    </w:p>
    <w:p w14:paraId="29699346" w14:textId="77777777" w:rsidR="003A0932" w:rsidRPr="00495E83" w:rsidRDefault="003A0932" w:rsidP="003A0932">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w:t>
      </w:r>
      <w:r>
        <w:rPr>
          <w:i/>
          <w:iCs/>
          <w:lang w:val="fr-FR"/>
        </w:rPr>
        <w:t>s</w:t>
      </w:r>
      <w:r w:rsidRPr="00495E83">
        <w:rPr>
          <w:i/>
          <w:iCs/>
          <w:lang w:val="fr-FR"/>
        </w:rPr>
        <w:t xml:space="preserve"> informel</w:t>
      </w:r>
      <w:r>
        <w:rPr>
          <w:i/>
          <w:iCs/>
          <w:lang w:val="fr-FR"/>
        </w:rPr>
        <w:t>s</w:t>
      </w:r>
      <w:r w:rsidRPr="00495E83">
        <w:rPr>
          <w:i/>
          <w:iCs/>
          <w:lang w:val="fr-FR"/>
        </w:rPr>
        <w:t> </w:t>
      </w:r>
      <w:r w:rsidRPr="00495E83">
        <w:rPr>
          <w:lang w:val="fr-FR"/>
        </w:rPr>
        <w:t>:</w:t>
      </w:r>
      <w:r w:rsidRPr="00495E83">
        <w:rPr>
          <w:lang w:val="fr-FR"/>
        </w:rPr>
        <w:tab/>
        <w:t>INF.</w:t>
      </w:r>
      <w:r>
        <w:rPr>
          <w:lang w:val="fr-FR"/>
        </w:rPr>
        <w:t>6</w:t>
      </w:r>
      <w:r w:rsidRPr="00495E83">
        <w:rPr>
          <w:lang w:val="fr-FR"/>
        </w:rPr>
        <w:t xml:space="preserve"> (</w:t>
      </w:r>
      <w:r>
        <w:rPr>
          <w:lang w:val="fr-FR"/>
        </w:rPr>
        <w:t>Pays-Bas</w:t>
      </w:r>
      <w:r w:rsidRPr="00495E83">
        <w:rPr>
          <w:lang w:val="fr-FR"/>
        </w:rPr>
        <w:t>)</w:t>
      </w:r>
      <w:r>
        <w:rPr>
          <w:lang w:val="fr-FR"/>
        </w:rPr>
        <w:t>, INF.16 (OICA)</w:t>
      </w:r>
    </w:p>
    <w:p w14:paraId="5243BFEB" w14:textId="35A41F5D" w:rsidR="003A0932" w:rsidRDefault="00D72958" w:rsidP="003A0932">
      <w:pPr>
        <w:pStyle w:val="SingleTxtG"/>
        <w:rPr>
          <w:rFonts w:eastAsiaTheme="minorHAnsi"/>
          <w:lang w:val="fr-FR" w:eastAsia="en-US"/>
        </w:rPr>
      </w:pPr>
      <w:r>
        <w:rPr>
          <w:lang w:val="fr-FR"/>
        </w:rPr>
        <w:t>24</w:t>
      </w:r>
      <w:r w:rsidR="003A0932">
        <w:rPr>
          <w:lang w:val="fr-FR"/>
        </w:rPr>
        <w:t xml:space="preserve">. </w:t>
      </w:r>
      <w:r w:rsidR="003A0932">
        <w:rPr>
          <w:lang w:val="fr-FR"/>
        </w:rPr>
        <w:tab/>
        <w:t xml:space="preserve">Le Groupe de travail a noté que le </w:t>
      </w:r>
      <w:r w:rsidR="003A0932" w:rsidRPr="00946F05">
        <w:rPr>
          <w:lang w:val="fr-FR"/>
        </w:rPr>
        <w:t>Forum mondial de l’harmonisation des Règlements concernant les véhicules</w:t>
      </w:r>
      <w:r w:rsidR="003A0932">
        <w:rPr>
          <w:lang w:val="fr-FR"/>
        </w:rPr>
        <w:t xml:space="preserve"> avait adopté le </w:t>
      </w:r>
      <w:r w:rsidR="003A0932">
        <w:rPr>
          <w:lang w:eastAsia="en-US"/>
        </w:rPr>
        <w:t xml:space="preserve">Complément </w:t>
      </w:r>
      <w:r w:rsidR="003A0932" w:rsidRPr="00946F05">
        <w:rPr>
          <w:rFonts w:eastAsiaTheme="minorHAnsi"/>
          <w:lang w:val="fr-FR" w:eastAsia="en-US"/>
        </w:rPr>
        <w:t xml:space="preserve">18 à la série 11 d’amendements au Règlement ONU </w:t>
      </w:r>
      <w:r w:rsidR="003A0932">
        <w:rPr>
          <w:rFonts w:eastAsiaTheme="minorHAnsi"/>
          <w:lang w:val="fr-FR" w:eastAsia="en-US"/>
        </w:rPr>
        <w:t>N</w:t>
      </w:r>
      <w:r w:rsidR="003A0932" w:rsidRPr="00946F05">
        <w:rPr>
          <w:rFonts w:eastAsiaTheme="minorHAnsi"/>
          <w:lang w:val="fr-FR" w:eastAsia="en-US"/>
        </w:rPr>
        <w:t>o</w:t>
      </w:r>
      <w:r w:rsidR="003A0932">
        <w:rPr>
          <w:rFonts w:eastAsiaTheme="minorHAnsi"/>
          <w:lang w:val="fr-FR" w:eastAsia="en-US"/>
        </w:rPr>
        <w:t>.</w:t>
      </w:r>
      <w:r w:rsidR="003A0932" w:rsidRPr="00946F05">
        <w:rPr>
          <w:rFonts w:eastAsiaTheme="minorHAnsi"/>
          <w:lang w:val="fr-FR" w:eastAsia="en-US"/>
        </w:rPr>
        <w:t xml:space="preserve"> 13</w:t>
      </w:r>
      <w:r w:rsidR="003A0932">
        <w:rPr>
          <w:rFonts w:eastAsiaTheme="minorHAnsi"/>
          <w:lang w:val="fr-FR" w:eastAsia="en-US"/>
        </w:rPr>
        <w:t xml:space="preserve"> à sa session de mars 2021 afin notamment de couvrir les </w:t>
      </w:r>
      <w:r w:rsidR="003A0932" w:rsidRPr="005D2335">
        <w:t>systèmes de</w:t>
      </w:r>
      <w:r w:rsidR="003A0932">
        <w:t xml:space="preserve"> freinage électrique à récupération</w:t>
      </w:r>
      <w:r w:rsidR="003A0932">
        <w:rPr>
          <w:rFonts w:eastAsiaTheme="minorHAnsi"/>
          <w:lang w:val="fr-FR" w:eastAsia="en-US"/>
        </w:rPr>
        <w:t xml:space="preserve">. </w:t>
      </w:r>
    </w:p>
    <w:p w14:paraId="0C266BE6" w14:textId="4FC7FEDA" w:rsidR="003A0932" w:rsidRDefault="00D72958" w:rsidP="003A0932">
      <w:pPr>
        <w:pStyle w:val="SingleTxtG"/>
        <w:rPr>
          <w:lang w:val="fr-FR"/>
        </w:rPr>
      </w:pPr>
      <w:r>
        <w:rPr>
          <w:rFonts w:eastAsiaTheme="minorHAnsi"/>
          <w:lang w:val="fr-FR" w:eastAsia="en-US"/>
        </w:rPr>
        <w:t>25</w:t>
      </w:r>
      <w:r w:rsidR="003A0932">
        <w:rPr>
          <w:rFonts w:eastAsiaTheme="minorHAnsi"/>
          <w:lang w:val="fr-FR" w:eastAsia="en-US"/>
        </w:rPr>
        <w:t>.</w:t>
      </w:r>
      <w:r w:rsidR="003A0932">
        <w:rPr>
          <w:rFonts w:eastAsiaTheme="minorHAnsi"/>
          <w:lang w:val="fr-FR" w:eastAsia="en-US"/>
        </w:rPr>
        <w:tab/>
        <w:t xml:space="preserve">Sur la base des explications données dans le document informel INF.16, le Groupe de travail est convenu que les dispositions actuelles de l’ADR en matière de freinage resteraient inchangées pour le moment et qu’il pourrait être nécessaire de revenir sur ce sujet dans le futur. </w:t>
      </w:r>
    </w:p>
    <w:p w14:paraId="35D1B921" w14:textId="77777777" w:rsidR="00B87724" w:rsidRPr="004F0068" w:rsidRDefault="00B87724" w:rsidP="00B87724">
      <w:pPr>
        <w:pStyle w:val="H23G"/>
        <w:rPr>
          <w:lang w:val="fr-FR" w:eastAsia="en-US"/>
        </w:rPr>
      </w:pPr>
      <w:r w:rsidRPr="004F0068">
        <w:rPr>
          <w:lang w:val="fr-FR" w:eastAsia="en-US"/>
        </w:rPr>
        <w:tab/>
        <w:t>4.</w:t>
      </w:r>
      <w:r w:rsidRPr="004F0068">
        <w:rPr>
          <w:lang w:val="fr-FR" w:eastAsia="en-US"/>
        </w:rPr>
        <w:tab/>
        <w:t>Certificat d’agrément</w:t>
      </w:r>
    </w:p>
    <w:p w14:paraId="49B803F9" w14:textId="77777777" w:rsidR="00B87724" w:rsidRPr="004F0068" w:rsidRDefault="00B87724" w:rsidP="00B87724">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informel </w:t>
      </w:r>
      <w:r w:rsidRPr="004F0068">
        <w:rPr>
          <w:lang w:val="fr-FR"/>
        </w:rPr>
        <w:t>:</w:t>
      </w:r>
      <w:r w:rsidRPr="004F0068">
        <w:rPr>
          <w:lang w:val="fr-FR"/>
        </w:rPr>
        <w:tab/>
        <w:t>INF.22 (Royaume-Uni)</w:t>
      </w:r>
    </w:p>
    <w:p w14:paraId="337D5142" w14:textId="48ED3CE1" w:rsidR="00B87724" w:rsidRPr="004F0068" w:rsidRDefault="00D72958" w:rsidP="00B87724">
      <w:pPr>
        <w:pStyle w:val="SingleTxtG"/>
        <w:rPr>
          <w:lang w:val="fr-FR" w:eastAsia="en-US"/>
        </w:rPr>
      </w:pPr>
      <w:r>
        <w:rPr>
          <w:lang w:val="fr-FR" w:eastAsia="en-US"/>
        </w:rPr>
        <w:t>26</w:t>
      </w:r>
      <w:r w:rsidR="00B87724" w:rsidRPr="004F0068">
        <w:rPr>
          <w:lang w:val="fr-FR" w:eastAsia="en-US"/>
        </w:rPr>
        <w:t>.</w:t>
      </w:r>
      <w:r w:rsidR="00B87724" w:rsidRPr="004F0068">
        <w:rPr>
          <w:lang w:val="fr-FR" w:eastAsia="en-US"/>
        </w:rPr>
        <w:tab/>
        <w:t>La plupart des délégations qui se sont prononcées étaient d’avis que l’ADR en vigueur au 1</w:t>
      </w:r>
      <w:r w:rsidR="00B87724" w:rsidRPr="004F0068">
        <w:rPr>
          <w:vertAlign w:val="superscript"/>
          <w:lang w:val="fr-FR" w:eastAsia="en-US"/>
        </w:rPr>
        <w:t>er</w:t>
      </w:r>
      <w:r w:rsidR="00B87724" w:rsidRPr="004F0068">
        <w:rPr>
          <w:lang w:val="fr-FR" w:eastAsia="en-US"/>
        </w:rPr>
        <w:t xml:space="preserve"> janvier 2023 n’autorisait que les versions papier du certificat d’agrément. Certaines délégations ont indiqué que les organismes d’agrément de leur pays pouvaient déjà délivrer des certificats en version électronique mais qu’une version imprimée au format conforme au 9.1.3 devait se trouver à bord du véhicule.</w:t>
      </w:r>
    </w:p>
    <w:p w14:paraId="69A316BC" w14:textId="5D8CA421" w:rsidR="00B87724" w:rsidRPr="004F0068" w:rsidRDefault="00D72958" w:rsidP="00B87724">
      <w:pPr>
        <w:pStyle w:val="SingleTxtG"/>
        <w:rPr>
          <w:lang w:val="fr-FR" w:eastAsia="en-US"/>
        </w:rPr>
      </w:pPr>
      <w:r>
        <w:rPr>
          <w:lang w:val="fr-FR" w:eastAsia="en-US"/>
        </w:rPr>
        <w:t>27</w:t>
      </w:r>
      <w:r w:rsidR="00B87724" w:rsidRPr="004F0068">
        <w:rPr>
          <w:lang w:val="fr-FR" w:eastAsia="en-US"/>
        </w:rPr>
        <w:t xml:space="preserve">. </w:t>
      </w:r>
      <w:r w:rsidR="00B87724" w:rsidRPr="004F0068">
        <w:rPr>
          <w:lang w:val="fr-FR" w:eastAsia="en-US"/>
        </w:rPr>
        <w:tab/>
        <w:t xml:space="preserve">Les délégations qui se sont prononcées étaient favorables à la mise en place de dispositions autorisant la dématérialisation des certificats d’agrément. Ces dispositions devraient prévoir des dispositifs permettant l’accès </w:t>
      </w:r>
      <w:r w:rsidR="00B87724">
        <w:rPr>
          <w:lang w:val="fr-FR" w:eastAsia="en-US"/>
        </w:rPr>
        <w:t xml:space="preserve">à ces certificats </w:t>
      </w:r>
      <w:r w:rsidR="00B87724" w:rsidRPr="004F0068">
        <w:rPr>
          <w:lang w:val="fr-FR" w:eastAsia="en-US"/>
        </w:rPr>
        <w:t>et l</w:t>
      </w:r>
      <w:r w:rsidR="00B87724">
        <w:rPr>
          <w:lang w:val="fr-FR" w:eastAsia="en-US"/>
        </w:rPr>
        <w:t xml:space="preserve">eur </w:t>
      </w:r>
      <w:r w:rsidR="00B87724" w:rsidRPr="004F0068">
        <w:rPr>
          <w:lang w:val="fr-FR" w:eastAsia="en-US"/>
        </w:rPr>
        <w:t>authentification et des dispositifs de sûreté appropriés pour le stockage et le traitement des données électroniques.</w:t>
      </w:r>
    </w:p>
    <w:p w14:paraId="30AC0842" w14:textId="46514E5C" w:rsidR="00B87724" w:rsidRPr="004F0068" w:rsidRDefault="00D72958" w:rsidP="00B87724">
      <w:pPr>
        <w:pStyle w:val="SingleTxtG"/>
        <w:rPr>
          <w:lang w:val="fr-FR" w:eastAsia="en-US"/>
        </w:rPr>
      </w:pPr>
      <w:r>
        <w:rPr>
          <w:lang w:val="fr-FR" w:eastAsia="en-US"/>
        </w:rPr>
        <w:t>28</w:t>
      </w:r>
      <w:r w:rsidR="00B87724" w:rsidRPr="004F0068">
        <w:rPr>
          <w:lang w:val="fr-FR" w:eastAsia="en-US"/>
        </w:rPr>
        <w:t>.</w:t>
      </w:r>
      <w:r w:rsidR="00B87724" w:rsidRPr="004F0068">
        <w:rPr>
          <w:lang w:val="fr-FR" w:eastAsia="en-US"/>
        </w:rPr>
        <w:tab/>
        <w:t>Le Groupe de travail a invité le Royaume-Uni a poursuivre le travail sur ce sujet.</w:t>
      </w:r>
      <w:r w:rsidR="007A1291" w:rsidRPr="007A1291">
        <w:rPr>
          <w:rStyle w:val="Marquedecommentaire"/>
        </w:rPr>
        <w:t xml:space="preserve"> </w:t>
      </w:r>
    </w:p>
    <w:p w14:paraId="287D29AB" w14:textId="75D012A9" w:rsidR="00C62FCF" w:rsidRPr="004F0068" w:rsidRDefault="00C62FCF" w:rsidP="00C62FCF">
      <w:pPr>
        <w:pStyle w:val="H23G"/>
        <w:rPr>
          <w:lang w:val="fr-FR" w:eastAsia="en-US"/>
        </w:rPr>
      </w:pPr>
      <w:r w:rsidRPr="004F0068">
        <w:rPr>
          <w:lang w:val="fr-FR" w:eastAsia="en-US"/>
        </w:rPr>
        <w:tab/>
      </w:r>
      <w:r w:rsidRPr="00837B54">
        <w:rPr>
          <w:lang w:val="fr-FR" w:eastAsia="en-US"/>
        </w:rPr>
        <w:t>5.</w:t>
      </w:r>
      <w:r w:rsidRPr="00837B54">
        <w:rPr>
          <w:lang w:val="fr-FR" w:eastAsia="en-US"/>
        </w:rPr>
        <w:tab/>
        <w:t>Système de surveillance de la pression des pneumatiques</w:t>
      </w:r>
    </w:p>
    <w:p w14:paraId="64B44A6E" w14:textId="77777777" w:rsidR="00C62FCF" w:rsidRPr="004F0068" w:rsidRDefault="00C62FCF" w:rsidP="00C62FCF">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informel </w:t>
      </w:r>
      <w:r w:rsidRPr="004F0068">
        <w:rPr>
          <w:lang w:val="fr-FR"/>
        </w:rPr>
        <w:t>:</w:t>
      </w:r>
      <w:r w:rsidRPr="004F0068">
        <w:rPr>
          <w:lang w:val="fr-FR"/>
        </w:rPr>
        <w:tab/>
        <w:t>INF.2</w:t>
      </w:r>
      <w:r>
        <w:rPr>
          <w:lang w:val="fr-FR"/>
        </w:rPr>
        <w:t>6</w:t>
      </w:r>
      <w:r w:rsidRPr="004F0068">
        <w:rPr>
          <w:lang w:val="fr-FR"/>
        </w:rPr>
        <w:t xml:space="preserve"> (</w:t>
      </w:r>
      <w:r>
        <w:rPr>
          <w:lang w:val="fr-FR"/>
        </w:rPr>
        <w:t>Pays-Bas</w:t>
      </w:r>
      <w:r w:rsidRPr="004F0068">
        <w:rPr>
          <w:lang w:val="fr-FR"/>
        </w:rPr>
        <w:t>)</w:t>
      </w:r>
    </w:p>
    <w:p w14:paraId="73983879" w14:textId="6DD29C97" w:rsidR="00C62FCF" w:rsidRDefault="00D72958" w:rsidP="00C62FCF">
      <w:pPr>
        <w:pStyle w:val="SingleTxtG"/>
        <w:rPr>
          <w:lang w:val="fr-FR" w:eastAsia="en-US"/>
        </w:rPr>
      </w:pPr>
      <w:r>
        <w:rPr>
          <w:lang w:val="fr-FR" w:eastAsia="en-US"/>
        </w:rPr>
        <w:t>29</w:t>
      </w:r>
      <w:r w:rsidR="00C62FCF" w:rsidRPr="004F0068">
        <w:rPr>
          <w:lang w:val="fr-FR" w:eastAsia="en-US"/>
        </w:rPr>
        <w:t>.</w:t>
      </w:r>
      <w:r w:rsidR="00C62FCF" w:rsidRPr="004F0068">
        <w:rPr>
          <w:lang w:val="fr-FR" w:eastAsia="en-US"/>
        </w:rPr>
        <w:tab/>
      </w:r>
      <w:r w:rsidR="00C62FCF">
        <w:rPr>
          <w:lang w:val="fr-FR" w:eastAsia="en-US"/>
        </w:rPr>
        <w:t xml:space="preserve">Les </w:t>
      </w:r>
      <w:r w:rsidR="00C62FCF" w:rsidRPr="004F0068">
        <w:rPr>
          <w:lang w:val="fr-FR" w:eastAsia="en-US"/>
        </w:rPr>
        <w:t xml:space="preserve">délégations qui se sont prononcées </w:t>
      </w:r>
      <w:r w:rsidR="00C62FCF">
        <w:rPr>
          <w:lang w:val="fr-FR" w:eastAsia="en-US"/>
        </w:rPr>
        <w:t>étaient d’avis que le</w:t>
      </w:r>
      <w:r w:rsidR="00C62FCF" w:rsidRPr="003B1390">
        <w:rPr>
          <w:lang w:val="fr-FR" w:eastAsia="en-US"/>
        </w:rPr>
        <w:t xml:space="preserve"> 1.1.3.7 n'exempt</w:t>
      </w:r>
      <w:r w:rsidR="00C62FCF">
        <w:rPr>
          <w:lang w:val="fr-FR" w:eastAsia="en-US"/>
        </w:rPr>
        <w:t>ait</w:t>
      </w:r>
      <w:r w:rsidR="00C62FCF" w:rsidRPr="003B1390">
        <w:rPr>
          <w:lang w:val="fr-FR" w:eastAsia="en-US"/>
        </w:rPr>
        <w:t xml:space="preserve"> pas les capteurs de pression des </w:t>
      </w:r>
      <w:r w:rsidR="00C62FCF">
        <w:rPr>
          <w:lang w:val="fr-FR" w:eastAsia="en-US"/>
        </w:rPr>
        <w:t>pneumatiques</w:t>
      </w:r>
      <w:r w:rsidR="00C62FCF" w:rsidRPr="003B1390">
        <w:rPr>
          <w:lang w:val="fr-FR" w:eastAsia="en-US"/>
        </w:rPr>
        <w:t xml:space="preserve"> des prescriptions du 9.2.2.9 pour les véhicules </w:t>
      </w:r>
      <w:r w:rsidR="00C62FCF" w:rsidRPr="00CA7DDF">
        <w:rPr>
          <w:lang w:val="fr-FR" w:eastAsia="en-US"/>
        </w:rPr>
        <w:t>EX/III et</w:t>
      </w:r>
      <w:r w:rsidR="00C62FCF" w:rsidRPr="003B1390">
        <w:rPr>
          <w:lang w:val="fr-FR" w:eastAsia="en-US"/>
        </w:rPr>
        <w:t xml:space="preserve"> FL</w:t>
      </w:r>
      <w:r w:rsidR="00C62FCF">
        <w:rPr>
          <w:lang w:val="fr-FR" w:eastAsia="en-US"/>
        </w:rPr>
        <w:t xml:space="preserve"> et que les </w:t>
      </w:r>
      <w:r w:rsidR="00C62FCF" w:rsidRPr="00CA7DDF">
        <w:rPr>
          <w:lang w:val="fr-FR" w:eastAsia="en-US"/>
        </w:rPr>
        <w:t xml:space="preserve">capteurs sur </w:t>
      </w:r>
      <w:r w:rsidR="00C62FCF">
        <w:rPr>
          <w:lang w:val="fr-FR" w:eastAsia="en-US"/>
        </w:rPr>
        <w:t>c</w:t>
      </w:r>
      <w:r w:rsidR="00C62FCF" w:rsidRPr="00CA7DDF">
        <w:rPr>
          <w:lang w:val="fr-FR" w:eastAsia="en-US"/>
        </w:rPr>
        <w:t xml:space="preserve">es véhicules, à l'intérieur de la </w:t>
      </w:r>
      <w:r w:rsidR="00C62FCF">
        <w:rPr>
          <w:lang w:val="fr-FR" w:eastAsia="en-US"/>
        </w:rPr>
        <w:t>partie pressurisée,</w:t>
      </w:r>
      <w:r w:rsidR="00C62FCF" w:rsidRPr="00CA7DDF">
        <w:rPr>
          <w:lang w:val="fr-FR" w:eastAsia="en-US"/>
        </w:rPr>
        <w:t xml:space="preserve"> </w:t>
      </w:r>
      <w:r w:rsidR="00C62FCF">
        <w:rPr>
          <w:lang w:val="fr-FR" w:eastAsia="en-US"/>
        </w:rPr>
        <w:t>n’étaient pas</w:t>
      </w:r>
      <w:r w:rsidR="00C62FCF" w:rsidRPr="00CA7DDF">
        <w:rPr>
          <w:lang w:val="fr-FR" w:eastAsia="en-US"/>
        </w:rPr>
        <w:t xml:space="preserve"> tenus</w:t>
      </w:r>
      <w:r w:rsidR="00C62FCF">
        <w:rPr>
          <w:lang w:val="fr-FR" w:eastAsia="en-US"/>
        </w:rPr>
        <w:t xml:space="preserve"> d’être conformes</w:t>
      </w:r>
      <w:r w:rsidR="00C62FCF" w:rsidRPr="00CA7DDF">
        <w:rPr>
          <w:lang w:val="fr-FR" w:eastAsia="en-US"/>
        </w:rPr>
        <w:t xml:space="preserve"> aux </w:t>
      </w:r>
      <w:r w:rsidR="00C62FCF">
        <w:rPr>
          <w:lang w:val="fr-FR" w:eastAsia="en-US"/>
        </w:rPr>
        <w:t>prescriptions</w:t>
      </w:r>
      <w:r w:rsidR="00C62FCF" w:rsidRPr="00CA7DDF">
        <w:rPr>
          <w:lang w:val="fr-FR" w:eastAsia="en-US"/>
        </w:rPr>
        <w:t xml:space="preserve"> d</w:t>
      </w:r>
      <w:r w:rsidR="00C62FCF">
        <w:rPr>
          <w:lang w:val="fr-FR" w:eastAsia="en-US"/>
        </w:rPr>
        <w:t>u</w:t>
      </w:r>
      <w:r w:rsidR="00C62FCF" w:rsidRPr="00CA7DDF">
        <w:rPr>
          <w:lang w:val="fr-FR" w:eastAsia="en-US"/>
        </w:rPr>
        <w:t xml:space="preserve"> 9.2.2.9</w:t>
      </w:r>
      <w:r w:rsidR="00C62FCF">
        <w:rPr>
          <w:lang w:val="fr-FR" w:eastAsia="en-US"/>
        </w:rPr>
        <w:t>.</w:t>
      </w:r>
    </w:p>
    <w:p w14:paraId="52C59D46" w14:textId="77777777" w:rsidR="00B87724" w:rsidRPr="004F0068" w:rsidRDefault="00B87724" w:rsidP="00B87724">
      <w:pPr>
        <w:pStyle w:val="H1G"/>
        <w:rPr>
          <w:lang w:val="fr-FR"/>
        </w:rPr>
      </w:pPr>
      <w:r w:rsidRPr="004F0068">
        <w:rPr>
          <w:lang w:val="fr-FR"/>
        </w:rPr>
        <w:tab/>
        <w:t>B.</w:t>
      </w:r>
      <w:r w:rsidRPr="004F0068">
        <w:rPr>
          <w:lang w:val="fr-FR"/>
        </w:rPr>
        <w:tab/>
        <w:t>Propositions diverses</w:t>
      </w:r>
    </w:p>
    <w:p w14:paraId="022F6358" w14:textId="77777777" w:rsidR="00B87724" w:rsidRPr="004F0068" w:rsidRDefault="00B87724" w:rsidP="00B87724">
      <w:pPr>
        <w:pStyle w:val="H23G"/>
        <w:rPr>
          <w:lang w:val="fr-FR" w:eastAsia="en-US"/>
        </w:rPr>
      </w:pPr>
      <w:r w:rsidRPr="004F0068">
        <w:rPr>
          <w:lang w:val="fr-FR" w:eastAsia="en-US"/>
        </w:rPr>
        <w:tab/>
        <w:t>1.</w:t>
      </w:r>
      <w:r w:rsidRPr="004F0068">
        <w:rPr>
          <w:lang w:val="fr-FR" w:eastAsia="en-US"/>
        </w:rPr>
        <w:tab/>
        <w:t>Symbole « mise à la terre » au 6.8.2.1.27</w:t>
      </w:r>
    </w:p>
    <w:p w14:paraId="6F02E36F" w14:textId="77777777" w:rsidR="00B87724" w:rsidRPr="004F0068" w:rsidRDefault="00B87724" w:rsidP="00B87724">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w:t>
      </w:r>
      <w:r w:rsidRPr="004F0068">
        <w:rPr>
          <w:lang w:val="fr-FR"/>
        </w:rPr>
        <w:t>:</w:t>
      </w:r>
      <w:r w:rsidRPr="004F0068">
        <w:rPr>
          <w:lang w:val="fr-FR"/>
        </w:rPr>
        <w:tab/>
        <w:t>ECE/TRANS/WP.15/2023/2 (Allemagne)</w:t>
      </w:r>
    </w:p>
    <w:p w14:paraId="5CDC0991" w14:textId="680C130E" w:rsidR="00B87724" w:rsidRPr="004F0068" w:rsidRDefault="00D72958" w:rsidP="00B87724">
      <w:pPr>
        <w:pStyle w:val="SingleTxtG"/>
        <w:rPr>
          <w:lang w:val="fr-FR" w:eastAsia="en-US"/>
        </w:rPr>
      </w:pPr>
      <w:r>
        <w:rPr>
          <w:lang w:val="fr-FR" w:eastAsia="en-US"/>
        </w:rPr>
        <w:t>30</w:t>
      </w:r>
      <w:r w:rsidR="00B87724" w:rsidRPr="004F0068">
        <w:rPr>
          <w:lang w:val="fr-FR" w:eastAsia="en-US"/>
        </w:rPr>
        <w:t>.</w:t>
      </w:r>
      <w:r w:rsidR="00B87724" w:rsidRPr="004F0068">
        <w:rPr>
          <w:lang w:val="fr-FR" w:eastAsia="en-US"/>
        </w:rPr>
        <w:tab/>
        <w:t>La proposition de modification du symbole de mise à la terre au 6.8.2.1.27 a été adoptée (voir annexe).</w:t>
      </w:r>
    </w:p>
    <w:p w14:paraId="0067F458" w14:textId="14522B23" w:rsidR="00B87724" w:rsidRPr="004F0068" w:rsidRDefault="00D72958" w:rsidP="00B87724">
      <w:pPr>
        <w:pStyle w:val="SingleTxtG"/>
        <w:rPr>
          <w:lang w:val="fr-FR" w:eastAsia="en-US"/>
        </w:rPr>
      </w:pPr>
      <w:r>
        <w:rPr>
          <w:lang w:val="fr-FR" w:eastAsia="en-US"/>
        </w:rPr>
        <w:lastRenderedPageBreak/>
        <w:t>31</w:t>
      </w:r>
      <w:r w:rsidR="00B87724" w:rsidRPr="004F0068">
        <w:rPr>
          <w:lang w:val="fr-FR" w:eastAsia="en-US"/>
        </w:rPr>
        <w:t>.</w:t>
      </w:r>
      <w:r w:rsidR="00B87724" w:rsidRPr="004F0068">
        <w:rPr>
          <w:lang w:val="fr-FR" w:eastAsia="en-US"/>
        </w:rPr>
        <w:tab/>
        <w:t>Plusieurs délégations ont indiqué que le symbole</w:t>
      </w:r>
      <w:r w:rsidR="00B87724">
        <w:rPr>
          <w:lang w:val="fr-FR" w:eastAsia="en-US"/>
        </w:rPr>
        <w:t>,</w:t>
      </w:r>
      <w:r w:rsidR="00B87724" w:rsidRPr="004F0068">
        <w:rPr>
          <w:lang w:val="fr-FR" w:eastAsia="en-US"/>
        </w:rPr>
        <w:t xml:space="preserve"> tel que modifié</w:t>
      </w:r>
      <w:r w:rsidR="00B87724">
        <w:rPr>
          <w:lang w:val="fr-FR" w:eastAsia="en-US"/>
        </w:rPr>
        <w:t>,</w:t>
      </w:r>
      <w:r w:rsidR="00B87724" w:rsidRPr="004F0068">
        <w:rPr>
          <w:lang w:val="fr-FR" w:eastAsia="en-US"/>
        </w:rPr>
        <w:t xml:space="preserve"> était déjà utilisé pour identifier les prises de terre </w:t>
      </w:r>
      <w:r w:rsidR="00B87724">
        <w:rPr>
          <w:lang w:val="fr-FR" w:eastAsia="en-US"/>
        </w:rPr>
        <w:t xml:space="preserve">sur les véhicules-citernes </w:t>
      </w:r>
      <w:r w:rsidR="00B87724" w:rsidRPr="004F0068">
        <w:rPr>
          <w:lang w:val="fr-FR" w:eastAsia="en-US"/>
        </w:rPr>
        <w:t>et que cette modification ne nécessiterait pas de mesures transitoire</w:t>
      </w:r>
      <w:r w:rsidR="00B87724">
        <w:rPr>
          <w:lang w:val="fr-FR" w:eastAsia="en-US"/>
        </w:rPr>
        <w:t>s</w:t>
      </w:r>
      <w:r w:rsidR="00B87724" w:rsidRPr="004F0068">
        <w:rPr>
          <w:lang w:val="fr-FR" w:eastAsia="en-US"/>
        </w:rPr>
        <w:t>. Le Groupe de travail a invité les délégations à vérifier ce point avant la prochaine session.</w:t>
      </w:r>
    </w:p>
    <w:p w14:paraId="2F158054" w14:textId="39D7F7C9" w:rsidR="00B87724" w:rsidRPr="004F0068" w:rsidRDefault="00D72958" w:rsidP="00B87724">
      <w:pPr>
        <w:pStyle w:val="SingleTxtG"/>
        <w:rPr>
          <w:lang w:val="fr-FR" w:eastAsia="en-US"/>
        </w:rPr>
      </w:pPr>
      <w:r>
        <w:rPr>
          <w:lang w:val="fr-FR" w:eastAsia="en-US"/>
        </w:rPr>
        <w:t>32</w:t>
      </w:r>
      <w:r w:rsidR="00B87724" w:rsidRPr="004F0068">
        <w:rPr>
          <w:lang w:val="fr-FR" w:eastAsia="en-US"/>
        </w:rPr>
        <w:t>.</w:t>
      </w:r>
      <w:r w:rsidR="00B87724" w:rsidRPr="004F0068">
        <w:rPr>
          <w:lang w:val="fr-FR" w:eastAsia="en-US"/>
        </w:rPr>
        <w:tab/>
        <w:t xml:space="preserve">Certaines délégations considéraient qu’il pourrait être utile de donner une description plus complète du marquage requis ou de faire référence à une norme comme la norme CEI 60417. </w:t>
      </w:r>
      <w:r w:rsidR="00B87724">
        <w:rPr>
          <w:lang w:val="fr-FR" w:eastAsia="en-US"/>
        </w:rPr>
        <w:t>Ceci</w:t>
      </w:r>
      <w:r w:rsidR="00B87724" w:rsidRPr="004F0068">
        <w:rPr>
          <w:lang w:val="fr-FR" w:eastAsia="en-US"/>
        </w:rPr>
        <w:t xml:space="preserve"> pourrait être étudié à une prochaine session.</w:t>
      </w:r>
    </w:p>
    <w:p w14:paraId="66E8DE5F" w14:textId="77777777" w:rsidR="00B87724" w:rsidRPr="004F0068" w:rsidRDefault="00B87724" w:rsidP="00B87724">
      <w:pPr>
        <w:pStyle w:val="H23G"/>
        <w:rPr>
          <w:lang w:val="fr-FR" w:eastAsia="en-US"/>
        </w:rPr>
      </w:pPr>
      <w:r w:rsidRPr="004F0068">
        <w:rPr>
          <w:lang w:val="fr-FR" w:eastAsia="en-US"/>
        </w:rPr>
        <w:tab/>
        <w:t>2.</w:t>
      </w:r>
      <w:r w:rsidRPr="004F0068">
        <w:rPr>
          <w:lang w:val="fr-FR" w:eastAsia="en-US"/>
        </w:rPr>
        <w:tab/>
        <w:t>Nouvelle section 1.2.3, amendement de conséquence</w:t>
      </w:r>
    </w:p>
    <w:p w14:paraId="0EA7D229" w14:textId="77777777" w:rsidR="00B87724" w:rsidRPr="004F0068" w:rsidRDefault="00B87724" w:rsidP="00B87724">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w:t>
      </w:r>
      <w:r w:rsidRPr="004F0068">
        <w:rPr>
          <w:lang w:val="fr-FR"/>
        </w:rPr>
        <w:t>:</w:t>
      </w:r>
      <w:r w:rsidRPr="004F0068">
        <w:rPr>
          <w:lang w:val="fr-FR"/>
        </w:rPr>
        <w:tab/>
        <w:t>ECE/TRANS/WP.15/2023/3 (secrétariat)</w:t>
      </w:r>
    </w:p>
    <w:p w14:paraId="573614BB" w14:textId="12048312" w:rsidR="00B87724" w:rsidRPr="004F0068" w:rsidRDefault="00D72958" w:rsidP="00B87724">
      <w:pPr>
        <w:pStyle w:val="SingleTxtG"/>
        <w:rPr>
          <w:lang w:val="fr-FR" w:eastAsia="en-US"/>
        </w:rPr>
      </w:pPr>
      <w:r>
        <w:rPr>
          <w:lang w:val="fr-FR" w:eastAsia="en-US"/>
        </w:rPr>
        <w:t>33</w:t>
      </w:r>
      <w:r w:rsidR="00B87724" w:rsidRPr="004F0068">
        <w:rPr>
          <w:lang w:val="fr-FR" w:eastAsia="en-US"/>
        </w:rPr>
        <w:t>.</w:t>
      </w:r>
      <w:r w:rsidR="00B87724" w:rsidRPr="004F0068">
        <w:rPr>
          <w:lang w:val="fr-FR" w:eastAsia="en-US"/>
        </w:rPr>
        <w:tab/>
        <w:t>La proposition d’amendement du 1.1.2.2 a été adoptée (voir annexe).</w:t>
      </w:r>
    </w:p>
    <w:p w14:paraId="50C63FB8" w14:textId="3E83E6EB" w:rsidR="00B87724" w:rsidRPr="004F0068" w:rsidRDefault="00B87724" w:rsidP="00B87724">
      <w:pPr>
        <w:pStyle w:val="H23G"/>
        <w:rPr>
          <w:lang w:val="fr-FR" w:eastAsia="en-US"/>
        </w:rPr>
      </w:pPr>
      <w:r w:rsidRPr="004F0068">
        <w:rPr>
          <w:lang w:val="fr-FR" w:eastAsia="en-US"/>
        </w:rPr>
        <w:tab/>
        <w:t>3.</w:t>
      </w:r>
      <w:r w:rsidRPr="004F0068">
        <w:rPr>
          <w:lang w:val="fr-FR" w:eastAsia="en-US"/>
        </w:rPr>
        <w:tab/>
        <w:t xml:space="preserve">Formation des conducteurs : nombre </w:t>
      </w:r>
      <w:r>
        <w:rPr>
          <w:lang w:val="fr-FR" w:eastAsia="en-US"/>
        </w:rPr>
        <w:t>maximal de séances</w:t>
      </w:r>
      <w:r w:rsidRPr="004F0068">
        <w:rPr>
          <w:lang w:val="fr-FR" w:eastAsia="en-US"/>
        </w:rPr>
        <w:t xml:space="preserve"> d’enseignement par jour</w:t>
      </w:r>
    </w:p>
    <w:p w14:paraId="6087645C" w14:textId="77777777" w:rsidR="00B87724" w:rsidRPr="004F0068" w:rsidRDefault="00B87724" w:rsidP="00B87724">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informel </w:t>
      </w:r>
      <w:r w:rsidRPr="004F0068">
        <w:rPr>
          <w:lang w:val="fr-FR"/>
        </w:rPr>
        <w:t>:</w:t>
      </w:r>
      <w:r w:rsidRPr="004F0068">
        <w:rPr>
          <w:lang w:val="fr-FR"/>
        </w:rPr>
        <w:tab/>
        <w:t>INF.13 (Suisse)</w:t>
      </w:r>
    </w:p>
    <w:p w14:paraId="45221A8D" w14:textId="653E9D56" w:rsidR="00B87724" w:rsidRDefault="00D72958" w:rsidP="00B87724">
      <w:pPr>
        <w:pStyle w:val="SingleTxtG"/>
        <w:rPr>
          <w:rFonts w:ascii="TimesNewRomanPSMT" w:hAnsi="TimesNewRomanPSMT" w:cs="TimesNewRomanPSMT"/>
          <w:lang w:val="fr-FR"/>
        </w:rPr>
      </w:pPr>
      <w:r>
        <w:rPr>
          <w:lang w:val="fr-FR" w:eastAsia="en-US"/>
        </w:rPr>
        <w:t>34</w:t>
      </w:r>
      <w:r w:rsidR="00B87724" w:rsidRPr="004F0068">
        <w:rPr>
          <w:lang w:val="fr-FR" w:eastAsia="en-US"/>
        </w:rPr>
        <w:t>.</w:t>
      </w:r>
      <w:r w:rsidR="00B87724" w:rsidRPr="004F0068">
        <w:rPr>
          <w:lang w:val="fr-FR" w:eastAsia="en-US"/>
        </w:rPr>
        <w:tab/>
        <w:t xml:space="preserve">Les délégations qui se sont prononcées étaient d’avis que l’utilisation du terme « normalement » au </w:t>
      </w:r>
      <w:r w:rsidR="00B87724" w:rsidRPr="004F0068">
        <w:rPr>
          <w:rFonts w:ascii="TimesNewRomanPSMT" w:hAnsi="TimesNewRomanPSMT" w:cs="TimesNewRomanPSMT"/>
          <w:lang w:val="fr-FR"/>
        </w:rPr>
        <w:t xml:space="preserve">8.2.2.3.7 signifiait </w:t>
      </w:r>
      <w:r w:rsidR="00B87724">
        <w:rPr>
          <w:rFonts w:ascii="TimesNewRomanPSMT" w:hAnsi="TimesNewRomanPSMT" w:cs="TimesNewRomanPSMT"/>
          <w:lang w:val="fr-FR"/>
        </w:rPr>
        <w:t>que les cours devaient être planifiés sur la base de huit séances quotidiennes d’enseignement au maximum mais que ce nombre pouvait être dépassé, en raison de circonstances exceptionnelles, lors de la tenue des formations (par exemple en cas de retard observé).</w:t>
      </w:r>
    </w:p>
    <w:p w14:paraId="48617A19" w14:textId="67AD03C1" w:rsidR="00B87724" w:rsidRPr="004F0068" w:rsidRDefault="00D72958" w:rsidP="00B87724">
      <w:pPr>
        <w:pStyle w:val="SingleTxtG"/>
        <w:rPr>
          <w:lang w:val="fr-FR" w:eastAsia="en-US"/>
        </w:rPr>
      </w:pPr>
      <w:r>
        <w:rPr>
          <w:rFonts w:ascii="TimesNewRomanPSMT" w:hAnsi="TimesNewRomanPSMT" w:cs="TimesNewRomanPSMT"/>
          <w:lang w:val="fr-FR"/>
        </w:rPr>
        <w:t>35</w:t>
      </w:r>
      <w:r w:rsidR="00B87724">
        <w:rPr>
          <w:rFonts w:ascii="TimesNewRomanPSMT" w:hAnsi="TimesNewRomanPSMT" w:cs="TimesNewRomanPSMT"/>
          <w:lang w:val="fr-FR"/>
        </w:rPr>
        <w:t>.</w:t>
      </w:r>
      <w:r w:rsidR="00B87724">
        <w:rPr>
          <w:rFonts w:ascii="TimesNewRomanPSMT" w:hAnsi="TimesNewRomanPSMT" w:cs="TimesNewRomanPSMT"/>
          <w:lang w:val="fr-FR"/>
        </w:rPr>
        <w:tab/>
        <w:t xml:space="preserve">La plupart n’étaient pas en faveur de la proposition de la Suisse d’augmenter le nombre des séances quotidiennes d’enseignement prévues à 10. </w:t>
      </w:r>
    </w:p>
    <w:p w14:paraId="5E95F9FB" w14:textId="77777777" w:rsidR="00B87724" w:rsidRPr="004F0068" w:rsidRDefault="00B87724" w:rsidP="00B87724">
      <w:pPr>
        <w:pStyle w:val="H23G"/>
        <w:rPr>
          <w:lang w:val="fr-FR" w:eastAsia="en-US"/>
        </w:rPr>
      </w:pPr>
      <w:r w:rsidRPr="004F0068">
        <w:rPr>
          <w:lang w:val="fr-FR" w:eastAsia="en-US"/>
        </w:rPr>
        <w:tab/>
      </w:r>
      <w:r>
        <w:rPr>
          <w:lang w:val="fr-FR" w:eastAsia="en-US"/>
        </w:rPr>
        <w:t>4</w:t>
      </w:r>
      <w:r w:rsidRPr="004F0068">
        <w:rPr>
          <w:lang w:val="fr-FR" w:eastAsia="en-US"/>
        </w:rPr>
        <w:t>.</w:t>
      </w:r>
      <w:r w:rsidRPr="004F0068">
        <w:rPr>
          <w:lang w:val="fr-FR" w:eastAsia="en-US"/>
        </w:rPr>
        <w:tab/>
      </w:r>
      <w:r>
        <w:rPr>
          <w:lang w:val="fr-FR" w:eastAsia="en-US"/>
        </w:rPr>
        <w:t>Différences entre le 6.8.1.5 du RID et de l’ADR</w:t>
      </w:r>
    </w:p>
    <w:p w14:paraId="3AA3F76A" w14:textId="77777777" w:rsidR="00B87724" w:rsidRPr="004F0068" w:rsidRDefault="00B87724" w:rsidP="00B87724">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informel </w:t>
      </w:r>
      <w:r w:rsidRPr="004F0068">
        <w:rPr>
          <w:lang w:val="fr-FR"/>
        </w:rPr>
        <w:t>:</w:t>
      </w:r>
      <w:r w:rsidRPr="004F0068">
        <w:rPr>
          <w:lang w:val="fr-FR"/>
        </w:rPr>
        <w:tab/>
        <w:t>INF.</w:t>
      </w:r>
      <w:r>
        <w:rPr>
          <w:lang w:val="fr-FR"/>
        </w:rPr>
        <w:t>25</w:t>
      </w:r>
      <w:r w:rsidRPr="004F0068">
        <w:rPr>
          <w:lang w:val="fr-FR"/>
        </w:rPr>
        <w:t xml:space="preserve"> (</w:t>
      </w:r>
      <w:r>
        <w:rPr>
          <w:lang w:val="fr-FR"/>
        </w:rPr>
        <w:t>Belgique</w:t>
      </w:r>
      <w:r w:rsidRPr="004F0068">
        <w:rPr>
          <w:lang w:val="fr-FR"/>
        </w:rPr>
        <w:t>)</w:t>
      </w:r>
    </w:p>
    <w:p w14:paraId="3F576032" w14:textId="0F3A6991" w:rsidR="00B87724" w:rsidRDefault="00D72958" w:rsidP="00B87724">
      <w:pPr>
        <w:pStyle w:val="SingleTxtG"/>
        <w:rPr>
          <w:lang w:val="fr-FR" w:eastAsia="en-US"/>
        </w:rPr>
      </w:pPr>
      <w:r>
        <w:rPr>
          <w:lang w:val="fr-FR" w:eastAsia="en-US"/>
        </w:rPr>
        <w:t>36</w:t>
      </w:r>
      <w:r w:rsidR="00B87724" w:rsidRPr="004F0068">
        <w:rPr>
          <w:lang w:val="fr-FR" w:eastAsia="en-US"/>
        </w:rPr>
        <w:t>.</w:t>
      </w:r>
      <w:r w:rsidR="00B87724" w:rsidRPr="004F0068">
        <w:rPr>
          <w:lang w:val="fr-FR" w:eastAsia="en-US"/>
        </w:rPr>
        <w:tab/>
      </w:r>
      <w:r w:rsidR="00B87724">
        <w:rPr>
          <w:lang w:val="fr-FR" w:eastAsia="en-US"/>
        </w:rPr>
        <w:t xml:space="preserve">Le Groupe de travail a noté que les notas sous 6.8.1.5.1 a) et sous 6.8.1.5.4 a) s’appliquaient aux </w:t>
      </w:r>
      <w:proofErr w:type="spellStart"/>
      <w:r w:rsidR="00B87724">
        <w:rPr>
          <w:rFonts w:ascii="TimesNewRomanPSMT" w:hAnsi="TimesNewRomanPSMT" w:cs="TimesNewRomanPSMT"/>
          <w:lang w:val="en-GB"/>
        </w:rPr>
        <w:t>véhicules-citernes</w:t>
      </w:r>
      <w:proofErr w:type="spellEnd"/>
      <w:r w:rsidR="00B87724">
        <w:rPr>
          <w:lang w:val="fr-FR" w:eastAsia="en-US"/>
        </w:rPr>
        <w:t xml:space="preserve"> et aux conteneurs-citernes pour l’ADR alors qu’ils ne s’appliquaient pas dans le RID.</w:t>
      </w:r>
    </w:p>
    <w:p w14:paraId="16122AF8" w14:textId="43829168" w:rsidR="00B87724" w:rsidRDefault="00D72958" w:rsidP="00B87724">
      <w:pPr>
        <w:pStyle w:val="SingleTxtG"/>
        <w:rPr>
          <w:lang w:val="fr-FR" w:eastAsia="en-US"/>
        </w:rPr>
      </w:pPr>
      <w:r>
        <w:rPr>
          <w:lang w:val="fr-FR" w:eastAsia="en-US"/>
        </w:rPr>
        <w:t>37</w:t>
      </w:r>
      <w:r w:rsidR="00B87724">
        <w:rPr>
          <w:lang w:val="fr-FR" w:eastAsia="en-US"/>
        </w:rPr>
        <w:t>.</w:t>
      </w:r>
      <w:r w:rsidR="00B87724">
        <w:rPr>
          <w:lang w:val="fr-FR" w:eastAsia="en-US"/>
        </w:rPr>
        <w:tab/>
        <w:t>Le Groupe de travail a invité le représentant de la Belgique à transmettre son document à la Réunion commune pour examen par le Groupe de travail des citernes.</w:t>
      </w:r>
    </w:p>
    <w:p w14:paraId="05803E2C" w14:textId="77777777" w:rsidR="00B453E3" w:rsidRPr="004F0068" w:rsidRDefault="00B453E3" w:rsidP="00B453E3">
      <w:pPr>
        <w:pStyle w:val="H23G"/>
        <w:rPr>
          <w:lang w:val="fr-FR" w:eastAsia="en-US"/>
        </w:rPr>
      </w:pPr>
      <w:r w:rsidRPr="004F0068">
        <w:rPr>
          <w:lang w:val="fr-FR" w:eastAsia="en-US"/>
        </w:rPr>
        <w:tab/>
      </w:r>
      <w:r>
        <w:rPr>
          <w:lang w:val="fr-FR" w:eastAsia="en-US"/>
        </w:rPr>
        <w:t>5.</w:t>
      </w:r>
      <w:r w:rsidRPr="004F0068">
        <w:rPr>
          <w:lang w:val="fr-FR" w:eastAsia="en-US"/>
        </w:rPr>
        <w:tab/>
      </w:r>
      <w:r>
        <w:rPr>
          <w:lang w:val="fr-FR" w:eastAsia="en-US"/>
        </w:rPr>
        <w:t>Référence au 8.2.3 dans le chapitre 3.4</w:t>
      </w:r>
    </w:p>
    <w:p w14:paraId="23DDDECD" w14:textId="77777777" w:rsidR="00B453E3" w:rsidRPr="004F0068" w:rsidRDefault="00B453E3" w:rsidP="00B453E3">
      <w:pPr>
        <w:suppressAutoHyphens/>
        <w:kinsoku w:val="0"/>
        <w:overflowPunct w:val="0"/>
        <w:autoSpaceDE w:val="0"/>
        <w:autoSpaceDN w:val="0"/>
        <w:adjustRightInd w:val="0"/>
        <w:snapToGrid w:val="0"/>
        <w:spacing w:before="120" w:after="120"/>
        <w:ind w:left="3402" w:right="1134" w:hanging="2268"/>
        <w:jc w:val="both"/>
        <w:rPr>
          <w:lang w:val="fr-FR"/>
        </w:rPr>
      </w:pPr>
      <w:r w:rsidRPr="004F0068">
        <w:rPr>
          <w:i/>
          <w:iCs/>
          <w:lang w:val="fr-FR"/>
        </w:rPr>
        <w:t>Document informel </w:t>
      </w:r>
      <w:r w:rsidRPr="004F0068">
        <w:rPr>
          <w:lang w:val="fr-FR"/>
        </w:rPr>
        <w:t>:</w:t>
      </w:r>
      <w:r w:rsidRPr="004F0068">
        <w:rPr>
          <w:lang w:val="fr-FR"/>
        </w:rPr>
        <w:tab/>
        <w:t>INF.</w:t>
      </w:r>
      <w:r>
        <w:rPr>
          <w:lang w:val="fr-FR"/>
        </w:rPr>
        <w:t>12</w:t>
      </w:r>
      <w:r w:rsidRPr="004F0068">
        <w:rPr>
          <w:lang w:val="fr-FR"/>
        </w:rPr>
        <w:t xml:space="preserve"> (</w:t>
      </w:r>
      <w:r>
        <w:rPr>
          <w:lang w:val="fr-FR"/>
        </w:rPr>
        <w:t>IASA</w:t>
      </w:r>
      <w:r w:rsidRPr="004F0068">
        <w:rPr>
          <w:lang w:val="fr-FR"/>
        </w:rPr>
        <w:t>)</w:t>
      </w:r>
    </w:p>
    <w:p w14:paraId="11B91686" w14:textId="09326CEE" w:rsidR="00B453E3" w:rsidRDefault="00D72958" w:rsidP="00B453E3">
      <w:pPr>
        <w:pStyle w:val="SingleTxtG"/>
        <w:rPr>
          <w:lang w:val="fr-FR" w:eastAsia="en-US"/>
        </w:rPr>
      </w:pPr>
      <w:r>
        <w:rPr>
          <w:lang w:val="fr-FR" w:eastAsia="en-US"/>
        </w:rPr>
        <w:t>38</w:t>
      </w:r>
      <w:r w:rsidR="00B453E3" w:rsidRPr="004F0068">
        <w:rPr>
          <w:lang w:val="fr-FR" w:eastAsia="en-US"/>
        </w:rPr>
        <w:t>.</w:t>
      </w:r>
      <w:r w:rsidR="00B453E3" w:rsidRPr="004F0068">
        <w:rPr>
          <w:lang w:val="fr-FR" w:eastAsia="en-US"/>
        </w:rPr>
        <w:tab/>
      </w:r>
      <w:r w:rsidR="00B453E3">
        <w:rPr>
          <w:lang w:val="fr-FR" w:eastAsia="en-US"/>
        </w:rPr>
        <w:t xml:space="preserve">Plusieurs délégations étaient en faveur de la proposition de IASA de faire référence au 8.2.3 dans la liste des dispositions restant applicables au 3.4.1. D’autres pensaient que la référence au 1.3 était suffisante. </w:t>
      </w:r>
    </w:p>
    <w:p w14:paraId="04A1C110" w14:textId="42DD3371" w:rsidR="00B453E3" w:rsidRDefault="00D72958" w:rsidP="00B453E3">
      <w:pPr>
        <w:pStyle w:val="SingleTxtG"/>
        <w:rPr>
          <w:lang w:val="fr-FR" w:eastAsia="en-US"/>
        </w:rPr>
      </w:pPr>
      <w:r>
        <w:rPr>
          <w:lang w:val="fr-FR" w:eastAsia="en-US"/>
        </w:rPr>
        <w:t>39</w:t>
      </w:r>
      <w:r w:rsidR="00B453E3">
        <w:rPr>
          <w:lang w:val="fr-FR" w:eastAsia="en-US"/>
        </w:rPr>
        <w:t>.</w:t>
      </w:r>
      <w:r w:rsidR="00B453E3">
        <w:rPr>
          <w:lang w:val="fr-FR" w:eastAsia="en-US"/>
        </w:rPr>
        <w:tab/>
        <w:t>Le Groupe de travail a invité le représentant de IASA à présenter un document officiel à la 114</w:t>
      </w:r>
      <w:r w:rsidR="00B453E3" w:rsidRPr="00CA7DDF">
        <w:rPr>
          <w:vertAlign w:val="superscript"/>
          <w:lang w:val="fr-FR" w:eastAsia="en-US"/>
        </w:rPr>
        <w:t>e</w:t>
      </w:r>
      <w:r w:rsidR="00B453E3">
        <w:rPr>
          <w:lang w:val="fr-FR" w:eastAsia="en-US"/>
        </w:rPr>
        <w:t xml:space="preserve"> session.</w:t>
      </w:r>
    </w:p>
    <w:p w14:paraId="5D46FA62" w14:textId="77777777" w:rsidR="0062494F" w:rsidRPr="00495E83" w:rsidRDefault="0062494F" w:rsidP="0062494F">
      <w:pPr>
        <w:pStyle w:val="HChG"/>
        <w:rPr>
          <w:b w:val="0"/>
          <w:lang w:eastAsia="en-US"/>
        </w:rPr>
      </w:pPr>
      <w:r w:rsidRPr="00495E83">
        <w:rPr>
          <w:lang w:eastAsia="en-US"/>
        </w:rPr>
        <w:tab/>
        <w:t>V</w:t>
      </w:r>
      <w:r>
        <w:rPr>
          <w:lang w:eastAsia="en-US"/>
        </w:rPr>
        <w:t>II</w:t>
      </w:r>
      <w:r w:rsidRPr="00495E83">
        <w:rPr>
          <w:lang w:eastAsia="en-US"/>
        </w:rPr>
        <w:t>.</w:t>
      </w:r>
      <w:r w:rsidRPr="00495E83">
        <w:rPr>
          <w:lang w:eastAsia="en-US"/>
        </w:rPr>
        <w:tab/>
      </w:r>
      <w:r>
        <w:rPr>
          <w:lang w:eastAsia="en-US"/>
        </w:rPr>
        <w:t xml:space="preserve">Interprétation </w:t>
      </w:r>
      <w:r w:rsidRPr="00E95862">
        <w:rPr>
          <w:lang w:eastAsia="en-US"/>
        </w:rPr>
        <w:t>de l’ADR</w:t>
      </w:r>
      <w:r w:rsidRPr="00495E83">
        <w:rPr>
          <w:lang w:eastAsia="en-US"/>
        </w:rPr>
        <w:t xml:space="preserve"> (point </w:t>
      </w:r>
      <w:r>
        <w:rPr>
          <w:lang w:eastAsia="en-US"/>
        </w:rPr>
        <w:t>6</w:t>
      </w:r>
      <w:r w:rsidRPr="00495E83">
        <w:rPr>
          <w:lang w:eastAsia="en-US"/>
        </w:rPr>
        <w:t xml:space="preserve"> de l’ordre du jour)</w:t>
      </w:r>
    </w:p>
    <w:p w14:paraId="07007A04" w14:textId="77777777" w:rsidR="0062494F" w:rsidRPr="00736219" w:rsidRDefault="0062494F" w:rsidP="0062494F">
      <w:pPr>
        <w:pStyle w:val="H1G"/>
        <w:rPr>
          <w:b w:val="0"/>
          <w:lang w:val="fr-FR"/>
        </w:rPr>
      </w:pPr>
      <w:r w:rsidRPr="00736219">
        <w:rPr>
          <w:lang w:val="fr-FR"/>
        </w:rPr>
        <w:tab/>
        <w:t>A.</w:t>
      </w:r>
      <w:r w:rsidRPr="00736219">
        <w:rPr>
          <w:lang w:val="fr-FR"/>
        </w:rPr>
        <w:tab/>
      </w:r>
      <w:r>
        <w:rPr>
          <w:lang w:val="fr-FR"/>
        </w:rPr>
        <w:t>Champ d’application de l’ADR</w:t>
      </w:r>
    </w:p>
    <w:p w14:paraId="38559AF5" w14:textId="77777777" w:rsidR="0062494F" w:rsidRDefault="0062494F" w:rsidP="0062494F">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 </w:t>
      </w:r>
      <w:r w:rsidRPr="00495E83">
        <w:rPr>
          <w:lang w:val="fr-FR"/>
        </w:rPr>
        <w:t>:</w:t>
      </w:r>
      <w:r w:rsidRPr="00495E83">
        <w:rPr>
          <w:lang w:val="fr-FR"/>
        </w:rPr>
        <w:tab/>
      </w:r>
      <w:r w:rsidRPr="00495E83">
        <w:rPr>
          <w:lang w:val="fr-FR"/>
        </w:rPr>
        <w:tab/>
      </w:r>
      <w:r>
        <w:rPr>
          <w:lang w:val="fr-FR"/>
        </w:rPr>
        <w:t>ECE/TRANS/WP.15/2023/5 (secrétariat)</w:t>
      </w:r>
    </w:p>
    <w:p w14:paraId="472688FD" w14:textId="77777777" w:rsidR="0062494F" w:rsidRPr="00495E83" w:rsidRDefault="0062494F" w:rsidP="0062494F">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w:t>
      </w:r>
      <w:r>
        <w:rPr>
          <w:i/>
          <w:iCs/>
          <w:lang w:val="fr-FR"/>
        </w:rPr>
        <w:t>s</w:t>
      </w:r>
      <w:r w:rsidRPr="00495E83">
        <w:rPr>
          <w:i/>
          <w:iCs/>
          <w:lang w:val="fr-FR"/>
        </w:rPr>
        <w:t xml:space="preserve"> informel</w:t>
      </w:r>
      <w:r>
        <w:rPr>
          <w:i/>
          <w:iCs/>
          <w:lang w:val="fr-FR"/>
        </w:rPr>
        <w:t>s</w:t>
      </w:r>
      <w:r w:rsidRPr="00495E83">
        <w:rPr>
          <w:i/>
          <w:iCs/>
          <w:lang w:val="fr-FR"/>
        </w:rPr>
        <w:t> </w:t>
      </w:r>
      <w:r w:rsidRPr="00495E83">
        <w:rPr>
          <w:lang w:val="fr-FR"/>
        </w:rPr>
        <w:t>:</w:t>
      </w:r>
      <w:r w:rsidRPr="00495E83">
        <w:rPr>
          <w:lang w:val="fr-FR"/>
        </w:rPr>
        <w:tab/>
        <w:t>INF.</w:t>
      </w:r>
      <w:r>
        <w:rPr>
          <w:lang w:val="fr-FR"/>
        </w:rPr>
        <w:t>17</w:t>
      </w:r>
      <w:r w:rsidRPr="00495E83">
        <w:rPr>
          <w:lang w:val="fr-FR"/>
        </w:rPr>
        <w:t xml:space="preserve"> (</w:t>
      </w:r>
      <w:r>
        <w:rPr>
          <w:lang w:val="fr-FR"/>
        </w:rPr>
        <w:t>Danemark</w:t>
      </w:r>
      <w:r w:rsidRPr="00495E83">
        <w:rPr>
          <w:lang w:val="fr-FR"/>
        </w:rPr>
        <w:t>)</w:t>
      </w:r>
      <w:r>
        <w:rPr>
          <w:lang w:val="fr-FR"/>
        </w:rPr>
        <w:t>, INF.21 (France), INF.23 (Suisse)</w:t>
      </w:r>
    </w:p>
    <w:p w14:paraId="2C621F8A" w14:textId="1E957ECF" w:rsidR="0062494F" w:rsidRDefault="00D72958" w:rsidP="0062494F">
      <w:pPr>
        <w:pStyle w:val="SingleTxtG"/>
        <w:rPr>
          <w:lang w:val="fr-FR"/>
        </w:rPr>
      </w:pPr>
      <w:r>
        <w:rPr>
          <w:lang w:val="fr-FR"/>
        </w:rPr>
        <w:t>40</w:t>
      </w:r>
      <w:r w:rsidR="0062494F">
        <w:rPr>
          <w:lang w:val="fr-FR"/>
        </w:rPr>
        <w:t>.</w:t>
      </w:r>
      <w:r w:rsidR="0062494F">
        <w:rPr>
          <w:lang w:val="fr-FR"/>
        </w:rPr>
        <w:tab/>
        <w:t>Le Groupe de travail a noté que le titre du III. B. et le texte du paragraphe 13 du document ECE/TRANS/WP.15/2023/5 devaient être corrigés pour faire référence aux c</w:t>
      </w:r>
      <w:r w:rsidR="0062494F" w:rsidRPr="003A40FF">
        <w:rPr>
          <w:lang w:val="fr-FR"/>
        </w:rPr>
        <w:t>ycles équipés d</w:t>
      </w:r>
      <w:r w:rsidR="0062494F">
        <w:rPr>
          <w:lang w:val="fr-FR"/>
        </w:rPr>
        <w:t>’</w:t>
      </w:r>
      <w:r w:rsidR="0062494F" w:rsidRPr="003A40FF">
        <w:rPr>
          <w:lang w:val="fr-FR"/>
        </w:rPr>
        <w:t xml:space="preserve">un </w:t>
      </w:r>
      <w:r w:rsidR="0062494F" w:rsidRPr="003411F1">
        <w:rPr>
          <w:lang w:val="fr-FR"/>
        </w:rPr>
        <w:t xml:space="preserve">moteur auxiliaire d’une cylindrée </w:t>
      </w:r>
      <w:r w:rsidR="0062494F">
        <w:rPr>
          <w:lang w:val="fr-FR"/>
        </w:rPr>
        <w:t>maximum de</w:t>
      </w:r>
      <w:r w:rsidR="0062494F" w:rsidRPr="003411F1">
        <w:rPr>
          <w:lang w:val="fr-FR"/>
        </w:rPr>
        <w:t xml:space="preserve"> 50 cm³</w:t>
      </w:r>
      <w:r w:rsidR="0062494F">
        <w:rPr>
          <w:lang w:val="fr-FR"/>
        </w:rPr>
        <w:t xml:space="preserve">. Avec cette </w:t>
      </w:r>
      <w:r w:rsidR="00CB55B3">
        <w:rPr>
          <w:lang w:val="fr-FR"/>
        </w:rPr>
        <w:t>modification</w:t>
      </w:r>
      <w:r w:rsidR="0062494F">
        <w:rPr>
          <w:lang w:val="fr-FR"/>
        </w:rPr>
        <w:t xml:space="preserve">, le Groupe de travail est convenu que le document préparé par le secrétariat donnait une image claire de l’état actuel de l’application de l’ADR aux </w:t>
      </w:r>
      <w:r w:rsidR="0062494F" w:rsidRPr="003A40FF">
        <w:rPr>
          <w:lang w:val="fr-FR"/>
        </w:rPr>
        <w:t>véhicules à deux et trois roues</w:t>
      </w:r>
      <w:r w:rsidR="0062494F">
        <w:rPr>
          <w:lang w:val="fr-FR"/>
        </w:rPr>
        <w:t xml:space="preserve"> et des évolutions possibles (voir aussi le paragraphe 15). </w:t>
      </w:r>
    </w:p>
    <w:p w14:paraId="4B60AB80" w14:textId="32C9BFF2" w:rsidR="0062494F" w:rsidRDefault="00D72958" w:rsidP="0062494F">
      <w:pPr>
        <w:pStyle w:val="SingleTxtG"/>
        <w:rPr>
          <w:lang w:val="fr-FR"/>
        </w:rPr>
      </w:pPr>
      <w:r>
        <w:rPr>
          <w:lang w:val="fr-FR"/>
        </w:rPr>
        <w:lastRenderedPageBreak/>
        <w:t>41</w:t>
      </w:r>
      <w:r w:rsidR="0062494F">
        <w:rPr>
          <w:lang w:val="fr-FR"/>
        </w:rPr>
        <w:t>.</w:t>
      </w:r>
      <w:r w:rsidR="0062494F">
        <w:rPr>
          <w:lang w:val="fr-FR"/>
        </w:rPr>
        <w:tab/>
        <w:t xml:space="preserve">Plusieurs délégations ont présenté comment les </w:t>
      </w:r>
      <w:r w:rsidR="0062494F" w:rsidRPr="00701A3D">
        <w:rPr>
          <w:rFonts w:eastAsiaTheme="minorHAnsi"/>
          <w:lang w:val="fr-FR" w:eastAsia="en-US"/>
        </w:rPr>
        <w:t>cycles</w:t>
      </w:r>
      <w:r w:rsidR="0062494F">
        <w:rPr>
          <w:rFonts w:eastAsiaTheme="minorHAnsi"/>
          <w:lang w:val="fr-FR" w:eastAsia="en-US"/>
        </w:rPr>
        <w:t xml:space="preserve"> </w:t>
      </w:r>
      <w:r w:rsidR="0062494F" w:rsidRPr="00701A3D">
        <w:rPr>
          <w:rFonts w:eastAsiaTheme="minorHAnsi"/>
          <w:lang w:val="fr-FR" w:eastAsia="en-US"/>
        </w:rPr>
        <w:t>et</w:t>
      </w:r>
      <w:r w:rsidR="0062494F">
        <w:rPr>
          <w:rFonts w:eastAsiaTheme="minorHAnsi"/>
          <w:lang w:val="fr-FR" w:eastAsia="en-US"/>
        </w:rPr>
        <w:t xml:space="preserve"> </w:t>
      </w:r>
      <w:r w:rsidR="0062494F" w:rsidRPr="00701A3D">
        <w:rPr>
          <w:rFonts w:eastAsiaTheme="minorHAnsi"/>
          <w:lang w:val="fr-FR" w:eastAsia="en-US"/>
        </w:rPr>
        <w:t xml:space="preserve">autres engins de transport non couverts par l’ADR </w:t>
      </w:r>
      <w:r w:rsidR="0062494F">
        <w:rPr>
          <w:rFonts w:eastAsiaTheme="minorHAnsi"/>
          <w:lang w:val="fr-FR" w:eastAsia="en-US"/>
        </w:rPr>
        <w:t>étaient</w:t>
      </w:r>
      <w:r w:rsidR="0062494F" w:rsidRPr="00701A3D">
        <w:rPr>
          <w:rFonts w:eastAsiaTheme="minorHAnsi"/>
          <w:lang w:val="fr-FR" w:eastAsia="en-US"/>
        </w:rPr>
        <w:t xml:space="preserve"> réglementé</w:t>
      </w:r>
      <w:r w:rsidR="0062494F">
        <w:rPr>
          <w:rFonts w:eastAsiaTheme="minorHAnsi"/>
          <w:lang w:val="fr-FR" w:eastAsia="en-US"/>
        </w:rPr>
        <w:t>s</w:t>
      </w:r>
      <w:r w:rsidR="0062494F" w:rsidRPr="00701A3D">
        <w:rPr>
          <w:rFonts w:eastAsiaTheme="minorHAnsi"/>
          <w:lang w:val="fr-FR" w:eastAsia="en-US"/>
        </w:rPr>
        <w:t xml:space="preserve"> dans leur pays et de quelle manière.</w:t>
      </w:r>
      <w:r w:rsidR="0062494F">
        <w:rPr>
          <w:rFonts w:eastAsiaTheme="minorHAnsi"/>
          <w:lang w:val="fr-FR" w:eastAsia="en-US"/>
        </w:rPr>
        <w:t xml:space="preserve"> Le Groupe de travail a invité les délégations qui ne l’avaient pas encore fait à transmettre ces informations par écrit au secrétariat avec une référence aux textes nationaux applicables le cas échéant.  </w:t>
      </w:r>
    </w:p>
    <w:p w14:paraId="56A03A72" w14:textId="19565A5F" w:rsidR="0062494F" w:rsidRDefault="00D72958" w:rsidP="0062494F">
      <w:pPr>
        <w:pStyle w:val="SingleTxtG"/>
        <w:rPr>
          <w:lang w:val="fr-FR"/>
        </w:rPr>
      </w:pPr>
      <w:r>
        <w:rPr>
          <w:lang w:val="fr-FR"/>
        </w:rPr>
        <w:t>42</w:t>
      </w:r>
      <w:r w:rsidR="0062494F">
        <w:rPr>
          <w:lang w:val="fr-FR"/>
        </w:rPr>
        <w:t>.</w:t>
      </w:r>
      <w:r w:rsidR="0062494F">
        <w:rPr>
          <w:lang w:val="fr-FR"/>
        </w:rPr>
        <w:tab/>
        <w:t xml:space="preserve">Le Groupe de travail a noté que des discussions similaires s’étaient tenues à l’OACI en ce qui concerne les livraisons par aéronefs téléguidés (drones). </w:t>
      </w:r>
    </w:p>
    <w:p w14:paraId="5BEF054C" w14:textId="339C2214" w:rsidR="0062494F" w:rsidRDefault="00D72958" w:rsidP="0062494F">
      <w:pPr>
        <w:pStyle w:val="SingleTxtG"/>
        <w:rPr>
          <w:lang w:val="fr-FR"/>
        </w:rPr>
      </w:pPr>
      <w:r>
        <w:rPr>
          <w:lang w:val="fr-FR"/>
        </w:rPr>
        <w:t>43</w:t>
      </w:r>
      <w:r w:rsidR="0062494F">
        <w:rPr>
          <w:lang w:val="fr-FR"/>
        </w:rPr>
        <w:t xml:space="preserve">. </w:t>
      </w:r>
      <w:r w:rsidR="0062494F">
        <w:rPr>
          <w:lang w:val="fr-FR"/>
        </w:rPr>
        <w:tab/>
        <w:t xml:space="preserve">Plusieurs délégations étaient favorables à poursuivre la discussion lors des prochaines sessions afin d’étudier les possibilités de révision du champ d’application de l’ADR et d’adapter les dispositions techniques des annexes A et B en conséquence afin de </w:t>
      </w:r>
      <w:r w:rsidR="0062494F" w:rsidRPr="003A40FF">
        <w:rPr>
          <w:lang w:val="fr-FR"/>
        </w:rPr>
        <w:t xml:space="preserve">permettre le transport sûr et sans </w:t>
      </w:r>
      <w:r w:rsidR="0062494F" w:rsidRPr="0040360F">
        <w:rPr>
          <w:spacing w:val="-2"/>
          <w:lang w:val="fr-FR"/>
        </w:rPr>
        <w:t>danger de marchandises dangereuses par des véhicules de micromobilité et par des cycles</w:t>
      </w:r>
      <w:r w:rsidR="0062494F">
        <w:rPr>
          <w:lang w:val="fr-FR"/>
        </w:rPr>
        <w:t>.</w:t>
      </w:r>
    </w:p>
    <w:p w14:paraId="7BAB254C" w14:textId="6317A1DD" w:rsidR="0062494F" w:rsidRDefault="00D72958" w:rsidP="0062494F">
      <w:pPr>
        <w:pStyle w:val="SingleTxtG"/>
        <w:rPr>
          <w:lang w:val="fr-FR"/>
        </w:rPr>
      </w:pPr>
      <w:r>
        <w:rPr>
          <w:lang w:val="fr-FR"/>
        </w:rPr>
        <w:t>44</w:t>
      </w:r>
      <w:r w:rsidR="0062494F">
        <w:rPr>
          <w:lang w:val="fr-FR"/>
        </w:rPr>
        <w:t>.</w:t>
      </w:r>
      <w:r w:rsidR="0062494F">
        <w:rPr>
          <w:lang w:val="fr-FR"/>
        </w:rPr>
        <w:tab/>
        <w:t xml:space="preserve">Le document ECE/TRANS/WP.15/2023/5, tel que </w:t>
      </w:r>
      <w:r w:rsidR="00FB0163">
        <w:rPr>
          <w:lang w:val="fr-FR"/>
        </w:rPr>
        <w:t>révisé pour tenir compte de la modification détaillée ci-dessus</w:t>
      </w:r>
      <w:r w:rsidR="0062494F">
        <w:rPr>
          <w:lang w:val="fr-FR"/>
        </w:rPr>
        <w:t>, sera maintenu à l’ordre du jour de la prochaine session.</w:t>
      </w:r>
    </w:p>
    <w:p w14:paraId="6FC2DC01" w14:textId="4CE17E57" w:rsidR="0062494F" w:rsidRDefault="00D72958" w:rsidP="0062494F">
      <w:pPr>
        <w:pStyle w:val="SingleTxtG"/>
        <w:rPr>
          <w:lang w:val="fr-FR"/>
        </w:rPr>
      </w:pPr>
      <w:r>
        <w:rPr>
          <w:lang w:val="fr-FR"/>
        </w:rPr>
        <w:t>45</w:t>
      </w:r>
      <w:r w:rsidR="0062494F">
        <w:rPr>
          <w:lang w:val="fr-FR"/>
        </w:rPr>
        <w:t>.</w:t>
      </w:r>
      <w:r w:rsidR="0062494F">
        <w:rPr>
          <w:lang w:val="fr-FR"/>
        </w:rPr>
        <w:tab/>
        <w:t>Le Groupe de travail a relevé que l</w:t>
      </w:r>
      <w:r w:rsidR="0062494F" w:rsidRPr="00581DD0">
        <w:rPr>
          <w:lang w:val="fr-FR"/>
        </w:rPr>
        <w:t>a clarification des dispositions actuelles et l’élaboration de nouvelles dispositions visant à permettre le transport sûr et sans danger de marchandises dangereuses par des véhicules de micromobilité et par des cycles contribu</w:t>
      </w:r>
      <w:r w:rsidR="0062494F">
        <w:rPr>
          <w:lang w:val="fr-FR"/>
        </w:rPr>
        <w:t>eraient</w:t>
      </w:r>
      <w:r w:rsidR="0062494F" w:rsidRPr="00581DD0">
        <w:rPr>
          <w:lang w:val="fr-FR"/>
        </w:rPr>
        <w:t xml:space="preserve"> à la réalisation des ODD nos 3, 11 et 13.</w:t>
      </w:r>
    </w:p>
    <w:p w14:paraId="217EF4E5" w14:textId="77777777" w:rsidR="0062494F" w:rsidRPr="00736219" w:rsidRDefault="0062494F" w:rsidP="0062494F">
      <w:pPr>
        <w:pStyle w:val="H1G"/>
        <w:rPr>
          <w:b w:val="0"/>
          <w:lang w:val="fr-FR"/>
        </w:rPr>
      </w:pPr>
      <w:r w:rsidRPr="00736219">
        <w:rPr>
          <w:lang w:val="fr-FR"/>
        </w:rPr>
        <w:tab/>
      </w:r>
      <w:r>
        <w:rPr>
          <w:lang w:val="fr-FR"/>
        </w:rPr>
        <w:t>B</w:t>
      </w:r>
      <w:r w:rsidRPr="00736219">
        <w:rPr>
          <w:lang w:val="fr-FR"/>
        </w:rPr>
        <w:t>.</w:t>
      </w:r>
      <w:r w:rsidRPr="00736219">
        <w:rPr>
          <w:lang w:val="fr-FR"/>
        </w:rPr>
        <w:tab/>
      </w:r>
      <w:r w:rsidRPr="003245B3">
        <w:rPr>
          <w:lang w:val="fr-FR"/>
        </w:rPr>
        <w:t xml:space="preserve">Document de transport − marchandises </w:t>
      </w:r>
      <w:r>
        <w:rPr>
          <w:lang w:val="fr-FR"/>
        </w:rPr>
        <w:t>transportées par unité de transport et par véhicule</w:t>
      </w:r>
    </w:p>
    <w:p w14:paraId="1E85C9A3" w14:textId="77777777" w:rsidR="0062494F" w:rsidRDefault="0062494F" w:rsidP="0062494F">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 </w:t>
      </w:r>
      <w:r w:rsidRPr="00495E83">
        <w:rPr>
          <w:lang w:val="fr-FR"/>
        </w:rPr>
        <w:t>:</w:t>
      </w:r>
      <w:r w:rsidRPr="00495E83">
        <w:rPr>
          <w:lang w:val="fr-FR"/>
        </w:rPr>
        <w:tab/>
      </w:r>
      <w:r w:rsidRPr="00495E83">
        <w:rPr>
          <w:lang w:val="fr-FR"/>
        </w:rPr>
        <w:tab/>
      </w:r>
      <w:r>
        <w:rPr>
          <w:lang w:val="fr-FR"/>
        </w:rPr>
        <w:t>ECE/TRANS/WP.15/2023/6 (Finlande)</w:t>
      </w:r>
    </w:p>
    <w:p w14:paraId="0D9540E5" w14:textId="3004A811" w:rsidR="0062494F" w:rsidRDefault="00D72958" w:rsidP="0062494F">
      <w:pPr>
        <w:pStyle w:val="SingleTxtG"/>
        <w:rPr>
          <w:lang w:val="fr-FR"/>
        </w:rPr>
      </w:pPr>
      <w:r>
        <w:rPr>
          <w:lang w:val="fr-FR"/>
        </w:rPr>
        <w:t>46</w:t>
      </w:r>
      <w:r w:rsidR="0062494F">
        <w:rPr>
          <w:lang w:val="fr-FR"/>
        </w:rPr>
        <w:t>.</w:t>
      </w:r>
      <w:r w:rsidR="0062494F">
        <w:rPr>
          <w:lang w:val="fr-FR"/>
        </w:rPr>
        <w:tab/>
        <w:t>Le Groupe de travail a confirmé que l’amendement adopté au 5.4.0.1</w:t>
      </w:r>
      <w:r w:rsidR="0062494F">
        <w:rPr>
          <w:b/>
          <w:bCs/>
          <w:lang w:val="fr-FR"/>
        </w:rPr>
        <w:t xml:space="preserve"> </w:t>
      </w:r>
      <w:r w:rsidR="0062494F" w:rsidRPr="007E24F5">
        <w:rPr>
          <w:lang w:val="fr-FR"/>
        </w:rPr>
        <w:t xml:space="preserve">(voir </w:t>
      </w:r>
      <w:r w:rsidR="006E6CAF">
        <w:rPr>
          <w:lang w:val="fr-FR"/>
        </w:rPr>
        <w:t xml:space="preserve">le </w:t>
      </w:r>
      <w:r w:rsidR="00874CCF">
        <w:rPr>
          <w:lang w:val="fr-FR"/>
        </w:rPr>
        <w:t>paragraphe</w:t>
      </w:r>
      <w:r w:rsidR="00874CCF" w:rsidRPr="007E24F5">
        <w:rPr>
          <w:lang w:val="fr-FR"/>
        </w:rPr>
        <w:t xml:space="preserve"> </w:t>
      </w:r>
      <w:r w:rsidR="0062494F" w:rsidRPr="007E24F5">
        <w:rPr>
          <w:lang w:val="fr-FR"/>
        </w:rPr>
        <w:t xml:space="preserve">19) </w:t>
      </w:r>
      <w:r w:rsidR="0062494F">
        <w:rPr>
          <w:lang w:val="fr-FR"/>
        </w:rPr>
        <w:t xml:space="preserve">répondait aux préoccupations de la Finlande. </w:t>
      </w:r>
    </w:p>
    <w:p w14:paraId="31E73A07" w14:textId="0E64910B" w:rsidR="0062494F" w:rsidRPr="007E24F5" w:rsidRDefault="00D72958" w:rsidP="0062494F">
      <w:pPr>
        <w:pStyle w:val="SingleTxtG"/>
        <w:rPr>
          <w:rFonts w:eastAsiaTheme="minorHAnsi"/>
          <w:lang w:eastAsia="en-US"/>
        </w:rPr>
      </w:pPr>
      <w:r>
        <w:rPr>
          <w:lang w:val="fr-FR"/>
        </w:rPr>
        <w:t>47</w:t>
      </w:r>
      <w:r w:rsidR="0062494F">
        <w:rPr>
          <w:lang w:val="fr-FR"/>
        </w:rPr>
        <w:t>.</w:t>
      </w:r>
      <w:r w:rsidR="0062494F">
        <w:rPr>
          <w:lang w:val="fr-FR"/>
        </w:rPr>
        <w:tab/>
        <w:t xml:space="preserve">Le Groupe de travail est également convenu que le développement de l’utilisation des </w:t>
      </w:r>
      <w:r w:rsidR="0062494F" w:rsidRPr="00C177A8">
        <w:rPr>
          <w:lang w:val="fr-FR"/>
        </w:rPr>
        <w:t>techniques de traitement électronique de l'information (TEI) ou d'échange</w:t>
      </w:r>
      <w:r w:rsidR="0062494F">
        <w:rPr>
          <w:lang w:val="fr-FR"/>
        </w:rPr>
        <w:t xml:space="preserve"> </w:t>
      </w:r>
      <w:r w:rsidR="0062494F" w:rsidRPr="00C177A8">
        <w:rPr>
          <w:lang w:val="fr-FR"/>
        </w:rPr>
        <w:t>de données informatisées (EDI) pour remplacer</w:t>
      </w:r>
      <w:r w:rsidR="0062494F">
        <w:rPr>
          <w:lang w:val="fr-FR"/>
        </w:rPr>
        <w:t xml:space="preserve"> les documents de transport, tel que prévu au 5.4.0.2, faciliterait l’identification et le suivi des marchandises déchargées ou transférées d’un véhicule à un autre au cours d’une opération de livraison.</w:t>
      </w:r>
    </w:p>
    <w:p w14:paraId="0EA9F829" w14:textId="77777777" w:rsidR="0062494F" w:rsidRPr="00736219" w:rsidRDefault="0062494F" w:rsidP="0062494F">
      <w:pPr>
        <w:pStyle w:val="H1G"/>
        <w:rPr>
          <w:b w:val="0"/>
          <w:lang w:val="fr-FR"/>
        </w:rPr>
      </w:pPr>
      <w:r w:rsidRPr="00736219">
        <w:rPr>
          <w:lang w:val="fr-FR"/>
        </w:rPr>
        <w:tab/>
      </w:r>
      <w:r>
        <w:rPr>
          <w:lang w:val="fr-FR"/>
        </w:rPr>
        <w:t>C</w:t>
      </w:r>
      <w:r w:rsidRPr="00736219">
        <w:rPr>
          <w:lang w:val="fr-FR"/>
        </w:rPr>
        <w:t>.</w:t>
      </w:r>
      <w:r w:rsidRPr="00736219">
        <w:rPr>
          <w:lang w:val="fr-FR"/>
        </w:rPr>
        <w:tab/>
      </w:r>
      <w:r>
        <w:rPr>
          <w:lang w:val="fr-FR"/>
        </w:rPr>
        <w:t>T</w:t>
      </w:r>
      <w:r w:rsidRPr="00791F90">
        <w:rPr>
          <w:lang w:val="fr-FR"/>
        </w:rPr>
        <w:t xml:space="preserve">ransport de marchandises dangereuses dans le cadre </w:t>
      </w:r>
      <w:r>
        <w:rPr>
          <w:lang w:val="fr-FR"/>
        </w:rPr>
        <w:t>des</w:t>
      </w:r>
      <w:r w:rsidRPr="00791F90">
        <w:rPr>
          <w:lang w:val="fr-FR"/>
        </w:rPr>
        <w:t xml:space="preserve"> missions de protection du public</w:t>
      </w:r>
      <w:r>
        <w:rPr>
          <w:lang w:val="fr-FR"/>
        </w:rPr>
        <w:t xml:space="preserve"> </w:t>
      </w:r>
    </w:p>
    <w:p w14:paraId="29A1F9AA" w14:textId="53218441" w:rsidR="0062494F" w:rsidRDefault="0062494F" w:rsidP="0062494F">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 </w:t>
      </w:r>
      <w:r w:rsidRPr="00495E83">
        <w:rPr>
          <w:lang w:val="fr-FR"/>
        </w:rPr>
        <w:t>:</w:t>
      </w:r>
      <w:r w:rsidRPr="00495E83">
        <w:rPr>
          <w:lang w:val="fr-FR"/>
        </w:rPr>
        <w:tab/>
      </w:r>
      <w:r w:rsidRPr="00495E83">
        <w:rPr>
          <w:lang w:val="fr-FR"/>
        </w:rPr>
        <w:tab/>
        <w:t>ECE/TRANS/</w:t>
      </w:r>
      <w:r>
        <w:rPr>
          <w:lang w:val="fr-FR"/>
        </w:rPr>
        <w:t xml:space="preserve">WP.15/AC.1/168, </w:t>
      </w:r>
      <w:r w:rsidR="00874CCF">
        <w:rPr>
          <w:lang w:val="fr-FR"/>
        </w:rPr>
        <w:t xml:space="preserve">paragraphes </w:t>
      </w:r>
      <w:r>
        <w:rPr>
          <w:lang w:val="fr-FR"/>
        </w:rPr>
        <w:t>35 et 36</w:t>
      </w:r>
      <w:r w:rsidRPr="00495E83">
        <w:rPr>
          <w:lang w:val="fr-FR"/>
        </w:rPr>
        <w:t xml:space="preserve"> (</w:t>
      </w:r>
      <w:r w:rsidRPr="00C16A26">
        <w:rPr>
          <w:lang w:val="fr-FR"/>
        </w:rPr>
        <w:t>Rapport de la Réunion commune sur sa session de printemps 2023</w:t>
      </w:r>
      <w:r w:rsidRPr="00495E83">
        <w:rPr>
          <w:lang w:val="fr-FR"/>
        </w:rPr>
        <w:t>)</w:t>
      </w:r>
    </w:p>
    <w:p w14:paraId="45F3AE26" w14:textId="77777777" w:rsidR="0062494F" w:rsidRPr="00495E83" w:rsidRDefault="0062494F" w:rsidP="0062494F">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 informel </w:t>
      </w:r>
      <w:r w:rsidRPr="00495E83">
        <w:rPr>
          <w:lang w:val="fr-FR"/>
        </w:rPr>
        <w:t>:</w:t>
      </w:r>
      <w:r w:rsidRPr="00495E83">
        <w:rPr>
          <w:lang w:val="fr-FR"/>
        </w:rPr>
        <w:tab/>
        <w:t>INF.</w:t>
      </w:r>
      <w:r>
        <w:rPr>
          <w:lang w:val="fr-FR"/>
        </w:rPr>
        <w:t>4</w:t>
      </w:r>
      <w:r w:rsidRPr="00495E83">
        <w:rPr>
          <w:lang w:val="fr-FR"/>
        </w:rPr>
        <w:t xml:space="preserve"> (</w:t>
      </w:r>
      <w:r>
        <w:rPr>
          <w:lang w:val="fr-FR"/>
        </w:rPr>
        <w:t>Pays-Bas</w:t>
      </w:r>
      <w:r w:rsidRPr="00495E83">
        <w:rPr>
          <w:lang w:val="fr-FR"/>
        </w:rPr>
        <w:t>)</w:t>
      </w:r>
    </w:p>
    <w:p w14:paraId="306CB4E8" w14:textId="5F241FBB" w:rsidR="0062494F" w:rsidRPr="00991589" w:rsidRDefault="00D72958" w:rsidP="0062494F">
      <w:pPr>
        <w:pStyle w:val="SingleTxtG"/>
        <w:rPr>
          <w:rFonts w:ascii="TimesNewRomanPSMT" w:hAnsi="TimesNewRomanPSMT" w:cs="TimesNewRomanPSMT"/>
          <w:lang w:val="fr-FR"/>
        </w:rPr>
      </w:pPr>
      <w:r>
        <w:rPr>
          <w:lang w:val="fr-FR"/>
        </w:rPr>
        <w:t>48</w:t>
      </w:r>
      <w:r w:rsidR="0062494F">
        <w:rPr>
          <w:lang w:val="fr-FR"/>
        </w:rPr>
        <w:t>.</w:t>
      </w:r>
      <w:r w:rsidR="0062494F">
        <w:rPr>
          <w:lang w:val="fr-FR"/>
        </w:rPr>
        <w:tab/>
        <w:t xml:space="preserve">Le Groupe de travail a confirmé l’interprétation de la Réunion commune selon laquelle </w:t>
      </w:r>
      <w:r w:rsidR="0062494F" w:rsidRPr="009C704A">
        <w:rPr>
          <w:lang w:val="fr-FR"/>
        </w:rPr>
        <w:t>les dispositions</w:t>
      </w:r>
      <w:r w:rsidR="0062494F">
        <w:rPr>
          <w:lang w:val="fr-FR"/>
        </w:rPr>
        <w:t xml:space="preserve"> du</w:t>
      </w:r>
      <w:r w:rsidR="0062494F" w:rsidRPr="009C704A">
        <w:rPr>
          <w:lang w:val="fr-FR"/>
        </w:rPr>
        <w:t xml:space="preserve"> 1.1.3.1</w:t>
      </w:r>
      <w:r w:rsidR="0062494F">
        <w:rPr>
          <w:lang w:val="fr-FR"/>
        </w:rPr>
        <w:t> </w:t>
      </w:r>
      <w:r w:rsidR="0062494F" w:rsidRPr="009C704A">
        <w:rPr>
          <w:lang w:val="fr-FR"/>
        </w:rPr>
        <w:t>d) et e) permettaient aux services publics (par exemple, la police, les forces de l’ordre en général, les douanes) de transporter des marchandises dangereuses dans le cadre de leurs missions de protection du public.</w:t>
      </w:r>
      <w:r w:rsidR="0062494F">
        <w:rPr>
          <w:lang w:val="fr-FR"/>
        </w:rPr>
        <w:t xml:space="preserve"> </w:t>
      </w:r>
      <w:r w:rsidR="0062494F" w:rsidRPr="00991589">
        <w:rPr>
          <w:rFonts w:ascii="TimesNewRomanPSMT" w:hAnsi="TimesNewRomanPSMT" w:cs="TimesNewRomanPSMT"/>
          <w:lang w:val="fr-FR"/>
        </w:rPr>
        <w:t xml:space="preserve">Cette interprétation sera publiée sur la page dédiée du site internet de la Commission économique pour l’Europe. </w:t>
      </w:r>
    </w:p>
    <w:p w14:paraId="5564FE99" w14:textId="70E8233D" w:rsidR="0062494F" w:rsidRDefault="00D72958" w:rsidP="0062494F">
      <w:pPr>
        <w:pStyle w:val="SingleTxtG"/>
        <w:rPr>
          <w:lang w:val="fr-FR"/>
        </w:rPr>
      </w:pPr>
      <w:r>
        <w:rPr>
          <w:lang w:val="fr-FR"/>
        </w:rPr>
        <w:t>49</w:t>
      </w:r>
      <w:r w:rsidR="0062494F">
        <w:rPr>
          <w:lang w:val="fr-FR"/>
        </w:rPr>
        <w:t>.</w:t>
      </w:r>
      <w:r w:rsidR="0062494F">
        <w:rPr>
          <w:lang w:val="fr-FR"/>
        </w:rPr>
        <w:tab/>
        <w:t>Le Groupe de travail était cependant d’avis qu’il pourrait être utile de préciser de manière plus détaillée les cas couverts par le 1.1.3.1 et a invité le représentant des Pays-Bas à reconsidérer cette question pour le transport routier, sur la base du document informel INF.14 qui avait été présenté à la Réunion commune à sa session de printemps 2023 et à la lumière des commentaires reçus.</w:t>
      </w:r>
    </w:p>
    <w:p w14:paraId="1E881704" w14:textId="77777777" w:rsidR="0062494F" w:rsidRPr="00736219" w:rsidRDefault="0062494F" w:rsidP="00280185">
      <w:pPr>
        <w:pStyle w:val="H1G"/>
        <w:rPr>
          <w:b w:val="0"/>
          <w:lang w:val="fr-FR"/>
        </w:rPr>
      </w:pPr>
      <w:r w:rsidRPr="00736219">
        <w:rPr>
          <w:lang w:val="fr-FR"/>
        </w:rPr>
        <w:lastRenderedPageBreak/>
        <w:tab/>
      </w:r>
      <w:r>
        <w:rPr>
          <w:lang w:val="fr-FR"/>
        </w:rPr>
        <w:t>D</w:t>
      </w:r>
      <w:r w:rsidRPr="00736219">
        <w:rPr>
          <w:lang w:val="fr-FR"/>
        </w:rPr>
        <w:t>.</w:t>
      </w:r>
      <w:r w:rsidRPr="00736219">
        <w:rPr>
          <w:lang w:val="fr-FR"/>
        </w:rPr>
        <w:tab/>
      </w:r>
      <w:r>
        <w:rPr>
          <w:lang w:val="fr-FR"/>
        </w:rPr>
        <w:t xml:space="preserve">Examen pour le renouvellement du certificat de conseiller à la sécurité </w:t>
      </w:r>
    </w:p>
    <w:p w14:paraId="65E7A95A" w14:textId="77777777" w:rsidR="0062494F" w:rsidRPr="00495E83" w:rsidRDefault="0062494F" w:rsidP="00280185">
      <w:pPr>
        <w:keepNext/>
        <w:keepLines/>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 informel </w:t>
      </w:r>
      <w:r w:rsidRPr="00495E83">
        <w:rPr>
          <w:lang w:val="fr-FR"/>
        </w:rPr>
        <w:t>:</w:t>
      </w:r>
      <w:r w:rsidRPr="00495E83">
        <w:rPr>
          <w:lang w:val="fr-FR"/>
        </w:rPr>
        <w:tab/>
        <w:t>INF.</w:t>
      </w:r>
      <w:r>
        <w:rPr>
          <w:lang w:val="fr-FR"/>
        </w:rPr>
        <w:t>14</w:t>
      </w:r>
      <w:r w:rsidRPr="00495E83">
        <w:rPr>
          <w:lang w:val="fr-FR"/>
        </w:rPr>
        <w:t xml:space="preserve"> (</w:t>
      </w:r>
      <w:r>
        <w:rPr>
          <w:lang w:val="fr-FR"/>
        </w:rPr>
        <w:t>Irlande</w:t>
      </w:r>
      <w:r w:rsidRPr="00495E83">
        <w:rPr>
          <w:lang w:val="fr-FR"/>
        </w:rPr>
        <w:t>)</w:t>
      </w:r>
    </w:p>
    <w:p w14:paraId="0358C4AE" w14:textId="149CBC32" w:rsidR="0062494F" w:rsidRDefault="00D72958" w:rsidP="00280185">
      <w:pPr>
        <w:pStyle w:val="SingleTxtG"/>
        <w:keepNext/>
        <w:keepLines/>
        <w:rPr>
          <w:rFonts w:ascii="TimesNewRomanPSMT" w:hAnsi="TimesNewRomanPSMT" w:cs="TimesNewRomanPSMT"/>
          <w:lang w:val="fr-FR"/>
        </w:rPr>
      </w:pPr>
      <w:r>
        <w:rPr>
          <w:lang w:val="fr-FR"/>
        </w:rPr>
        <w:t>50</w:t>
      </w:r>
      <w:r w:rsidR="0062494F" w:rsidRPr="00CB21BB">
        <w:rPr>
          <w:lang w:val="fr-FR"/>
        </w:rPr>
        <w:t>.</w:t>
      </w:r>
      <w:r w:rsidR="0062494F" w:rsidRPr="00CB21BB">
        <w:rPr>
          <w:lang w:val="fr-FR"/>
        </w:rPr>
        <w:tab/>
        <w:t>La plupart des délégations qui se sont prononcées ont indiqué que</w:t>
      </w:r>
      <w:r w:rsidR="0062494F">
        <w:rPr>
          <w:lang w:val="fr-FR"/>
        </w:rPr>
        <w:t>, par décision de l’autorité compétente,</w:t>
      </w:r>
      <w:r w:rsidR="0062494F" w:rsidRPr="00CB21BB">
        <w:rPr>
          <w:lang w:val="fr-FR"/>
        </w:rPr>
        <w:t xml:space="preserve"> l’examen pour le renouvellement du certificat de conseiller à la sécurité organisé dans leur pays ne comprenait pas </w:t>
      </w:r>
      <w:r w:rsidR="0062494F" w:rsidRPr="00CB21BB">
        <w:rPr>
          <w:rFonts w:ascii="TimesNewRomanPSMT" w:hAnsi="TimesNewRomanPSMT" w:cs="TimesNewRomanPSMT"/>
          <w:lang w:val="fr-FR"/>
        </w:rPr>
        <w:t>d'étude de cas telle que mentionnée au 1.8.3.12.4 b)</w:t>
      </w:r>
      <w:r w:rsidR="0062494F">
        <w:rPr>
          <w:rFonts w:ascii="TimesNewRomanPSMT" w:hAnsi="TimesNewRomanPSMT" w:cs="TimesNewRomanPSMT"/>
          <w:lang w:val="fr-FR"/>
        </w:rPr>
        <w:t>. D’autres pays, comme l’Irlande, avaient fait le choix de maintenir cette étude de cas pour les examens de renouvellement.</w:t>
      </w:r>
    </w:p>
    <w:p w14:paraId="7F7DF8A9" w14:textId="16EFA10E" w:rsidR="0062494F" w:rsidRPr="00956799" w:rsidRDefault="00D72958" w:rsidP="0062494F">
      <w:pPr>
        <w:pStyle w:val="SingleTxtG"/>
        <w:rPr>
          <w:lang w:val="fr-FR"/>
        </w:rPr>
      </w:pPr>
      <w:r>
        <w:rPr>
          <w:lang w:val="fr-FR"/>
        </w:rPr>
        <w:t>51</w:t>
      </w:r>
      <w:r w:rsidR="0062494F">
        <w:rPr>
          <w:lang w:val="fr-FR"/>
        </w:rPr>
        <w:t>.</w:t>
      </w:r>
      <w:r w:rsidR="0062494F">
        <w:rPr>
          <w:lang w:val="fr-FR"/>
        </w:rPr>
        <w:tab/>
        <w:t xml:space="preserve">Le Groupe de travail a noté que les différentes versions linguistiques du texte du 1.8.3.16.2 n’étaient pas complètement alignées et que ceci pourrait, par conséquent, </w:t>
      </w:r>
      <w:r w:rsidR="0062494F" w:rsidRPr="00060B25">
        <w:rPr>
          <w:lang w:val="fr-FR"/>
        </w:rPr>
        <w:t>donne</w:t>
      </w:r>
      <w:r w:rsidR="0062494F">
        <w:rPr>
          <w:lang w:val="fr-FR"/>
        </w:rPr>
        <w:t>r</w:t>
      </w:r>
      <w:r w:rsidR="0062494F" w:rsidRPr="00060B25">
        <w:rPr>
          <w:lang w:val="fr-FR"/>
        </w:rPr>
        <w:t xml:space="preserve"> lieu à différentes interprétations</w:t>
      </w:r>
      <w:r w:rsidR="0062494F">
        <w:rPr>
          <w:lang w:val="fr-FR"/>
        </w:rPr>
        <w:t>. Ce texte étant commun au RID, à l’ADR et à l’ADN, toute proposition d’amendement devrait être discutée par la Réunion commune.</w:t>
      </w:r>
    </w:p>
    <w:p w14:paraId="0C97BC93" w14:textId="77777777" w:rsidR="00EA47F8" w:rsidRPr="00736219" w:rsidRDefault="00EA47F8" w:rsidP="00EA47F8">
      <w:pPr>
        <w:pStyle w:val="H1G"/>
        <w:rPr>
          <w:b w:val="0"/>
          <w:lang w:val="fr-FR"/>
        </w:rPr>
      </w:pPr>
      <w:r w:rsidRPr="00736219">
        <w:rPr>
          <w:lang w:val="fr-FR"/>
        </w:rPr>
        <w:tab/>
      </w:r>
      <w:r>
        <w:rPr>
          <w:lang w:val="fr-FR"/>
        </w:rPr>
        <w:t>E</w:t>
      </w:r>
      <w:r w:rsidRPr="00736219">
        <w:rPr>
          <w:lang w:val="fr-FR"/>
        </w:rPr>
        <w:t>.</w:t>
      </w:r>
      <w:r w:rsidRPr="00736219">
        <w:rPr>
          <w:lang w:val="fr-FR"/>
        </w:rPr>
        <w:tab/>
      </w:r>
      <w:r>
        <w:rPr>
          <w:lang w:val="fr-FR"/>
        </w:rPr>
        <w:t xml:space="preserve">Référence aux </w:t>
      </w:r>
      <w:r w:rsidRPr="00795A04">
        <w:rPr>
          <w:lang w:val="fr-FR"/>
        </w:rPr>
        <w:t>machines et équipements en relation avec le 1.1.3.6.3</w:t>
      </w:r>
      <w:r>
        <w:rPr>
          <w:lang w:val="fr-FR"/>
        </w:rPr>
        <w:t>,</w:t>
      </w:r>
      <w:r w:rsidRPr="00795A04">
        <w:rPr>
          <w:lang w:val="fr-FR"/>
        </w:rPr>
        <w:t xml:space="preserve"> premier tiret</w:t>
      </w:r>
      <w:r>
        <w:rPr>
          <w:lang w:val="fr-FR"/>
        </w:rPr>
        <w:t xml:space="preserve"> </w:t>
      </w:r>
    </w:p>
    <w:p w14:paraId="342A0E99" w14:textId="77777777" w:rsidR="00EA47F8" w:rsidRPr="00495E83" w:rsidRDefault="00EA47F8" w:rsidP="00EA47F8">
      <w:pPr>
        <w:suppressAutoHyphens/>
        <w:kinsoku w:val="0"/>
        <w:overflowPunct w:val="0"/>
        <w:autoSpaceDE w:val="0"/>
        <w:autoSpaceDN w:val="0"/>
        <w:adjustRightInd w:val="0"/>
        <w:snapToGrid w:val="0"/>
        <w:spacing w:before="120" w:after="120"/>
        <w:ind w:left="3402" w:right="1134" w:hanging="2268"/>
        <w:jc w:val="both"/>
        <w:rPr>
          <w:lang w:val="fr-FR"/>
        </w:rPr>
      </w:pPr>
      <w:r w:rsidRPr="00495E83">
        <w:rPr>
          <w:i/>
          <w:iCs/>
          <w:lang w:val="fr-FR"/>
        </w:rPr>
        <w:t>Document informel </w:t>
      </w:r>
      <w:r w:rsidRPr="00495E83">
        <w:rPr>
          <w:lang w:val="fr-FR"/>
        </w:rPr>
        <w:t>:</w:t>
      </w:r>
      <w:r w:rsidRPr="00495E83">
        <w:rPr>
          <w:lang w:val="fr-FR"/>
        </w:rPr>
        <w:tab/>
        <w:t>INF.</w:t>
      </w:r>
      <w:r>
        <w:rPr>
          <w:lang w:val="fr-FR"/>
        </w:rPr>
        <w:t>15</w:t>
      </w:r>
      <w:r w:rsidRPr="00495E83">
        <w:rPr>
          <w:lang w:val="fr-FR"/>
        </w:rPr>
        <w:t xml:space="preserve"> (</w:t>
      </w:r>
      <w:r>
        <w:rPr>
          <w:lang w:val="fr-FR"/>
        </w:rPr>
        <w:t>IASA</w:t>
      </w:r>
      <w:r w:rsidRPr="00495E83">
        <w:rPr>
          <w:lang w:val="fr-FR"/>
        </w:rPr>
        <w:t>)</w:t>
      </w:r>
    </w:p>
    <w:p w14:paraId="4C7ECA17" w14:textId="172C9DFE" w:rsidR="00EA47F8" w:rsidRDefault="00D72958" w:rsidP="00EA47F8">
      <w:pPr>
        <w:pStyle w:val="SingleTxtG"/>
        <w:rPr>
          <w:rFonts w:ascii="TimesNewRomanPSMT" w:hAnsi="TimesNewRomanPSMT" w:cs="TimesNewRomanPSMT"/>
          <w:lang w:val="fr-FR"/>
        </w:rPr>
      </w:pPr>
      <w:r>
        <w:rPr>
          <w:lang w:val="fr-FR"/>
        </w:rPr>
        <w:t>52</w:t>
      </w:r>
      <w:r w:rsidR="00EA47F8" w:rsidRPr="00CB21BB">
        <w:rPr>
          <w:lang w:val="fr-FR"/>
        </w:rPr>
        <w:t>.</w:t>
      </w:r>
      <w:r w:rsidR="00EA47F8" w:rsidRPr="00CB21BB">
        <w:rPr>
          <w:lang w:val="fr-FR"/>
        </w:rPr>
        <w:tab/>
        <w:t xml:space="preserve">La plupart des délégations qui se sont prononcées </w:t>
      </w:r>
      <w:r w:rsidR="00EA47F8">
        <w:rPr>
          <w:lang w:val="fr-FR"/>
        </w:rPr>
        <w:t>considéraient que c’était la masse nette de matière dangereuse contenue qui devait être prise en considération dans le cas du No. ONU 2990.</w:t>
      </w:r>
    </w:p>
    <w:p w14:paraId="371BAB46" w14:textId="44C3142D" w:rsidR="00EA47F8" w:rsidRDefault="00D72958" w:rsidP="00EA47F8">
      <w:pPr>
        <w:pStyle w:val="SingleTxtG"/>
        <w:rPr>
          <w:lang w:val="fr-FR" w:eastAsia="en-US"/>
        </w:rPr>
      </w:pPr>
      <w:r>
        <w:rPr>
          <w:lang w:val="fr-FR" w:eastAsia="en-US"/>
        </w:rPr>
        <w:t>53</w:t>
      </w:r>
      <w:r w:rsidR="00EA47F8">
        <w:rPr>
          <w:lang w:val="fr-FR" w:eastAsia="en-US"/>
        </w:rPr>
        <w:t>.</w:t>
      </w:r>
      <w:r w:rsidR="00EA47F8">
        <w:rPr>
          <w:lang w:val="fr-FR" w:eastAsia="en-US"/>
        </w:rPr>
        <w:tab/>
        <w:t xml:space="preserve">Le Groupe de travail a invité le représentant de IASA à se rapprocher de la délégation de l’Espagne qui avait déjà préparé des propositions sur la classification des objets et des marchandises dangereuses </w:t>
      </w:r>
      <w:r w:rsidR="00EA47F8" w:rsidRPr="003A070D">
        <w:rPr>
          <w:lang w:val="fr-FR" w:eastAsia="en-US"/>
        </w:rPr>
        <w:t>contenues dans des machines ou des équipements</w:t>
      </w:r>
      <w:r w:rsidR="00EA47F8">
        <w:rPr>
          <w:lang w:val="fr-FR" w:eastAsia="en-US"/>
        </w:rPr>
        <w:t xml:space="preserve"> dans le RID, l’ADR et l’ADN et, éventuellement, à présenter un document officiel à la Réunion commune.</w:t>
      </w:r>
    </w:p>
    <w:p w14:paraId="1EB9671A" w14:textId="77777777" w:rsidR="0062494F" w:rsidRPr="00495E83" w:rsidRDefault="0062494F" w:rsidP="0062494F">
      <w:pPr>
        <w:pStyle w:val="HChG"/>
        <w:rPr>
          <w:b w:val="0"/>
          <w:lang w:eastAsia="en-US"/>
        </w:rPr>
      </w:pPr>
      <w:r w:rsidRPr="00495E83">
        <w:rPr>
          <w:lang w:eastAsia="en-US"/>
        </w:rPr>
        <w:tab/>
        <w:t>V</w:t>
      </w:r>
      <w:r>
        <w:rPr>
          <w:lang w:eastAsia="en-US"/>
        </w:rPr>
        <w:t>III</w:t>
      </w:r>
      <w:r w:rsidRPr="00495E83">
        <w:rPr>
          <w:lang w:eastAsia="en-US"/>
        </w:rPr>
        <w:t>.</w:t>
      </w:r>
      <w:r w:rsidRPr="00495E83">
        <w:rPr>
          <w:lang w:eastAsia="en-US"/>
        </w:rPr>
        <w:tab/>
      </w:r>
      <w:r w:rsidRPr="0013049E">
        <w:rPr>
          <w:lang w:eastAsia="en-US"/>
        </w:rPr>
        <w:t>Économie circulaire, utilisation durable des ressources naturelles et objectifs de développement durable</w:t>
      </w:r>
      <w:r w:rsidRPr="00495E83">
        <w:rPr>
          <w:lang w:eastAsia="en-US"/>
        </w:rPr>
        <w:t xml:space="preserve"> (point </w:t>
      </w:r>
      <w:r>
        <w:rPr>
          <w:lang w:eastAsia="en-US"/>
        </w:rPr>
        <w:t>7</w:t>
      </w:r>
      <w:r w:rsidRPr="00495E83">
        <w:rPr>
          <w:lang w:eastAsia="en-US"/>
        </w:rPr>
        <w:t xml:space="preserve"> de l’ordre du jour)</w:t>
      </w:r>
    </w:p>
    <w:p w14:paraId="49B52617" w14:textId="32AAF262" w:rsidR="0062494F" w:rsidRDefault="0062494F" w:rsidP="0062494F">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 </w:t>
      </w:r>
      <w:r w:rsidRPr="00495E83">
        <w:rPr>
          <w:lang w:val="fr-FR"/>
        </w:rPr>
        <w:t>:</w:t>
      </w:r>
      <w:r w:rsidRPr="00495E83">
        <w:rPr>
          <w:lang w:val="fr-FR"/>
        </w:rPr>
        <w:tab/>
      </w:r>
      <w:r w:rsidRPr="00495E83">
        <w:rPr>
          <w:lang w:val="fr-FR"/>
        </w:rPr>
        <w:tab/>
        <w:t>ECE/TRANS/</w:t>
      </w:r>
      <w:r>
        <w:rPr>
          <w:lang w:val="fr-FR"/>
        </w:rPr>
        <w:t xml:space="preserve">WP.15/AC.1/168, </w:t>
      </w:r>
      <w:r w:rsidR="00114214">
        <w:rPr>
          <w:lang w:val="fr-FR"/>
        </w:rPr>
        <w:t xml:space="preserve">paragraphe </w:t>
      </w:r>
      <w:r>
        <w:rPr>
          <w:lang w:val="fr-FR"/>
        </w:rPr>
        <w:t>60</w:t>
      </w:r>
      <w:r w:rsidRPr="00495E83">
        <w:rPr>
          <w:lang w:val="fr-FR"/>
        </w:rPr>
        <w:t xml:space="preserve"> (</w:t>
      </w:r>
      <w:r w:rsidRPr="00C16A26">
        <w:rPr>
          <w:lang w:val="fr-FR"/>
        </w:rPr>
        <w:t>Rapport de la Réunion commune sur sa session de printemps 2023</w:t>
      </w:r>
      <w:r w:rsidRPr="00495E83">
        <w:rPr>
          <w:lang w:val="fr-FR"/>
        </w:rPr>
        <w:t>)</w:t>
      </w:r>
    </w:p>
    <w:p w14:paraId="45830B6F" w14:textId="4D53543E" w:rsidR="0062494F" w:rsidRPr="008C78DC" w:rsidRDefault="00D72958" w:rsidP="0062494F">
      <w:pPr>
        <w:pStyle w:val="SingleTxtG"/>
        <w:rPr>
          <w:lang w:val="fr-FR"/>
        </w:rPr>
      </w:pPr>
      <w:r>
        <w:rPr>
          <w:lang w:val="fr-FR"/>
        </w:rPr>
        <w:t>54</w:t>
      </w:r>
      <w:r w:rsidR="0062494F" w:rsidRPr="008C78DC">
        <w:rPr>
          <w:lang w:val="fr-FR"/>
        </w:rPr>
        <w:t>.</w:t>
      </w:r>
      <w:r w:rsidR="0062494F" w:rsidRPr="008C78DC">
        <w:rPr>
          <w:lang w:val="fr-FR"/>
        </w:rPr>
        <w:tab/>
      </w:r>
      <w:r w:rsidR="0062494F">
        <w:rPr>
          <w:lang w:val="fr-FR"/>
        </w:rPr>
        <w:t>À sa 112</w:t>
      </w:r>
      <w:r w:rsidR="0062494F" w:rsidRPr="008C78DC">
        <w:rPr>
          <w:vertAlign w:val="superscript"/>
          <w:lang w:val="fr-FR"/>
        </w:rPr>
        <w:t>e</w:t>
      </w:r>
      <w:r w:rsidR="0062494F">
        <w:rPr>
          <w:lang w:val="fr-FR"/>
        </w:rPr>
        <w:t xml:space="preserve"> session, l</w:t>
      </w:r>
      <w:r w:rsidR="0062494F" w:rsidRPr="008C78DC">
        <w:rPr>
          <w:lang w:val="fr-FR"/>
        </w:rPr>
        <w:t>e Groupe de travail a</w:t>
      </w:r>
      <w:r w:rsidR="0062494F">
        <w:rPr>
          <w:lang w:val="fr-FR"/>
        </w:rPr>
        <w:t>vait</w:t>
      </w:r>
      <w:r w:rsidR="0062494F" w:rsidRPr="008C78DC">
        <w:rPr>
          <w:lang w:val="fr-FR"/>
        </w:rPr>
        <w:t xml:space="preserve"> invité les délégations à préciser dans la partie « justification » de leurs futures propositions le lien éventuel avec ces sujets.</w:t>
      </w:r>
    </w:p>
    <w:p w14:paraId="4F5A7B50" w14:textId="5CF5F161" w:rsidR="0062494F" w:rsidRPr="00A97555" w:rsidRDefault="00D72958" w:rsidP="0062494F">
      <w:pPr>
        <w:pStyle w:val="SingleTxtG"/>
        <w:rPr>
          <w:lang w:val="fr-FR"/>
        </w:rPr>
      </w:pPr>
      <w:r>
        <w:rPr>
          <w:lang w:val="fr-FR"/>
        </w:rPr>
        <w:t>55</w:t>
      </w:r>
      <w:r w:rsidR="0062494F" w:rsidRPr="008C78DC">
        <w:rPr>
          <w:lang w:val="fr-FR"/>
        </w:rPr>
        <w:t>.</w:t>
      </w:r>
      <w:r w:rsidR="0062494F" w:rsidRPr="008C78DC">
        <w:rPr>
          <w:lang w:val="fr-FR"/>
        </w:rPr>
        <w:tab/>
      </w:r>
      <w:r w:rsidR="0062494F">
        <w:rPr>
          <w:lang w:val="fr-FR"/>
        </w:rPr>
        <w:t xml:space="preserve">Dans ce contexte, le secrétariat a présenté à la Réunion commune un projet de tableau identifiant les </w:t>
      </w:r>
      <w:r w:rsidR="0062494F" w:rsidRPr="00A97555">
        <w:rPr>
          <w:lang w:val="fr-FR"/>
        </w:rPr>
        <w:t>objectifs de développement durable les plus étroitement alignés sur le</w:t>
      </w:r>
      <w:r w:rsidR="0062494F">
        <w:rPr>
          <w:lang w:val="fr-FR"/>
        </w:rPr>
        <w:t xml:space="preserve"> RID, l’ADR et l’ADN et sur les travaux de la Réunion commune RID/ADR/ADN, du Groupe de travail </w:t>
      </w:r>
      <w:r w:rsidR="0062494F" w:rsidRPr="00CB1326">
        <w:rPr>
          <w:lang w:val="fr-FR"/>
        </w:rPr>
        <w:t xml:space="preserve">des transports de marchandises dangereuses </w:t>
      </w:r>
      <w:r w:rsidR="0062494F">
        <w:rPr>
          <w:lang w:val="fr-FR"/>
        </w:rPr>
        <w:t xml:space="preserve">et de la </w:t>
      </w:r>
      <w:r w:rsidR="0062494F" w:rsidRPr="00CB1326">
        <w:rPr>
          <w:lang w:val="fr-FR"/>
        </w:rPr>
        <w:t>Réunion commune d’experts sur le Règlement annexé</w:t>
      </w:r>
      <w:r w:rsidR="0062494F">
        <w:rPr>
          <w:lang w:val="fr-FR"/>
        </w:rPr>
        <w:t xml:space="preserve"> </w:t>
      </w:r>
      <w:r w:rsidR="0062494F" w:rsidRPr="00CB1326">
        <w:rPr>
          <w:lang w:val="fr-FR"/>
        </w:rPr>
        <w:t>à l’</w:t>
      </w:r>
      <w:r w:rsidR="0062494F">
        <w:rPr>
          <w:lang w:val="fr-FR"/>
        </w:rPr>
        <w:t xml:space="preserve">ADN (document informel INF.23 pouvant être consulté sur la page internet de la session de printemps 2023 de la Réunion commune </w:t>
      </w:r>
      <w:r w:rsidR="0062494F" w:rsidRPr="006E7FD8">
        <w:rPr>
          <w:lang w:val="fr-FR"/>
        </w:rPr>
        <w:t>https://unece.org/info/Transport/Dangerous-Goods/events/373808</w:t>
      </w:r>
      <w:r w:rsidR="0062494F">
        <w:rPr>
          <w:lang w:val="fr-FR"/>
        </w:rPr>
        <w:t>).</w:t>
      </w:r>
    </w:p>
    <w:p w14:paraId="5D398BAB" w14:textId="4E7FA56D" w:rsidR="0062494F" w:rsidRDefault="00D72958" w:rsidP="0062494F">
      <w:pPr>
        <w:pStyle w:val="SingleTxtG"/>
        <w:rPr>
          <w:lang w:val="fr-FR"/>
        </w:rPr>
      </w:pPr>
      <w:r>
        <w:rPr>
          <w:lang w:val="fr-FR"/>
        </w:rPr>
        <w:t>56</w:t>
      </w:r>
      <w:r w:rsidR="0062494F" w:rsidRPr="008C78DC">
        <w:rPr>
          <w:lang w:val="fr-FR"/>
        </w:rPr>
        <w:t>.</w:t>
      </w:r>
      <w:r w:rsidR="0062494F" w:rsidRPr="008C78DC">
        <w:rPr>
          <w:lang w:val="fr-FR"/>
        </w:rPr>
        <w:tab/>
      </w:r>
      <w:r w:rsidR="0062494F">
        <w:rPr>
          <w:lang w:val="fr-FR"/>
        </w:rPr>
        <w:t xml:space="preserve">Le Groupe de travail a invité les délégations qui le souhaiteraient à transmettre </w:t>
      </w:r>
      <w:r w:rsidR="0062494F" w:rsidRPr="008C78DC">
        <w:rPr>
          <w:lang w:val="fr-FR"/>
        </w:rPr>
        <w:t xml:space="preserve">au secrétariat leurs observations sur </w:t>
      </w:r>
      <w:r w:rsidR="0062494F">
        <w:rPr>
          <w:lang w:val="fr-FR"/>
        </w:rPr>
        <w:t>ce projet</w:t>
      </w:r>
      <w:r w:rsidR="0062494F" w:rsidRPr="008C78DC">
        <w:rPr>
          <w:lang w:val="fr-FR"/>
        </w:rPr>
        <w:t xml:space="preserve"> avant la fin du mois de mai 2023. </w:t>
      </w:r>
    </w:p>
    <w:p w14:paraId="402A1BE0" w14:textId="77777777" w:rsidR="00F05655" w:rsidRPr="00495E83" w:rsidRDefault="00F05655" w:rsidP="00F05655">
      <w:pPr>
        <w:pStyle w:val="HChG"/>
        <w:rPr>
          <w:lang w:eastAsia="en-US"/>
        </w:rPr>
      </w:pPr>
      <w:r w:rsidRPr="00495E83">
        <w:rPr>
          <w:lang w:eastAsia="en-US"/>
        </w:rPr>
        <w:tab/>
      </w:r>
      <w:r>
        <w:rPr>
          <w:lang w:eastAsia="en-US"/>
        </w:rPr>
        <w:t>IX</w:t>
      </w:r>
      <w:r w:rsidRPr="00495E83">
        <w:rPr>
          <w:lang w:eastAsia="en-US"/>
        </w:rPr>
        <w:t>.</w:t>
      </w:r>
      <w:r w:rsidRPr="00495E83">
        <w:rPr>
          <w:lang w:eastAsia="en-US"/>
        </w:rPr>
        <w:tab/>
      </w:r>
      <w:r>
        <w:rPr>
          <w:lang w:eastAsia="en-US"/>
        </w:rPr>
        <w:t>Programme de travail</w:t>
      </w:r>
      <w:r w:rsidRPr="00495E83">
        <w:rPr>
          <w:lang w:eastAsia="en-US"/>
        </w:rPr>
        <w:t xml:space="preserve"> (point </w:t>
      </w:r>
      <w:r>
        <w:rPr>
          <w:lang w:eastAsia="en-US"/>
        </w:rPr>
        <w:t>8</w:t>
      </w:r>
      <w:r w:rsidRPr="00495E83">
        <w:rPr>
          <w:lang w:eastAsia="en-US"/>
        </w:rPr>
        <w:t xml:space="preserve"> de l’ordre du jour)</w:t>
      </w:r>
    </w:p>
    <w:p w14:paraId="2A7C399E" w14:textId="06948C7A" w:rsidR="00F05655" w:rsidRDefault="00D72958" w:rsidP="00F05655">
      <w:pPr>
        <w:pStyle w:val="SingleTxtG"/>
        <w:rPr>
          <w:lang w:eastAsia="en-US"/>
        </w:rPr>
      </w:pPr>
      <w:r>
        <w:rPr>
          <w:lang w:eastAsia="en-US"/>
        </w:rPr>
        <w:t>57</w:t>
      </w:r>
      <w:r w:rsidR="00F05655" w:rsidRPr="00210B71">
        <w:rPr>
          <w:lang w:eastAsia="en-US"/>
        </w:rPr>
        <w:t>.</w:t>
      </w:r>
      <w:r w:rsidR="00F05655" w:rsidRPr="00210B71">
        <w:rPr>
          <w:lang w:eastAsia="en-US"/>
        </w:rPr>
        <w:tab/>
        <w:t>La 11</w:t>
      </w:r>
      <w:r w:rsidR="00F05655">
        <w:rPr>
          <w:lang w:eastAsia="en-US"/>
        </w:rPr>
        <w:t>4</w:t>
      </w:r>
      <w:r w:rsidR="00F05655" w:rsidRPr="00210B71">
        <w:rPr>
          <w:vertAlign w:val="superscript"/>
          <w:lang w:eastAsia="en-US"/>
        </w:rPr>
        <w:t>e</w:t>
      </w:r>
      <w:r w:rsidR="00F05655" w:rsidRPr="00210B71">
        <w:rPr>
          <w:lang w:eastAsia="en-US"/>
        </w:rPr>
        <w:t xml:space="preserve"> session du Groupe de travail </w:t>
      </w:r>
      <w:r w:rsidR="00F05655">
        <w:rPr>
          <w:lang w:eastAsia="en-US"/>
        </w:rPr>
        <w:t>se tiendrait</w:t>
      </w:r>
      <w:r w:rsidR="00F05655" w:rsidRPr="00210B71">
        <w:rPr>
          <w:lang w:eastAsia="en-US"/>
        </w:rPr>
        <w:t xml:space="preserve"> du </w:t>
      </w:r>
      <w:r w:rsidR="00F05655">
        <w:rPr>
          <w:lang w:eastAsia="en-US"/>
        </w:rPr>
        <w:t>6</w:t>
      </w:r>
      <w:r w:rsidR="00F05655" w:rsidRPr="00210B71">
        <w:rPr>
          <w:lang w:eastAsia="en-US"/>
        </w:rPr>
        <w:t xml:space="preserve"> au </w:t>
      </w:r>
      <w:r w:rsidR="00F05655">
        <w:rPr>
          <w:lang w:eastAsia="en-US"/>
        </w:rPr>
        <w:t>10</w:t>
      </w:r>
      <w:r w:rsidR="00F05655" w:rsidRPr="00210B71">
        <w:rPr>
          <w:lang w:eastAsia="en-US"/>
        </w:rPr>
        <w:t> novembre 202</w:t>
      </w:r>
      <w:r w:rsidR="00F05655">
        <w:rPr>
          <w:lang w:eastAsia="en-US"/>
        </w:rPr>
        <w:t>3</w:t>
      </w:r>
      <w:r w:rsidR="00F05655" w:rsidRPr="00210B71">
        <w:rPr>
          <w:lang w:eastAsia="en-US"/>
        </w:rPr>
        <w:t xml:space="preserve">. Les points de l’ordre du jour pour cette prochaine session </w:t>
      </w:r>
      <w:r w:rsidR="00F05655">
        <w:rPr>
          <w:lang w:eastAsia="en-US"/>
        </w:rPr>
        <w:t>seraient</w:t>
      </w:r>
      <w:r w:rsidR="00F05655" w:rsidRPr="00210B71">
        <w:rPr>
          <w:lang w:eastAsia="en-US"/>
        </w:rPr>
        <w:t xml:space="preserve"> les mêmes que pour la 11</w:t>
      </w:r>
      <w:r w:rsidR="00F05655">
        <w:rPr>
          <w:lang w:eastAsia="en-US"/>
        </w:rPr>
        <w:t>3</w:t>
      </w:r>
      <w:r w:rsidR="00F05655" w:rsidRPr="00210B71">
        <w:rPr>
          <w:vertAlign w:val="superscript"/>
          <w:lang w:eastAsia="en-US"/>
        </w:rPr>
        <w:t>e</w:t>
      </w:r>
      <w:r w:rsidR="00F05655" w:rsidRPr="00210B71">
        <w:rPr>
          <w:lang w:eastAsia="en-US"/>
        </w:rPr>
        <w:t xml:space="preserve"> session, plus un point pour l’élection du Bureau. </w:t>
      </w:r>
    </w:p>
    <w:p w14:paraId="7ABB22AF" w14:textId="060AB70A" w:rsidR="00F05655" w:rsidRPr="00210B71" w:rsidRDefault="00D72958" w:rsidP="00F05655">
      <w:pPr>
        <w:spacing w:after="120"/>
        <w:ind w:left="1134" w:right="1134"/>
        <w:jc w:val="both"/>
        <w:rPr>
          <w:rFonts w:eastAsiaTheme="minorHAnsi"/>
          <w:lang w:val="fr-FR" w:eastAsia="en-US"/>
        </w:rPr>
      </w:pPr>
      <w:r>
        <w:rPr>
          <w:lang w:eastAsia="en-US"/>
        </w:rPr>
        <w:t>58</w:t>
      </w:r>
      <w:r w:rsidR="00F05655">
        <w:rPr>
          <w:lang w:eastAsia="en-US"/>
        </w:rPr>
        <w:t>.</w:t>
      </w:r>
      <w:r w:rsidR="00F05655">
        <w:rPr>
          <w:lang w:eastAsia="en-US"/>
        </w:rPr>
        <w:tab/>
      </w:r>
      <w:r w:rsidR="00F05655" w:rsidRPr="00210B71">
        <w:rPr>
          <w:rFonts w:eastAsiaTheme="minorHAnsi"/>
          <w:lang w:val="fr-FR" w:eastAsia="en-US"/>
        </w:rPr>
        <w:t xml:space="preserve">La date limite pour soumettre des documents officiels pour cette session </w:t>
      </w:r>
      <w:r w:rsidR="00F05655">
        <w:rPr>
          <w:rFonts w:eastAsiaTheme="minorHAnsi"/>
          <w:lang w:val="fr-FR" w:eastAsia="en-US"/>
        </w:rPr>
        <w:t>était</w:t>
      </w:r>
      <w:r w:rsidR="00F05655" w:rsidRPr="00210B71">
        <w:rPr>
          <w:rFonts w:eastAsiaTheme="minorHAnsi"/>
          <w:lang w:val="fr-FR" w:eastAsia="en-US"/>
        </w:rPr>
        <w:t xml:space="preserve"> le 1</w:t>
      </w:r>
      <w:r w:rsidR="00F05655">
        <w:rPr>
          <w:rFonts w:eastAsiaTheme="minorHAnsi"/>
          <w:lang w:val="fr-FR" w:eastAsia="en-US"/>
        </w:rPr>
        <w:t>1</w:t>
      </w:r>
      <w:r w:rsidR="00F05655" w:rsidRPr="00210B71">
        <w:rPr>
          <w:rFonts w:eastAsiaTheme="minorHAnsi"/>
          <w:lang w:val="fr-FR" w:eastAsia="en-US"/>
        </w:rPr>
        <w:t xml:space="preserve"> août 202</w:t>
      </w:r>
      <w:r w:rsidR="00F05655">
        <w:rPr>
          <w:rFonts w:eastAsiaTheme="minorHAnsi"/>
          <w:lang w:val="fr-FR" w:eastAsia="en-US"/>
        </w:rPr>
        <w:t>3</w:t>
      </w:r>
      <w:r w:rsidR="00F05655" w:rsidRPr="00210B71">
        <w:rPr>
          <w:rFonts w:eastAsiaTheme="minorHAnsi"/>
          <w:lang w:val="fr-FR" w:eastAsia="en-US"/>
        </w:rPr>
        <w:t>.</w:t>
      </w:r>
    </w:p>
    <w:p w14:paraId="782E8DEE" w14:textId="77777777" w:rsidR="00F05655" w:rsidRPr="00495E83" w:rsidRDefault="00F05655" w:rsidP="00F05655">
      <w:pPr>
        <w:pStyle w:val="HChG"/>
        <w:rPr>
          <w:lang w:eastAsia="en-US"/>
        </w:rPr>
      </w:pPr>
      <w:r w:rsidRPr="00495E83">
        <w:rPr>
          <w:lang w:eastAsia="en-US"/>
        </w:rPr>
        <w:lastRenderedPageBreak/>
        <w:tab/>
      </w:r>
      <w:r>
        <w:rPr>
          <w:lang w:eastAsia="en-US"/>
        </w:rPr>
        <w:t>X</w:t>
      </w:r>
      <w:r w:rsidRPr="00495E83">
        <w:rPr>
          <w:lang w:eastAsia="en-US"/>
        </w:rPr>
        <w:t>.</w:t>
      </w:r>
      <w:r w:rsidRPr="00495E83">
        <w:rPr>
          <w:lang w:eastAsia="en-US"/>
        </w:rPr>
        <w:tab/>
      </w:r>
      <w:r w:rsidRPr="00413631">
        <w:rPr>
          <w:lang w:eastAsia="en-US"/>
        </w:rPr>
        <w:t>Questions diverses</w:t>
      </w:r>
      <w:r w:rsidRPr="00495E83">
        <w:rPr>
          <w:lang w:eastAsia="en-US"/>
        </w:rPr>
        <w:t xml:space="preserve"> (point </w:t>
      </w:r>
      <w:r>
        <w:rPr>
          <w:lang w:eastAsia="en-US"/>
        </w:rPr>
        <w:t>9</w:t>
      </w:r>
      <w:r w:rsidRPr="00495E83">
        <w:rPr>
          <w:lang w:eastAsia="en-US"/>
        </w:rPr>
        <w:t xml:space="preserve"> de l’ordre du jour)</w:t>
      </w:r>
    </w:p>
    <w:p w14:paraId="2D07D521" w14:textId="77777777" w:rsidR="00F05655" w:rsidRPr="00495E83" w:rsidRDefault="00F05655" w:rsidP="00F05655">
      <w:pPr>
        <w:pStyle w:val="H1G"/>
        <w:rPr>
          <w:lang w:eastAsia="en-US"/>
        </w:rPr>
      </w:pPr>
      <w:r w:rsidRPr="00495E83">
        <w:rPr>
          <w:lang w:eastAsia="en-US"/>
        </w:rPr>
        <w:tab/>
      </w:r>
      <w:r>
        <w:rPr>
          <w:lang w:eastAsia="en-US"/>
        </w:rPr>
        <w:t>A</w:t>
      </w:r>
      <w:r w:rsidRPr="00495E83">
        <w:rPr>
          <w:lang w:eastAsia="en-US"/>
        </w:rPr>
        <w:t>.</w:t>
      </w:r>
      <w:r w:rsidRPr="00495E83">
        <w:rPr>
          <w:lang w:eastAsia="en-US"/>
        </w:rPr>
        <w:tab/>
      </w:r>
      <w:r w:rsidRPr="00413631">
        <w:rPr>
          <w:lang w:eastAsia="en-US"/>
        </w:rPr>
        <w:t xml:space="preserve">Approbation de l'autorité compétente conformément </w:t>
      </w:r>
      <w:r>
        <w:rPr>
          <w:lang w:eastAsia="en-US"/>
        </w:rPr>
        <w:t xml:space="preserve">au </w:t>
      </w:r>
      <w:r w:rsidRPr="00413631">
        <w:rPr>
          <w:lang w:eastAsia="en-US"/>
        </w:rPr>
        <w:t>2.1.2.8</w:t>
      </w:r>
      <w:r>
        <w:rPr>
          <w:lang w:eastAsia="en-US"/>
        </w:rPr>
        <w:t xml:space="preserve"> de l’ADR</w:t>
      </w:r>
      <w:r w:rsidRPr="00413631">
        <w:rPr>
          <w:lang w:eastAsia="en-US"/>
        </w:rPr>
        <w:t xml:space="preserve"> et proposition de modification de la liste des marchandises dangereuses du Règlement type</w:t>
      </w:r>
    </w:p>
    <w:p w14:paraId="20881B99" w14:textId="77777777" w:rsidR="00F05655" w:rsidRDefault="00F05655" w:rsidP="00F05655">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w:t>
      </w:r>
      <w:r>
        <w:rPr>
          <w:i/>
          <w:lang w:val="fr-FR"/>
        </w:rPr>
        <w:t xml:space="preserve"> informel</w:t>
      </w:r>
      <w:r w:rsidRPr="00495E83">
        <w:rPr>
          <w:i/>
          <w:lang w:val="fr-FR"/>
        </w:rPr>
        <w:t> </w:t>
      </w:r>
      <w:r w:rsidRPr="00495E83">
        <w:rPr>
          <w:lang w:val="fr-FR"/>
        </w:rPr>
        <w:t>:</w:t>
      </w:r>
      <w:r w:rsidRPr="00495E83">
        <w:rPr>
          <w:lang w:val="fr-FR"/>
        </w:rPr>
        <w:tab/>
      </w:r>
      <w:r w:rsidRPr="00495E83">
        <w:rPr>
          <w:lang w:val="fr-FR"/>
        </w:rPr>
        <w:tab/>
      </w:r>
      <w:r>
        <w:rPr>
          <w:lang w:val="fr-FR"/>
        </w:rPr>
        <w:t>INF.10 (Irlande)</w:t>
      </w:r>
    </w:p>
    <w:p w14:paraId="2097706F" w14:textId="60BB4283" w:rsidR="00F05655" w:rsidRDefault="00D72958" w:rsidP="00F05655">
      <w:pPr>
        <w:pStyle w:val="SingleTxtG"/>
        <w:rPr>
          <w:lang w:val="fr-FR"/>
        </w:rPr>
      </w:pPr>
      <w:r>
        <w:rPr>
          <w:rFonts w:ascii="TimesNewRomanPSMT" w:hAnsi="TimesNewRomanPSMT" w:cs="TimesNewRomanPSMT"/>
          <w:lang w:val="fr-FR"/>
        </w:rPr>
        <w:t>59</w:t>
      </w:r>
      <w:r w:rsidR="00F05655" w:rsidRPr="008C78DC">
        <w:rPr>
          <w:rFonts w:ascii="TimesNewRomanPSMT" w:hAnsi="TimesNewRomanPSMT" w:cs="TimesNewRomanPSMT"/>
          <w:lang w:val="fr-FR"/>
        </w:rPr>
        <w:t>.</w:t>
      </w:r>
      <w:r w:rsidR="00F05655" w:rsidRPr="008C78DC">
        <w:rPr>
          <w:rFonts w:ascii="TimesNewRomanPSMT" w:hAnsi="TimesNewRomanPSMT" w:cs="TimesNewRomanPSMT"/>
          <w:lang w:val="fr-FR"/>
        </w:rPr>
        <w:tab/>
      </w:r>
      <w:r w:rsidR="00F05655">
        <w:rPr>
          <w:rFonts w:ascii="TimesNewRomanPSMT" w:hAnsi="TimesNewRomanPSMT" w:cs="TimesNewRomanPSMT"/>
          <w:lang w:val="fr-FR"/>
        </w:rPr>
        <w:t xml:space="preserve">Le Groupe de travail a conseillé à la représentante de l’Irlande de soumettre son document au </w:t>
      </w:r>
      <w:r w:rsidR="00F05655">
        <w:t>groupe de travail informel sur le transport des déchets dangereux de la Réunion commune</w:t>
      </w:r>
      <w:r w:rsidR="00F05655">
        <w:rPr>
          <w:b/>
          <w:bCs/>
        </w:rPr>
        <w:t xml:space="preserve"> </w:t>
      </w:r>
      <w:r w:rsidR="00F05655" w:rsidRPr="003911B4">
        <w:t xml:space="preserve">pour avis avant </w:t>
      </w:r>
      <w:r w:rsidR="00F05655">
        <w:t xml:space="preserve">de faire une </w:t>
      </w:r>
      <w:r w:rsidR="00F05655" w:rsidRPr="00413631">
        <w:rPr>
          <w:lang w:eastAsia="en-US"/>
        </w:rPr>
        <w:t>proposition de modification de la liste des marchandises dangereuses du Règlement type</w:t>
      </w:r>
      <w:r w:rsidR="00F05655" w:rsidRPr="005048E9">
        <w:rPr>
          <w:lang w:val="fr-FR"/>
        </w:rPr>
        <w:t xml:space="preserve"> </w:t>
      </w:r>
      <w:r w:rsidR="00F05655">
        <w:rPr>
          <w:lang w:val="fr-FR"/>
        </w:rPr>
        <w:t xml:space="preserve">au </w:t>
      </w:r>
      <w:r w:rsidR="00F05655" w:rsidRPr="005048E9">
        <w:rPr>
          <w:lang w:val="fr-FR"/>
        </w:rPr>
        <w:t>Sous-Comité d</w:t>
      </w:r>
      <w:r w:rsidR="00F05655">
        <w:rPr>
          <w:lang w:val="fr-FR"/>
        </w:rPr>
        <w:t>’</w:t>
      </w:r>
      <w:r w:rsidR="00F05655" w:rsidRPr="005048E9">
        <w:rPr>
          <w:lang w:val="fr-FR"/>
        </w:rPr>
        <w:t>experts du transport des marchandises dangereuses</w:t>
      </w:r>
      <w:r w:rsidR="00F05655">
        <w:rPr>
          <w:lang w:val="fr-FR"/>
        </w:rPr>
        <w:t>.</w:t>
      </w:r>
    </w:p>
    <w:p w14:paraId="5C2C57EF" w14:textId="77777777" w:rsidR="00FC536A" w:rsidRPr="004F0068" w:rsidRDefault="00FC536A" w:rsidP="00FC536A">
      <w:pPr>
        <w:pStyle w:val="H1G"/>
        <w:rPr>
          <w:lang w:val="fr-FR" w:eastAsia="en-US"/>
        </w:rPr>
      </w:pPr>
      <w:r w:rsidRPr="004F0068">
        <w:rPr>
          <w:lang w:val="fr-FR" w:eastAsia="en-US"/>
        </w:rPr>
        <w:tab/>
        <w:t>B.</w:t>
      </w:r>
      <w:r w:rsidRPr="004F0068">
        <w:rPr>
          <w:lang w:val="fr-FR" w:eastAsia="en-US"/>
        </w:rPr>
        <w:tab/>
        <w:t>Dimensions et masses des véhicules - système modulaire utilisé en Finlande</w:t>
      </w:r>
    </w:p>
    <w:p w14:paraId="2C364657" w14:textId="77777777" w:rsidR="00FC536A" w:rsidRPr="004F0068" w:rsidRDefault="00FC536A" w:rsidP="00FC536A">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F0068">
        <w:rPr>
          <w:i/>
          <w:lang w:val="fr-FR"/>
        </w:rPr>
        <w:t>Document informel </w:t>
      </w:r>
      <w:r w:rsidRPr="004F0068">
        <w:rPr>
          <w:lang w:val="fr-FR"/>
        </w:rPr>
        <w:t>:</w:t>
      </w:r>
      <w:r w:rsidRPr="004F0068">
        <w:rPr>
          <w:lang w:val="fr-FR"/>
        </w:rPr>
        <w:tab/>
      </w:r>
      <w:r w:rsidRPr="004F0068">
        <w:rPr>
          <w:lang w:val="fr-FR"/>
        </w:rPr>
        <w:tab/>
        <w:t xml:space="preserve">INF.20 et Add.1 (Finlande) </w:t>
      </w:r>
    </w:p>
    <w:p w14:paraId="39353B44" w14:textId="23E9F0AC" w:rsidR="00FC536A" w:rsidRDefault="00D72958" w:rsidP="00FC536A">
      <w:pPr>
        <w:pStyle w:val="SingleTxtG"/>
        <w:rPr>
          <w:rFonts w:ascii="TimesNewRomanPSMT" w:hAnsi="TimesNewRomanPSMT" w:cs="TimesNewRomanPSMT"/>
          <w:lang w:val="fr-FR"/>
        </w:rPr>
      </w:pPr>
      <w:r>
        <w:rPr>
          <w:rFonts w:ascii="TimesNewRomanPSMT" w:hAnsi="TimesNewRomanPSMT" w:cs="TimesNewRomanPSMT"/>
          <w:lang w:val="fr-FR"/>
        </w:rPr>
        <w:t>60</w:t>
      </w:r>
      <w:r w:rsidR="00FC536A" w:rsidRPr="004F0068">
        <w:rPr>
          <w:rFonts w:ascii="TimesNewRomanPSMT" w:hAnsi="TimesNewRomanPSMT" w:cs="TimesNewRomanPSMT"/>
          <w:lang w:val="fr-FR"/>
        </w:rPr>
        <w:t>.</w:t>
      </w:r>
      <w:r w:rsidR="00FC536A" w:rsidRPr="004F0068">
        <w:rPr>
          <w:rFonts w:ascii="TimesNewRomanPSMT" w:hAnsi="TimesNewRomanPSMT" w:cs="TimesNewRomanPSMT"/>
          <w:lang w:val="fr-FR"/>
        </w:rPr>
        <w:tab/>
      </w:r>
      <w:r w:rsidR="00FC536A">
        <w:rPr>
          <w:rFonts w:ascii="TimesNewRomanPSMT" w:hAnsi="TimesNewRomanPSMT" w:cs="TimesNewRomanPSMT"/>
          <w:lang w:val="fr-FR"/>
        </w:rPr>
        <w:t xml:space="preserve">La représentante de la Finlande a </w:t>
      </w:r>
      <w:r w:rsidR="00FC536A" w:rsidRPr="004F0068">
        <w:rPr>
          <w:lang w:val="fr-FR"/>
        </w:rPr>
        <w:t>organisé une présentation</w:t>
      </w:r>
      <w:r w:rsidR="00FC536A">
        <w:rPr>
          <w:lang w:val="fr-FR"/>
        </w:rPr>
        <w:t xml:space="preserve"> sur les combinaisons de véhicules et unités de transports utilisés en Finlande et ayant des dimensions et masses plus grandes que les </w:t>
      </w:r>
      <w:r w:rsidR="00FC536A" w:rsidRPr="00317F13">
        <w:rPr>
          <w:lang w:val="fr-FR"/>
        </w:rPr>
        <w:t>combinaisons</w:t>
      </w:r>
      <w:r w:rsidR="00FC536A">
        <w:rPr>
          <w:lang w:val="fr-FR"/>
        </w:rPr>
        <w:t xml:space="preserve"> et </w:t>
      </w:r>
      <w:r w:rsidR="00FC536A" w:rsidRPr="00317F13">
        <w:rPr>
          <w:lang w:val="fr-FR"/>
        </w:rPr>
        <w:t>unités de transport européennes traditionnelles</w:t>
      </w:r>
      <w:r w:rsidR="00FC536A" w:rsidRPr="004F0068">
        <w:rPr>
          <w:rFonts w:ascii="TimesNewRomanPSMT" w:hAnsi="TimesNewRomanPSMT" w:cs="TimesNewRomanPSMT"/>
          <w:lang w:val="fr-FR"/>
        </w:rPr>
        <w:t xml:space="preserve">. </w:t>
      </w:r>
    </w:p>
    <w:p w14:paraId="4A2F7A5E" w14:textId="77777777" w:rsidR="00FC536A" w:rsidRPr="00495E83" w:rsidRDefault="00FC536A" w:rsidP="00FC536A">
      <w:pPr>
        <w:pStyle w:val="H1G"/>
        <w:rPr>
          <w:lang w:eastAsia="en-US"/>
        </w:rPr>
      </w:pPr>
      <w:r w:rsidRPr="00495E83">
        <w:rPr>
          <w:lang w:eastAsia="en-US"/>
        </w:rPr>
        <w:tab/>
      </w:r>
      <w:r>
        <w:rPr>
          <w:lang w:eastAsia="en-US"/>
        </w:rPr>
        <w:t>C</w:t>
      </w:r>
      <w:r w:rsidRPr="00495E83">
        <w:rPr>
          <w:lang w:eastAsia="en-US"/>
        </w:rPr>
        <w:t>.</w:t>
      </w:r>
      <w:r w:rsidRPr="00495E83">
        <w:rPr>
          <w:lang w:eastAsia="en-US"/>
        </w:rPr>
        <w:tab/>
      </w:r>
      <w:r w:rsidRPr="00A202F1">
        <w:rPr>
          <w:lang w:eastAsia="en-US"/>
        </w:rPr>
        <w:t>Transport de déchets d'emballages vides non nettoyés</w:t>
      </w:r>
    </w:p>
    <w:p w14:paraId="1A7639BF" w14:textId="77777777" w:rsidR="00FC536A" w:rsidRDefault="00FC536A" w:rsidP="00FC536A">
      <w:pPr>
        <w:keepNext/>
        <w:keepLines/>
        <w:tabs>
          <w:tab w:val="left" w:pos="3402"/>
        </w:tabs>
        <w:suppressAutoHyphens/>
        <w:kinsoku w:val="0"/>
        <w:overflowPunct w:val="0"/>
        <w:autoSpaceDE w:val="0"/>
        <w:autoSpaceDN w:val="0"/>
        <w:adjustRightInd w:val="0"/>
        <w:snapToGrid w:val="0"/>
        <w:spacing w:after="120"/>
        <w:ind w:left="3402" w:right="1134" w:hanging="2268"/>
        <w:rPr>
          <w:lang w:val="fr-FR"/>
        </w:rPr>
      </w:pPr>
      <w:r w:rsidRPr="00495E83">
        <w:rPr>
          <w:i/>
          <w:lang w:val="fr-FR"/>
        </w:rPr>
        <w:t>Document</w:t>
      </w:r>
      <w:r>
        <w:rPr>
          <w:i/>
          <w:lang w:val="fr-FR"/>
        </w:rPr>
        <w:t xml:space="preserve"> informel</w:t>
      </w:r>
      <w:r w:rsidRPr="00495E83">
        <w:rPr>
          <w:i/>
          <w:lang w:val="fr-FR"/>
        </w:rPr>
        <w:t> </w:t>
      </w:r>
      <w:r w:rsidRPr="00495E83">
        <w:rPr>
          <w:lang w:val="fr-FR"/>
        </w:rPr>
        <w:t>:</w:t>
      </w:r>
      <w:r w:rsidRPr="00495E83">
        <w:rPr>
          <w:lang w:val="fr-FR"/>
        </w:rPr>
        <w:tab/>
      </w:r>
      <w:r w:rsidRPr="00495E83">
        <w:rPr>
          <w:lang w:val="fr-FR"/>
        </w:rPr>
        <w:tab/>
      </w:r>
      <w:r>
        <w:rPr>
          <w:lang w:val="fr-FR"/>
        </w:rPr>
        <w:t>INF.11 (Irlande)</w:t>
      </w:r>
    </w:p>
    <w:p w14:paraId="449226CF" w14:textId="40CF5849" w:rsidR="00FC536A" w:rsidRDefault="00D72958" w:rsidP="00FC536A">
      <w:pPr>
        <w:spacing w:after="120"/>
        <w:ind w:left="1134" w:right="1134"/>
        <w:jc w:val="both"/>
        <w:rPr>
          <w:lang w:val="fr-FR"/>
        </w:rPr>
      </w:pPr>
      <w:r>
        <w:rPr>
          <w:rFonts w:ascii="TimesNewRomanPSMT" w:hAnsi="TimesNewRomanPSMT" w:cs="TimesNewRomanPSMT"/>
          <w:lang w:val="fr-FR"/>
        </w:rPr>
        <w:t>61</w:t>
      </w:r>
      <w:r w:rsidR="00FC536A" w:rsidRPr="008C78DC">
        <w:rPr>
          <w:rFonts w:ascii="TimesNewRomanPSMT" w:hAnsi="TimesNewRomanPSMT" w:cs="TimesNewRomanPSMT"/>
          <w:lang w:val="fr-FR"/>
        </w:rPr>
        <w:t>.</w:t>
      </w:r>
      <w:r w:rsidR="00FC536A" w:rsidRPr="008C78DC">
        <w:rPr>
          <w:rFonts w:ascii="TimesNewRomanPSMT" w:hAnsi="TimesNewRomanPSMT" w:cs="TimesNewRomanPSMT"/>
          <w:lang w:val="fr-FR"/>
        </w:rPr>
        <w:tab/>
      </w:r>
      <w:r w:rsidR="00FC536A">
        <w:rPr>
          <w:rFonts w:ascii="TimesNewRomanPSMT" w:hAnsi="TimesNewRomanPSMT" w:cs="TimesNewRomanPSMT"/>
          <w:lang w:val="fr-FR"/>
        </w:rPr>
        <w:t xml:space="preserve">Le Groupe de travail a conseillé à la représentante de l’Irlande de soumettre son document au </w:t>
      </w:r>
      <w:r w:rsidR="00FC536A">
        <w:t>groupe de travail informel sur le transport des déchets dangereux de la Réunion commune</w:t>
      </w:r>
      <w:r w:rsidR="00FC536A">
        <w:rPr>
          <w:b/>
          <w:bCs/>
        </w:rPr>
        <w:t xml:space="preserve"> </w:t>
      </w:r>
      <w:r w:rsidR="00FC536A" w:rsidRPr="003911B4">
        <w:t>pour avis</w:t>
      </w:r>
      <w:r w:rsidR="00FC536A">
        <w:rPr>
          <w:lang w:val="fr-FR"/>
        </w:rPr>
        <w:t>.</w:t>
      </w:r>
    </w:p>
    <w:p w14:paraId="35E7A58C" w14:textId="77777777" w:rsidR="00FC536A" w:rsidRPr="00495E83" w:rsidRDefault="00FC536A" w:rsidP="00FC536A">
      <w:pPr>
        <w:pStyle w:val="H1G"/>
        <w:rPr>
          <w:lang w:eastAsia="en-US"/>
        </w:rPr>
      </w:pPr>
      <w:r w:rsidRPr="00495E83">
        <w:rPr>
          <w:lang w:eastAsia="en-US"/>
        </w:rPr>
        <w:tab/>
      </w:r>
      <w:r>
        <w:rPr>
          <w:lang w:eastAsia="en-US"/>
        </w:rPr>
        <w:t>D</w:t>
      </w:r>
      <w:r w:rsidRPr="00495E83">
        <w:rPr>
          <w:lang w:eastAsia="en-US"/>
        </w:rPr>
        <w:t>.</w:t>
      </w:r>
      <w:r w:rsidRPr="00495E83">
        <w:rPr>
          <w:lang w:eastAsia="en-US"/>
        </w:rPr>
        <w:tab/>
      </w:r>
      <w:r>
        <w:rPr>
          <w:lang w:eastAsia="en-US"/>
        </w:rPr>
        <w:t xml:space="preserve">Hommage à M. </w:t>
      </w:r>
      <w:r w:rsidRPr="00AD43F0">
        <w:rPr>
          <w:lang w:val="fr-FR"/>
        </w:rPr>
        <w:t>Adrian-</w:t>
      </w:r>
      <w:proofErr w:type="spellStart"/>
      <w:r w:rsidRPr="00AD43F0">
        <w:rPr>
          <w:lang w:val="fr-FR"/>
        </w:rPr>
        <w:t>Teodor</w:t>
      </w:r>
      <w:proofErr w:type="spellEnd"/>
      <w:r w:rsidRPr="00AD43F0">
        <w:rPr>
          <w:lang w:val="fr-FR"/>
        </w:rPr>
        <w:t xml:space="preserve"> RADUTA</w:t>
      </w:r>
    </w:p>
    <w:p w14:paraId="12C6B73E" w14:textId="7130ED4E" w:rsidR="00FC536A" w:rsidRDefault="00D72958" w:rsidP="00FC536A">
      <w:pPr>
        <w:spacing w:after="120"/>
        <w:ind w:left="1134" w:right="1134"/>
        <w:jc w:val="both"/>
        <w:rPr>
          <w:lang w:val="fr-FR"/>
        </w:rPr>
      </w:pPr>
      <w:r>
        <w:rPr>
          <w:rFonts w:ascii="TimesNewRomanPSMT" w:hAnsi="TimesNewRomanPSMT" w:cs="TimesNewRomanPSMT"/>
          <w:lang w:val="fr-FR"/>
        </w:rPr>
        <w:t>62</w:t>
      </w:r>
      <w:r w:rsidR="00FC536A" w:rsidRPr="008C78DC">
        <w:rPr>
          <w:rFonts w:ascii="TimesNewRomanPSMT" w:hAnsi="TimesNewRomanPSMT" w:cs="TimesNewRomanPSMT"/>
          <w:lang w:val="fr-FR"/>
        </w:rPr>
        <w:t>.</w:t>
      </w:r>
      <w:r w:rsidR="00FC536A" w:rsidRPr="008C78DC">
        <w:rPr>
          <w:rFonts w:ascii="TimesNewRomanPSMT" w:hAnsi="TimesNewRomanPSMT" w:cs="TimesNewRomanPSMT"/>
          <w:lang w:val="fr-FR"/>
        </w:rPr>
        <w:tab/>
      </w:r>
      <w:r w:rsidR="00FC536A" w:rsidRPr="00A202F1">
        <w:rPr>
          <w:rFonts w:eastAsiaTheme="minorHAnsi"/>
          <w:lang w:val="fr-FR" w:eastAsia="en-US"/>
        </w:rPr>
        <w:t xml:space="preserve">Apprenant que </w:t>
      </w:r>
      <w:r w:rsidR="00FC536A">
        <w:rPr>
          <w:rFonts w:ascii="TimesNewRomanPSMT" w:hAnsi="TimesNewRomanPSMT" w:cs="TimesNewRomanPSMT"/>
          <w:lang w:val="fr-FR"/>
        </w:rPr>
        <w:t xml:space="preserve">M. </w:t>
      </w:r>
      <w:r w:rsidR="00FC536A" w:rsidRPr="00AD43F0">
        <w:rPr>
          <w:lang w:val="fr-FR"/>
        </w:rPr>
        <w:t>Adrian-</w:t>
      </w:r>
      <w:proofErr w:type="spellStart"/>
      <w:r w:rsidR="00FC536A" w:rsidRPr="00AD43F0">
        <w:rPr>
          <w:lang w:val="fr-FR"/>
        </w:rPr>
        <w:t>Teodor</w:t>
      </w:r>
      <w:proofErr w:type="spellEnd"/>
      <w:r w:rsidR="00FC536A" w:rsidRPr="00AD43F0">
        <w:rPr>
          <w:lang w:val="fr-FR"/>
        </w:rPr>
        <w:t xml:space="preserve"> RADUTA</w:t>
      </w:r>
      <w:r w:rsidR="00FC536A" w:rsidRPr="00A202F1">
        <w:rPr>
          <w:rFonts w:eastAsiaTheme="minorHAnsi"/>
          <w:lang w:val="fr-FR" w:eastAsia="en-US"/>
        </w:rPr>
        <w:t xml:space="preserve"> prenait sa retraite et ne participerait plus à ses sessions, le Groupe de travail l’a remercié</w:t>
      </w:r>
      <w:r w:rsidR="00FC536A">
        <w:rPr>
          <w:rFonts w:ascii="TimesNewRomanPSMT" w:hAnsi="TimesNewRomanPSMT" w:cs="TimesNewRomanPSMT"/>
          <w:lang w:val="fr-FR"/>
        </w:rPr>
        <w:t xml:space="preserve"> </w:t>
      </w:r>
      <w:r w:rsidR="00FC536A" w:rsidRPr="00AD43F0">
        <w:rPr>
          <w:lang w:val="fr-FR"/>
        </w:rPr>
        <w:t>pour sa participation</w:t>
      </w:r>
      <w:r w:rsidR="00FC536A">
        <w:rPr>
          <w:lang w:val="fr-FR"/>
        </w:rPr>
        <w:t xml:space="preserve">, </w:t>
      </w:r>
      <w:r w:rsidR="00FC536A" w:rsidRPr="00AD43F0">
        <w:rPr>
          <w:lang w:val="fr-FR"/>
        </w:rPr>
        <w:t>notamment dans le cadre des travaux sur la construction et l'agrément des véhic</w:t>
      </w:r>
      <w:r w:rsidR="00FC536A">
        <w:rPr>
          <w:lang w:val="fr-FR"/>
        </w:rPr>
        <w:t>u</w:t>
      </w:r>
      <w:r w:rsidR="00FC536A" w:rsidRPr="00AD43F0">
        <w:rPr>
          <w:lang w:val="fr-FR"/>
        </w:rPr>
        <w:t>les</w:t>
      </w:r>
      <w:r w:rsidR="00FC536A">
        <w:rPr>
          <w:lang w:val="fr-FR"/>
        </w:rPr>
        <w:t>,</w:t>
      </w:r>
      <w:r w:rsidR="00FC536A" w:rsidRPr="00AD43F0">
        <w:rPr>
          <w:lang w:val="fr-FR"/>
        </w:rPr>
        <w:t xml:space="preserve"> et </w:t>
      </w:r>
      <w:r w:rsidR="00FC536A">
        <w:rPr>
          <w:lang w:val="fr-FR"/>
        </w:rPr>
        <w:t xml:space="preserve">lui a </w:t>
      </w:r>
      <w:r w:rsidR="00FC536A" w:rsidRPr="00AD43F0">
        <w:rPr>
          <w:lang w:val="fr-FR"/>
        </w:rPr>
        <w:t>souhait</w:t>
      </w:r>
      <w:r w:rsidR="00FC536A">
        <w:rPr>
          <w:lang w:val="fr-FR"/>
        </w:rPr>
        <w:t>é</w:t>
      </w:r>
      <w:r w:rsidR="00FC536A" w:rsidRPr="00AD43F0">
        <w:rPr>
          <w:lang w:val="fr-FR"/>
        </w:rPr>
        <w:t xml:space="preserve"> une bonne retraite.</w:t>
      </w:r>
    </w:p>
    <w:p w14:paraId="1BE1BE0A" w14:textId="77777777" w:rsidR="000B089A" w:rsidRPr="003B1390" w:rsidRDefault="000B089A" w:rsidP="000B089A">
      <w:pPr>
        <w:keepNext/>
        <w:keepLines/>
        <w:tabs>
          <w:tab w:val="right" w:pos="851"/>
        </w:tabs>
        <w:suppressAutoHyphens/>
        <w:autoSpaceDN w:val="0"/>
        <w:spacing w:before="360" w:after="240" w:line="300" w:lineRule="exact"/>
        <w:ind w:left="1134" w:right="1134" w:hanging="1134"/>
        <w:rPr>
          <w:b/>
          <w:sz w:val="28"/>
          <w:lang w:val="fr-FR" w:eastAsia="en-US"/>
        </w:rPr>
      </w:pPr>
      <w:r w:rsidRPr="003B1390">
        <w:rPr>
          <w:b/>
          <w:sz w:val="28"/>
          <w:lang w:val="fr-FR" w:eastAsia="en-US"/>
        </w:rPr>
        <w:tab/>
        <w:t>XI.</w:t>
      </w:r>
      <w:r w:rsidRPr="003B1390">
        <w:rPr>
          <w:b/>
          <w:sz w:val="28"/>
          <w:lang w:val="fr-FR" w:eastAsia="en-US"/>
        </w:rPr>
        <w:tab/>
      </w:r>
      <w:r w:rsidRPr="003B1390">
        <w:rPr>
          <w:b/>
          <w:sz w:val="28"/>
          <w:lang w:val="fr-FR" w:eastAsia="fr-FR"/>
        </w:rPr>
        <w:t>Adoption du rapport</w:t>
      </w:r>
      <w:r w:rsidRPr="003B1390">
        <w:rPr>
          <w:b/>
          <w:sz w:val="28"/>
          <w:lang w:val="fr-FR" w:eastAsia="en-US"/>
        </w:rPr>
        <w:t xml:space="preserve"> (point 10 de l’ordre du jour)</w:t>
      </w:r>
    </w:p>
    <w:p w14:paraId="3E445668" w14:textId="77777777" w:rsidR="000B089A" w:rsidRDefault="000B089A" w:rsidP="000B089A">
      <w:pPr>
        <w:suppressAutoHyphens/>
        <w:kinsoku w:val="0"/>
        <w:overflowPunct w:val="0"/>
        <w:autoSpaceDE w:val="0"/>
        <w:autoSpaceDN w:val="0"/>
        <w:adjustRightInd w:val="0"/>
        <w:snapToGrid w:val="0"/>
        <w:spacing w:after="120"/>
        <w:ind w:left="1134" w:right="1134"/>
        <w:jc w:val="both"/>
        <w:rPr>
          <w:lang w:val="fr-FR"/>
        </w:rPr>
      </w:pPr>
      <w:r>
        <w:rPr>
          <w:lang w:val="fr-FR"/>
        </w:rPr>
        <w:t>63</w:t>
      </w:r>
      <w:r w:rsidRPr="003B1390">
        <w:rPr>
          <w:lang w:val="fr-FR"/>
        </w:rPr>
        <w:t>.</w:t>
      </w:r>
      <w:r w:rsidRPr="003B1390">
        <w:rPr>
          <w:lang w:val="fr-FR"/>
        </w:rPr>
        <w:tab/>
        <w:t>Le Groupe de travail a adopté le rapport de sa 11</w:t>
      </w:r>
      <w:r>
        <w:rPr>
          <w:lang w:val="fr-FR"/>
        </w:rPr>
        <w:t>3</w:t>
      </w:r>
      <w:r w:rsidRPr="003B1390">
        <w:rPr>
          <w:vertAlign w:val="superscript"/>
          <w:lang w:val="fr-FR"/>
        </w:rPr>
        <w:t>e</w:t>
      </w:r>
      <w:r w:rsidRPr="003B1390">
        <w:rPr>
          <w:lang w:val="fr-FR"/>
        </w:rPr>
        <w:t xml:space="preserve"> session et son annexe sur la base d’un projet établi par le secrétariat.</w:t>
      </w:r>
    </w:p>
    <w:p w14:paraId="55E703E4" w14:textId="4F0F31F6" w:rsidR="00471EDC" w:rsidRDefault="00471EDC">
      <w:r>
        <w:br w:type="page"/>
      </w:r>
    </w:p>
    <w:p w14:paraId="0F20FDF8" w14:textId="77777777" w:rsidR="00D72958" w:rsidRPr="00D72958" w:rsidRDefault="00D72958" w:rsidP="00D7295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b/>
          <w:sz w:val="28"/>
          <w:lang w:val="fr-FR"/>
        </w:rPr>
      </w:pPr>
      <w:r w:rsidRPr="00D72958">
        <w:rPr>
          <w:b/>
          <w:sz w:val="28"/>
          <w:lang w:val="fr-FR"/>
        </w:rPr>
        <w:lastRenderedPageBreak/>
        <w:t>Annexe</w:t>
      </w:r>
    </w:p>
    <w:p w14:paraId="7FBBC631" w14:textId="77777777" w:rsidR="00D72958" w:rsidRPr="00D72958" w:rsidRDefault="00D72958" w:rsidP="00D7295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b/>
          <w:sz w:val="28"/>
          <w:lang w:val="fr-FR"/>
        </w:rPr>
      </w:pPr>
      <w:r w:rsidRPr="00D72958">
        <w:rPr>
          <w:b/>
          <w:sz w:val="28"/>
          <w:lang w:val="fr-FR"/>
        </w:rPr>
        <w:tab/>
      </w:r>
      <w:r w:rsidRPr="00D72958">
        <w:rPr>
          <w:b/>
          <w:sz w:val="28"/>
          <w:lang w:val="fr-FR"/>
        </w:rPr>
        <w:tab/>
        <w:t>Projet d’amendements aux annexes A et B de l’ADR pour entrée en vigueur le 1er janvier 2025</w:t>
      </w:r>
    </w:p>
    <w:p w14:paraId="4ACDF4C4" w14:textId="77777777" w:rsidR="00BD5A70" w:rsidRDefault="00BD5A70" w:rsidP="00BD5A70">
      <w:pPr>
        <w:pStyle w:val="H1G"/>
        <w:rPr>
          <w:lang w:val="fr-FR"/>
        </w:rPr>
      </w:pPr>
      <w:r>
        <w:rPr>
          <w:lang w:val="fr-FR"/>
        </w:rPr>
        <w:tab/>
      </w:r>
      <w:r>
        <w:rPr>
          <w:lang w:val="fr-FR"/>
        </w:rPr>
        <w:tab/>
        <w:t>Chapitre 1.1</w:t>
      </w:r>
    </w:p>
    <w:p w14:paraId="5A33E655" w14:textId="77777777" w:rsidR="00BD5A70" w:rsidRDefault="00BD5A70" w:rsidP="00BD5A70">
      <w:pPr>
        <w:pStyle w:val="SingleTxtG"/>
        <w:ind w:left="2268" w:hanging="1134"/>
      </w:pPr>
      <w:r>
        <w:rPr>
          <w:lang w:val="fr-FR"/>
        </w:rPr>
        <w:t>1.1.2.2</w:t>
      </w:r>
      <w:r>
        <w:rPr>
          <w:lang w:val="fr-FR"/>
        </w:rPr>
        <w:tab/>
      </w:r>
      <w:r>
        <w:rPr>
          <w:lang w:val="fr-FR"/>
        </w:rPr>
        <w:tab/>
        <w:t>Modifier le titre du chapitre 1.2 pour lire « Définitions, unités de mesure et abréviations ».</w:t>
      </w:r>
    </w:p>
    <w:p w14:paraId="141830A2" w14:textId="77777777" w:rsidR="00BD5A70" w:rsidRDefault="00BD5A70" w:rsidP="00BD5A70">
      <w:pPr>
        <w:pStyle w:val="SingleTxtG"/>
        <w:rPr>
          <w:i/>
          <w:iCs/>
        </w:rPr>
      </w:pPr>
      <w:r>
        <w:rPr>
          <w:i/>
          <w:iCs/>
        </w:rPr>
        <w:t>(Document de référence : ECE/TRANS/WP.15/2023/3)</w:t>
      </w:r>
    </w:p>
    <w:p w14:paraId="7F0E83F3" w14:textId="77777777" w:rsidR="00BD5A70" w:rsidRDefault="00BD5A70" w:rsidP="00BD5A70">
      <w:pPr>
        <w:spacing w:after="120"/>
        <w:ind w:left="2268" w:right="1134" w:hanging="1134"/>
        <w:jc w:val="both"/>
        <w:rPr>
          <w:lang w:val="fr-FR"/>
        </w:rPr>
      </w:pPr>
      <w:r>
        <w:rPr>
          <w:bCs/>
          <w:lang w:val="fr-FR"/>
        </w:rPr>
        <w:t>1.1.3.1</w:t>
      </w:r>
      <w:r>
        <w:rPr>
          <w:bCs/>
          <w:lang w:val="fr-FR"/>
        </w:rPr>
        <w:tab/>
      </w:r>
      <w:r>
        <w:rPr>
          <w:lang w:val="fr-FR"/>
        </w:rPr>
        <w:tab/>
        <w:t>Renuméroter l’alinéa a) en tant que l’alinéa a) i).</w:t>
      </w:r>
    </w:p>
    <w:p w14:paraId="6AE8FDF5" w14:textId="77777777" w:rsidR="00BD5A70" w:rsidRDefault="00BD5A70" w:rsidP="00BD5A70">
      <w:pPr>
        <w:spacing w:after="120"/>
        <w:ind w:left="2268" w:right="1134" w:hanging="1134"/>
        <w:jc w:val="both"/>
        <w:rPr>
          <w:lang w:val="fr-FR"/>
        </w:rPr>
      </w:pPr>
      <w:r>
        <w:rPr>
          <w:lang w:val="fr-FR"/>
        </w:rPr>
        <w:tab/>
        <w:t>Après l’alinéa a) i), insérer le nouvel alinéa ii) suivant :</w:t>
      </w:r>
    </w:p>
    <w:p w14:paraId="07638370" w14:textId="77777777" w:rsidR="00BD5A70" w:rsidRDefault="00BD5A70" w:rsidP="00BD5A70">
      <w:pPr>
        <w:spacing w:after="120"/>
        <w:ind w:left="2268" w:right="1134" w:hanging="1134"/>
        <w:jc w:val="both"/>
        <w:rPr>
          <w:lang w:val="fr-FR"/>
        </w:rPr>
      </w:pPr>
      <w:r>
        <w:rPr>
          <w:lang w:val="fr-FR"/>
        </w:rPr>
        <w:t>« ii)</w:t>
      </w:r>
      <w:r>
        <w:rPr>
          <w:lang w:val="fr-FR"/>
        </w:rPr>
        <w:tab/>
        <w:t>Au transport, par des particuliers, dans les limites définies à l’alinéa a) i), de marchandises dangereuses initialement destinées à leur usage personnel ou domestique ou à leurs activités de loisir ou sportives et qui sont transportées comme déchets, y compris lorsque ces marchandises dangereuses ne sont plus conditionnées dans leur emballage d’origine pour la vente au détail, à condition que des mesures soient prises pour empêcher toute fuite dans des conditions normales de transport ; ».</w:t>
      </w:r>
    </w:p>
    <w:p w14:paraId="0FB614AA" w14:textId="77777777" w:rsidR="00BD5A70" w:rsidRDefault="00BD5A70" w:rsidP="00BD5A70">
      <w:pPr>
        <w:spacing w:after="120"/>
        <w:ind w:left="1134" w:right="1134"/>
        <w:jc w:val="both"/>
        <w:rPr>
          <w:i/>
          <w:iCs/>
          <w:lang w:val="fr-FR"/>
        </w:rPr>
      </w:pPr>
      <w:r>
        <w:rPr>
          <w:i/>
          <w:iCs/>
          <w:lang w:val="fr-FR"/>
        </w:rPr>
        <w:t>(Document de référence : ECE/TRANS/WP.15/AC.1/168)</w:t>
      </w:r>
    </w:p>
    <w:p w14:paraId="57438158" w14:textId="77777777" w:rsidR="00BD5A70" w:rsidRDefault="00BD5A70" w:rsidP="00BD5A70">
      <w:pPr>
        <w:pStyle w:val="H1G"/>
        <w:rPr>
          <w:lang w:val="fr-FR"/>
        </w:rPr>
      </w:pPr>
      <w:r>
        <w:rPr>
          <w:lang w:val="fr-FR"/>
        </w:rPr>
        <w:tab/>
      </w:r>
      <w:r>
        <w:rPr>
          <w:lang w:val="fr-FR"/>
        </w:rPr>
        <w:tab/>
        <w:t>Chapitre 1.4</w:t>
      </w:r>
    </w:p>
    <w:p w14:paraId="6948AF79" w14:textId="77777777" w:rsidR="00BD5A70" w:rsidRDefault="00BD5A70" w:rsidP="00BD5A70">
      <w:pPr>
        <w:spacing w:after="120"/>
        <w:ind w:left="2268" w:right="1134" w:hanging="1134"/>
        <w:jc w:val="both"/>
        <w:rPr>
          <w:lang w:val="fr-FR"/>
        </w:rPr>
      </w:pPr>
      <w:r>
        <w:rPr>
          <w:lang w:val="fr-FR"/>
        </w:rPr>
        <w:t>1.4.2.1.1</w:t>
      </w:r>
      <w:r>
        <w:rPr>
          <w:lang w:val="fr-FR"/>
        </w:rPr>
        <w:tab/>
        <w:t>À l’alinéa e), remplacer « conteneurs pour vrac vides » par « conteneurs pour le transport en vrac vides ».</w:t>
      </w:r>
    </w:p>
    <w:p w14:paraId="2480AD5E" w14:textId="77777777" w:rsidR="00BD5A70" w:rsidRDefault="00BD5A70" w:rsidP="00BD5A70">
      <w:pPr>
        <w:spacing w:after="120"/>
        <w:ind w:left="1134" w:right="1134"/>
        <w:jc w:val="both"/>
        <w:rPr>
          <w:i/>
          <w:iCs/>
          <w:lang w:val="fr-FR"/>
        </w:rPr>
      </w:pPr>
      <w:r>
        <w:rPr>
          <w:i/>
          <w:iCs/>
          <w:lang w:val="fr-FR"/>
        </w:rPr>
        <w:t>(Document de référence : ECE/TRANS/WP.15/AC.1/168)</w:t>
      </w:r>
    </w:p>
    <w:p w14:paraId="7787C503" w14:textId="77777777" w:rsidR="00BD5A70" w:rsidRDefault="00BD5A70" w:rsidP="00BD5A70">
      <w:pPr>
        <w:pStyle w:val="H1G"/>
        <w:rPr>
          <w:lang w:val="fr-FR"/>
        </w:rPr>
      </w:pPr>
      <w:r>
        <w:rPr>
          <w:lang w:val="fr-FR"/>
        </w:rPr>
        <w:tab/>
      </w:r>
      <w:r>
        <w:rPr>
          <w:lang w:val="fr-FR"/>
        </w:rPr>
        <w:tab/>
        <w:t>Chapitre 1.6</w:t>
      </w:r>
    </w:p>
    <w:p w14:paraId="2E9E0A70" w14:textId="37830B7B" w:rsidR="00BD5A70" w:rsidRDefault="00BD5A70" w:rsidP="00BD5A70">
      <w:pPr>
        <w:pStyle w:val="SingleTxtG"/>
        <w:tabs>
          <w:tab w:val="left" w:pos="720"/>
        </w:tabs>
        <w:ind w:left="2268" w:hanging="1134"/>
      </w:pPr>
      <w:r>
        <w:t>1.6.1</w:t>
      </w:r>
      <w:r>
        <w:tab/>
      </w:r>
      <w:r w:rsidR="0009711D">
        <w:tab/>
      </w:r>
      <w:r>
        <w:t>Ajouter la nouvelle mesure transitoire suivante :</w:t>
      </w:r>
    </w:p>
    <w:p w14:paraId="00033864" w14:textId="1279087F" w:rsidR="00BD5A70" w:rsidRDefault="00BD5A70" w:rsidP="00BD5A70">
      <w:pPr>
        <w:pStyle w:val="SingleTxtG"/>
        <w:tabs>
          <w:tab w:val="left" w:pos="720"/>
        </w:tabs>
        <w:ind w:left="2268" w:hanging="1134"/>
      </w:pPr>
      <w:r>
        <w:t>« 1.6.1.54</w:t>
      </w:r>
      <w:r>
        <w:tab/>
        <w:t>Les cuves utilisées pour le transport d’aluminium fondu du No ONU 3257 qui ont été construites et agréées avant le 1er juillet 2025 selon les dispositions d’une législation nationale mais qui ne sont toutefois pas conformes aux prescriptions relatives à la construction et à l’agrément de l’AP11 du 7.3.3.2.7 applicables à compter du 1er janvier 2025 peuvent encore être utilisées avec l’agrément des autorités compétentes des pays dans lesquels elles sont utilisées. ».</w:t>
      </w:r>
    </w:p>
    <w:p w14:paraId="169715AB" w14:textId="77777777" w:rsidR="00BD5A70" w:rsidRDefault="00BD5A70" w:rsidP="00BD5A70">
      <w:pPr>
        <w:spacing w:after="120"/>
        <w:ind w:left="1134" w:right="1134"/>
        <w:jc w:val="both"/>
        <w:rPr>
          <w:lang w:val="fr-FR"/>
        </w:rPr>
      </w:pPr>
      <w:r>
        <w:rPr>
          <w:i/>
          <w:iCs/>
          <w:lang w:val="fr-FR"/>
        </w:rPr>
        <w:t>(Document de référence : ECE/TRANS/WP.15/AC.1/2023/14, tel que modifié)</w:t>
      </w:r>
    </w:p>
    <w:p w14:paraId="3D270396" w14:textId="77777777" w:rsidR="00BD5A70" w:rsidRDefault="00BD5A70" w:rsidP="00BD5A70">
      <w:pPr>
        <w:spacing w:after="120"/>
        <w:ind w:left="2268" w:right="1134" w:hanging="1134"/>
        <w:jc w:val="both"/>
        <w:rPr>
          <w:lang w:val="fr-FR"/>
        </w:rPr>
      </w:pPr>
      <w:r>
        <w:rPr>
          <w:lang w:val="fr-FR"/>
        </w:rPr>
        <w:t>1.6.3</w:t>
      </w:r>
      <w:r>
        <w:rPr>
          <w:lang w:val="fr-FR"/>
        </w:rPr>
        <w:tab/>
      </w:r>
      <w:r>
        <w:rPr>
          <w:lang w:val="fr-FR"/>
        </w:rPr>
        <w:tab/>
        <w:t>Ajouter la nouvelle mesure transitoire suivante :</w:t>
      </w:r>
    </w:p>
    <w:p w14:paraId="7676D2C3" w14:textId="54C5983F" w:rsidR="00BD5A70" w:rsidRDefault="00BD5A70" w:rsidP="00BD5A70">
      <w:pPr>
        <w:spacing w:after="120"/>
        <w:ind w:left="2268" w:right="1134" w:hanging="1134"/>
        <w:jc w:val="both"/>
        <w:rPr>
          <w:lang w:val="fr-FR"/>
        </w:rPr>
      </w:pPr>
      <w:r>
        <w:rPr>
          <w:lang w:val="fr-FR"/>
        </w:rPr>
        <w:t>[« 1.6.3.61</w:t>
      </w:r>
      <w:r>
        <w:rPr>
          <w:lang w:val="fr-FR"/>
        </w:rPr>
        <w:tab/>
        <w:t>Les citernes fixes (véhicules-citernes) et citernes démontables construites avant le 1er juillet 2025 conformément aux prescriptions applicables jusqu’au 31 décembre 2024, mais qui ne sont pas conformes aux prescriptions du 6.8.2.2.11 applicables à partir du 1er janvier 2025, peuvent encore être utilisées. ».]</w:t>
      </w:r>
    </w:p>
    <w:p w14:paraId="4780679E" w14:textId="77777777" w:rsidR="00BD5A70" w:rsidRDefault="00BD5A70" w:rsidP="00BD5A70">
      <w:pPr>
        <w:spacing w:after="120"/>
        <w:ind w:left="1134" w:right="1134"/>
        <w:jc w:val="both"/>
        <w:rPr>
          <w:i/>
          <w:iCs/>
          <w:lang w:val="fr-FR"/>
        </w:rPr>
      </w:pPr>
      <w:r>
        <w:rPr>
          <w:i/>
          <w:iCs/>
          <w:lang w:val="fr-FR"/>
        </w:rPr>
        <w:t>(Document de référence : ECE/TRANS/WP.15/AC.1/168)</w:t>
      </w:r>
    </w:p>
    <w:p w14:paraId="2413FE14" w14:textId="77777777" w:rsidR="00BD5A70" w:rsidRDefault="00BD5A70" w:rsidP="00BD5A70">
      <w:pPr>
        <w:spacing w:after="120"/>
        <w:ind w:left="2268" w:right="1134" w:hanging="1134"/>
        <w:jc w:val="both"/>
        <w:rPr>
          <w:lang w:val="fr-FR"/>
        </w:rPr>
      </w:pPr>
      <w:r>
        <w:rPr>
          <w:lang w:val="fr-FR"/>
        </w:rPr>
        <w:t>1.6.4</w:t>
      </w:r>
      <w:r>
        <w:rPr>
          <w:lang w:val="fr-FR"/>
        </w:rPr>
        <w:tab/>
      </w:r>
      <w:r>
        <w:rPr>
          <w:lang w:val="fr-FR"/>
        </w:rPr>
        <w:tab/>
        <w:t>Ajouter la nouvelle mesure transitoire suivante :</w:t>
      </w:r>
    </w:p>
    <w:p w14:paraId="2E070B66" w14:textId="3B6E8F77" w:rsidR="00BD5A70" w:rsidRDefault="00BD5A70" w:rsidP="00BD5A70">
      <w:pPr>
        <w:spacing w:after="120"/>
        <w:ind w:left="2268" w:right="1134" w:hanging="1134"/>
        <w:jc w:val="both"/>
        <w:rPr>
          <w:lang w:val="fr-FR"/>
        </w:rPr>
      </w:pPr>
      <w:r>
        <w:rPr>
          <w:lang w:val="fr-FR"/>
        </w:rPr>
        <w:t>[« 1.6.4.65</w:t>
      </w:r>
      <w:r>
        <w:rPr>
          <w:lang w:val="fr-FR"/>
        </w:rPr>
        <w:tab/>
        <w:t xml:space="preserve">Les conteneurs-citernes construits avant le 1er juillet 2025 conformément aux prescriptions applicables jusqu’au 31 décembre 2024, mais qui ne sont pas </w:t>
      </w:r>
      <w:r>
        <w:rPr>
          <w:lang w:val="fr-FR"/>
        </w:rPr>
        <w:lastRenderedPageBreak/>
        <w:t>conformes aux prescriptions du 6.8.2.2.11 applicables à partir du 1er janvier 2025, peuvent encore être utilisés. ».]</w:t>
      </w:r>
    </w:p>
    <w:p w14:paraId="5F4D227E" w14:textId="77777777" w:rsidR="00BD5A70" w:rsidRDefault="00BD5A70" w:rsidP="00BD5A70">
      <w:pPr>
        <w:spacing w:after="120"/>
        <w:ind w:left="1134" w:right="1134"/>
        <w:jc w:val="both"/>
        <w:rPr>
          <w:i/>
          <w:iCs/>
          <w:lang w:val="fr-FR"/>
        </w:rPr>
      </w:pPr>
      <w:r>
        <w:rPr>
          <w:i/>
          <w:iCs/>
          <w:lang w:val="fr-FR"/>
        </w:rPr>
        <w:t>(Document de référence : ECE/TRANS/WP.15/AC.1/168)</w:t>
      </w:r>
    </w:p>
    <w:p w14:paraId="2D311ED5" w14:textId="77777777" w:rsidR="00BD5A70" w:rsidRDefault="00BD5A70" w:rsidP="00BD5A70">
      <w:pPr>
        <w:pStyle w:val="H1G"/>
        <w:rPr>
          <w:lang w:val="fr-FR"/>
        </w:rPr>
      </w:pPr>
      <w:r>
        <w:rPr>
          <w:lang w:val="fr-FR"/>
        </w:rPr>
        <w:tab/>
      </w:r>
      <w:r>
        <w:rPr>
          <w:lang w:val="fr-FR"/>
        </w:rPr>
        <w:tab/>
        <w:t>Chapitre 3.2, tableau A</w:t>
      </w:r>
    </w:p>
    <w:p w14:paraId="2E809943" w14:textId="22F2D060" w:rsidR="00BD5A70" w:rsidRDefault="00BD5A70" w:rsidP="00BD5A70">
      <w:pPr>
        <w:spacing w:after="120"/>
        <w:ind w:left="2268" w:right="1134" w:hanging="1134"/>
        <w:jc w:val="both"/>
        <w:rPr>
          <w:lang w:val="fr-FR"/>
        </w:rPr>
      </w:pPr>
      <w:r>
        <w:rPr>
          <w:lang w:val="fr-FR"/>
        </w:rPr>
        <w:t>Pour le No ONU 2037, toutes les rubriques, dans la colonne (16), insérer « V14 ».</w:t>
      </w:r>
    </w:p>
    <w:p w14:paraId="168468D9" w14:textId="77777777" w:rsidR="00BD5A70" w:rsidRDefault="00BD5A70" w:rsidP="00BD5A70">
      <w:pPr>
        <w:spacing w:after="120"/>
        <w:ind w:left="1134" w:right="1134"/>
        <w:jc w:val="both"/>
        <w:rPr>
          <w:i/>
          <w:iCs/>
          <w:lang w:val="fr-FR"/>
        </w:rPr>
      </w:pPr>
      <w:r>
        <w:rPr>
          <w:i/>
          <w:iCs/>
          <w:lang w:val="fr-FR"/>
        </w:rPr>
        <w:t>(Document de référence : ECE/TRANS/WP.15/AC.1/168)</w:t>
      </w:r>
    </w:p>
    <w:p w14:paraId="70B70793" w14:textId="77777777" w:rsidR="00BD5A70" w:rsidRDefault="00BD5A70" w:rsidP="00BD5A70">
      <w:pPr>
        <w:spacing w:after="120"/>
        <w:ind w:left="2268" w:right="1134" w:hanging="1134"/>
        <w:jc w:val="both"/>
        <w:rPr>
          <w:lang w:val="fr-FR"/>
        </w:rPr>
      </w:pPr>
      <w:r>
        <w:rPr>
          <w:lang w:val="fr-FR"/>
        </w:rPr>
        <w:t>Pour le No ONU 2073, dans la colonne (6), supprimer « 532 ».</w:t>
      </w:r>
    </w:p>
    <w:p w14:paraId="38AA7BD4" w14:textId="77777777" w:rsidR="00BD5A70" w:rsidRDefault="00BD5A70" w:rsidP="00BD5A70">
      <w:pPr>
        <w:spacing w:after="120"/>
        <w:ind w:left="1134" w:right="1134"/>
        <w:jc w:val="both"/>
        <w:rPr>
          <w:i/>
          <w:iCs/>
          <w:lang w:val="fr-FR"/>
        </w:rPr>
      </w:pPr>
      <w:r>
        <w:rPr>
          <w:i/>
          <w:iCs/>
          <w:lang w:val="fr-FR"/>
        </w:rPr>
        <w:t>(Document de référence : ECE/TRANS/WP.15/AC.1/168)</w:t>
      </w:r>
    </w:p>
    <w:p w14:paraId="7F5D3D5E" w14:textId="77777777" w:rsidR="00BD5A70" w:rsidRDefault="00BD5A70" w:rsidP="00BD5A70">
      <w:pPr>
        <w:spacing w:after="120"/>
        <w:ind w:left="2268" w:right="1134" w:hanging="1134"/>
        <w:jc w:val="both"/>
        <w:rPr>
          <w:lang w:val="fr-FR"/>
        </w:rPr>
      </w:pPr>
      <w:r>
        <w:rPr>
          <w:lang w:val="fr-FR"/>
        </w:rPr>
        <w:t>Pour le No ONU 2672, dans la colonne (6), supprimer « 543 ».</w:t>
      </w:r>
    </w:p>
    <w:p w14:paraId="370838AF" w14:textId="77777777" w:rsidR="00BD5A70" w:rsidRDefault="00BD5A70" w:rsidP="00BD5A70">
      <w:pPr>
        <w:spacing w:after="120"/>
        <w:ind w:left="1134" w:right="1134"/>
        <w:jc w:val="both"/>
        <w:rPr>
          <w:i/>
          <w:iCs/>
          <w:lang w:val="fr-FR"/>
        </w:rPr>
      </w:pPr>
      <w:r>
        <w:rPr>
          <w:i/>
          <w:iCs/>
          <w:lang w:val="fr-FR"/>
        </w:rPr>
        <w:t>(Document de référence : ECE/TRANS/WP.15/AC.1/168)</w:t>
      </w:r>
    </w:p>
    <w:p w14:paraId="51735D07" w14:textId="77777777" w:rsidR="00BD5A70" w:rsidRDefault="00BD5A70" w:rsidP="00BD5A70">
      <w:pPr>
        <w:spacing w:after="120"/>
        <w:ind w:left="2268" w:right="1134" w:hanging="1134"/>
        <w:jc w:val="both"/>
        <w:rPr>
          <w:lang w:val="fr-FR"/>
        </w:rPr>
      </w:pPr>
      <w:r>
        <w:rPr>
          <w:lang w:val="fr-FR"/>
        </w:rPr>
        <w:t>Pour le No ONU 3257 (première rubrique), dans la colonne 17, ajouter « AP11 ».</w:t>
      </w:r>
    </w:p>
    <w:p w14:paraId="51C4AC02" w14:textId="77777777" w:rsidR="00BD5A70" w:rsidRDefault="00BD5A70" w:rsidP="00BD5A70">
      <w:pPr>
        <w:spacing w:after="120"/>
        <w:ind w:left="1134" w:right="1134"/>
        <w:jc w:val="both"/>
        <w:rPr>
          <w:lang w:val="fr-FR"/>
        </w:rPr>
      </w:pPr>
      <w:r>
        <w:rPr>
          <w:i/>
          <w:iCs/>
          <w:lang w:val="fr-FR"/>
        </w:rPr>
        <w:t>(Document de référence : ECE/TRANS/WP.15/AC.1/2023/14)</w:t>
      </w:r>
    </w:p>
    <w:p w14:paraId="0107BA19" w14:textId="77777777" w:rsidR="00BD5A70" w:rsidRDefault="00BD5A70" w:rsidP="00BD5A70">
      <w:pPr>
        <w:spacing w:after="120"/>
        <w:ind w:left="2268" w:right="1134" w:hanging="1134"/>
        <w:jc w:val="both"/>
        <w:rPr>
          <w:lang w:val="fr-FR"/>
        </w:rPr>
      </w:pPr>
      <w:r>
        <w:rPr>
          <w:lang w:val="fr-FR"/>
        </w:rPr>
        <w:t>Pour le No ONU 3550, dans la colonne (9b), insérer « MP18 ».</w:t>
      </w:r>
    </w:p>
    <w:p w14:paraId="207AFDBE" w14:textId="77777777" w:rsidR="00BD5A70" w:rsidRDefault="00BD5A70" w:rsidP="00BD5A70">
      <w:pPr>
        <w:spacing w:after="120"/>
        <w:ind w:left="1134" w:right="1134"/>
        <w:jc w:val="both"/>
        <w:rPr>
          <w:i/>
          <w:iCs/>
          <w:lang w:val="fr-FR"/>
        </w:rPr>
      </w:pPr>
      <w:r>
        <w:rPr>
          <w:i/>
          <w:iCs/>
          <w:lang w:val="fr-FR"/>
        </w:rPr>
        <w:t>(Document de référence : ECE/TRANS/WP.15/AC.1/168)</w:t>
      </w:r>
    </w:p>
    <w:p w14:paraId="29651F65" w14:textId="77777777" w:rsidR="00BD5A70" w:rsidRDefault="00BD5A70" w:rsidP="00BD5A70">
      <w:pPr>
        <w:pStyle w:val="H1G"/>
        <w:rPr>
          <w:lang w:val="fr-FR"/>
        </w:rPr>
      </w:pPr>
      <w:r>
        <w:rPr>
          <w:lang w:val="fr-FR"/>
        </w:rPr>
        <w:tab/>
      </w:r>
      <w:r>
        <w:rPr>
          <w:lang w:val="fr-FR"/>
        </w:rPr>
        <w:tab/>
        <w:t>Chapitre 3.3</w:t>
      </w:r>
    </w:p>
    <w:p w14:paraId="27721B9B" w14:textId="77777777" w:rsidR="00BD5A70" w:rsidRDefault="00BD5A70" w:rsidP="00BD5A70">
      <w:pPr>
        <w:spacing w:after="120"/>
        <w:ind w:left="2268" w:right="1134" w:hanging="1134"/>
        <w:jc w:val="both"/>
        <w:rPr>
          <w:lang w:val="fr-FR"/>
        </w:rPr>
      </w:pPr>
      <w:r>
        <w:rPr>
          <w:lang w:val="fr-FR"/>
        </w:rPr>
        <w:t>DS 532</w:t>
      </w:r>
      <w:r>
        <w:rPr>
          <w:lang w:val="fr-FR"/>
        </w:rPr>
        <w:tab/>
        <w:t>Supprimer et ajouter « 532 (Supprimé) ».</w:t>
      </w:r>
    </w:p>
    <w:p w14:paraId="5F99C417" w14:textId="77777777" w:rsidR="00BD5A70" w:rsidRDefault="00BD5A70" w:rsidP="00BD5A70">
      <w:pPr>
        <w:spacing w:after="120"/>
        <w:ind w:left="1134" w:right="1134"/>
        <w:jc w:val="both"/>
        <w:rPr>
          <w:i/>
          <w:iCs/>
          <w:lang w:val="fr-FR"/>
        </w:rPr>
      </w:pPr>
      <w:r>
        <w:rPr>
          <w:i/>
          <w:iCs/>
          <w:lang w:val="fr-FR"/>
        </w:rPr>
        <w:t>(Document de référence : ECE/TRANS/WP.15/AC.1/168)</w:t>
      </w:r>
    </w:p>
    <w:p w14:paraId="29048015" w14:textId="77777777" w:rsidR="00BD5A70" w:rsidRDefault="00BD5A70" w:rsidP="00BD5A70">
      <w:pPr>
        <w:spacing w:after="120"/>
        <w:ind w:left="2268" w:right="1134" w:hanging="1134"/>
        <w:jc w:val="both"/>
        <w:rPr>
          <w:lang w:val="fr-FR"/>
        </w:rPr>
      </w:pPr>
      <w:r>
        <w:rPr>
          <w:lang w:val="fr-FR"/>
        </w:rPr>
        <w:t>DS 543</w:t>
      </w:r>
      <w:r>
        <w:rPr>
          <w:lang w:val="fr-FR"/>
        </w:rPr>
        <w:tab/>
        <w:t>Supprimer et ajouter « 543 (Supprimé) ».</w:t>
      </w:r>
    </w:p>
    <w:p w14:paraId="2CB27FFE" w14:textId="77777777" w:rsidR="00BD5A70" w:rsidRDefault="00BD5A70" w:rsidP="00BD5A70">
      <w:pPr>
        <w:spacing w:after="120"/>
        <w:ind w:left="1134" w:right="1134"/>
        <w:jc w:val="both"/>
        <w:rPr>
          <w:i/>
          <w:iCs/>
          <w:lang w:val="fr-FR"/>
        </w:rPr>
      </w:pPr>
      <w:r>
        <w:rPr>
          <w:i/>
          <w:iCs/>
          <w:lang w:val="fr-FR"/>
        </w:rPr>
        <w:t>(Document de référence : ECE/TRANS/WP.15/AC.1/168)</w:t>
      </w:r>
    </w:p>
    <w:p w14:paraId="56E50F5C" w14:textId="77777777" w:rsidR="00BD5A70" w:rsidRDefault="00BD5A70" w:rsidP="00BD5A70">
      <w:pPr>
        <w:spacing w:after="120"/>
        <w:ind w:left="2268" w:right="1134" w:hanging="1134"/>
        <w:jc w:val="both"/>
        <w:rPr>
          <w:lang w:val="fr-FR"/>
        </w:rPr>
      </w:pPr>
      <w:r>
        <w:rPr>
          <w:lang w:val="fr-FR"/>
        </w:rPr>
        <w:t>DS 668</w:t>
      </w:r>
      <w:r>
        <w:rPr>
          <w:lang w:val="fr-FR"/>
        </w:rPr>
        <w:tab/>
        <w:t>Modifier la phrase d’introduction pour lire comme suit :</w:t>
      </w:r>
    </w:p>
    <w:p w14:paraId="2C8B1F54" w14:textId="5F928389" w:rsidR="00BD5A70" w:rsidRDefault="00BD5A70" w:rsidP="00BD5A70">
      <w:pPr>
        <w:spacing w:after="120"/>
        <w:ind w:left="1134" w:right="1134"/>
        <w:jc w:val="both"/>
        <w:rPr>
          <w:lang w:val="fr-FR"/>
        </w:rPr>
      </w:pPr>
      <w:r>
        <w:rPr>
          <w:lang w:val="fr-FR"/>
        </w:rPr>
        <w:t>« Les matières destinées au marquage routier et le bitume ou les produits semblables destinés à la réparation des fissures dans le revêtement des routes, transportés à chaud, ne sont pas soumis aux autres prescriptions de l’ADR, pour autant que les conditions suivantes soient réunies : ».</w:t>
      </w:r>
    </w:p>
    <w:p w14:paraId="703DAA5C" w14:textId="77777777" w:rsidR="00BD5A70" w:rsidRDefault="00BD5A70" w:rsidP="00BD5A70">
      <w:pPr>
        <w:spacing w:after="120"/>
        <w:ind w:left="1134" w:right="1134"/>
        <w:jc w:val="both"/>
        <w:rPr>
          <w:i/>
          <w:iCs/>
          <w:lang w:val="fr-FR"/>
        </w:rPr>
      </w:pPr>
      <w:r>
        <w:rPr>
          <w:i/>
          <w:iCs/>
          <w:lang w:val="fr-FR"/>
        </w:rPr>
        <w:t>(Document de référence : ECE/TRANS/WP.15/AC.1/168)</w:t>
      </w:r>
    </w:p>
    <w:p w14:paraId="08BD8B41" w14:textId="77777777" w:rsidR="00BD5A70" w:rsidRDefault="00BD5A70" w:rsidP="00BD5A70">
      <w:pPr>
        <w:pStyle w:val="H1G"/>
        <w:rPr>
          <w:lang w:val="fr-FR"/>
        </w:rPr>
      </w:pPr>
      <w:r>
        <w:rPr>
          <w:lang w:val="fr-FR"/>
        </w:rPr>
        <w:tab/>
      </w:r>
      <w:r>
        <w:rPr>
          <w:lang w:val="fr-FR"/>
        </w:rPr>
        <w:tab/>
        <w:t>Chapitre 4.1</w:t>
      </w:r>
    </w:p>
    <w:p w14:paraId="6A93EB97" w14:textId="77777777" w:rsidR="00BD5A70" w:rsidRDefault="00BD5A70" w:rsidP="00BD5A70">
      <w:pPr>
        <w:spacing w:after="120"/>
        <w:ind w:left="2268" w:right="1134" w:hanging="1134"/>
        <w:jc w:val="both"/>
        <w:rPr>
          <w:lang w:val="fr-FR"/>
        </w:rPr>
      </w:pPr>
      <w:r>
        <w:rPr>
          <w:lang w:val="fr-FR"/>
        </w:rPr>
        <w:t>4.1.1.21.6</w:t>
      </w:r>
      <w:r>
        <w:rPr>
          <w:lang w:val="fr-FR"/>
        </w:rPr>
        <w:tab/>
        <w:t>Dans le tableau 4.1.1.21.6, pour le No ONU 1779, dans la colonne (3b), remplacer « C3 » par « CF1 ».</w:t>
      </w:r>
    </w:p>
    <w:p w14:paraId="47C1FBC9" w14:textId="77777777" w:rsidR="00BD5A70" w:rsidRDefault="00BD5A70" w:rsidP="00BD5A70">
      <w:pPr>
        <w:spacing w:after="120"/>
        <w:ind w:left="1134" w:right="1134"/>
        <w:jc w:val="both"/>
        <w:rPr>
          <w:i/>
          <w:iCs/>
          <w:lang w:val="fr-FR"/>
        </w:rPr>
      </w:pPr>
      <w:r>
        <w:rPr>
          <w:i/>
          <w:iCs/>
          <w:lang w:val="fr-FR"/>
        </w:rPr>
        <w:t>(Document de référence : ECE/TRANS/WP.15/AC.1/168)</w:t>
      </w:r>
    </w:p>
    <w:p w14:paraId="77E5387D" w14:textId="77777777" w:rsidR="00BD5A70" w:rsidRDefault="00BD5A70" w:rsidP="00BD5A70">
      <w:pPr>
        <w:spacing w:after="120"/>
        <w:ind w:left="2268" w:right="1134" w:hanging="1134"/>
        <w:jc w:val="both"/>
        <w:rPr>
          <w:lang w:val="fr-FR"/>
        </w:rPr>
      </w:pPr>
      <w:r>
        <w:rPr>
          <w:lang w:val="fr-FR"/>
        </w:rPr>
        <w:t>4.1.4.1, P200</w:t>
      </w:r>
      <w:r>
        <w:rPr>
          <w:lang w:val="fr-FR"/>
        </w:rPr>
        <w:tab/>
      </w:r>
      <w:r>
        <w:rPr>
          <w:lang w:val="fr-FR"/>
        </w:rPr>
        <w:tab/>
        <w:t>Au paragraphe (10), dans la disposition spéciale d’emballage « p », modifier comme suit :</w:t>
      </w:r>
    </w:p>
    <w:p w14:paraId="2FB517E2" w14:textId="12CD068C" w:rsidR="00BD5A70" w:rsidRDefault="00BD5A70" w:rsidP="00BD5A70">
      <w:pPr>
        <w:spacing w:after="120"/>
        <w:ind w:left="2268" w:right="1134" w:hanging="1134"/>
        <w:jc w:val="both"/>
        <w:rPr>
          <w:lang w:val="fr-FR"/>
        </w:rPr>
      </w:pPr>
      <w:r>
        <w:rPr>
          <w:lang w:val="fr-FR"/>
        </w:rPr>
        <w:tab/>
        <w:t>- Au deuxième paragraphe, supprimer « munies d’un dispositif de décompression ou ».</w:t>
      </w:r>
    </w:p>
    <w:p w14:paraId="51621856" w14:textId="440E84B1" w:rsidR="00BD5A70" w:rsidRDefault="00BD5A70" w:rsidP="00BD5A70">
      <w:pPr>
        <w:spacing w:after="120"/>
        <w:ind w:left="2268" w:right="1134" w:hanging="1134"/>
        <w:jc w:val="both"/>
        <w:rPr>
          <w:lang w:val="fr-FR"/>
        </w:rPr>
      </w:pPr>
      <w:r>
        <w:rPr>
          <w:lang w:val="fr-FR"/>
        </w:rPr>
        <w:tab/>
        <w:t>- Supprimer le dernier paragraphe.</w:t>
      </w:r>
    </w:p>
    <w:p w14:paraId="3B4C6FE9" w14:textId="77777777" w:rsidR="00BD5A70" w:rsidRDefault="00BD5A70" w:rsidP="00BD5A70">
      <w:pPr>
        <w:spacing w:after="120"/>
        <w:ind w:left="1134" w:right="1134"/>
        <w:jc w:val="both"/>
        <w:rPr>
          <w:i/>
          <w:iCs/>
          <w:lang w:val="fr-FR"/>
        </w:rPr>
      </w:pPr>
      <w:r>
        <w:rPr>
          <w:i/>
          <w:iCs/>
          <w:lang w:val="fr-FR"/>
        </w:rPr>
        <w:t>(Document de référence : ECE/TRANS/WP.15/AC.1/168)</w:t>
      </w:r>
    </w:p>
    <w:p w14:paraId="7E6E2139" w14:textId="77777777" w:rsidR="00BD5A70" w:rsidRDefault="00BD5A70" w:rsidP="00BD5A70">
      <w:pPr>
        <w:pStyle w:val="H1G"/>
        <w:rPr>
          <w:lang w:val="fr-FR"/>
        </w:rPr>
      </w:pPr>
      <w:r>
        <w:rPr>
          <w:lang w:val="fr-FR"/>
        </w:rPr>
        <w:tab/>
      </w:r>
      <w:r>
        <w:rPr>
          <w:lang w:val="fr-FR"/>
        </w:rPr>
        <w:tab/>
        <w:t>Chapitre 4.3</w:t>
      </w:r>
    </w:p>
    <w:p w14:paraId="61FD70E8" w14:textId="77777777" w:rsidR="00BD5A70" w:rsidRDefault="00BD5A70" w:rsidP="00BD5A70">
      <w:pPr>
        <w:spacing w:after="120"/>
        <w:ind w:left="2268" w:right="1134" w:hanging="1134"/>
        <w:jc w:val="both"/>
        <w:rPr>
          <w:lang w:val="fr-FR"/>
        </w:rPr>
      </w:pPr>
      <w:r>
        <w:rPr>
          <w:lang w:val="fr-FR"/>
        </w:rPr>
        <w:t>4.3.4.1.2</w:t>
      </w:r>
      <w:r>
        <w:rPr>
          <w:lang w:val="fr-FR"/>
        </w:rPr>
        <w:tab/>
        <w:t>Modifier le tableau comme suit :</w:t>
      </w:r>
    </w:p>
    <w:p w14:paraId="52E14F05" w14:textId="77777777" w:rsidR="00BD5A70" w:rsidRDefault="00BD5A70" w:rsidP="00BD5A70">
      <w:pPr>
        <w:spacing w:after="120"/>
        <w:ind w:left="2268" w:right="1134" w:hanging="1134"/>
        <w:jc w:val="both"/>
        <w:rPr>
          <w:lang w:val="fr-FR"/>
        </w:rPr>
      </w:pPr>
      <w:r>
        <w:rPr>
          <w:lang w:val="fr-FR"/>
        </w:rPr>
        <w:lastRenderedPageBreak/>
        <w:tab/>
        <w:t>- Pour le code-citerne « LGBV », après la ligne « 5.1 | O1 | III », insérer la nouvelle ligne suivante : « 5.1 | OT1 | III ».</w:t>
      </w:r>
    </w:p>
    <w:p w14:paraId="28A14B62" w14:textId="77777777" w:rsidR="00BD5A70" w:rsidRDefault="00BD5A70" w:rsidP="00BD5A70">
      <w:pPr>
        <w:spacing w:after="120"/>
        <w:ind w:left="2268" w:right="1134" w:hanging="1134"/>
        <w:jc w:val="both"/>
        <w:rPr>
          <w:lang w:val="fr-FR"/>
        </w:rPr>
      </w:pPr>
      <w:r>
        <w:rPr>
          <w:lang w:val="fr-FR"/>
        </w:rPr>
        <w:tab/>
        <w:t>- Pour le code-citerne « L1,5BN », supprimer la deuxième ligne (« 3 | F1 | III point d’éclair &lt; 23 °C, visqueux, pression de vapeur à 50 °C &gt; 1,1 bar, point d’ébullition &gt; 35 °C »).</w:t>
      </w:r>
    </w:p>
    <w:p w14:paraId="4ED5BCE7" w14:textId="77777777" w:rsidR="00BD5A70" w:rsidRDefault="00BD5A70" w:rsidP="00BD5A70">
      <w:pPr>
        <w:spacing w:after="120"/>
        <w:ind w:left="2268" w:right="1134" w:hanging="1134"/>
        <w:jc w:val="both"/>
        <w:rPr>
          <w:lang w:val="fr-FR"/>
        </w:rPr>
      </w:pPr>
      <w:r>
        <w:rPr>
          <w:lang w:val="fr-FR"/>
        </w:rPr>
        <w:tab/>
        <w:t>- Pour le code-citerne « L4BN », dans la ligne « 3 | F1 », dans la colonne « Groupe d’emballage », supprimer « III point d’ébullition ≤ 35 °C ».</w:t>
      </w:r>
    </w:p>
    <w:p w14:paraId="78BCBCA3" w14:textId="77777777" w:rsidR="00BD5A70" w:rsidRDefault="00BD5A70" w:rsidP="00BD5A70">
      <w:pPr>
        <w:spacing w:after="120"/>
        <w:ind w:left="2268" w:right="1134" w:hanging="1134"/>
        <w:jc w:val="both"/>
        <w:rPr>
          <w:lang w:val="fr-FR"/>
        </w:rPr>
      </w:pPr>
      <w:r>
        <w:rPr>
          <w:lang w:val="fr-FR"/>
        </w:rPr>
        <w:tab/>
        <w:t>- Pour le code-citerne « L4BN », dans la ligne « 5.1 | O1 », dans la colonne « Groupe d’emballage », supprimer « I, ».</w:t>
      </w:r>
    </w:p>
    <w:p w14:paraId="7B9DA76E" w14:textId="77777777" w:rsidR="00BD5A70" w:rsidRDefault="00BD5A70" w:rsidP="00BD5A70">
      <w:pPr>
        <w:spacing w:after="120"/>
        <w:ind w:left="2268" w:right="1134" w:hanging="1134"/>
        <w:jc w:val="both"/>
        <w:rPr>
          <w:lang w:val="fr-FR"/>
        </w:rPr>
      </w:pPr>
      <w:r>
        <w:rPr>
          <w:lang w:val="fr-FR"/>
        </w:rPr>
        <w:tab/>
        <w:t>- Pour le code-citerne « L4BN », dans la ligne « 5.1 | OT1 », dans la colonne « Groupe d’emballage », remplacer « I » par « II ».</w:t>
      </w:r>
    </w:p>
    <w:p w14:paraId="6A2D2EA7" w14:textId="77777777" w:rsidR="00BD5A70" w:rsidRDefault="00BD5A70" w:rsidP="00BD5A70">
      <w:pPr>
        <w:spacing w:after="120"/>
        <w:ind w:left="1134" w:right="1134"/>
        <w:jc w:val="both"/>
        <w:rPr>
          <w:i/>
          <w:iCs/>
          <w:lang w:val="fr-FR"/>
        </w:rPr>
      </w:pPr>
      <w:r>
        <w:rPr>
          <w:i/>
          <w:iCs/>
          <w:lang w:val="fr-FR"/>
        </w:rPr>
        <w:t>(Document de référence : ECE/TRANS/WP.15/AC.1/168)</w:t>
      </w:r>
    </w:p>
    <w:p w14:paraId="6263BB12" w14:textId="77777777" w:rsidR="00BD5A70" w:rsidRDefault="00BD5A70" w:rsidP="00BD5A70">
      <w:pPr>
        <w:pStyle w:val="H1G"/>
        <w:rPr>
          <w:lang w:val="fr-FR"/>
        </w:rPr>
      </w:pPr>
      <w:r>
        <w:rPr>
          <w:lang w:val="fr-FR"/>
        </w:rPr>
        <w:tab/>
      </w:r>
      <w:r>
        <w:rPr>
          <w:lang w:val="fr-FR"/>
        </w:rPr>
        <w:tab/>
        <w:t>Chapitre 5.4</w:t>
      </w:r>
    </w:p>
    <w:p w14:paraId="270C8BCA" w14:textId="77777777" w:rsidR="00BD5A70" w:rsidRDefault="00BD5A70" w:rsidP="00BD5A70">
      <w:pPr>
        <w:spacing w:after="120"/>
        <w:ind w:left="2268" w:right="1134" w:hanging="1134"/>
        <w:jc w:val="both"/>
        <w:rPr>
          <w:lang w:val="fr-FR"/>
        </w:rPr>
      </w:pPr>
      <w:r>
        <w:rPr>
          <w:lang w:val="fr-FR"/>
        </w:rPr>
        <w:t>5.4.0.1</w:t>
      </w:r>
      <w:r>
        <w:rPr>
          <w:lang w:val="fr-FR"/>
        </w:rPr>
        <w:tab/>
      </w:r>
      <w:r>
        <w:rPr>
          <w:lang w:val="fr-FR"/>
        </w:rPr>
        <w:tab/>
        <w:t>Après la première phrase, insérer la nouvelle deuxième phrase suivante :</w:t>
      </w:r>
    </w:p>
    <w:p w14:paraId="275B8D97" w14:textId="754CAEC2" w:rsidR="00BD5A70" w:rsidRDefault="00BD5A70" w:rsidP="00BD5A70">
      <w:pPr>
        <w:spacing w:after="120"/>
        <w:ind w:left="1134" w:right="1134"/>
        <w:jc w:val="both"/>
        <w:rPr>
          <w:lang w:val="fr-FR"/>
        </w:rPr>
      </w:pPr>
      <w:r>
        <w:rPr>
          <w:lang w:val="fr-FR"/>
        </w:rPr>
        <w:t>« Les informations concernant les marchandises dangereuses transportées, prescrites dans le présent chapitre, doivent être disponibles pendant le transport de manière à ce que les marchandises par véhicule et le véhicule les transportant puissent être identifiés dans la documentation. ».</w:t>
      </w:r>
    </w:p>
    <w:p w14:paraId="7E539F16" w14:textId="77777777" w:rsidR="00BD5A70" w:rsidRDefault="00BD5A70" w:rsidP="00BD5A70">
      <w:pPr>
        <w:spacing w:after="120"/>
        <w:ind w:left="1134" w:right="1134"/>
        <w:jc w:val="both"/>
        <w:rPr>
          <w:i/>
          <w:iCs/>
          <w:lang w:val="fr-FR"/>
        </w:rPr>
      </w:pPr>
      <w:r>
        <w:rPr>
          <w:i/>
          <w:iCs/>
          <w:lang w:val="fr-FR"/>
        </w:rPr>
        <w:t>(Document de référence : ECE/TRANS/WP.15/AC.1/168, tel que modifié)</w:t>
      </w:r>
    </w:p>
    <w:p w14:paraId="67614DC6" w14:textId="77777777" w:rsidR="00BD5A70" w:rsidRDefault="00BD5A70" w:rsidP="00BD5A70">
      <w:pPr>
        <w:spacing w:after="120"/>
        <w:ind w:left="2268" w:right="1134" w:hanging="1134"/>
        <w:jc w:val="both"/>
        <w:rPr>
          <w:lang w:val="fr-FR"/>
        </w:rPr>
      </w:pPr>
      <w:r>
        <w:rPr>
          <w:lang w:val="fr-FR"/>
        </w:rPr>
        <w:t>5.4.1.1.1</w:t>
      </w:r>
      <w:r>
        <w:rPr>
          <w:lang w:val="fr-FR"/>
        </w:rPr>
        <w:tab/>
        <w:t>À l’alinéa g), supprimer « ou des expéditeurs ».</w:t>
      </w:r>
    </w:p>
    <w:p w14:paraId="1AF18630" w14:textId="77777777" w:rsidR="00BD5A70" w:rsidRDefault="00BD5A70" w:rsidP="00BD5A70">
      <w:pPr>
        <w:spacing w:after="120"/>
        <w:ind w:left="1134" w:right="1134"/>
        <w:jc w:val="both"/>
        <w:rPr>
          <w:i/>
          <w:iCs/>
          <w:lang w:val="fr-FR"/>
        </w:rPr>
      </w:pPr>
      <w:r>
        <w:rPr>
          <w:i/>
          <w:iCs/>
          <w:lang w:val="fr-FR"/>
        </w:rPr>
        <w:t>(Document de référence : ECE/TRANS/WP.15/AC.1/168)</w:t>
      </w:r>
    </w:p>
    <w:p w14:paraId="3EB5B06F" w14:textId="77777777" w:rsidR="00BD5A70" w:rsidRDefault="00BD5A70" w:rsidP="00BD5A70">
      <w:pPr>
        <w:spacing w:after="120"/>
        <w:ind w:left="2268" w:right="1134" w:hanging="1134"/>
        <w:jc w:val="both"/>
        <w:rPr>
          <w:lang w:val="fr-FR"/>
        </w:rPr>
      </w:pPr>
      <w:r>
        <w:rPr>
          <w:lang w:val="fr-FR"/>
        </w:rPr>
        <w:t>5.4.1.1.21</w:t>
      </w:r>
      <w:r>
        <w:rPr>
          <w:lang w:val="fr-FR"/>
        </w:rPr>
        <w:tab/>
        <w:t>Modifier pour lire comme suit :</w:t>
      </w:r>
    </w:p>
    <w:p w14:paraId="5B3E79B9" w14:textId="594182B4" w:rsidR="00BD5A70" w:rsidRDefault="00BD5A70" w:rsidP="00D91469">
      <w:pPr>
        <w:spacing w:after="120"/>
        <w:ind w:left="2268" w:right="1134" w:hanging="1134"/>
        <w:jc w:val="both"/>
        <w:rPr>
          <w:i/>
          <w:iCs/>
          <w:lang w:val="fr-FR"/>
        </w:rPr>
      </w:pPr>
      <w:r>
        <w:rPr>
          <w:lang w:val="fr-FR"/>
        </w:rPr>
        <w:t>« 5.4.1.1.21</w:t>
      </w:r>
      <w:r>
        <w:rPr>
          <w:lang w:val="fr-FR"/>
        </w:rPr>
        <w:tab/>
      </w:r>
      <w:r>
        <w:rPr>
          <w:i/>
          <w:iCs/>
          <w:lang w:val="fr-FR"/>
        </w:rPr>
        <w:t>Renseignements requis pour les cas spécifiques définis dans d’autres parties de l’ADR</w:t>
      </w:r>
    </w:p>
    <w:p w14:paraId="06D0A187" w14:textId="70E3DAB2" w:rsidR="00BD5A70" w:rsidRDefault="00BD5A70" w:rsidP="00BD5A70">
      <w:pPr>
        <w:spacing w:after="120"/>
        <w:ind w:left="2268" w:right="1134" w:hanging="1134"/>
        <w:jc w:val="both"/>
        <w:rPr>
          <w:lang w:val="fr-FR"/>
        </w:rPr>
      </w:pPr>
      <w:r>
        <w:rPr>
          <w:lang w:val="fr-FR"/>
        </w:rPr>
        <w:tab/>
        <w:t>Lorsque des renseignements sont nécessaires en vertu des dispositions des chapitres 3.3, 3.5, 4.1, 4.2, 4.3 et 5.5, ces renseignements doivent figurer dans les informations de transport. »</w:t>
      </w:r>
    </w:p>
    <w:p w14:paraId="0CD15A10" w14:textId="77777777" w:rsidR="00BD5A70" w:rsidRDefault="00BD5A70" w:rsidP="00BD5A70">
      <w:pPr>
        <w:spacing w:after="120"/>
        <w:ind w:left="1134" w:right="1134"/>
        <w:jc w:val="both"/>
        <w:rPr>
          <w:i/>
          <w:iCs/>
          <w:lang w:val="fr-FR"/>
        </w:rPr>
      </w:pPr>
      <w:r>
        <w:rPr>
          <w:i/>
          <w:iCs/>
          <w:lang w:val="fr-FR"/>
        </w:rPr>
        <w:t>(Document de référence : ECE/TRANS/WP.15/AC.1/168, tel que modifié)</w:t>
      </w:r>
    </w:p>
    <w:p w14:paraId="5678DD1F" w14:textId="77777777" w:rsidR="00BD5A70" w:rsidRDefault="00BD5A70" w:rsidP="00BD5A70">
      <w:pPr>
        <w:pStyle w:val="H1G"/>
        <w:rPr>
          <w:lang w:val="fr-FR"/>
        </w:rPr>
      </w:pPr>
      <w:r>
        <w:rPr>
          <w:lang w:val="fr-FR"/>
        </w:rPr>
        <w:tab/>
      </w:r>
      <w:r>
        <w:rPr>
          <w:lang w:val="fr-FR"/>
        </w:rPr>
        <w:tab/>
        <w:t>Chapitre 6.2</w:t>
      </w:r>
    </w:p>
    <w:p w14:paraId="75C7C8C6" w14:textId="77777777" w:rsidR="00BD5A70" w:rsidRPr="00E74938" w:rsidRDefault="00BD5A70" w:rsidP="00BD5A70">
      <w:pPr>
        <w:spacing w:after="120"/>
        <w:ind w:left="2268" w:right="1134" w:hanging="1134"/>
        <w:jc w:val="both"/>
        <w:rPr>
          <w:bCs/>
          <w:lang w:val="fr-FR"/>
        </w:rPr>
      </w:pPr>
      <w:r w:rsidRPr="00E74938">
        <w:rPr>
          <w:bCs/>
          <w:lang w:val="fr-FR"/>
        </w:rPr>
        <w:t>6.2.4.1</w:t>
      </w:r>
      <w:r w:rsidRPr="00E74938">
        <w:rPr>
          <w:bCs/>
          <w:lang w:val="fr-FR"/>
        </w:rPr>
        <w:tab/>
      </w:r>
      <w:r w:rsidRPr="00E74938">
        <w:rPr>
          <w:bCs/>
          <w:lang w:val="fr-FR"/>
        </w:rPr>
        <w:tab/>
        <w:t>Dans le tableau, sous « pour la conception et la fabrication des récipients à pression ou des enveloppes de récipients à pression » :</w:t>
      </w:r>
    </w:p>
    <w:p w14:paraId="7C4B9460" w14:textId="525E2E2C" w:rsidR="00BD5A70" w:rsidRDefault="00BD5A70" w:rsidP="00DD7294">
      <w:pPr>
        <w:spacing w:after="120"/>
        <w:ind w:left="2268" w:right="1134" w:hanging="1134"/>
        <w:jc w:val="both"/>
        <w:rPr>
          <w:lang w:val="fr-FR"/>
        </w:rPr>
      </w:pPr>
      <w:r>
        <w:rPr>
          <w:rFonts w:cs="Arial"/>
          <w:szCs w:val="22"/>
          <w:lang w:val="fr-FR"/>
        </w:rPr>
        <w:tab/>
        <w:t xml:space="preserve">– </w:t>
      </w:r>
      <w:r>
        <w:rPr>
          <w:lang w:val="fr-FR"/>
        </w:rPr>
        <w:t xml:space="preserve">Après la ligne relative à la norme </w:t>
      </w:r>
      <w:r>
        <w:rPr>
          <w:rFonts w:cs="Arial"/>
          <w:szCs w:val="22"/>
          <w:lang w:val="fr-FR"/>
        </w:rPr>
        <w:t>EN ISO 9809-3:2019</w:t>
      </w:r>
      <w:r>
        <w:rPr>
          <w:lang w:val="fr-FR"/>
        </w:rPr>
        <w:t>, insérer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BD5A70" w14:paraId="2F76600E" w14:textId="77777777" w:rsidTr="00BD5A70">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8825CD" w14:textId="77777777" w:rsidR="00BD5A70" w:rsidRDefault="00BD5A70">
            <w:pPr>
              <w:widowControl w:val="0"/>
              <w:ind w:right="282"/>
              <w:jc w:val="center"/>
              <w:rPr>
                <w:rFonts w:cs="Arial"/>
                <w:lang w:val="fr-FR"/>
              </w:rPr>
            </w:pPr>
            <w:r>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41F1E49" w14:textId="77777777" w:rsidR="00BD5A70" w:rsidRDefault="00BD5A70">
            <w:pPr>
              <w:widowControl w:val="0"/>
              <w:ind w:right="282"/>
              <w:jc w:val="center"/>
              <w:rPr>
                <w:rFonts w:cs="Arial"/>
                <w:lang w:val="fr-FR"/>
              </w:rPr>
            </w:pPr>
            <w:r>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D9B740" w14:textId="77777777" w:rsidR="00BD5A70" w:rsidRDefault="00BD5A70">
            <w:pPr>
              <w:widowControl w:val="0"/>
              <w:ind w:right="282"/>
              <w:jc w:val="center"/>
              <w:rPr>
                <w:rFonts w:cs="Arial"/>
                <w:lang w:val="fr-FR"/>
              </w:rPr>
            </w:pPr>
            <w:r>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57FF32" w14:textId="77777777" w:rsidR="00BD5A70" w:rsidRDefault="00BD5A70">
            <w:pPr>
              <w:widowControl w:val="0"/>
              <w:ind w:right="282"/>
              <w:jc w:val="center"/>
              <w:rPr>
                <w:rFonts w:cs="Arial"/>
                <w:lang w:val="fr-FR"/>
              </w:rPr>
            </w:pPr>
            <w:r>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E5FF0D" w14:textId="77777777" w:rsidR="00BD5A70" w:rsidRDefault="00BD5A70">
            <w:pPr>
              <w:widowControl w:val="0"/>
              <w:ind w:right="282"/>
              <w:jc w:val="center"/>
              <w:rPr>
                <w:rFonts w:cs="Arial"/>
                <w:lang w:val="fr-FR"/>
              </w:rPr>
            </w:pPr>
            <w:r>
              <w:rPr>
                <w:rFonts w:cs="Arial"/>
                <w:lang w:val="fr-FR"/>
              </w:rPr>
              <w:t>(5)</w:t>
            </w:r>
          </w:p>
        </w:tc>
      </w:tr>
      <w:tr w:rsidR="00BD5A70" w14:paraId="01F5F028" w14:textId="77777777" w:rsidTr="00BD5A70">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4FB3C1" w14:textId="77777777" w:rsidR="00BD5A70" w:rsidRDefault="00BD5A70">
            <w:pPr>
              <w:widowControl w:val="0"/>
              <w:ind w:right="282"/>
              <w:rPr>
                <w:rFonts w:cs="Arial"/>
                <w:lang w:val="fr-FR"/>
              </w:rPr>
            </w:pPr>
            <w:r>
              <w:rPr>
                <w:szCs w:val="22"/>
                <w:lang w:val="fr-FR"/>
              </w:rPr>
              <w:t>EN ISO 9809-4:2022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AFD591" w14:textId="021E323E" w:rsidR="00BD5A70" w:rsidRDefault="00BD5A70">
            <w:pPr>
              <w:widowControl w:val="0"/>
              <w:ind w:right="282"/>
              <w:rPr>
                <w:rFonts w:cs="Arial"/>
                <w:bCs/>
                <w:lang w:val="fr-FR"/>
              </w:rPr>
            </w:pPr>
            <w:r>
              <w:rPr>
                <w:lang w:val="fr-FR"/>
              </w:rPr>
              <w:t>Bouteilles à gaz – Conception, construction et essais des bouteilles à gaz et des tubes rechargeables en acier sans soudure – Partie 4</w:t>
            </w:r>
            <w:r>
              <w:rPr>
                <w:w w:val="66"/>
                <w:lang w:val="fr-FR"/>
              </w:rPr>
              <w:t> </w:t>
            </w:r>
            <w:r>
              <w:rPr>
                <w:lang w:val="fr-FR"/>
              </w:rPr>
              <w:t xml:space="preserve">: Bouteilles en acier inoxydable ayant une valeur de </w:t>
            </w:r>
            <w:proofErr w:type="spellStart"/>
            <w:r>
              <w:rPr>
                <w:lang w:val="fr-FR"/>
              </w:rPr>
              <w:t>Rm</w:t>
            </w:r>
            <w:proofErr w:type="spellEnd"/>
            <w:r>
              <w:rPr>
                <w:lang w:val="fr-FR"/>
              </w:rPr>
              <w:t xml:space="preserve"> inférieure à 1 100 MPa</w:t>
            </w:r>
          </w:p>
          <w:p w14:paraId="53A10F97" w14:textId="77777777" w:rsidR="00BD5A70" w:rsidRDefault="00BD5A70">
            <w:pPr>
              <w:widowControl w:val="0"/>
              <w:tabs>
                <w:tab w:val="left" w:pos="851"/>
              </w:tabs>
              <w:ind w:left="1" w:right="282" w:hanging="1"/>
              <w:rPr>
                <w:rFonts w:cs="Arial"/>
                <w:i/>
                <w:lang w:val="fr-FR"/>
              </w:rPr>
            </w:pPr>
            <w:r>
              <w:rPr>
                <w:rFonts w:cs="Arial"/>
                <w:b/>
                <w:bCs/>
                <w:i/>
                <w:lang w:val="fr-FR"/>
              </w:rPr>
              <w:t xml:space="preserve">NOTA : </w:t>
            </w:r>
            <w:r>
              <w:rPr>
                <w:rFonts w:cs="Arial"/>
                <w:bCs/>
                <w:i/>
                <w:lang w:val="fr-FR"/>
              </w:rPr>
              <w:t>Par « petites quantités », on entend un lot comprenant au maximum 200 bouteilles.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DFEDB1" w14:textId="77777777" w:rsidR="00BD5A70" w:rsidRDefault="00BD5A70">
            <w:pPr>
              <w:widowControl w:val="0"/>
              <w:ind w:right="282"/>
              <w:rPr>
                <w:rFonts w:cs="Arial"/>
                <w:lang w:val="fr-FR"/>
              </w:rPr>
            </w:pPr>
            <w:r>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AE9755" w14:textId="77777777" w:rsidR="00BD5A70" w:rsidRDefault="00BD5A70">
            <w:pPr>
              <w:widowControl w:val="0"/>
              <w:ind w:right="282"/>
              <w:jc w:val="center"/>
              <w:rPr>
                <w:rFonts w:cs="Arial"/>
                <w:lang w:val="fr-FR"/>
              </w:rPr>
            </w:pPr>
            <w:r>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F097A2" w14:textId="77777777" w:rsidR="00BD5A70" w:rsidRDefault="00BD5A70">
            <w:pPr>
              <w:widowControl w:val="0"/>
              <w:ind w:right="282"/>
              <w:rPr>
                <w:rFonts w:cs="Arial"/>
                <w:lang w:val="fr-FR"/>
              </w:rPr>
            </w:pPr>
          </w:p>
        </w:tc>
      </w:tr>
    </w:tbl>
    <w:p w14:paraId="725602FE" w14:textId="1A4F118C" w:rsidR="00BD5A70" w:rsidRDefault="00BD5A70" w:rsidP="00BD5A70">
      <w:pPr>
        <w:spacing w:before="120" w:after="120"/>
        <w:ind w:left="2268" w:right="284" w:hanging="1134"/>
        <w:jc w:val="both"/>
        <w:rPr>
          <w:lang w:val="fr-FR"/>
        </w:rPr>
      </w:pPr>
      <w:r>
        <w:rPr>
          <w:rFonts w:cs="Arial"/>
          <w:szCs w:val="22"/>
          <w:lang w:val="fr-FR"/>
        </w:rPr>
        <w:tab/>
      </w:r>
      <w:r>
        <w:rPr>
          <w:rFonts w:cs="Arial"/>
          <w:szCs w:val="22"/>
          <w:lang w:val="fr-FR"/>
        </w:rPr>
        <w:tab/>
        <w:t xml:space="preserve">– </w:t>
      </w:r>
      <w:r>
        <w:rPr>
          <w:lang w:val="fr-FR"/>
        </w:rPr>
        <w:t>Pour la ligne relative à la norme EN 13110:2012</w:t>
      </w:r>
      <w:r>
        <w:rPr>
          <w:bCs/>
          <w:lang w:val="fr-FR"/>
        </w:rPr>
        <w:t> </w:t>
      </w:r>
      <w:r>
        <w:rPr>
          <w:lang w:val="fr-FR"/>
        </w:rPr>
        <w:t>», dans la colonne (4), remplacer « Jusqu’à nouvel ordre » par « Entre le 1</w:t>
      </w:r>
      <w:r>
        <w:rPr>
          <w:vertAlign w:val="superscript"/>
          <w:lang w:val="fr-FR"/>
        </w:rPr>
        <w:t>er</w:t>
      </w:r>
      <w:r>
        <w:rPr>
          <w:lang w:val="fr-FR"/>
        </w:rPr>
        <w:t xml:space="preserve"> janvier 2013 et le 31 décembre 2026 ». </w:t>
      </w:r>
      <w:r>
        <w:rPr>
          <w:rFonts w:eastAsiaTheme="minorHAnsi"/>
          <w:lang w:val="fr-FR" w:eastAsia="en-US"/>
        </w:rPr>
        <w:t>Après cette ligne,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BD5A70" w14:paraId="2315A3F9" w14:textId="77777777" w:rsidTr="00BD5A70">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BDB20C" w14:textId="77777777" w:rsidR="00BD5A70" w:rsidRDefault="00BD5A70">
            <w:pPr>
              <w:widowControl w:val="0"/>
              <w:ind w:right="282"/>
              <w:jc w:val="center"/>
              <w:rPr>
                <w:rFonts w:cs="Arial"/>
                <w:lang w:val="fr-FR"/>
              </w:rPr>
            </w:pPr>
            <w:r>
              <w:rPr>
                <w:rFonts w:cs="Arial"/>
                <w:lang w:val="fr-FR"/>
              </w:rPr>
              <w:lastRenderedPageBreak/>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64663A" w14:textId="77777777" w:rsidR="00BD5A70" w:rsidRDefault="00BD5A70">
            <w:pPr>
              <w:widowControl w:val="0"/>
              <w:ind w:right="282"/>
              <w:jc w:val="center"/>
              <w:rPr>
                <w:rFonts w:cs="Arial"/>
                <w:lang w:val="fr-FR"/>
              </w:rPr>
            </w:pPr>
            <w:r>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B2A02E" w14:textId="77777777" w:rsidR="00BD5A70" w:rsidRDefault="00BD5A70">
            <w:pPr>
              <w:widowControl w:val="0"/>
              <w:ind w:right="282"/>
              <w:jc w:val="center"/>
              <w:rPr>
                <w:rFonts w:cs="Arial"/>
                <w:lang w:val="fr-FR"/>
              </w:rPr>
            </w:pPr>
            <w:r>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DB7C7C5" w14:textId="77777777" w:rsidR="00BD5A70" w:rsidRDefault="00BD5A70">
            <w:pPr>
              <w:widowControl w:val="0"/>
              <w:ind w:right="282"/>
              <w:jc w:val="center"/>
              <w:rPr>
                <w:rFonts w:cs="Arial"/>
                <w:lang w:val="fr-FR"/>
              </w:rPr>
            </w:pPr>
            <w:r>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77C037" w14:textId="77777777" w:rsidR="00BD5A70" w:rsidRDefault="00BD5A70">
            <w:pPr>
              <w:widowControl w:val="0"/>
              <w:ind w:right="282"/>
              <w:jc w:val="center"/>
              <w:rPr>
                <w:rFonts w:cs="Arial"/>
                <w:lang w:val="fr-FR"/>
              </w:rPr>
            </w:pPr>
            <w:r>
              <w:rPr>
                <w:rFonts w:cs="Arial"/>
                <w:lang w:val="fr-FR"/>
              </w:rPr>
              <w:t>(5)</w:t>
            </w:r>
          </w:p>
        </w:tc>
      </w:tr>
      <w:tr w:rsidR="00BD5A70" w14:paraId="1C5250DF" w14:textId="77777777" w:rsidTr="00BD5A70">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403E75" w14:textId="77777777" w:rsidR="00BD5A70" w:rsidRDefault="00BD5A70">
            <w:pPr>
              <w:widowControl w:val="0"/>
              <w:ind w:right="282"/>
              <w:rPr>
                <w:rFonts w:cs="Arial"/>
                <w:lang w:val="fr-FR"/>
              </w:rPr>
            </w:pPr>
            <w:r>
              <w:rPr>
                <w:szCs w:val="22"/>
                <w:lang w:val="fr-FR"/>
              </w:rPr>
              <w:t>EN 13110:2022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A8CE6C" w14:textId="77777777" w:rsidR="00BD5A70" w:rsidRDefault="00BD5A70">
            <w:pPr>
              <w:widowControl w:val="0"/>
              <w:tabs>
                <w:tab w:val="left" w:pos="851"/>
              </w:tabs>
              <w:ind w:left="1" w:right="282" w:hanging="1"/>
              <w:rPr>
                <w:rFonts w:cs="Arial"/>
                <w:i/>
                <w:lang w:val="fr-FR"/>
              </w:rPr>
            </w:pPr>
            <w:r>
              <w:rPr>
                <w:lang w:val="fr-FR"/>
              </w:rPr>
              <w:t>Équipements pour gaz de pétrole liquéfiés et leurs accessoires – Bouteilles soudées transportables et rechargeables en aluminium pour gaz de pétrole liquéfié (GPL) – Conception et construction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03B663" w14:textId="77777777" w:rsidR="00BD5A70" w:rsidRDefault="00BD5A70">
            <w:pPr>
              <w:widowControl w:val="0"/>
              <w:ind w:right="282"/>
              <w:rPr>
                <w:rFonts w:cs="Arial"/>
                <w:lang w:val="fr-FR"/>
              </w:rPr>
            </w:pPr>
            <w:r>
              <w:rPr>
                <w:rFonts w:cs="Arial"/>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78D3CD" w14:textId="77777777" w:rsidR="00BD5A70" w:rsidRDefault="00BD5A70">
            <w:pPr>
              <w:widowControl w:val="0"/>
              <w:ind w:right="282"/>
              <w:jc w:val="center"/>
              <w:rPr>
                <w:rFonts w:cs="Arial"/>
                <w:lang w:val="fr-FR"/>
              </w:rPr>
            </w:pPr>
            <w:r>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621F2A" w14:textId="77777777" w:rsidR="00BD5A70" w:rsidRDefault="00BD5A70">
            <w:pPr>
              <w:widowControl w:val="0"/>
              <w:ind w:right="282"/>
              <w:rPr>
                <w:rFonts w:cs="Arial"/>
                <w:lang w:val="fr-FR"/>
              </w:rPr>
            </w:pPr>
          </w:p>
        </w:tc>
      </w:tr>
    </w:tbl>
    <w:p w14:paraId="07C58367" w14:textId="77777777" w:rsidR="00BD5A70" w:rsidRPr="00E74938" w:rsidRDefault="00BD5A70" w:rsidP="00BD5A70">
      <w:pPr>
        <w:spacing w:before="120" w:after="120"/>
        <w:ind w:left="2268" w:right="284" w:hanging="1134"/>
        <w:jc w:val="both"/>
        <w:rPr>
          <w:lang w:val="fr-FR"/>
        </w:rPr>
      </w:pPr>
      <w:r w:rsidRPr="00E74938">
        <w:rPr>
          <w:lang w:val="fr-FR"/>
        </w:rPr>
        <w:tab/>
        <w:t>Dans le tableau, sous « pour la conception et la fabrication des fermetures » :</w:t>
      </w:r>
    </w:p>
    <w:p w14:paraId="4357084B" w14:textId="3475A87A" w:rsidR="00BD5A70" w:rsidRDefault="00BD5A70" w:rsidP="00BD5A70">
      <w:pPr>
        <w:keepNext/>
        <w:spacing w:after="120"/>
        <w:ind w:left="2268" w:right="284" w:hanging="1134"/>
        <w:jc w:val="both"/>
        <w:rPr>
          <w:lang w:val="fr-FR"/>
        </w:rPr>
      </w:pPr>
      <w:r>
        <w:rPr>
          <w:rFonts w:cs="Arial"/>
          <w:szCs w:val="22"/>
          <w:lang w:val="fr-FR"/>
        </w:rPr>
        <w:tab/>
      </w:r>
      <w:r>
        <w:rPr>
          <w:rFonts w:cs="Arial"/>
          <w:szCs w:val="22"/>
          <w:lang w:val="fr-FR"/>
        </w:rPr>
        <w:tab/>
        <w:t xml:space="preserve">– </w:t>
      </w:r>
      <w:r>
        <w:rPr>
          <w:lang w:val="fr-FR"/>
        </w:rPr>
        <w:t>Pour la ligne relative à la norme EN 14129:2014, dans la colonne (4), remplacer « Jusqu’à nouvel ordre » par « Entre le 1</w:t>
      </w:r>
      <w:r>
        <w:rPr>
          <w:vertAlign w:val="superscript"/>
          <w:lang w:val="fr-FR"/>
        </w:rPr>
        <w:t>er</w:t>
      </w:r>
      <w:r>
        <w:rPr>
          <w:lang w:val="fr-FR"/>
        </w:rPr>
        <w:t xml:space="preserve"> janvier 2021 et le 31 décembre 2026 ». </w:t>
      </w:r>
      <w:r>
        <w:rPr>
          <w:rFonts w:eastAsiaTheme="minorHAnsi"/>
          <w:lang w:val="fr-FR" w:eastAsia="en-US"/>
        </w:rPr>
        <w:t>Après cette ligne,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BD5A70" w14:paraId="407426CD" w14:textId="77777777" w:rsidTr="00BD5A70">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CE60ED1" w14:textId="77777777" w:rsidR="00BD5A70" w:rsidRDefault="00BD5A70">
            <w:pPr>
              <w:widowControl w:val="0"/>
              <w:ind w:right="282"/>
              <w:jc w:val="center"/>
              <w:rPr>
                <w:rFonts w:cs="Arial"/>
                <w:lang w:val="fr-FR"/>
              </w:rPr>
            </w:pPr>
            <w:r>
              <w:rPr>
                <w:rFonts w:cs="Arial"/>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0D36582" w14:textId="77777777" w:rsidR="00BD5A70" w:rsidRDefault="00BD5A70">
            <w:pPr>
              <w:widowControl w:val="0"/>
              <w:ind w:right="282"/>
              <w:jc w:val="center"/>
              <w:rPr>
                <w:rFonts w:cs="Arial"/>
                <w:lang w:val="fr-FR"/>
              </w:rPr>
            </w:pPr>
            <w:r>
              <w:rPr>
                <w:rFonts w:cs="Arial"/>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E9F02F" w14:textId="77777777" w:rsidR="00BD5A70" w:rsidRDefault="00BD5A70">
            <w:pPr>
              <w:widowControl w:val="0"/>
              <w:ind w:right="282"/>
              <w:jc w:val="center"/>
              <w:rPr>
                <w:rFonts w:cs="Arial"/>
                <w:lang w:val="fr-FR"/>
              </w:rPr>
            </w:pPr>
            <w:r>
              <w:rPr>
                <w:rFonts w:cs="Arial"/>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B0319C" w14:textId="77777777" w:rsidR="00BD5A70" w:rsidRDefault="00BD5A70">
            <w:pPr>
              <w:widowControl w:val="0"/>
              <w:ind w:right="282"/>
              <w:jc w:val="center"/>
              <w:rPr>
                <w:rFonts w:cs="Arial"/>
                <w:lang w:val="fr-FR"/>
              </w:rPr>
            </w:pPr>
            <w:r>
              <w:rPr>
                <w:rFonts w:cs="Arial"/>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6C1527" w14:textId="77777777" w:rsidR="00BD5A70" w:rsidRDefault="00BD5A70">
            <w:pPr>
              <w:widowControl w:val="0"/>
              <w:ind w:right="282"/>
              <w:jc w:val="center"/>
              <w:rPr>
                <w:rFonts w:cs="Arial"/>
                <w:lang w:val="fr-FR"/>
              </w:rPr>
            </w:pPr>
            <w:r>
              <w:rPr>
                <w:rFonts w:cs="Arial"/>
                <w:lang w:val="fr-FR"/>
              </w:rPr>
              <w:t>(5)</w:t>
            </w:r>
          </w:p>
        </w:tc>
      </w:tr>
      <w:tr w:rsidR="00BD5A70" w14:paraId="5DF811F0" w14:textId="77777777" w:rsidTr="00BD5A70">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0151B3" w14:textId="77777777" w:rsidR="00BD5A70" w:rsidRDefault="00BD5A70">
            <w:pPr>
              <w:widowControl w:val="0"/>
              <w:ind w:right="282"/>
              <w:rPr>
                <w:rFonts w:cs="Arial"/>
                <w:lang w:val="fr-FR"/>
              </w:rPr>
            </w:pPr>
            <w:r>
              <w:rPr>
                <w:szCs w:val="22"/>
                <w:lang w:val="fr-FR"/>
              </w:rPr>
              <w:t>EN 14129:</w:t>
            </w:r>
            <w:r>
              <w:rPr>
                <w:b/>
                <w:szCs w:val="22"/>
                <w:lang w:val="fr-FR"/>
              </w:rPr>
              <w:t>[</w:t>
            </w:r>
            <w:r>
              <w:rPr>
                <w:szCs w:val="22"/>
                <w:lang w:val="fr-FR"/>
              </w:rPr>
              <w:t>2023</w:t>
            </w:r>
            <w:r>
              <w:rPr>
                <w:b/>
                <w:szCs w:val="22"/>
                <w:lang w:val="fr-FR"/>
              </w:rPr>
              <w:t>]</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A827F4" w14:textId="77777777" w:rsidR="00BD5A70" w:rsidRDefault="00BD5A70">
            <w:pPr>
              <w:widowControl w:val="0"/>
              <w:ind w:right="282"/>
              <w:rPr>
                <w:rFonts w:cs="Arial"/>
                <w:bCs/>
                <w:lang w:val="fr-FR"/>
              </w:rPr>
            </w:pPr>
            <w:r>
              <w:rPr>
                <w:rFonts w:cs="Arial"/>
                <w:bCs/>
                <w:lang w:val="fr-FR"/>
              </w:rPr>
              <w:t>Équipements pour GPL et leurs accessoires – Soupapes de sécurité pour réservoirs de GPL sous pression</w:t>
            </w:r>
          </w:p>
          <w:p w14:paraId="62119301" w14:textId="77777777" w:rsidR="00BD5A70" w:rsidRDefault="00BD5A70">
            <w:pPr>
              <w:widowControl w:val="0"/>
              <w:ind w:left="6" w:right="282" w:hanging="6"/>
              <w:rPr>
                <w:rFonts w:cs="Arial"/>
                <w:i/>
                <w:lang w:val="fr-FR"/>
              </w:rPr>
            </w:pPr>
            <w:r>
              <w:rPr>
                <w:rFonts w:cs="Arial"/>
                <w:b/>
                <w:bCs/>
                <w:i/>
                <w:lang w:val="fr-FR"/>
              </w:rPr>
              <w:t>NOTA :</w:t>
            </w:r>
            <w:r>
              <w:rPr>
                <w:rFonts w:cs="Arial"/>
                <w:bCs/>
                <w:i/>
                <w:lang w:val="fr-FR"/>
              </w:rPr>
              <w:t xml:space="preserve"> Cette norme est applicable aux fûts à pression.</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41859F" w14:textId="77777777" w:rsidR="00BD5A70" w:rsidRDefault="00BD5A70">
            <w:pPr>
              <w:widowControl w:val="0"/>
              <w:ind w:right="282"/>
              <w:rPr>
                <w:rFonts w:cs="Arial"/>
                <w:lang w:val="fr-FR"/>
              </w:rPr>
            </w:pPr>
            <w:r>
              <w:rPr>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B0130F" w14:textId="77777777" w:rsidR="00BD5A70" w:rsidRDefault="00BD5A70">
            <w:pPr>
              <w:widowControl w:val="0"/>
              <w:ind w:right="282"/>
              <w:jc w:val="center"/>
              <w:rPr>
                <w:rFonts w:cs="Arial"/>
                <w:lang w:val="fr-FR"/>
              </w:rPr>
            </w:pPr>
            <w:r>
              <w:rPr>
                <w:rFonts w:cs="Arial"/>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D7E851" w14:textId="77777777" w:rsidR="00BD5A70" w:rsidRDefault="00BD5A70">
            <w:pPr>
              <w:widowControl w:val="0"/>
              <w:ind w:right="282"/>
              <w:rPr>
                <w:rFonts w:cs="Arial"/>
                <w:lang w:val="fr-FR"/>
              </w:rPr>
            </w:pPr>
          </w:p>
        </w:tc>
      </w:tr>
    </w:tbl>
    <w:p w14:paraId="5838CC29" w14:textId="77777777" w:rsidR="00BD5A70" w:rsidRDefault="00BD5A70" w:rsidP="00BD5A70">
      <w:pPr>
        <w:spacing w:before="120" w:after="120"/>
        <w:ind w:left="1134" w:right="284"/>
        <w:jc w:val="both"/>
        <w:rPr>
          <w:lang w:val="fr-FR"/>
        </w:rPr>
      </w:pPr>
      <w:r>
        <w:rPr>
          <w:i/>
          <w:iCs/>
          <w:lang w:val="fr-FR"/>
        </w:rPr>
        <w:t>(Document de référence : ECE/TRANS/WP.15/AC.1/168)</w:t>
      </w:r>
    </w:p>
    <w:p w14:paraId="15FD1B09" w14:textId="77777777" w:rsidR="00BD5A70" w:rsidRDefault="00BD5A70" w:rsidP="00BD5A70">
      <w:pPr>
        <w:pStyle w:val="H1G"/>
        <w:rPr>
          <w:lang w:val="fr-FR"/>
        </w:rPr>
      </w:pPr>
      <w:r>
        <w:rPr>
          <w:lang w:val="fr-FR"/>
        </w:rPr>
        <w:tab/>
      </w:r>
      <w:r>
        <w:rPr>
          <w:lang w:val="fr-FR"/>
        </w:rPr>
        <w:tab/>
        <w:t>Chapitre 6.8</w:t>
      </w:r>
    </w:p>
    <w:p w14:paraId="2A02EF74" w14:textId="77777777" w:rsidR="00BD5A70" w:rsidRDefault="00BD5A70" w:rsidP="00BD5A70">
      <w:pPr>
        <w:spacing w:after="120"/>
        <w:ind w:left="2268" w:right="1134" w:hanging="1134"/>
        <w:jc w:val="both"/>
        <w:rPr>
          <w:lang w:val="fr-FR"/>
        </w:rPr>
      </w:pPr>
      <w:r>
        <w:rPr>
          <w:lang w:val="fr-FR"/>
        </w:rPr>
        <w:t>6.8.2.1.23</w:t>
      </w:r>
      <w:r>
        <w:rPr>
          <w:lang w:val="fr-FR"/>
        </w:rPr>
        <w:tab/>
        <w:t>Après le premier paragraphe, insérer le Nota suivant :</w:t>
      </w:r>
    </w:p>
    <w:p w14:paraId="4DA8FE0C" w14:textId="77777777" w:rsidR="00BD5A70" w:rsidRDefault="00BD5A70" w:rsidP="00BD5A70">
      <w:pPr>
        <w:spacing w:after="120"/>
        <w:ind w:left="2268" w:right="1134" w:hanging="1134"/>
        <w:jc w:val="both"/>
        <w:rPr>
          <w:lang w:val="fr-FR"/>
        </w:rPr>
      </w:pPr>
      <w:r>
        <w:rPr>
          <w:lang w:val="fr-FR"/>
        </w:rPr>
        <w:t>« </w:t>
      </w:r>
      <w:r>
        <w:rPr>
          <w:b/>
          <w:i/>
          <w:lang w:val="fr-FR"/>
        </w:rPr>
        <w:t>NOTA :</w:t>
      </w:r>
      <w:r>
        <w:rPr>
          <w:b/>
          <w:i/>
          <w:lang w:val="fr-FR"/>
        </w:rPr>
        <w:tab/>
      </w:r>
      <w:r>
        <w:rPr>
          <w:i/>
          <w:lang w:val="fr-FR"/>
        </w:rPr>
        <w:t>Lorsque le 6.8.5 est applicable, les épreuves de résilience effectuées pour les qualifications des modes opératoires de soudage doivent respecter les prescriptions du 6.8.5.3.</w:t>
      </w:r>
      <w:r>
        <w:rPr>
          <w:lang w:val="fr-FR"/>
        </w:rPr>
        <w:t> ».</w:t>
      </w:r>
    </w:p>
    <w:p w14:paraId="6726E215" w14:textId="77777777" w:rsidR="00BD5A70" w:rsidRDefault="00BD5A70" w:rsidP="00BD5A70">
      <w:pPr>
        <w:spacing w:after="120"/>
        <w:ind w:left="1134" w:right="1134"/>
        <w:jc w:val="both"/>
        <w:rPr>
          <w:i/>
          <w:iCs/>
          <w:lang w:val="fr-FR"/>
        </w:rPr>
      </w:pPr>
      <w:r>
        <w:rPr>
          <w:i/>
          <w:iCs/>
          <w:lang w:val="fr-FR"/>
        </w:rPr>
        <w:t>(Document de référence : ECE/TRANS/WP.15/AC.1/168)</w:t>
      </w:r>
    </w:p>
    <w:p w14:paraId="59BC23A8" w14:textId="0F6E49F1" w:rsidR="00BD5A70" w:rsidRDefault="00BD5A70" w:rsidP="00BD5A70">
      <w:pPr>
        <w:pStyle w:val="SingleTxtG"/>
        <w:ind w:left="2268" w:hanging="1134"/>
      </w:pPr>
      <w:r>
        <w:t>6.8.2.1.27</w:t>
      </w:r>
      <w:r>
        <w:rPr>
          <w:lang w:val="fr-FR"/>
        </w:rPr>
        <w:tab/>
        <w:t xml:space="preserve">Dans la colonne gauche, dernière phrase, remplacer le symbole de mise à la terre par </w:t>
      </w:r>
      <w:r>
        <w:rPr>
          <w:noProof/>
        </w:rPr>
        <w:drawing>
          <wp:inline distT="0" distB="0" distL="0" distR="0" wp14:anchorId="6A86A752" wp14:editId="50E5800D">
            <wp:extent cx="153035" cy="168910"/>
            <wp:effectExtent l="0" t="0" r="0" b="2540"/>
            <wp:docPr id="5" name="Graphic 5"/>
            <wp:cNvGraphicFramePr/>
            <a:graphic xmlns:a="http://schemas.openxmlformats.org/drawingml/2006/main">
              <a:graphicData uri="http://schemas.openxmlformats.org/drawingml/2006/picture">
                <pic:pic xmlns:pic="http://schemas.openxmlformats.org/drawingml/2006/picture">
                  <pic:nvPicPr>
                    <pic:cNvPr id="5" name="Graphic 5"/>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53035" cy="172085"/>
                    </a:xfrm>
                    <a:prstGeom prst="rect">
                      <a:avLst/>
                    </a:prstGeom>
                  </pic:spPr>
                </pic:pic>
              </a:graphicData>
            </a:graphic>
          </wp:inline>
        </w:drawing>
      </w:r>
      <w:r>
        <w:rPr>
          <w:lang w:val="fr-FR"/>
        </w:rPr>
        <w:t>.</w:t>
      </w:r>
    </w:p>
    <w:p w14:paraId="21B0D0AE" w14:textId="77777777" w:rsidR="00BD5A70" w:rsidRDefault="00BD5A70" w:rsidP="00BD5A70">
      <w:pPr>
        <w:pStyle w:val="SingleTxtG"/>
        <w:rPr>
          <w:i/>
          <w:iCs/>
        </w:rPr>
      </w:pPr>
      <w:r>
        <w:rPr>
          <w:i/>
          <w:iCs/>
        </w:rPr>
        <w:t>(Document de référence : ECE/TRANS/WP.15/2023/2)</w:t>
      </w:r>
    </w:p>
    <w:p w14:paraId="1742653A" w14:textId="3E3CD402" w:rsidR="00BD5A70" w:rsidRDefault="00BD5A70" w:rsidP="00BD5A70">
      <w:pPr>
        <w:spacing w:after="120"/>
        <w:ind w:left="2268" w:right="1134" w:hanging="1134"/>
        <w:jc w:val="both"/>
        <w:rPr>
          <w:lang w:val="fr-FR"/>
        </w:rPr>
      </w:pPr>
      <w:r>
        <w:rPr>
          <w:lang w:val="fr-FR"/>
        </w:rPr>
        <w:t>[6.8.2.2.11</w:t>
      </w:r>
      <w:r>
        <w:rPr>
          <w:lang w:val="fr-FR"/>
        </w:rPr>
        <w:tab/>
        <w:t>Modifier pour lire comme suit :</w:t>
      </w:r>
    </w:p>
    <w:p w14:paraId="69321685" w14:textId="77777777" w:rsidR="00BD5A70" w:rsidRDefault="00BD5A70" w:rsidP="00BD5A70">
      <w:pPr>
        <w:spacing w:after="120"/>
        <w:ind w:left="2268" w:right="1134" w:hanging="1134"/>
        <w:jc w:val="both"/>
        <w:rPr>
          <w:lang w:val="fr-FR"/>
        </w:rPr>
      </w:pPr>
      <w:r>
        <w:rPr>
          <w:lang w:val="fr-FR"/>
        </w:rPr>
        <w:t>« 6.8.2.2.11</w:t>
      </w:r>
      <w:r>
        <w:rPr>
          <w:lang w:val="fr-FR"/>
        </w:rPr>
        <w:tab/>
        <w:t>Les jauges de niveau ne doivent ni faire partie des, ni être montées sur les réservoirs si elles comportent un matériau transparent pouvant, à tout moment, entrer en contact direct avec la matière transportée dans le réservoir. ».]</w:t>
      </w:r>
    </w:p>
    <w:p w14:paraId="4196CBDA" w14:textId="77777777" w:rsidR="00BD5A70" w:rsidRDefault="00BD5A70" w:rsidP="00BD5A70">
      <w:pPr>
        <w:spacing w:after="120"/>
        <w:ind w:left="1134" w:right="1134"/>
        <w:jc w:val="both"/>
        <w:rPr>
          <w:i/>
          <w:iCs/>
          <w:lang w:val="fr-FR"/>
        </w:rPr>
      </w:pPr>
      <w:r>
        <w:rPr>
          <w:i/>
          <w:iCs/>
          <w:lang w:val="fr-FR"/>
        </w:rPr>
        <w:t>(Document de référence : ECE/TRANS/WP.15/AC.1/168)</w:t>
      </w:r>
    </w:p>
    <w:p w14:paraId="74F0662F" w14:textId="771994E8" w:rsidR="00BD5A70" w:rsidRDefault="00BD5A70" w:rsidP="00DD7294">
      <w:pPr>
        <w:keepNext/>
        <w:spacing w:after="120"/>
        <w:ind w:left="2268" w:right="1134" w:hanging="1134"/>
        <w:jc w:val="both"/>
        <w:rPr>
          <w:lang w:val="fr-FR"/>
        </w:rPr>
      </w:pPr>
      <w:r w:rsidRPr="00E74938">
        <w:rPr>
          <w:bCs/>
          <w:lang w:val="fr-FR"/>
        </w:rPr>
        <w:t>6.8.2.6.1</w:t>
      </w:r>
      <w:r w:rsidRPr="00E74938">
        <w:rPr>
          <w:bCs/>
          <w:lang w:val="fr-FR"/>
        </w:rPr>
        <w:tab/>
        <w:t>Dans le tableau, sous « Pour les équipements », pour la ligne relative à la</w:t>
      </w:r>
      <w:r>
        <w:rPr>
          <w:lang w:val="fr-FR"/>
        </w:rPr>
        <w:t xml:space="preserve"> norme EN </w:t>
      </w:r>
      <w:r>
        <w:rPr>
          <w:bCs/>
          <w:lang w:val="fr-FR"/>
        </w:rPr>
        <w:t>14129:2014</w:t>
      </w:r>
      <w:r>
        <w:rPr>
          <w:lang w:val="fr-FR"/>
        </w:rPr>
        <w:t>, dans la colonne (4), remplacer « Jusqu’à nouvel ordre » par « Entre le 1</w:t>
      </w:r>
      <w:r>
        <w:rPr>
          <w:vertAlign w:val="superscript"/>
          <w:lang w:val="fr-FR"/>
        </w:rPr>
        <w:t>er</w:t>
      </w:r>
      <w:r>
        <w:rPr>
          <w:lang w:val="fr-FR"/>
        </w:rPr>
        <w:t xml:space="preserve"> janvier 2015 et le 31 décembre 2026 ». </w:t>
      </w:r>
      <w:r>
        <w:rPr>
          <w:rFonts w:eastAsiaTheme="minorHAnsi"/>
          <w:lang w:val="fr-FR" w:eastAsia="en-US"/>
        </w:rPr>
        <w:t>Après cette ligne, ajouter la nouvelle ligne suivante :</w:t>
      </w:r>
    </w:p>
    <w:tbl>
      <w:tblPr>
        <w:tblW w:w="820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544"/>
        <w:gridCol w:w="994"/>
        <w:gridCol w:w="974"/>
        <w:gridCol w:w="707"/>
      </w:tblGrid>
      <w:tr w:rsidR="00BD5A70" w14:paraId="1B6F571B" w14:textId="77777777" w:rsidTr="00BD5A70">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8D1947" w14:textId="77777777" w:rsidR="00BD5A70" w:rsidRDefault="00BD5A70">
            <w:pPr>
              <w:keepNext/>
              <w:widowControl w:val="0"/>
              <w:ind w:right="284"/>
              <w:jc w:val="center"/>
              <w:rPr>
                <w:rFonts w:cs="Arial"/>
                <w:lang w:val="fr-FR"/>
              </w:rPr>
            </w:pPr>
            <w:r>
              <w:rPr>
                <w:rFonts w:cs="Arial"/>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0F8A8A" w14:textId="77777777" w:rsidR="00BD5A70" w:rsidRDefault="00BD5A70">
            <w:pPr>
              <w:keepNext/>
              <w:widowControl w:val="0"/>
              <w:ind w:right="284"/>
              <w:jc w:val="center"/>
              <w:rPr>
                <w:rFonts w:cs="Arial"/>
                <w:lang w:val="fr-FR"/>
              </w:rPr>
            </w:pPr>
            <w:r>
              <w:rPr>
                <w:rFonts w:cs="Arial"/>
                <w:lang w:val="fr-FR"/>
              </w:rPr>
              <w:t>(2)</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42B07D" w14:textId="77777777" w:rsidR="00BD5A70" w:rsidRDefault="00BD5A70">
            <w:pPr>
              <w:keepNext/>
              <w:widowControl w:val="0"/>
              <w:ind w:right="284"/>
              <w:jc w:val="center"/>
              <w:rPr>
                <w:rFonts w:cs="Arial"/>
                <w:lang w:val="fr-FR"/>
              </w:rPr>
            </w:pPr>
            <w:r>
              <w:rPr>
                <w:rFonts w:cs="Arial"/>
                <w:lang w:val="fr-FR"/>
              </w:rPr>
              <w:t>(3)</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799BE2" w14:textId="77777777" w:rsidR="00BD5A70" w:rsidRDefault="00BD5A70">
            <w:pPr>
              <w:keepNext/>
              <w:widowControl w:val="0"/>
              <w:ind w:right="284"/>
              <w:jc w:val="center"/>
              <w:rPr>
                <w:rFonts w:cs="Arial"/>
                <w:lang w:val="fr-FR"/>
              </w:rPr>
            </w:pPr>
            <w:r>
              <w:rPr>
                <w:rFonts w:cs="Arial"/>
                <w:lang w:val="fr-FR"/>
              </w:rPr>
              <w:t>(4)</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5DD2DE" w14:textId="77777777" w:rsidR="00BD5A70" w:rsidRDefault="00BD5A70">
            <w:pPr>
              <w:keepNext/>
              <w:widowControl w:val="0"/>
              <w:ind w:right="284"/>
              <w:jc w:val="center"/>
              <w:rPr>
                <w:rFonts w:cs="Arial"/>
                <w:lang w:val="fr-FR"/>
              </w:rPr>
            </w:pPr>
            <w:r>
              <w:rPr>
                <w:rFonts w:cs="Arial"/>
                <w:lang w:val="fr-FR"/>
              </w:rPr>
              <w:t>(5)</w:t>
            </w:r>
          </w:p>
        </w:tc>
      </w:tr>
      <w:tr w:rsidR="00BD5A70" w14:paraId="38BCA89F" w14:textId="77777777" w:rsidTr="00BD5A70">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6D7317" w14:textId="77777777" w:rsidR="00BD5A70" w:rsidRDefault="00BD5A70">
            <w:pPr>
              <w:widowControl w:val="0"/>
              <w:rPr>
                <w:rFonts w:cs="Arial"/>
                <w:lang w:val="fr-FR"/>
              </w:rPr>
            </w:pPr>
            <w:r>
              <w:rPr>
                <w:szCs w:val="22"/>
                <w:lang w:val="fr-FR"/>
              </w:rPr>
              <w:t>EN 14129:</w:t>
            </w:r>
            <w:r>
              <w:rPr>
                <w:b/>
                <w:szCs w:val="22"/>
                <w:lang w:val="fr-FR"/>
              </w:rPr>
              <w:t>[</w:t>
            </w:r>
            <w:r>
              <w:rPr>
                <w:szCs w:val="22"/>
                <w:lang w:val="fr-FR"/>
              </w:rPr>
              <w:t>2023</w:t>
            </w:r>
            <w:r>
              <w:rPr>
                <w:b/>
                <w:szCs w:val="22"/>
                <w:lang w:val="fr-FR"/>
              </w:rPr>
              <w:t>]</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E4E963" w14:textId="77777777" w:rsidR="00BD5A70" w:rsidRDefault="00BD5A70">
            <w:pPr>
              <w:widowControl w:val="0"/>
              <w:ind w:right="-69"/>
              <w:rPr>
                <w:rFonts w:cs="Arial"/>
                <w:i/>
                <w:lang w:val="fr-FR"/>
              </w:rPr>
            </w:pPr>
            <w:r>
              <w:rPr>
                <w:rFonts w:cs="Arial"/>
                <w:bCs/>
                <w:lang w:val="fr-FR"/>
              </w:rPr>
              <w:t>Équipements pour GPL et leurs accessoires – Soupapes de sécurité pour réservoirs de GPL sous pression</w:t>
            </w:r>
          </w:p>
        </w:tc>
        <w:tc>
          <w:tcPr>
            <w:tcW w:w="9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DA3EFF" w14:textId="77777777" w:rsidR="00BD5A70" w:rsidRDefault="00BD5A70">
            <w:pPr>
              <w:widowControl w:val="0"/>
              <w:ind w:right="136"/>
              <w:rPr>
                <w:rFonts w:cs="Arial"/>
                <w:lang w:val="fr-FR"/>
              </w:rPr>
            </w:pPr>
            <w:r>
              <w:rPr>
                <w:rFonts w:cs="Arial"/>
                <w:lang w:val="fr-FR"/>
              </w:rPr>
              <w:t>6.8.2.1.1 et 6.8.3.2.9</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AFBA24" w14:textId="77777777" w:rsidR="00BD5A70" w:rsidRDefault="00BD5A70">
            <w:pPr>
              <w:widowControl w:val="0"/>
              <w:ind w:right="282"/>
              <w:jc w:val="center"/>
              <w:rPr>
                <w:rFonts w:cs="Arial"/>
                <w:lang w:val="fr-FR"/>
              </w:rPr>
            </w:pPr>
            <w:r>
              <w:rPr>
                <w:rFonts w:cs="Arial"/>
                <w:lang w:val="fr-FR"/>
              </w:rPr>
              <w:t>Jusqu’à nouvel ordre</w:t>
            </w:r>
          </w:p>
        </w:tc>
        <w:tc>
          <w:tcPr>
            <w:tcW w:w="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84DA6F" w14:textId="77777777" w:rsidR="00BD5A70" w:rsidRDefault="00BD5A70">
            <w:pPr>
              <w:widowControl w:val="0"/>
              <w:ind w:right="282"/>
              <w:rPr>
                <w:rFonts w:cs="Arial"/>
                <w:lang w:val="fr-FR"/>
              </w:rPr>
            </w:pPr>
          </w:p>
        </w:tc>
      </w:tr>
    </w:tbl>
    <w:p w14:paraId="389D9C80" w14:textId="77777777" w:rsidR="00BD5A70" w:rsidRDefault="00BD5A70" w:rsidP="00BD5A70">
      <w:pPr>
        <w:spacing w:before="120" w:after="120"/>
        <w:ind w:left="1134" w:right="1134"/>
        <w:jc w:val="both"/>
        <w:rPr>
          <w:i/>
          <w:iCs/>
          <w:lang w:val="fr-FR"/>
        </w:rPr>
      </w:pPr>
      <w:r>
        <w:rPr>
          <w:i/>
          <w:iCs/>
          <w:lang w:val="fr-FR"/>
        </w:rPr>
        <w:t>(Document de référence : ECE/TRANS/WP.15/AC.1/168)</w:t>
      </w:r>
    </w:p>
    <w:p w14:paraId="67674FCC" w14:textId="77777777" w:rsidR="00BD5A70" w:rsidRDefault="00BD5A70" w:rsidP="00BD5A70">
      <w:pPr>
        <w:pStyle w:val="H1G"/>
        <w:rPr>
          <w:lang w:val="fr-FR"/>
        </w:rPr>
      </w:pPr>
      <w:r>
        <w:rPr>
          <w:lang w:val="fr-FR"/>
        </w:rPr>
        <w:tab/>
      </w:r>
      <w:r>
        <w:rPr>
          <w:lang w:val="fr-FR"/>
        </w:rPr>
        <w:tab/>
        <w:t>Chapitre 7.2</w:t>
      </w:r>
    </w:p>
    <w:p w14:paraId="016D3402" w14:textId="7F3CE9B7" w:rsidR="00BD5A70" w:rsidRDefault="00BD5A70" w:rsidP="00BD5A70">
      <w:pPr>
        <w:spacing w:after="120"/>
        <w:ind w:left="2268" w:right="1134" w:hanging="1134"/>
        <w:jc w:val="both"/>
        <w:rPr>
          <w:lang w:val="fr-FR"/>
        </w:rPr>
      </w:pPr>
      <w:r>
        <w:rPr>
          <w:lang w:val="fr-FR"/>
        </w:rPr>
        <w:t>7.2.4, V14</w:t>
      </w:r>
      <w:r>
        <w:rPr>
          <w:lang w:val="fr-FR"/>
        </w:rPr>
        <w:tab/>
        <w:t>Au début, après « Les aérosols », insérer « et les cartouches à gaz ».</w:t>
      </w:r>
    </w:p>
    <w:p w14:paraId="5570DD9C" w14:textId="77777777" w:rsidR="00BD5A70" w:rsidRDefault="00BD5A70" w:rsidP="00BD5A70">
      <w:pPr>
        <w:spacing w:after="120"/>
        <w:ind w:left="1134" w:right="1134"/>
        <w:jc w:val="both"/>
        <w:rPr>
          <w:i/>
          <w:iCs/>
          <w:lang w:val="fr-FR"/>
        </w:rPr>
      </w:pPr>
      <w:r>
        <w:rPr>
          <w:i/>
          <w:iCs/>
          <w:lang w:val="fr-FR"/>
        </w:rPr>
        <w:t>(Document de référence : ECE/TRANS/WP.15/AC.1/168)</w:t>
      </w:r>
    </w:p>
    <w:p w14:paraId="65F27BF1" w14:textId="77777777" w:rsidR="00BD5A70" w:rsidRDefault="00BD5A70" w:rsidP="00BD5A70">
      <w:pPr>
        <w:pStyle w:val="H1G"/>
        <w:rPr>
          <w:lang w:val="fr-FR"/>
        </w:rPr>
      </w:pPr>
      <w:r>
        <w:rPr>
          <w:lang w:val="fr-FR"/>
        </w:rPr>
        <w:lastRenderedPageBreak/>
        <w:tab/>
      </w:r>
      <w:r>
        <w:rPr>
          <w:lang w:val="fr-FR"/>
        </w:rPr>
        <w:tab/>
        <w:t>Chapitre 7.3</w:t>
      </w:r>
    </w:p>
    <w:p w14:paraId="2289C2CA" w14:textId="77777777" w:rsidR="00BD5A70" w:rsidRDefault="00BD5A70" w:rsidP="00BD5A70">
      <w:pPr>
        <w:spacing w:after="120"/>
        <w:ind w:left="2268" w:right="1134" w:hanging="1134"/>
        <w:jc w:val="both"/>
        <w:rPr>
          <w:lang w:val="fr-FR"/>
        </w:rPr>
      </w:pPr>
      <w:r>
        <w:rPr>
          <w:lang w:val="fr-FR"/>
        </w:rPr>
        <w:t>7.3.3.2.7</w:t>
      </w:r>
      <w:r>
        <w:rPr>
          <w:lang w:val="fr-FR"/>
        </w:rPr>
        <w:tab/>
        <w:t>Ajouter le nouveau AP11 suivant :</w:t>
      </w:r>
    </w:p>
    <w:p w14:paraId="1A028AFD" w14:textId="5EDF17C0" w:rsidR="00BD5A70" w:rsidRDefault="00BD5A70" w:rsidP="00BD5A70">
      <w:pPr>
        <w:spacing w:after="120"/>
        <w:ind w:left="2268" w:right="1134" w:hanging="1134"/>
        <w:jc w:val="both"/>
        <w:rPr>
          <w:b/>
          <w:bCs/>
          <w:lang w:val="fr-FR"/>
        </w:rPr>
      </w:pPr>
      <w:r>
        <w:rPr>
          <w:lang w:val="fr-FR"/>
        </w:rPr>
        <w:t>«</w:t>
      </w:r>
      <w:r>
        <w:rPr>
          <w:b/>
          <w:bCs/>
          <w:lang w:val="fr-FR"/>
        </w:rPr>
        <w:t> </w:t>
      </w:r>
      <w:r w:rsidRPr="00E47B20">
        <w:rPr>
          <w:lang w:val="fr-FR"/>
        </w:rPr>
        <w:t>AP11</w:t>
      </w:r>
      <w:r>
        <w:rPr>
          <w:lang w:val="fr-FR"/>
        </w:rPr>
        <w:tab/>
      </w:r>
      <w:r w:rsidRPr="009478BD">
        <w:rPr>
          <w:lang w:val="fr-FR"/>
        </w:rPr>
        <w:t>Conformément à la disposition spéciale VC3 énoncée au 7.3.3.1, aux fins du transport en vrac d’aluminium fondu, la conformité aux “normes spécifiées par l’autorité compétente du pays d’origine” désigne le respect des prescriptions ci</w:t>
      </w:r>
      <w:r w:rsidRPr="009478BD">
        <w:rPr>
          <w:lang w:val="fr-FR"/>
        </w:rPr>
        <w:noBreakHyphen/>
        <w:t>après.</w:t>
      </w:r>
    </w:p>
    <w:p w14:paraId="6E9AC9F3" w14:textId="77777777" w:rsidR="00BD5A70" w:rsidRDefault="00BD5A70" w:rsidP="00BD5A70">
      <w:pPr>
        <w:spacing w:after="120"/>
        <w:ind w:left="2835" w:right="1134" w:hanging="567"/>
        <w:jc w:val="both"/>
        <w:rPr>
          <w:lang w:val="fr-FR"/>
        </w:rPr>
      </w:pPr>
      <w:r>
        <w:rPr>
          <w:lang w:val="fr-FR"/>
        </w:rPr>
        <w:t>1.</w:t>
      </w:r>
      <w:r>
        <w:rPr>
          <w:lang w:val="fr-FR"/>
        </w:rPr>
        <w:tab/>
        <w:t>Prescriptions générales</w:t>
      </w:r>
    </w:p>
    <w:p w14:paraId="43425867" w14:textId="77777777" w:rsidR="00BD5A70" w:rsidRDefault="00BD5A70" w:rsidP="00BD5A70">
      <w:pPr>
        <w:spacing w:after="120"/>
        <w:ind w:left="3402" w:right="1134" w:hanging="567"/>
        <w:jc w:val="both"/>
        <w:rPr>
          <w:lang w:val="fr-FR"/>
        </w:rPr>
      </w:pPr>
      <w:r>
        <w:rPr>
          <w:lang w:val="fr-FR"/>
        </w:rPr>
        <w:t>1.1</w:t>
      </w:r>
      <w:r>
        <w:rPr>
          <w:lang w:val="fr-FR"/>
        </w:rPr>
        <w:tab/>
        <w:t>On entend par c</w:t>
      </w:r>
      <w:r>
        <w:rPr>
          <w:i/>
          <w:iCs/>
          <w:lang w:val="fr-FR"/>
        </w:rPr>
        <w:t>uve</w:t>
      </w:r>
      <w:r>
        <w:rPr>
          <w:lang w:val="fr-FR"/>
        </w:rPr>
        <w:t>, une enceinte de rétention destinée au transport d’aluminium fondu sous le No ONU 3257, y compris son réservoir, son revêtement réfractaire et son équipement de service et de structure.</w:t>
      </w:r>
    </w:p>
    <w:p w14:paraId="63463B43" w14:textId="4840D790" w:rsidR="00BD5A70" w:rsidRDefault="00BD5A70" w:rsidP="00BD5A70">
      <w:pPr>
        <w:spacing w:after="120"/>
        <w:ind w:left="3402" w:right="1134" w:hanging="567"/>
        <w:jc w:val="both"/>
        <w:rPr>
          <w:lang w:val="fr-FR"/>
        </w:rPr>
      </w:pPr>
      <w:r>
        <w:rPr>
          <w:lang w:val="fr-FR"/>
        </w:rPr>
        <w:t>1.2</w:t>
      </w:r>
      <w:r>
        <w:rPr>
          <w:lang w:val="fr-FR"/>
        </w:rPr>
        <w:tab/>
        <w:t>Les cuves doivent être isolées de façon à ne pas dépasser une température en surface de 130 °C pendant le transport, et positionnées de telle manière qu’elles ne puissent pas être touchées par les autres usagers de la route dans des conditions normales de transport. La température en surface ne doit en aucun cas nuire au fonctionnement du véhicule, en particulier des conduites de frein et des câbles électriques.</w:t>
      </w:r>
    </w:p>
    <w:p w14:paraId="185C5CFF" w14:textId="7A9A9882" w:rsidR="00BD5A70" w:rsidRDefault="00BD5A70" w:rsidP="00BD5A70">
      <w:pPr>
        <w:spacing w:after="120"/>
        <w:ind w:left="3402" w:right="1134" w:hanging="567"/>
        <w:jc w:val="both"/>
        <w:rPr>
          <w:lang w:val="fr-FR"/>
        </w:rPr>
      </w:pPr>
      <w:r>
        <w:rPr>
          <w:lang w:val="fr-FR"/>
        </w:rPr>
        <w:t>1.3</w:t>
      </w:r>
      <w:r>
        <w:rPr>
          <w:lang w:val="fr-FR"/>
        </w:rPr>
        <w:tab/>
        <w:t>Les cuves doivent être arrimées au véhicule conformément aux principes d’arrimage du chargement prescrits au 7.5.7.1.</w:t>
      </w:r>
    </w:p>
    <w:p w14:paraId="2A686C71" w14:textId="17D9B455" w:rsidR="00BD5A70" w:rsidRDefault="00BD5A70" w:rsidP="00BD5A70">
      <w:pPr>
        <w:spacing w:after="120"/>
        <w:ind w:left="3402" w:right="1134" w:hanging="567"/>
        <w:jc w:val="both"/>
        <w:rPr>
          <w:lang w:val="fr-FR"/>
        </w:rPr>
      </w:pPr>
      <w:r>
        <w:rPr>
          <w:lang w:val="fr-FR"/>
        </w:rPr>
        <w:t>1.4</w:t>
      </w:r>
      <w:r>
        <w:rPr>
          <w:lang w:val="fr-FR"/>
        </w:rPr>
        <w:tab/>
        <w:t>Il n’est pas nécessaire d’apposer des plaques-étiquettes et des marques sur les cuves conformément aux dispositions du chapitre 5.3 si celles-ci ont été apposées sur le véhicule.</w:t>
      </w:r>
    </w:p>
    <w:p w14:paraId="031501AC" w14:textId="77777777" w:rsidR="00BD5A70" w:rsidRDefault="00BD5A70" w:rsidP="00BD5A70">
      <w:pPr>
        <w:spacing w:after="120"/>
        <w:ind w:left="2835" w:right="1134" w:hanging="567"/>
        <w:jc w:val="both"/>
        <w:rPr>
          <w:lang w:val="fr-FR"/>
        </w:rPr>
      </w:pPr>
      <w:r>
        <w:rPr>
          <w:lang w:val="fr-FR"/>
        </w:rPr>
        <w:t>2.</w:t>
      </w:r>
      <w:r>
        <w:rPr>
          <w:lang w:val="fr-FR"/>
        </w:rPr>
        <w:tab/>
        <w:t>Protection contre l’incendie et les explosions</w:t>
      </w:r>
    </w:p>
    <w:p w14:paraId="57EDD60F" w14:textId="77777777" w:rsidR="00BD5A70" w:rsidRDefault="00BD5A70" w:rsidP="00BD5A70">
      <w:pPr>
        <w:spacing w:after="120"/>
        <w:ind w:left="2835" w:right="1134" w:hanging="567"/>
        <w:jc w:val="both"/>
        <w:rPr>
          <w:lang w:val="fr-FR"/>
        </w:rPr>
      </w:pPr>
      <w:r>
        <w:rPr>
          <w:lang w:val="fr-FR"/>
        </w:rPr>
        <w:tab/>
        <w:t>Il faut éviter tout risque d’incendie dû à l’influence thermique de l’aluminium fondu sur la cuve, le véhicule ou les dispositifs d’arrimage du chargement, ainsi que tout risque d’explosion provoquée par des vapeurs qui s’échappent ou par une réaction chimique entre des gaz ayant évolué (par exemple, utiliser des gaz inertes).</w:t>
      </w:r>
    </w:p>
    <w:p w14:paraId="5A39EE98" w14:textId="77777777" w:rsidR="00BD5A70" w:rsidRDefault="00BD5A70" w:rsidP="00BD5A70">
      <w:pPr>
        <w:spacing w:after="120"/>
        <w:ind w:left="2835" w:right="1134" w:hanging="567"/>
        <w:jc w:val="both"/>
        <w:rPr>
          <w:lang w:val="fr-FR"/>
        </w:rPr>
      </w:pPr>
      <w:bookmarkStart w:id="4" w:name="_Hlk111723898"/>
      <w:r>
        <w:rPr>
          <w:lang w:val="fr-FR"/>
        </w:rPr>
        <w:t>3.</w:t>
      </w:r>
      <w:r>
        <w:rPr>
          <w:lang w:val="fr-FR"/>
        </w:rPr>
        <w:tab/>
        <w:t>Construction des cuves</w:t>
      </w:r>
    </w:p>
    <w:p w14:paraId="7B831255" w14:textId="77777777" w:rsidR="00BD5A70" w:rsidRDefault="00BD5A70" w:rsidP="00BD5A70">
      <w:pPr>
        <w:spacing w:after="120"/>
        <w:ind w:left="2835" w:right="1134" w:hanging="567"/>
        <w:jc w:val="both"/>
        <w:rPr>
          <w:lang w:val="fr-FR"/>
        </w:rPr>
      </w:pPr>
      <w:r>
        <w:rPr>
          <w:lang w:val="fr-FR"/>
        </w:rPr>
        <w:tab/>
        <w:t>Les cuves doivent être en acier. Elles doivent être conçues et fabriquées pour une pression d’épreuve de 4 bars conformément à la norme EN 13445-3:2014. Au cours de la construction, le fabricant doit spécifier les joints de soudure qui sont soumis aux plus fortes sollicitations. La pression hydrostatique et l’effet de vague de l’aluminium fondu doivent être pris en compte pour décider des dimensions des cuves et de leur arrimage au véhicule. Les forces décrites au 6.8.2.1.2 doivent être prises en compte.</w:t>
      </w:r>
    </w:p>
    <w:p w14:paraId="6E635444" w14:textId="77777777" w:rsidR="00BD5A70" w:rsidRDefault="00BD5A70" w:rsidP="00BD5A70">
      <w:pPr>
        <w:spacing w:after="120"/>
        <w:ind w:left="2835" w:right="1134" w:hanging="567"/>
        <w:jc w:val="both"/>
        <w:rPr>
          <w:lang w:val="fr-FR"/>
        </w:rPr>
      </w:pPr>
      <w:r>
        <w:rPr>
          <w:lang w:val="fr-FR"/>
        </w:rPr>
        <w:tab/>
        <w:t xml:space="preserve">Les fermetures des cuves doivent être conçues conformément à la norme </w:t>
      </w:r>
      <w:r w:rsidRPr="009478BD">
        <w:rPr>
          <w:lang w:val="fr-FR"/>
        </w:rPr>
        <w:t>EN 13445</w:t>
      </w:r>
      <w:r w:rsidRPr="009478BD">
        <w:rPr>
          <w:bCs/>
          <w:i/>
          <w:iCs/>
          <w:lang w:val="fr-FR"/>
        </w:rPr>
        <w:noBreakHyphen/>
      </w:r>
      <w:r w:rsidRPr="009478BD">
        <w:rPr>
          <w:lang w:val="fr-FR"/>
        </w:rPr>
        <w:t>3:2014</w:t>
      </w:r>
      <w:r>
        <w:rPr>
          <w:lang w:val="fr-FR"/>
        </w:rPr>
        <w:t xml:space="preserve"> et doivent rester étanches en cas de renversement d’une cuve contenant de l’aluminium fondu (position latérale et sommet de la cuve).</w:t>
      </w:r>
    </w:p>
    <w:p w14:paraId="73A4AB9D" w14:textId="77777777" w:rsidR="00BD5A70" w:rsidRDefault="00BD5A70" w:rsidP="00BD5A70">
      <w:pPr>
        <w:spacing w:after="120"/>
        <w:ind w:left="2835" w:right="1134" w:hanging="567"/>
        <w:jc w:val="both"/>
        <w:rPr>
          <w:lang w:val="fr-FR"/>
        </w:rPr>
      </w:pPr>
      <w:r>
        <w:rPr>
          <w:lang w:val="fr-FR"/>
        </w:rPr>
        <w:tab/>
        <w:t>Les orifices de remplissage et de vidange de la cuve doivent être protégés par des dispositifs tels que des colliers, des déflecteurs, des cages ou d’autres dispositifs équivalents.</w:t>
      </w:r>
    </w:p>
    <w:p w14:paraId="0F588A11" w14:textId="77777777" w:rsidR="00BD5A70" w:rsidRDefault="00BD5A70" w:rsidP="00BD5A70">
      <w:pPr>
        <w:spacing w:after="120"/>
        <w:ind w:left="2835" w:right="1134" w:hanging="567"/>
        <w:jc w:val="both"/>
        <w:rPr>
          <w:lang w:val="fr-FR"/>
        </w:rPr>
      </w:pPr>
      <w:r>
        <w:rPr>
          <w:lang w:val="fr-FR"/>
        </w:rPr>
        <w:tab/>
        <w:t>Le dispositif de protection au sommet de la cuve doit être conçu de manière à supporter sans déformation permanente une charge statique égale à deux fois la masse maximale autorisée de la cuve (2 g), exercée verticalement sur le couvercle de l’orifice de remplissage.</w:t>
      </w:r>
    </w:p>
    <w:p w14:paraId="52B57488" w14:textId="15E7D329" w:rsidR="00BD5A70" w:rsidRDefault="00BD5A70" w:rsidP="00BD5A70">
      <w:pPr>
        <w:spacing w:after="120"/>
        <w:ind w:left="2835" w:right="1134" w:hanging="567"/>
        <w:jc w:val="both"/>
        <w:rPr>
          <w:lang w:val="fr-FR"/>
        </w:rPr>
      </w:pPr>
      <w:r>
        <w:rPr>
          <w:lang w:val="fr-FR"/>
        </w:rPr>
        <w:tab/>
        <w:t>Le revêtement réfractaire doit être en mesure de résister au contenu et pouvoir servir de matériau d’isolation.</w:t>
      </w:r>
    </w:p>
    <w:p w14:paraId="164474C1" w14:textId="77777777" w:rsidR="00BD5A70" w:rsidRDefault="00BD5A70" w:rsidP="00BD5A70">
      <w:pPr>
        <w:spacing w:after="120"/>
        <w:ind w:left="2835" w:right="1134" w:hanging="567"/>
        <w:jc w:val="both"/>
        <w:rPr>
          <w:lang w:val="fr-FR"/>
        </w:rPr>
      </w:pPr>
      <w:r>
        <w:rPr>
          <w:lang w:val="fr-FR"/>
        </w:rPr>
        <w:lastRenderedPageBreak/>
        <w:tab/>
        <w:t>Le revêtement réfractaire doit être conçu de manière que son étanchéité reste garantie, quelles que soient les déformations susceptibles de se produire dans les conditions normales de transport (voir 6.8.2.1.2).</w:t>
      </w:r>
    </w:p>
    <w:p w14:paraId="5B3FC071" w14:textId="77777777" w:rsidR="00BD5A70" w:rsidRDefault="00BD5A70" w:rsidP="00BD5A70">
      <w:pPr>
        <w:spacing w:after="120"/>
        <w:ind w:left="2835" w:right="1134" w:hanging="567"/>
        <w:jc w:val="both"/>
      </w:pPr>
      <w:r>
        <w:rPr>
          <w:lang w:val="fr-FR"/>
        </w:rPr>
        <w:tab/>
        <w:t xml:space="preserve">L’organisme effectuant des contrôles conformément aux 6.8.2.4.1 ou 6.8.2.4.4 doit vérifier et confirmer l’aptitude du constructeur ou de l’atelier de maintenance ou de réparation à réaliser des travaux de soudage et la mise en place d’un système d’assurance qualité du soudage. </w:t>
      </w:r>
      <w:r w:rsidRPr="009478BD">
        <w:rPr>
          <w:lang w:val="fr-FR"/>
        </w:rPr>
        <w:t>Les travaux de soudage sur l’enveloppe en tôle, en particulier sur les parties porteuses, ne peuvent être effectués que par des entreprises de soudage agréées.</w:t>
      </w:r>
    </w:p>
    <w:p w14:paraId="37C68EF6" w14:textId="77777777" w:rsidR="00BD5A70" w:rsidRDefault="00BD5A70" w:rsidP="00BD5A70">
      <w:pPr>
        <w:spacing w:after="120"/>
        <w:ind w:left="2835" w:right="1134" w:hanging="567"/>
        <w:jc w:val="both"/>
        <w:rPr>
          <w:lang w:val="fr-FR"/>
        </w:rPr>
      </w:pPr>
      <w:r>
        <w:rPr>
          <w:lang w:val="fr-FR"/>
        </w:rPr>
        <w:tab/>
        <w:t>Les joints des couvercles et des fermetures des cuves doivent être sélectionnés et posés de manière à empêcher l’aluminium fondu de s’écouler en cas de renversement d’une cuve pleine.</w:t>
      </w:r>
    </w:p>
    <w:p w14:paraId="57673A06" w14:textId="77777777" w:rsidR="00BD5A70" w:rsidRDefault="00BD5A70" w:rsidP="00BD5A70">
      <w:pPr>
        <w:spacing w:after="120"/>
        <w:ind w:left="2835" w:right="1134" w:hanging="567"/>
        <w:jc w:val="both"/>
        <w:rPr>
          <w:lang w:val="fr-FR"/>
        </w:rPr>
      </w:pPr>
      <w:r>
        <w:rPr>
          <w:lang w:val="fr-FR"/>
        </w:rPr>
        <w:t>4.</w:t>
      </w:r>
      <w:r>
        <w:rPr>
          <w:lang w:val="fr-FR"/>
        </w:rPr>
        <w:tab/>
        <w:t>Contrôles et épreuves des cuves</w:t>
      </w:r>
    </w:p>
    <w:p w14:paraId="2E29DD09" w14:textId="77777777" w:rsidR="00BD5A70" w:rsidRDefault="00BD5A70" w:rsidP="00BD5A70">
      <w:pPr>
        <w:spacing w:after="120"/>
        <w:ind w:left="2835" w:right="1134" w:hanging="567"/>
        <w:jc w:val="both"/>
        <w:rPr>
          <w:lang w:val="fr-FR"/>
        </w:rPr>
      </w:pPr>
      <w:r>
        <w:rPr>
          <w:lang w:val="fr-FR"/>
        </w:rPr>
        <w:tab/>
        <w:t>Les contrôles et les épreuves décrits aux 4.1 à 4.5 doivent être exécutés par un organisme de contrôle agréé par l’autorité compétente. Ils doivent être effectués conformément aux prescriptions applicables de la norme EN 12972:2018. Des procès</w:t>
      </w:r>
      <w:r>
        <w:rPr>
          <w:lang w:val="fr-FR"/>
        </w:rPr>
        <w:noBreakHyphen/>
        <w:t>verbaux d’épreuve indiquant les résultats des épreuves effectuées doivent être délivrés.</w:t>
      </w:r>
    </w:p>
    <w:p w14:paraId="1711687B" w14:textId="77777777" w:rsidR="00BD5A70" w:rsidRDefault="00BD5A70" w:rsidP="00BD5A70">
      <w:pPr>
        <w:spacing w:after="120"/>
        <w:ind w:left="3402" w:right="1134" w:hanging="567"/>
        <w:jc w:val="both"/>
        <w:rPr>
          <w:lang w:val="fr-FR"/>
        </w:rPr>
      </w:pPr>
      <w:r>
        <w:rPr>
          <w:lang w:val="fr-FR"/>
        </w:rPr>
        <w:t>4.1</w:t>
      </w:r>
      <w:r>
        <w:rPr>
          <w:lang w:val="fr-FR"/>
        </w:rPr>
        <w:tab/>
        <w:t>Examen de type des cuves</w:t>
      </w:r>
    </w:p>
    <w:p w14:paraId="11E1F1BB" w14:textId="031FD914" w:rsidR="00BD5A70" w:rsidRDefault="00BD5A70" w:rsidP="00BD5A70">
      <w:pPr>
        <w:spacing w:after="120"/>
        <w:ind w:left="3402" w:right="1134" w:hanging="567"/>
        <w:jc w:val="both"/>
        <w:rPr>
          <w:lang w:val="fr-FR"/>
        </w:rPr>
      </w:pPr>
      <w:r>
        <w:rPr>
          <w:lang w:val="fr-FR"/>
        </w:rPr>
        <w:tab/>
        <w:t>La conception de la construction et la qualité de l’exécution doivent être contrôlées au moyen d’une procédure d’examen de type afin de vérifier que les cuves sont conformes aux prescriptions relatives à la construction de la norme EN 13445</w:t>
      </w:r>
      <w:r>
        <w:rPr>
          <w:lang w:val="fr-FR"/>
        </w:rPr>
        <w:noBreakHyphen/>
        <w:t>3:2014. Les joints de soudure soumis aux plus fortes sollicitations doivent être désignés dans le procès-verbal d’examen de type.</w:t>
      </w:r>
    </w:p>
    <w:p w14:paraId="24034B82" w14:textId="77777777" w:rsidR="00BD5A70" w:rsidRDefault="00BD5A70" w:rsidP="00BD5A70">
      <w:pPr>
        <w:spacing w:after="120"/>
        <w:ind w:left="3402" w:right="1134" w:hanging="567"/>
        <w:jc w:val="both"/>
        <w:rPr>
          <w:lang w:val="fr-FR"/>
        </w:rPr>
      </w:pPr>
      <w:r>
        <w:rPr>
          <w:lang w:val="fr-FR"/>
        </w:rPr>
        <w:t>4.2</w:t>
      </w:r>
      <w:r>
        <w:rPr>
          <w:lang w:val="fr-FR"/>
        </w:rPr>
        <w:tab/>
        <w:t>Contrôle initial</w:t>
      </w:r>
    </w:p>
    <w:p w14:paraId="2D747306" w14:textId="77777777" w:rsidR="00BD5A70" w:rsidRDefault="00BD5A70" w:rsidP="00BD5A70">
      <w:pPr>
        <w:spacing w:after="120"/>
        <w:ind w:left="3402" w:right="1134" w:hanging="567"/>
        <w:jc w:val="both"/>
        <w:rPr>
          <w:lang w:val="fr-FR"/>
        </w:rPr>
      </w:pPr>
      <w:r>
        <w:rPr>
          <w:lang w:val="fr-FR"/>
        </w:rPr>
        <w:tab/>
        <w:t>Les cuves doivent être contrôlées avant leur mise en service.</w:t>
      </w:r>
    </w:p>
    <w:p w14:paraId="676D7AE1" w14:textId="77777777" w:rsidR="00BD5A70" w:rsidRDefault="00BD5A70" w:rsidP="00BD5A70">
      <w:pPr>
        <w:spacing w:after="120"/>
        <w:ind w:left="3402" w:right="1134" w:hanging="567"/>
        <w:jc w:val="both"/>
        <w:rPr>
          <w:lang w:val="fr-FR"/>
        </w:rPr>
      </w:pPr>
      <w:r>
        <w:rPr>
          <w:lang w:val="fr-FR"/>
        </w:rPr>
        <w:tab/>
        <w:t>Le contrôle doit comprendre au minimum :</w:t>
      </w:r>
    </w:p>
    <w:p w14:paraId="6E0FF170" w14:textId="77777777" w:rsidR="00BD5A70" w:rsidRDefault="00BD5A70" w:rsidP="00BD5A70">
      <w:pPr>
        <w:spacing w:after="120"/>
        <w:ind w:left="3969" w:right="1134" w:hanging="567"/>
        <w:jc w:val="both"/>
        <w:rPr>
          <w:lang w:val="fr-FR"/>
        </w:rPr>
      </w:pPr>
      <w:r>
        <w:rPr>
          <w:lang w:val="fr-FR"/>
        </w:rPr>
        <w:t>a)</w:t>
      </w:r>
      <w:r>
        <w:rPr>
          <w:lang w:val="fr-FR"/>
        </w:rPr>
        <w:tab/>
        <w:t>Une vérification permettant de s’assurer que la cuve est conforme aux documents d’examen de type ;</w:t>
      </w:r>
    </w:p>
    <w:p w14:paraId="74AE3E82" w14:textId="1FDEB3F6" w:rsidR="00BD5A70" w:rsidRDefault="00BD5A70" w:rsidP="00BD5A70">
      <w:pPr>
        <w:spacing w:after="120"/>
        <w:ind w:left="3969" w:right="1134" w:hanging="567"/>
        <w:jc w:val="both"/>
        <w:rPr>
          <w:lang w:val="fr-FR"/>
        </w:rPr>
      </w:pPr>
      <w:r>
        <w:rPr>
          <w:lang w:val="fr-FR"/>
        </w:rPr>
        <w:t>b)</w:t>
      </w:r>
      <w:r>
        <w:rPr>
          <w:lang w:val="fr-FR"/>
        </w:rPr>
        <w:tab/>
        <w:t>Une vérification de la conformité au type ;</w:t>
      </w:r>
    </w:p>
    <w:p w14:paraId="5BA105EC" w14:textId="77777777" w:rsidR="00BD5A70" w:rsidRDefault="00BD5A70" w:rsidP="00BD5A70">
      <w:pPr>
        <w:spacing w:after="120"/>
        <w:ind w:left="3969" w:right="1134" w:hanging="567"/>
        <w:jc w:val="both"/>
        <w:rPr>
          <w:lang w:val="fr-FR"/>
        </w:rPr>
      </w:pPr>
      <w:r>
        <w:rPr>
          <w:lang w:val="fr-FR"/>
        </w:rPr>
        <w:t>c)</w:t>
      </w:r>
      <w:r>
        <w:rPr>
          <w:lang w:val="fr-FR"/>
        </w:rPr>
        <w:tab/>
        <w:t>Un examen de l’état extérieur ;</w:t>
      </w:r>
    </w:p>
    <w:p w14:paraId="4B6D22F3" w14:textId="77777777" w:rsidR="00BD5A70" w:rsidRDefault="00BD5A70" w:rsidP="00BD5A70">
      <w:pPr>
        <w:spacing w:after="120"/>
        <w:ind w:left="3969" w:right="1134" w:hanging="567"/>
        <w:jc w:val="both"/>
        <w:rPr>
          <w:lang w:val="fr-FR"/>
        </w:rPr>
      </w:pPr>
      <w:r>
        <w:rPr>
          <w:lang w:val="fr-FR"/>
        </w:rPr>
        <w:t>d)</w:t>
      </w:r>
      <w:r>
        <w:rPr>
          <w:lang w:val="fr-FR"/>
        </w:rPr>
        <w:tab/>
        <w:t>Une épreuve de pression hydraulique à une pression d’épreuve de 4 bars ; à ce stade, les cuves ne doivent pas être équipées d’un revêtement réfractaire ;</w:t>
      </w:r>
    </w:p>
    <w:p w14:paraId="34E2938D" w14:textId="3A0760AA" w:rsidR="00BD5A70" w:rsidRDefault="00BD5A70" w:rsidP="00BD5A70">
      <w:pPr>
        <w:spacing w:after="120"/>
        <w:ind w:left="3969" w:right="1134" w:hanging="567"/>
        <w:jc w:val="both"/>
        <w:rPr>
          <w:lang w:val="fr-FR"/>
        </w:rPr>
      </w:pPr>
      <w:bookmarkStart w:id="5" w:name="_Hlk40691350"/>
      <w:r>
        <w:rPr>
          <w:lang w:val="fr-FR"/>
        </w:rPr>
        <w:t>e)</w:t>
      </w:r>
      <w:r>
        <w:rPr>
          <w:lang w:val="fr-FR"/>
        </w:rPr>
        <w:tab/>
        <w:t xml:space="preserve">Un examen de l’état intérieur (examen visuel de la surface métallique intérieure de la cuve avant l’application du </w:t>
      </w:r>
      <w:r w:rsidRPr="009478BD">
        <w:rPr>
          <w:lang w:val="fr-FR"/>
        </w:rPr>
        <w:t>revêtement</w:t>
      </w:r>
      <w:r>
        <w:rPr>
          <w:lang w:val="fr-FR"/>
        </w:rPr>
        <w:t xml:space="preserve"> réfractaire et examen visuel du </w:t>
      </w:r>
      <w:r w:rsidRPr="009478BD">
        <w:rPr>
          <w:lang w:val="fr-FR"/>
        </w:rPr>
        <w:t>revêtement</w:t>
      </w:r>
      <w:r>
        <w:rPr>
          <w:lang w:val="fr-FR"/>
        </w:rPr>
        <w:t xml:space="preserve"> réfractaire) ;</w:t>
      </w:r>
      <w:bookmarkEnd w:id="5"/>
    </w:p>
    <w:p w14:paraId="734368CD" w14:textId="77777777" w:rsidR="00BD5A70" w:rsidRDefault="00BD5A70" w:rsidP="00BD5A70">
      <w:pPr>
        <w:spacing w:after="120"/>
        <w:ind w:left="3969" w:right="1134" w:hanging="567"/>
        <w:jc w:val="both"/>
        <w:rPr>
          <w:lang w:val="fr-FR"/>
        </w:rPr>
      </w:pPr>
      <w:r>
        <w:rPr>
          <w:lang w:val="fr-FR"/>
        </w:rPr>
        <w:t>f)</w:t>
      </w:r>
      <w:r>
        <w:rPr>
          <w:lang w:val="fr-FR"/>
        </w:rPr>
        <w:tab/>
        <w:t>Une vérification du bon fonctionnement de l’équipement.</w:t>
      </w:r>
    </w:p>
    <w:p w14:paraId="7C1885D7" w14:textId="77777777" w:rsidR="00BD5A70" w:rsidRDefault="00BD5A70" w:rsidP="00BD5A70">
      <w:pPr>
        <w:spacing w:after="120"/>
        <w:ind w:left="3402" w:right="1134" w:hanging="567"/>
        <w:jc w:val="both"/>
        <w:rPr>
          <w:lang w:val="fr-FR"/>
        </w:rPr>
      </w:pPr>
      <w:r>
        <w:rPr>
          <w:lang w:val="fr-FR"/>
        </w:rPr>
        <w:tab/>
        <w:t>L’épreuve de pression hydraulique peut également être effectuée avec un autre joint.</w:t>
      </w:r>
    </w:p>
    <w:p w14:paraId="53D39598" w14:textId="77777777" w:rsidR="00BD5A70" w:rsidRDefault="00BD5A70" w:rsidP="00BD5A70">
      <w:pPr>
        <w:spacing w:after="120"/>
        <w:ind w:left="3402" w:right="1134" w:hanging="567"/>
        <w:jc w:val="both"/>
        <w:rPr>
          <w:lang w:val="fr-FR"/>
        </w:rPr>
      </w:pPr>
      <w:r>
        <w:rPr>
          <w:lang w:val="fr-FR"/>
        </w:rPr>
        <w:t>4.3</w:t>
      </w:r>
      <w:r>
        <w:rPr>
          <w:lang w:val="fr-FR"/>
        </w:rPr>
        <w:tab/>
        <w:t>Contrôle intermédiaire</w:t>
      </w:r>
    </w:p>
    <w:p w14:paraId="771ED83C" w14:textId="77777777" w:rsidR="00BD5A70" w:rsidRPr="009478BD" w:rsidRDefault="00BD5A70" w:rsidP="00BD5A70">
      <w:pPr>
        <w:spacing w:after="120"/>
        <w:ind w:left="3402" w:right="1134" w:hanging="567"/>
        <w:jc w:val="both"/>
        <w:rPr>
          <w:lang w:val="fr-FR"/>
        </w:rPr>
      </w:pPr>
      <w:r>
        <w:rPr>
          <w:lang w:val="fr-FR"/>
        </w:rPr>
        <w:tab/>
      </w:r>
      <w:r w:rsidRPr="009478BD">
        <w:rPr>
          <w:lang w:val="fr-FR"/>
        </w:rPr>
        <w:t>Les cuves doivent faire l’objet d’un contrôle intermédiaire au plus tard six ans après le contrôle initial et après chaque contrôle périodique.</w:t>
      </w:r>
    </w:p>
    <w:p w14:paraId="755A64D6" w14:textId="77777777" w:rsidR="00BD5A70" w:rsidRDefault="00BD5A70" w:rsidP="00BD5A70">
      <w:pPr>
        <w:spacing w:after="120"/>
        <w:ind w:left="3402" w:right="1134" w:hanging="567"/>
        <w:jc w:val="both"/>
        <w:rPr>
          <w:lang w:val="fr-FR"/>
        </w:rPr>
      </w:pPr>
      <w:r>
        <w:rPr>
          <w:lang w:val="fr-FR"/>
        </w:rPr>
        <w:tab/>
        <w:t>Le contrôle intermédiaire doit comprendre au minimum :</w:t>
      </w:r>
    </w:p>
    <w:p w14:paraId="27DB6D70" w14:textId="77777777" w:rsidR="00BD5A70" w:rsidRDefault="00BD5A70" w:rsidP="00BD5A70">
      <w:pPr>
        <w:spacing w:after="120"/>
        <w:ind w:left="3969" w:right="1134" w:hanging="567"/>
        <w:jc w:val="both"/>
        <w:rPr>
          <w:lang w:val="fr-FR"/>
        </w:rPr>
      </w:pPr>
      <w:r>
        <w:rPr>
          <w:lang w:val="fr-FR"/>
        </w:rPr>
        <w:lastRenderedPageBreak/>
        <w:t>a)</w:t>
      </w:r>
      <w:r>
        <w:rPr>
          <w:lang w:val="fr-FR"/>
        </w:rPr>
        <w:tab/>
        <w:t>Une vérification des documents ;</w:t>
      </w:r>
    </w:p>
    <w:p w14:paraId="280239BB" w14:textId="77777777" w:rsidR="00BD5A70" w:rsidRDefault="00BD5A70" w:rsidP="00BD5A70">
      <w:pPr>
        <w:spacing w:after="120"/>
        <w:ind w:left="3969" w:right="1134" w:hanging="567"/>
        <w:jc w:val="both"/>
        <w:rPr>
          <w:lang w:val="fr-FR"/>
        </w:rPr>
      </w:pPr>
      <w:r>
        <w:rPr>
          <w:lang w:val="fr-FR"/>
        </w:rPr>
        <w:t>b)</w:t>
      </w:r>
      <w:r>
        <w:rPr>
          <w:lang w:val="fr-FR"/>
        </w:rPr>
        <w:tab/>
        <w:t>Un examen de l’état extérieur, notamment de l’intégrité des raccords de la bride et du couvercle ;</w:t>
      </w:r>
    </w:p>
    <w:p w14:paraId="786D7ED1" w14:textId="77777777" w:rsidR="00BD5A70" w:rsidRDefault="00BD5A70" w:rsidP="00BD5A70">
      <w:pPr>
        <w:spacing w:after="120"/>
        <w:ind w:left="3969" w:right="1134" w:hanging="567"/>
        <w:jc w:val="both"/>
        <w:rPr>
          <w:lang w:val="fr-FR"/>
        </w:rPr>
      </w:pPr>
      <w:r>
        <w:rPr>
          <w:lang w:val="fr-FR"/>
        </w:rPr>
        <w:t>c)</w:t>
      </w:r>
      <w:r>
        <w:rPr>
          <w:lang w:val="fr-FR"/>
        </w:rPr>
        <w:tab/>
        <w:t>Une mesure de l’épaisseur des parois pour vérifier que l’épaisseur minimale requise est respectée ;</w:t>
      </w:r>
      <w:bookmarkStart w:id="6" w:name="_Hlk40425483"/>
      <w:bookmarkEnd w:id="6"/>
    </w:p>
    <w:p w14:paraId="1BA7077F" w14:textId="660A6135" w:rsidR="00BD5A70" w:rsidRDefault="00BD5A70" w:rsidP="00BD5A70">
      <w:pPr>
        <w:spacing w:after="120"/>
        <w:ind w:left="3969" w:right="1134" w:hanging="567"/>
        <w:jc w:val="both"/>
        <w:rPr>
          <w:lang w:val="fr-FR"/>
        </w:rPr>
      </w:pPr>
      <w:r>
        <w:rPr>
          <w:lang w:val="fr-FR"/>
        </w:rPr>
        <w:t>d)</w:t>
      </w:r>
      <w:r>
        <w:rPr>
          <w:lang w:val="fr-FR"/>
        </w:rPr>
        <w:tab/>
        <w:t>Des essais non destructifs sur les joints de soudure qui sont soumis aux plus fortes sollicitations, effectués par contrôle magnétoscopique, essai de pénétration, contrôle par ultrasons ou contrôle radiographique ;</w:t>
      </w:r>
    </w:p>
    <w:p w14:paraId="71D75871" w14:textId="31633149" w:rsidR="00BD5A70" w:rsidRDefault="00BD5A70" w:rsidP="00BD5A70">
      <w:pPr>
        <w:spacing w:after="120"/>
        <w:ind w:left="3969" w:right="1134" w:hanging="567"/>
        <w:jc w:val="both"/>
        <w:rPr>
          <w:lang w:val="fr-FR"/>
        </w:rPr>
      </w:pPr>
      <w:r>
        <w:rPr>
          <w:lang w:val="fr-FR"/>
        </w:rPr>
        <w:t>e)</w:t>
      </w:r>
      <w:r>
        <w:rPr>
          <w:lang w:val="fr-FR"/>
        </w:rPr>
        <w:tab/>
        <w:t>Un examen de l’état intérieur (examen visuel du revêtement réfractaire) par un expert, sous la responsabilité de l’exploitant ;</w:t>
      </w:r>
    </w:p>
    <w:p w14:paraId="6D68E7ED" w14:textId="77777777" w:rsidR="00BD5A70" w:rsidRDefault="00BD5A70" w:rsidP="00BD5A70">
      <w:pPr>
        <w:spacing w:after="120"/>
        <w:ind w:left="3969" w:right="1134" w:hanging="567"/>
        <w:jc w:val="both"/>
        <w:rPr>
          <w:lang w:val="fr-FR"/>
        </w:rPr>
      </w:pPr>
      <w:r>
        <w:rPr>
          <w:lang w:val="fr-FR"/>
        </w:rPr>
        <w:t>f)</w:t>
      </w:r>
      <w:r>
        <w:rPr>
          <w:lang w:val="fr-FR"/>
        </w:rPr>
        <w:tab/>
        <w:t>Une vérification du bon fonctionnement de l’équipement.</w:t>
      </w:r>
    </w:p>
    <w:p w14:paraId="6C96591E" w14:textId="77777777" w:rsidR="00BD5A70" w:rsidRDefault="00BD5A70" w:rsidP="00BD5A70">
      <w:pPr>
        <w:spacing w:after="120"/>
        <w:ind w:left="3402" w:right="1134" w:hanging="567"/>
        <w:jc w:val="both"/>
        <w:rPr>
          <w:lang w:val="fr-FR"/>
        </w:rPr>
      </w:pPr>
      <w:r>
        <w:rPr>
          <w:lang w:val="fr-FR"/>
        </w:rPr>
        <w:tab/>
        <w:t>Ces contrôles intermédiaires peuvent être effectués dans les trois mois avant la date spécifiée, sans que cela n’ait d’influence sur le calendrier des autres contrôles visés aux 4.3 et 4.4.</w:t>
      </w:r>
    </w:p>
    <w:bookmarkEnd w:id="4"/>
    <w:p w14:paraId="5EE5D500" w14:textId="77777777" w:rsidR="00BD5A70" w:rsidRDefault="00BD5A70" w:rsidP="00BD5A70">
      <w:pPr>
        <w:spacing w:after="120"/>
        <w:ind w:left="3402" w:right="1134" w:hanging="567"/>
        <w:jc w:val="both"/>
        <w:rPr>
          <w:lang w:val="fr-FR"/>
        </w:rPr>
      </w:pPr>
      <w:r>
        <w:rPr>
          <w:lang w:val="fr-FR"/>
        </w:rPr>
        <w:t>4.4</w:t>
      </w:r>
      <w:r>
        <w:rPr>
          <w:lang w:val="fr-FR"/>
        </w:rPr>
        <w:tab/>
        <w:t>Contrôle périodique</w:t>
      </w:r>
    </w:p>
    <w:p w14:paraId="322939A4" w14:textId="77777777" w:rsidR="00BD5A70" w:rsidRDefault="00BD5A70" w:rsidP="00BD5A70">
      <w:pPr>
        <w:spacing w:after="120"/>
        <w:ind w:left="3402" w:right="1134" w:hanging="567"/>
        <w:jc w:val="both"/>
        <w:rPr>
          <w:lang w:val="fr-FR"/>
        </w:rPr>
      </w:pPr>
      <w:bookmarkStart w:id="7" w:name="_Hlk111724272"/>
      <w:r>
        <w:rPr>
          <w:lang w:val="fr-FR"/>
        </w:rPr>
        <w:tab/>
        <w:t>Chaque fois que le revêtement réfractaire est remplacé, ou au plus tard douze ans après le contrôle initial ou le dernier contrôle périodique, un contrôle périodique doit être effectué.</w:t>
      </w:r>
    </w:p>
    <w:p w14:paraId="72951DD8" w14:textId="77777777" w:rsidR="00BD5A70" w:rsidRDefault="00BD5A70" w:rsidP="00BD5A70">
      <w:pPr>
        <w:spacing w:after="120"/>
        <w:ind w:left="3402" w:right="1134" w:hanging="567"/>
        <w:jc w:val="both"/>
        <w:rPr>
          <w:lang w:val="fr-FR"/>
        </w:rPr>
      </w:pPr>
      <w:r>
        <w:rPr>
          <w:lang w:val="fr-FR"/>
        </w:rPr>
        <w:tab/>
        <w:t>Le contrôle périodique doit comprendre au minimum :</w:t>
      </w:r>
    </w:p>
    <w:p w14:paraId="5DA6DC6E" w14:textId="77777777" w:rsidR="00BD5A70" w:rsidRDefault="00BD5A70" w:rsidP="00BD5A70">
      <w:pPr>
        <w:spacing w:after="120"/>
        <w:ind w:left="3969" w:right="1134" w:hanging="567"/>
        <w:jc w:val="both"/>
        <w:rPr>
          <w:lang w:val="fr-FR"/>
        </w:rPr>
      </w:pPr>
      <w:r>
        <w:rPr>
          <w:lang w:val="fr-FR"/>
        </w:rPr>
        <w:t>a)</w:t>
      </w:r>
      <w:r>
        <w:rPr>
          <w:lang w:val="fr-FR"/>
        </w:rPr>
        <w:tab/>
        <w:t>Une vérification des documents ;</w:t>
      </w:r>
    </w:p>
    <w:p w14:paraId="656356A1" w14:textId="77777777" w:rsidR="00BD5A70" w:rsidRDefault="00BD5A70" w:rsidP="00BD5A70">
      <w:pPr>
        <w:spacing w:after="120"/>
        <w:ind w:left="3969" w:right="1134" w:hanging="567"/>
        <w:jc w:val="both"/>
        <w:rPr>
          <w:lang w:val="fr-FR"/>
        </w:rPr>
      </w:pPr>
      <w:r>
        <w:rPr>
          <w:lang w:val="fr-FR"/>
        </w:rPr>
        <w:t>b)</w:t>
      </w:r>
      <w:r>
        <w:rPr>
          <w:lang w:val="fr-FR"/>
        </w:rPr>
        <w:tab/>
        <w:t>Un examen de l’état extérieur, notamment de l’intégrité des raccords de la bride et du couvercle ;</w:t>
      </w:r>
    </w:p>
    <w:p w14:paraId="2EFF4331" w14:textId="456683BA" w:rsidR="00BD5A70" w:rsidRDefault="00BD5A70" w:rsidP="00BD5A70">
      <w:pPr>
        <w:spacing w:after="120"/>
        <w:ind w:left="3969" w:right="1134" w:hanging="567"/>
        <w:jc w:val="both"/>
        <w:rPr>
          <w:lang w:val="fr-FR"/>
        </w:rPr>
      </w:pPr>
      <w:r>
        <w:rPr>
          <w:lang w:val="fr-FR"/>
        </w:rPr>
        <w:t>c)</w:t>
      </w:r>
      <w:r>
        <w:rPr>
          <w:lang w:val="fr-FR"/>
        </w:rPr>
        <w:tab/>
        <w:t>Un examen de l’état intérieur (examen visuel de la surface métallique intérieure de la cuve avant l’application du revêtement réfractaire et inspection visuelle du revêtement réfractaire) ;</w:t>
      </w:r>
    </w:p>
    <w:p w14:paraId="11C18D70" w14:textId="08D857FB" w:rsidR="00BD5A70" w:rsidRDefault="00BD5A70" w:rsidP="00BD5A70">
      <w:pPr>
        <w:spacing w:after="120"/>
        <w:ind w:left="3969" w:right="1134" w:hanging="567"/>
        <w:jc w:val="both"/>
        <w:rPr>
          <w:lang w:val="fr-FR"/>
        </w:rPr>
      </w:pPr>
      <w:r>
        <w:rPr>
          <w:lang w:val="fr-FR"/>
        </w:rPr>
        <w:t>d)</w:t>
      </w:r>
      <w:r>
        <w:rPr>
          <w:lang w:val="fr-FR"/>
        </w:rPr>
        <w:tab/>
        <w:t>Des essais non destructifs sur les joints de soudure qui sont soumis aux plus fortes sollicitations, effectués par contrôle magnétoscopique, essai de pénétration, contrôle par ultrasons ou contrôle radiographique ;</w:t>
      </w:r>
    </w:p>
    <w:p w14:paraId="495BC4F9" w14:textId="77777777" w:rsidR="00BD5A70" w:rsidRDefault="00BD5A70" w:rsidP="00BD5A70">
      <w:pPr>
        <w:spacing w:after="120"/>
        <w:ind w:left="3969" w:right="1134" w:hanging="567"/>
        <w:jc w:val="both"/>
        <w:rPr>
          <w:lang w:val="fr-FR"/>
        </w:rPr>
      </w:pPr>
      <w:r>
        <w:rPr>
          <w:lang w:val="fr-FR"/>
        </w:rPr>
        <w:t>e)</w:t>
      </w:r>
      <w:r>
        <w:rPr>
          <w:lang w:val="fr-FR"/>
        </w:rPr>
        <w:tab/>
        <w:t>Une mesure de l’épaisseur des parois pour vérifier que l’épaisseur minimale requise est respectée ;</w:t>
      </w:r>
    </w:p>
    <w:p w14:paraId="60A062A4" w14:textId="77777777" w:rsidR="00BD5A70" w:rsidRDefault="00BD5A70" w:rsidP="00BD5A70">
      <w:pPr>
        <w:spacing w:after="120"/>
        <w:ind w:left="3969" w:right="1134" w:hanging="567"/>
        <w:jc w:val="both"/>
        <w:rPr>
          <w:lang w:val="fr-FR"/>
        </w:rPr>
      </w:pPr>
      <w:r>
        <w:rPr>
          <w:lang w:val="fr-FR"/>
        </w:rPr>
        <w:t>f)</w:t>
      </w:r>
      <w:r>
        <w:rPr>
          <w:lang w:val="fr-FR"/>
        </w:rPr>
        <w:tab/>
        <w:t>Une épreuve de pression hydraulique à une pression d’épreuve de 4 bars ; à ce stade, les cuves ne doivent pas être équipées d’un revêtement réfractaire ;</w:t>
      </w:r>
    </w:p>
    <w:p w14:paraId="03F513C9" w14:textId="77777777" w:rsidR="00BD5A70" w:rsidRDefault="00BD5A70" w:rsidP="00BD5A70">
      <w:pPr>
        <w:spacing w:after="120"/>
        <w:ind w:left="3969" w:right="1134" w:hanging="567"/>
        <w:jc w:val="both"/>
        <w:rPr>
          <w:lang w:val="fr-FR"/>
        </w:rPr>
      </w:pPr>
      <w:r>
        <w:rPr>
          <w:lang w:val="fr-FR"/>
        </w:rPr>
        <w:t>g)</w:t>
      </w:r>
      <w:r>
        <w:rPr>
          <w:lang w:val="fr-FR"/>
        </w:rPr>
        <w:tab/>
        <w:t>Une vérification du bon fonctionnement de l’équipement.</w:t>
      </w:r>
    </w:p>
    <w:p w14:paraId="6C04B034" w14:textId="77777777" w:rsidR="00BD5A70" w:rsidRDefault="00BD5A70" w:rsidP="00BD5A70">
      <w:pPr>
        <w:spacing w:after="120"/>
        <w:ind w:left="3402" w:right="1134" w:hanging="567"/>
        <w:jc w:val="both"/>
        <w:rPr>
          <w:lang w:val="fr-FR"/>
        </w:rPr>
      </w:pPr>
      <w:r>
        <w:rPr>
          <w:lang w:val="fr-FR"/>
        </w:rPr>
        <w:tab/>
        <w:t>L’épreuve de pression hydraulique peut également être effectuée avec un autre joint.</w:t>
      </w:r>
    </w:p>
    <w:p w14:paraId="0AE89ED9" w14:textId="77777777" w:rsidR="00BD5A70" w:rsidRDefault="00BD5A70" w:rsidP="00BD5A70">
      <w:pPr>
        <w:spacing w:after="120"/>
        <w:ind w:left="3402" w:right="1134" w:hanging="567"/>
        <w:jc w:val="both"/>
        <w:rPr>
          <w:lang w:val="fr-FR"/>
        </w:rPr>
      </w:pPr>
      <w:r>
        <w:rPr>
          <w:lang w:val="fr-FR"/>
        </w:rPr>
        <w:t>4.5</w:t>
      </w:r>
      <w:r>
        <w:rPr>
          <w:lang w:val="fr-FR"/>
        </w:rPr>
        <w:tab/>
        <w:t>Contrôle exceptionnel des cuves</w:t>
      </w:r>
    </w:p>
    <w:p w14:paraId="1922AA4D" w14:textId="77777777" w:rsidR="00BD5A70" w:rsidRDefault="00BD5A70" w:rsidP="00BD5A70">
      <w:pPr>
        <w:spacing w:after="120"/>
        <w:ind w:left="3402" w:right="1134" w:hanging="567"/>
        <w:jc w:val="both"/>
        <w:rPr>
          <w:lang w:val="fr-FR"/>
        </w:rPr>
      </w:pPr>
      <w:r>
        <w:rPr>
          <w:lang w:val="fr-FR"/>
        </w:rPr>
        <w:tab/>
        <w:t xml:space="preserve">Lorsque la sécurité de la cuve ou de ses équipements a pu être compromise par suite de réparation, modification ou accident, un contrôle exceptionnel des parties concernées par la réparation ou la modification doit être effectué. Si un contrôle exceptionnel satisfaisant aux prescriptions du 4.4 a été effectué, alors le contrôle exceptionnel peut être considéré comme étant un contrôle périodique. Si un contrôle exceptionnel satisfaisant aux prescriptions du 4.3 a été effectué, alors le contrôle exceptionnel peut être considéré comme étant un contrôle intermédiaire. </w:t>
      </w:r>
      <w:r>
        <w:rPr>
          <w:lang w:val="fr-FR"/>
        </w:rPr>
        <w:lastRenderedPageBreak/>
        <w:t>L’organisme de contrôle doit décider de la portée précise du contrôle exceptionnel, en respectant la norme EN 12972:2018 (tableau A1).</w:t>
      </w:r>
    </w:p>
    <w:p w14:paraId="61EBF9AD" w14:textId="77777777" w:rsidR="00BD5A70" w:rsidRDefault="00BD5A70" w:rsidP="00BD5A70">
      <w:pPr>
        <w:spacing w:after="120"/>
        <w:ind w:left="2835" w:right="1134" w:hanging="567"/>
        <w:jc w:val="both"/>
        <w:rPr>
          <w:lang w:val="fr-FR"/>
        </w:rPr>
      </w:pPr>
      <w:r>
        <w:rPr>
          <w:lang w:val="fr-FR"/>
        </w:rPr>
        <w:t>5.</w:t>
      </w:r>
      <w:r>
        <w:rPr>
          <w:lang w:val="fr-FR"/>
        </w:rPr>
        <w:tab/>
        <w:t>Marquage des cuves</w:t>
      </w:r>
    </w:p>
    <w:p w14:paraId="34D65A69" w14:textId="6EB3F0C0" w:rsidR="00BD5A70" w:rsidRDefault="00BD5A70" w:rsidP="00BD5A70">
      <w:pPr>
        <w:spacing w:after="120"/>
        <w:ind w:left="2835" w:right="1134" w:hanging="567"/>
        <w:jc w:val="both"/>
        <w:rPr>
          <w:lang w:val="fr-FR"/>
        </w:rPr>
      </w:pPr>
      <w:r>
        <w:rPr>
          <w:lang w:val="fr-FR"/>
        </w:rPr>
        <w:tab/>
        <w:t>Les cuves doivent porter une plaque, établie par analogie avec le 6.8.2.5.1, à l’exception du numéro d’agrément et de la pression extérieure de calcul. Pour les contrôles effectués en application des 4.2 et 4.4, la marque doit être suivie de la lettre “P”. Pour les contrôles effectués en application du 4.3, la marque doit être suivie de la lettre “L”.</w:t>
      </w:r>
    </w:p>
    <w:bookmarkEnd w:id="7"/>
    <w:p w14:paraId="1E572B97" w14:textId="77777777" w:rsidR="00BD5A70" w:rsidRDefault="00BD5A70" w:rsidP="00BD5A70">
      <w:pPr>
        <w:spacing w:after="120"/>
        <w:ind w:left="2835" w:right="1134" w:hanging="567"/>
        <w:jc w:val="both"/>
        <w:rPr>
          <w:lang w:val="fr-FR"/>
        </w:rPr>
      </w:pPr>
      <w:r>
        <w:rPr>
          <w:lang w:val="fr-FR"/>
        </w:rPr>
        <w:t>6.</w:t>
      </w:r>
      <w:r>
        <w:rPr>
          <w:lang w:val="fr-FR"/>
        </w:rPr>
        <w:tab/>
        <w:t>Prescriptions relatives au fonctionnement</w:t>
      </w:r>
    </w:p>
    <w:p w14:paraId="112FF13D" w14:textId="0827FB47" w:rsidR="00BD5A70" w:rsidRDefault="00BD5A70" w:rsidP="00BD5A70">
      <w:pPr>
        <w:spacing w:after="120"/>
        <w:ind w:left="2835" w:right="1134" w:hanging="567"/>
        <w:jc w:val="both"/>
        <w:rPr>
          <w:lang w:val="fr-FR"/>
        </w:rPr>
      </w:pPr>
      <w:r>
        <w:rPr>
          <w:lang w:val="fr-FR"/>
        </w:rPr>
        <w:tab/>
        <w:t>Le propriétaire ou l’exploitant doit conserver dans le dossier de chaque cuve un exemplaire du procès-verbal d’examen de type et les résultats du contrôle initial et de tous les contrôles suivants.</w:t>
      </w:r>
    </w:p>
    <w:p w14:paraId="7746592B" w14:textId="77777777" w:rsidR="00BD5A70" w:rsidRPr="00DD7294" w:rsidRDefault="00BD5A70" w:rsidP="00BD5A70">
      <w:pPr>
        <w:spacing w:after="120"/>
        <w:ind w:left="2835" w:right="1134" w:hanging="567"/>
        <w:jc w:val="both"/>
      </w:pPr>
      <w:r>
        <w:rPr>
          <w:lang w:val="fr-FR"/>
        </w:rPr>
        <w:tab/>
      </w:r>
      <w:r w:rsidRPr="00DD7294">
        <w:rPr>
          <w:lang w:val="fr-FR"/>
        </w:rPr>
        <w:t>Chaque renouvellement et réparation du revêtement réfractaire doit être consigné par l’exploitant ou le fabricant.</w:t>
      </w:r>
    </w:p>
    <w:p w14:paraId="60D7C6AC" w14:textId="77777777" w:rsidR="00BD5A70" w:rsidRDefault="00BD5A70" w:rsidP="00BD5A70">
      <w:pPr>
        <w:spacing w:after="120"/>
        <w:ind w:left="2835" w:right="1134" w:hanging="567"/>
        <w:jc w:val="both"/>
        <w:rPr>
          <w:lang w:val="fr-FR"/>
        </w:rPr>
      </w:pPr>
      <w:r>
        <w:rPr>
          <w:lang w:val="fr-FR"/>
        </w:rPr>
        <w:tab/>
        <w:t>Les joints doivent être contrôlés à chaque remplissage et renouvelés si nécessaire.</w:t>
      </w:r>
    </w:p>
    <w:p w14:paraId="50ED9EA8" w14:textId="77777777" w:rsidR="00BD5A70" w:rsidRDefault="00BD5A70" w:rsidP="00BD5A70">
      <w:pPr>
        <w:spacing w:after="120"/>
        <w:ind w:left="2835" w:right="1134" w:hanging="567"/>
        <w:jc w:val="both"/>
        <w:rPr>
          <w:lang w:val="fr-FR"/>
        </w:rPr>
      </w:pPr>
      <w:r>
        <w:rPr>
          <w:lang w:val="fr-FR"/>
        </w:rPr>
        <w:t>7.</w:t>
      </w:r>
      <w:r>
        <w:rPr>
          <w:lang w:val="fr-FR"/>
        </w:rPr>
        <w:tab/>
        <w:t>Véhicules</w:t>
      </w:r>
    </w:p>
    <w:p w14:paraId="46EC7BA2" w14:textId="77777777" w:rsidR="00BD5A70" w:rsidRDefault="00BD5A70" w:rsidP="00BD5A70">
      <w:pPr>
        <w:spacing w:after="120"/>
        <w:ind w:left="2835" w:right="1134" w:hanging="567"/>
        <w:jc w:val="both"/>
        <w:rPr>
          <w:lang w:val="fr-FR"/>
        </w:rPr>
      </w:pPr>
      <w:r>
        <w:rPr>
          <w:lang w:val="fr-FR"/>
        </w:rPr>
        <w:tab/>
        <w:t>Les prescriptions supplémentaires suivantes s’appliquent aux véhicules destinés au transport routier :</w:t>
      </w:r>
    </w:p>
    <w:p w14:paraId="794FBF34" w14:textId="00DF7A49" w:rsidR="00BD5A70" w:rsidRDefault="00BD5A70" w:rsidP="00BD5A70">
      <w:pPr>
        <w:spacing w:after="120"/>
        <w:ind w:left="3402" w:right="1134" w:hanging="567"/>
        <w:jc w:val="both"/>
        <w:rPr>
          <w:lang w:val="fr-FR"/>
        </w:rPr>
      </w:pPr>
      <w:r>
        <w:rPr>
          <w:lang w:val="fr-FR"/>
        </w:rPr>
        <w:t>a)</w:t>
      </w:r>
      <w:r>
        <w:rPr>
          <w:lang w:val="fr-FR"/>
        </w:rPr>
        <w:tab/>
        <w:t>Le véhicule doit être muni d’une fonction de contrôle de la stabilité du véhicule conformément au Règlement ONU No 13¹ ;</w:t>
      </w:r>
    </w:p>
    <w:p w14:paraId="0367276E" w14:textId="77777777" w:rsidR="00BD5A70" w:rsidRDefault="00BD5A70" w:rsidP="00BD5A70">
      <w:pPr>
        <w:spacing w:after="120"/>
        <w:ind w:left="3402" w:right="1134" w:hanging="567"/>
        <w:jc w:val="both"/>
        <w:rPr>
          <w:lang w:val="fr-FR"/>
        </w:rPr>
      </w:pPr>
      <w:r>
        <w:rPr>
          <w:lang w:val="fr-FR"/>
        </w:rPr>
        <w:t>b)</w:t>
      </w:r>
      <w:r>
        <w:rPr>
          <w:lang w:val="fr-FR"/>
        </w:rPr>
        <w:tab/>
        <w:t>Les cuves doivent être positionnées sur les véhicules de telle sorte que les orifices de vidange soient situés face au sens de la marche ou à l’opposé du sens de la marche.</w:t>
      </w:r>
    </w:p>
    <w:p w14:paraId="27604C0D" w14:textId="77777777" w:rsidR="00BD5A70" w:rsidRDefault="00BD5A70" w:rsidP="00BD5A70">
      <w:pPr>
        <w:spacing w:after="120"/>
        <w:ind w:left="2835" w:right="1134" w:hanging="567"/>
        <w:jc w:val="both"/>
        <w:rPr>
          <w:lang w:val="fr-FR"/>
        </w:rPr>
      </w:pPr>
      <w:r>
        <w:rPr>
          <w:lang w:val="fr-FR"/>
        </w:rPr>
        <w:t>8.</w:t>
      </w:r>
      <w:r>
        <w:rPr>
          <w:lang w:val="fr-FR"/>
        </w:rPr>
        <w:tab/>
        <w:t>Formation du conducteur</w:t>
      </w:r>
    </w:p>
    <w:p w14:paraId="34526531" w14:textId="77777777" w:rsidR="00BD5A70" w:rsidRDefault="00BD5A70" w:rsidP="00BD5A70">
      <w:pPr>
        <w:spacing w:after="120"/>
        <w:ind w:left="2835" w:right="1134" w:hanging="567"/>
        <w:jc w:val="both"/>
        <w:rPr>
          <w:lang w:val="fr-FR"/>
        </w:rPr>
      </w:pPr>
      <w:r>
        <w:rPr>
          <w:lang w:val="fr-FR"/>
        </w:rPr>
        <w:tab/>
        <w:t>En plus du cours de formation de base prévu au 8.2.1.2, les conducteurs doivent recevoir une formation complémentaire délivrée par une personne compétente sur tous les risques du transport d’aluminium fondu dans des cuves.</w:t>
      </w:r>
    </w:p>
    <w:p w14:paraId="5800D3CE" w14:textId="77777777" w:rsidR="00BD5A70" w:rsidRDefault="00BD5A70" w:rsidP="00BD5A70">
      <w:pPr>
        <w:spacing w:after="120"/>
        <w:ind w:left="2835" w:right="1134" w:hanging="567"/>
        <w:jc w:val="both"/>
        <w:rPr>
          <w:lang w:val="fr-FR"/>
        </w:rPr>
      </w:pPr>
      <w:r>
        <w:rPr>
          <w:lang w:val="fr-FR"/>
        </w:rPr>
        <w:tab/>
        <w:t>Cette formation doit porter sur les principaux points suivants :</w:t>
      </w:r>
    </w:p>
    <w:p w14:paraId="32CA58DC" w14:textId="1862EB6F" w:rsidR="00BD5A70" w:rsidRDefault="00BD5A70" w:rsidP="00BD5A70">
      <w:pPr>
        <w:spacing w:after="120"/>
        <w:ind w:left="3402" w:right="1134" w:hanging="567"/>
        <w:jc w:val="both"/>
        <w:rPr>
          <w:lang w:val="fr-FR"/>
        </w:rPr>
      </w:pPr>
      <w:r>
        <w:rPr>
          <w:lang w:val="fr-FR"/>
        </w:rPr>
        <w:t>(a)</w:t>
      </w:r>
      <w:r>
        <w:rPr>
          <w:lang w:val="fr-FR"/>
        </w:rPr>
        <w:tab/>
        <w:t>La manœuvrabilité particulière des véhicules transportant des cuves ;</w:t>
      </w:r>
    </w:p>
    <w:p w14:paraId="17BFAD4A" w14:textId="25EEBB8C" w:rsidR="00BD5A70" w:rsidRDefault="00BD5A70" w:rsidP="00BD5A70">
      <w:pPr>
        <w:spacing w:after="120"/>
        <w:ind w:left="3402" w:right="1134" w:hanging="567"/>
        <w:jc w:val="both"/>
        <w:rPr>
          <w:lang w:val="fr-FR"/>
        </w:rPr>
      </w:pPr>
      <w:r>
        <w:rPr>
          <w:lang w:val="fr-FR"/>
        </w:rPr>
        <w:t>(b)</w:t>
      </w:r>
      <w:r>
        <w:rPr>
          <w:lang w:val="fr-FR"/>
        </w:rPr>
        <w:tab/>
        <w:t>Les lois générales de la physique influant sur la conduite (stabilité et risque de renversement, en particulier en fonction de la hauteur du centre de gravité, effets de vague) ;</w:t>
      </w:r>
    </w:p>
    <w:p w14:paraId="2F67C0A8" w14:textId="529DAE01" w:rsidR="00BD5A70" w:rsidRDefault="00BD5A70" w:rsidP="00BD5A70">
      <w:pPr>
        <w:spacing w:after="120"/>
        <w:ind w:left="3402" w:right="1134" w:hanging="567"/>
        <w:jc w:val="both"/>
        <w:rPr>
          <w:lang w:val="fr-FR"/>
        </w:rPr>
      </w:pPr>
      <w:r>
        <w:rPr>
          <w:lang w:val="fr-FR"/>
        </w:rPr>
        <w:t>(c)</w:t>
      </w:r>
      <w:r>
        <w:rPr>
          <w:lang w:val="fr-FR"/>
        </w:rPr>
        <w:tab/>
        <w:t>Les limites du système de contrôle électronique de la stabilité ;</w:t>
      </w:r>
    </w:p>
    <w:p w14:paraId="3A56BF87" w14:textId="06295125" w:rsidR="00BD5A70" w:rsidRDefault="00BD5A70" w:rsidP="00BD5A70">
      <w:pPr>
        <w:spacing w:after="120"/>
        <w:ind w:left="3402" w:right="1134" w:hanging="567"/>
        <w:jc w:val="both"/>
        <w:rPr>
          <w:lang w:val="fr-FR"/>
        </w:rPr>
      </w:pPr>
      <w:r>
        <w:rPr>
          <w:lang w:val="fr-FR"/>
        </w:rPr>
        <w:t>(d)</w:t>
      </w:r>
      <w:r>
        <w:rPr>
          <w:lang w:val="fr-FR"/>
        </w:rPr>
        <w:tab/>
        <w:t>Les mesures spéciales à prendre en cas d’accident.</w:t>
      </w:r>
    </w:p>
    <w:p w14:paraId="2CFE775C" w14:textId="77777777" w:rsidR="00BD5A70" w:rsidRDefault="00BD5A70" w:rsidP="00BD5A70">
      <w:pPr>
        <w:spacing w:after="120"/>
        <w:ind w:left="2835" w:right="1134" w:hanging="567"/>
        <w:jc w:val="both"/>
        <w:rPr>
          <w:lang w:val="fr-FR"/>
        </w:rPr>
      </w:pPr>
      <w:r>
        <w:rPr>
          <w:lang w:val="fr-FR"/>
        </w:rPr>
        <w:tab/>
        <w:t>Le transporteur doit consigner cette formation par écrit ou sous forme électronique, en indiquant la date et la durée, ainsi que les principaux sujets abordés. »</w:t>
      </w:r>
    </w:p>
    <w:p w14:paraId="3935CBAE" w14:textId="5CFDC087" w:rsidR="00BD5A70" w:rsidRDefault="00BD5A70" w:rsidP="00BD5A70">
      <w:pPr>
        <w:spacing w:after="120"/>
        <w:ind w:left="2268" w:right="1134" w:hanging="1134"/>
        <w:jc w:val="both"/>
        <w:rPr>
          <w:lang w:val="fr-FR"/>
        </w:rPr>
      </w:pPr>
      <w:r>
        <w:rPr>
          <w:sz w:val="18"/>
          <w:szCs w:val="18"/>
          <w:lang w:val="fr-FR"/>
        </w:rPr>
        <w:tab/>
        <w:t>Ajouter une nouvelle note de bas de page ¹ pour lire : « </w:t>
      </w:r>
      <w:r>
        <w:t>Règlement ONU No 13 (</w:t>
      </w:r>
      <w:r>
        <w:rPr>
          <w:lang w:val="fr-FR"/>
        </w:rPr>
        <w:t>Prescriptions</w:t>
      </w:r>
      <w:r>
        <w:rPr>
          <w:sz w:val="18"/>
          <w:szCs w:val="18"/>
          <w:lang w:val="fr-FR"/>
        </w:rPr>
        <w:t xml:space="preserve"> uniformes relatives à l’homologation des véhicules des catégories M, N et O en ce qui concerne le freinage).</w:t>
      </w:r>
      <w:r>
        <w:rPr>
          <w:lang w:val="fr-FR"/>
        </w:rPr>
        <w:t> ».</w:t>
      </w:r>
    </w:p>
    <w:p w14:paraId="5FD3A215" w14:textId="77777777" w:rsidR="00BD5A70" w:rsidRDefault="00BD5A70" w:rsidP="00BD5A70">
      <w:pPr>
        <w:spacing w:after="120"/>
        <w:ind w:left="1134" w:right="1134"/>
        <w:jc w:val="both"/>
        <w:rPr>
          <w:lang w:val="fr-FR"/>
        </w:rPr>
      </w:pPr>
      <w:r>
        <w:rPr>
          <w:i/>
          <w:iCs/>
          <w:lang w:val="fr-FR"/>
        </w:rPr>
        <w:t>(Document de référence : ECE/TRANS/WP.15/AC.1/2023/14, tel que modifié)</w:t>
      </w:r>
    </w:p>
    <w:p w14:paraId="54FDF198" w14:textId="77777777" w:rsidR="00BD5A70" w:rsidRDefault="00BD5A70" w:rsidP="00BD5A70">
      <w:pPr>
        <w:pStyle w:val="H1G"/>
        <w:rPr>
          <w:lang w:val="fr-FR"/>
        </w:rPr>
      </w:pPr>
      <w:r>
        <w:rPr>
          <w:lang w:val="fr-FR"/>
        </w:rPr>
        <w:lastRenderedPageBreak/>
        <w:tab/>
      </w:r>
      <w:r>
        <w:rPr>
          <w:lang w:val="fr-FR"/>
        </w:rPr>
        <w:tab/>
        <w:t>Chapitre 9.2</w:t>
      </w:r>
    </w:p>
    <w:p w14:paraId="2D2A38A0" w14:textId="77777777" w:rsidR="00BD5A70" w:rsidRDefault="00BD5A70" w:rsidP="00BD5A70">
      <w:pPr>
        <w:spacing w:after="120"/>
        <w:ind w:left="2268" w:right="1134" w:hanging="1134"/>
        <w:jc w:val="both"/>
        <w:rPr>
          <w:b/>
          <w:bCs/>
          <w:lang w:val="fr-FR" w:eastAsia="fr-FR"/>
        </w:rPr>
      </w:pPr>
      <w:r>
        <w:rPr>
          <w:lang w:val="fr-FR" w:eastAsia="fr-FR"/>
        </w:rPr>
        <w:t>9.2.1.1</w:t>
      </w:r>
      <w:r>
        <w:rPr>
          <w:lang w:val="fr-FR" w:eastAsia="fr-FR"/>
        </w:rPr>
        <w:tab/>
        <w:t>Dans le tableau, pour 9.2.2.8, dans la deuxième colonne, remplacer « </w:t>
      </w:r>
      <w:r>
        <w:rPr>
          <w:rFonts w:ascii="TimesNewRomanPSMT" w:hAnsi="TimesNewRomanPSMT" w:cs="TimesNewRomanPSMT"/>
          <w:lang w:val="fr-FR" w:eastAsia="fr-FR"/>
        </w:rPr>
        <w:t>Coupe-circuit de batterie »</w:t>
      </w:r>
      <w:r>
        <w:rPr>
          <w:lang w:val="fr-FR" w:eastAsia="fr-FR"/>
        </w:rPr>
        <w:t xml:space="preserve"> par « Mise hors tension des circuits électriques ».</w:t>
      </w:r>
    </w:p>
    <w:p w14:paraId="47CB14E3" w14:textId="77777777" w:rsidR="00BD5A70" w:rsidRDefault="00BD5A70" w:rsidP="00BD5A70">
      <w:pPr>
        <w:spacing w:after="120"/>
        <w:ind w:left="1134" w:right="1134"/>
        <w:jc w:val="both"/>
        <w:rPr>
          <w:i/>
          <w:iCs/>
          <w:lang w:val="fr-FR" w:eastAsia="fr-FR"/>
        </w:rPr>
      </w:pPr>
      <w:r>
        <w:rPr>
          <w:i/>
          <w:iCs/>
          <w:lang w:val="fr-FR" w:eastAsia="fr-FR"/>
        </w:rPr>
        <w:t>(Document de référence : document informel INF.27)</w:t>
      </w:r>
    </w:p>
    <w:p w14:paraId="54ED1C3C" w14:textId="77777777" w:rsidR="00BD5A70" w:rsidRDefault="00BD5A70" w:rsidP="00BD5A70">
      <w:pPr>
        <w:pStyle w:val="SingleTxtG"/>
        <w:ind w:left="2268" w:hanging="1134"/>
      </w:pPr>
      <w:r>
        <w:t>9.2.2.8</w:t>
      </w:r>
      <w:r>
        <w:tab/>
      </w:r>
      <w:r>
        <w:tab/>
        <w:t>Modifier pour lire comme suit :</w:t>
      </w:r>
    </w:p>
    <w:p w14:paraId="2761067C" w14:textId="77777777" w:rsidR="00BD5A70" w:rsidRDefault="00BD5A70" w:rsidP="00BD5A70">
      <w:pPr>
        <w:pStyle w:val="SingleTxtG"/>
        <w:ind w:left="2268" w:hanging="1134"/>
      </w:pPr>
      <w:r>
        <w:t>« </w:t>
      </w:r>
      <w:r>
        <w:rPr>
          <w:b/>
          <w:bCs/>
        </w:rPr>
        <w:t>9.2.2.8</w:t>
      </w:r>
      <w:r>
        <w:rPr>
          <w:b/>
          <w:bCs/>
        </w:rPr>
        <w:tab/>
      </w:r>
      <w:r>
        <w:rPr>
          <w:b/>
          <w:bCs/>
          <w:i/>
          <w:iCs/>
        </w:rPr>
        <w:t>Mise hors tension des circuits électriques</w:t>
      </w:r>
    </w:p>
    <w:p w14:paraId="504290F9" w14:textId="77777777" w:rsidR="00BD5A70" w:rsidRDefault="00BD5A70" w:rsidP="00BD5A70">
      <w:pPr>
        <w:spacing w:after="120"/>
        <w:ind w:left="2268" w:right="1134" w:hanging="1134"/>
        <w:jc w:val="both"/>
      </w:pPr>
      <w:r>
        <w:tab/>
        <w:t>[</w:t>
      </w:r>
      <w:r>
        <w:rPr>
          <w:b/>
          <w:bCs/>
          <w:i/>
          <w:iCs/>
        </w:rPr>
        <w:t>NOTA</w:t>
      </w:r>
      <w:r>
        <w:rPr>
          <w:i/>
          <w:iCs/>
        </w:rPr>
        <w:t> : Le dispositif ne doit être utilisé que lorsque le véhicule est à l’arrêt.</w:t>
      </w:r>
      <w:r>
        <w:t>]</w:t>
      </w:r>
    </w:p>
    <w:p w14:paraId="24C076B4" w14:textId="77777777" w:rsidR="00BD5A70" w:rsidRDefault="00BD5A70" w:rsidP="00BD5A70">
      <w:pPr>
        <w:pStyle w:val="SingleTxtG"/>
        <w:ind w:left="2268" w:hanging="1134"/>
      </w:pPr>
      <w:r>
        <w:t>9.2.2.8.1</w:t>
      </w:r>
      <w:r>
        <w:tab/>
        <w:t>Les dispositifs permettant la mise hors tension des circuits électriques pour tous les niveaux de tension doivent être montés aussi près que possible des sources d’énergie. Si le dispositif ne déconnecte qu’un fil provenant de la source d’énergie, il doit déconnecter le fil d’alimentation.</w:t>
      </w:r>
    </w:p>
    <w:p w14:paraId="06968D7E" w14:textId="77777777" w:rsidR="00BD5A70" w:rsidRDefault="00BD5A70" w:rsidP="00BD5A70">
      <w:pPr>
        <w:pStyle w:val="SingleTxtG"/>
        <w:ind w:left="2268" w:hanging="1134"/>
      </w:pPr>
      <w:r>
        <w:t>9.2.2.8.2</w:t>
      </w:r>
      <w:r>
        <w:tab/>
        <w:t>Un dispositif de commande pour la mise hors tension doit être installé dans la cabine de conduite. Il doit être facilement accessible au conducteur et signalé distinctement. Il doit être équipé soit d’un couvercle de protection, soit d’une commande à mouvement complexe, soit de tout autre dispositif évitant son déclenchement involontaire. Des dispositifs de commande additionnels peuvent être installés à condition d’être signalés distinctement et protégés contre le déclenchement involontaire. Si les dispositifs de commande sont actionnés électriquement, leurs circuits sont soumis aux prescriptions du 9.2.2.9.</w:t>
      </w:r>
    </w:p>
    <w:p w14:paraId="58BED3CB" w14:textId="77777777" w:rsidR="00BD5A70" w:rsidRDefault="00BD5A70" w:rsidP="00BD5A70">
      <w:pPr>
        <w:pStyle w:val="SingleTxtG"/>
        <w:ind w:left="2268" w:hanging="1134"/>
      </w:pPr>
      <w:r>
        <w:t>9.2.2.8.3</w:t>
      </w:r>
      <w:r>
        <w:tab/>
        <w:t>La mise hors tension doit être effective dans les 30 secondes qui suivent l’actionnement du dispositif de commande.</w:t>
      </w:r>
    </w:p>
    <w:p w14:paraId="2BCFF55A" w14:textId="77777777" w:rsidR="00BD5A70" w:rsidRDefault="00BD5A70" w:rsidP="00BD5A70">
      <w:pPr>
        <w:pStyle w:val="SingleTxtG"/>
        <w:ind w:left="2268" w:hanging="1134"/>
      </w:pPr>
      <w:r>
        <w:t>9.2.2.8.4</w:t>
      </w:r>
      <w:r>
        <w:tab/>
        <w:t>Le dispositif doit être installé de manière à garantir un degré de protection IP 65 conformément à la norme CEI 60529.</w:t>
      </w:r>
    </w:p>
    <w:p w14:paraId="64045908" w14:textId="77777777" w:rsidR="00BD5A70" w:rsidRDefault="00BD5A70" w:rsidP="00BD5A70">
      <w:pPr>
        <w:pStyle w:val="SingleTxtG"/>
        <w:ind w:left="2268" w:hanging="1134"/>
        <w:rPr>
          <w:i/>
          <w:iCs/>
        </w:rPr>
      </w:pPr>
      <w:r>
        <w:t>9.2.2.8.5</w:t>
      </w:r>
      <w:r>
        <w:tab/>
      </w:r>
      <w:r>
        <w:rPr>
          <w:i/>
          <w:iCs/>
        </w:rPr>
        <w:t>Connexions électriques sur le dispositif</w:t>
      </w:r>
    </w:p>
    <w:p w14:paraId="15D871DC" w14:textId="77777777" w:rsidR="00BD5A70" w:rsidRDefault="00BD5A70" w:rsidP="00BD5A70">
      <w:pPr>
        <w:pStyle w:val="SingleTxtG"/>
        <w:ind w:left="2268" w:hanging="1134"/>
      </w:pPr>
      <w:r>
        <w:tab/>
      </w:r>
      <w:r>
        <w:tab/>
        <w:t xml:space="preserve">Les systèmes dont la tension est supérieure à 25 V CA ou 60 V CC et les systèmes visés par le Règlement ONU </w:t>
      </w:r>
      <w:r>
        <w:rPr>
          <w:rFonts w:eastAsia="MS Mincho"/>
        </w:rPr>
        <w:t>No </w:t>
      </w:r>
      <w:r>
        <w:t>100¹ doivent satisfaire aux prescriptions dudit Règlement.</w:t>
      </w:r>
    </w:p>
    <w:p w14:paraId="2B94B241" w14:textId="77777777" w:rsidR="00BD5A70" w:rsidRDefault="00BD5A70" w:rsidP="00BD5A70">
      <w:pPr>
        <w:pStyle w:val="SingleTxtG"/>
        <w:ind w:left="2268" w:hanging="1134"/>
      </w:pPr>
      <w:r>
        <w:tab/>
      </w:r>
      <w:r>
        <w:tab/>
        <w:t>Les systèmes dont la tension ne dépasse pas 25 V CA ou 60 V CC doivent avoir un degré de protection IP 54 conformément à la norme CEI 60529. Cela n’est toutefois pas exigé si les connexions sont à l’intérieur d’un coffre, qui peut être celui de la batterie. Il suffit alors de protéger ces connexions contre les courts-circuits, au moyen d’un couvercle en caoutchouc par exemple. ».</w:t>
      </w:r>
    </w:p>
    <w:p w14:paraId="02873D56" w14:textId="77777777" w:rsidR="00BD5A70" w:rsidRDefault="00BD5A70" w:rsidP="00BD5A70">
      <w:pPr>
        <w:pStyle w:val="SingleTxtG"/>
        <w:rPr>
          <w:i/>
          <w:iCs/>
        </w:rPr>
      </w:pPr>
      <w:r>
        <w:rPr>
          <w:i/>
          <w:iCs/>
        </w:rPr>
        <w:t>(Document de référence : ECE/TRANS/WP.15/2023/4, tel que modifié)</w:t>
      </w:r>
    </w:p>
    <w:p w14:paraId="1948B7EE" w14:textId="77777777" w:rsidR="00BD5A70" w:rsidRDefault="00BD5A70" w:rsidP="00BD5A70">
      <w:pPr>
        <w:spacing w:after="120"/>
        <w:ind w:left="2268" w:right="1134" w:hanging="1134"/>
        <w:jc w:val="both"/>
        <w:rPr>
          <w:b/>
          <w:bCs/>
          <w:lang w:val="fr-FR" w:eastAsia="fr-FR"/>
        </w:rPr>
      </w:pPr>
      <w:r>
        <w:rPr>
          <w:lang w:val="fr-FR" w:eastAsia="fr-FR"/>
        </w:rPr>
        <w:t>9.2.2.9.1</w:t>
      </w:r>
      <w:r>
        <w:rPr>
          <w:lang w:val="fr-FR" w:eastAsia="fr-FR"/>
        </w:rPr>
        <w:tab/>
        <w:t>À l’alinéa a), dans la première phrase, remplacer « lorsque le coupe-circuit de batterie est ouvert » par « lorsque le dispositif de mise hors tension des circuits électriques est actionné ».</w:t>
      </w:r>
    </w:p>
    <w:p w14:paraId="15C4D4F9" w14:textId="77777777" w:rsidR="00BD5A70" w:rsidRDefault="00BD5A70" w:rsidP="00BD5A70">
      <w:pPr>
        <w:spacing w:after="120"/>
        <w:ind w:left="1134" w:right="1134"/>
        <w:jc w:val="both"/>
        <w:rPr>
          <w:i/>
          <w:iCs/>
          <w:lang w:val="fr-FR" w:eastAsia="fr-FR"/>
        </w:rPr>
      </w:pPr>
      <w:r>
        <w:rPr>
          <w:i/>
          <w:iCs/>
          <w:lang w:val="fr-FR" w:eastAsia="fr-FR"/>
        </w:rPr>
        <w:t>(Document de référence : document informel INF.27)</w:t>
      </w:r>
    </w:p>
    <w:p w14:paraId="3B2AFEB8" w14:textId="7DDB1D95" w:rsidR="00BD5A70" w:rsidRDefault="00BD5A70" w:rsidP="00BD5A70">
      <w:pPr>
        <w:spacing w:after="120"/>
        <w:ind w:left="2268" w:right="1134" w:hanging="1134"/>
        <w:jc w:val="both"/>
        <w:rPr>
          <w:lang w:val="fr-FR" w:eastAsia="fr-FR"/>
        </w:rPr>
      </w:pPr>
      <w:r>
        <w:rPr>
          <w:lang w:val="fr-FR" w:eastAsia="fr-FR"/>
        </w:rPr>
        <w:t>9.2.2.9.2</w:t>
      </w:r>
      <w:r>
        <w:rPr>
          <w:lang w:val="fr-FR" w:eastAsia="fr-FR"/>
        </w:rPr>
        <w:tab/>
        <w:t>Remplacer « sur le coupe-circuit de batterie » par «  au dispositif de mise hors-tension des circuits électriques » et remplacer «  lorsque le coupe-circuit de batterie est ouvert » par « lorsque le dispositif de mise hors-tension est actionné ».</w:t>
      </w:r>
    </w:p>
    <w:p w14:paraId="7B7A9D66" w14:textId="77777777" w:rsidR="00BD5A70" w:rsidRDefault="00BD5A70" w:rsidP="00BD5A70">
      <w:pPr>
        <w:spacing w:after="120"/>
        <w:ind w:left="1134" w:right="1134"/>
        <w:jc w:val="both"/>
        <w:rPr>
          <w:i/>
          <w:iCs/>
          <w:lang w:val="fr-FR" w:eastAsia="fr-FR"/>
        </w:rPr>
      </w:pPr>
      <w:r>
        <w:rPr>
          <w:i/>
          <w:iCs/>
          <w:lang w:val="fr-FR" w:eastAsia="fr-FR"/>
        </w:rPr>
        <w:t>(Document de référence : document informel INF.27)</w:t>
      </w:r>
    </w:p>
    <w:p w14:paraId="14FC8D5A" w14:textId="15176684" w:rsidR="00C1626B" w:rsidRPr="00BD5A70" w:rsidRDefault="00BD5A70" w:rsidP="00BD5A70">
      <w:pPr>
        <w:spacing w:before="240"/>
        <w:jc w:val="center"/>
        <w:rPr>
          <w:u w:val="single"/>
        </w:rPr>
      </w:pPr>
      <w:r>
        <w:rPr>
          <w:u w:val="single"/>
        </w:rPr>
        <w:tab/>
      </w:r>
      <w:r>
        <w:rPr>
          <w:u w:val="single"/>
        </w:rPr>
        <w:tab/>
      </w:r>
      <w:r>
        <w:rPr>
          <w:u w:val="single"/>
        </w:rPr>
        <w:tab/>
      </w:r>
    </w:p>
    <w:sectPr w:rsidR="00C1626B" w:rsidRPr="00BD5A70" w:rsidSect="004A7237">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55D3" w14:textId="77777777" w:rsidR="00A26351" w:rsidRDefault="00A26351" w:rsidP="00F95C08">
      <w:pPr>
        <w:spacing w:line="240" w:lineRule="auto"/>
      </w:pPr>
    </w:p>
  </w:endnote>
  <w:endnote w:type="continuationSeparator" w:id="0">
    <w:p w14:paraId="4DAF881E" w14:textId="77777777" w:rsidR="00A26351" w:rsidRPr="00AC3823" w:rsidRDefault="00A26351" w:rsidP="00AC3823">
      <w:pPr>
        <w:pStyle w:val="Pieddepage"/>
      </w:pPr>
    </w:p>
  </w:endnote>
  <w:endnote w:type="continuationNotice" w:id="1">
    <w:p w14:paraId="0FDFD9EF" w14:textId="77777777" w:rsidR="00A26351" w:rsidRDefault="00A26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99F" w14:textId="77777777" w:rsidR="004A7237" w:rsidRPr="004A7237" w:rsidRDefault="004A7237" w:rsidP="004A7237">
    <w:pPr>
      <w:pStyle w:val="Pieddepage"/>
      <w:tabs>
        <w:tab w:val="right" w:pos="9638"/>
      </w:tabs>
      <w:rPr>
        <w:sz w:val="18"/>
      </w:rPr>
    </w:pPr>
    <w:r w:rsidRPr="004A7237">
      <w:rPr>
        <w:b/>
        <w:sz w:val="18"/>
      </w:rPr>
      <w:fldChar w:fldCharType="begin"/>
    </w:r>
    <w:r w:rsidRPr="004A7237">
      <w:rPr>
        <w:b/>
        <w:sz w:val="18"/>
      </w:rPr>
      <w:instrText xml:space="preserve"> PAGE  \* MERGEFORMAT </w:instrText>
    </w:r>
    <w:r w:rsidRPr="004A7237">
      <w:rPr>
        <w:b/>
        <w:sz w:val="18"/>
      </w:rPr>
      <w:fldChar w:fldCharType="separate"/>
    </w:r>
    <w:r w:rsidRPr="004A7237">
      <w:rPr>
        <w:b/>
        <w:noProof/>
        <w:sz w:val="18"/>
      </w:rPr>
      <w:t>2</w:t>
    </w:r>
    <w:r w:rsidRPr="004A72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9799" w14:textId="77777777" w:rsidR="004A7237" w:rsidRPr="004A7237" w:rsidRDefault="004A7237" w:rsidP="004A7237">
    <w:pPr>
      <w:pStyle w:val="Pieddepage"/>
      <w:tabs>
        <w:tab w:val="right" w:pos="9638"/>
      </w:tabs>
      <w:rPr>
        <w:b/>
        <w:sz w:val="18"/>
      </w:rPr>
    </w:pPr>
    <w:r>
      <w:tab/>
    </w:r>
    <w:r w:rsidRPr="004A7237">
      <w:rPr>
        <w:b/>
        <w:sz w:val="18"/>
      </w:rPr>
      <w:fldChar w:fldCharType="begin"/>
    </w:r>
    <w:r w:rsidRPr="004A7237">
      <w:rPr>
        <w:b/>
        <w:sz w:val="18"/>
      </w:rPr>
      <w:instrText xml:space="preserve"> PAGE  \* MERGEFORMAT </w:instrText>
    </w:r>
    <w:r w:rsidRPr="004A7237">
      <w:rPr>
        <w:b/>
        <w:sz w:val="18"/>
      </w:rPr>
      <w:fldChar w:fldCharType="separate"/>
    </w:r>
    <w:r w:rsidRPr="004A7237">
      <w:rPr>
        <w:b/>
        <w:noProof/>
        <w:sz w:val="18"/>
      </w:rPr>
      <w:t>3</w:t>
    </w:r>
    <w:r w:rsidRPr="004A72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D0C8" w14:textId="6AE87CAB" w:rsidR="000D3EE9" w:rsidRPr="00B51B13" w:rsidRDefault="00B51B13" w:rsidP="00B51B13">
    <w:pPr>
      <w:pStyle w:val="Pieddepage"/>
      <w:tabs>
        <w:tab w:val="left" w:pos="6520"/>
        <w:tab w:val="right" w:pos="9638"/>
      </w:tabs>
      <w:spacing w:before="120"/>
      <w:rPr>
        <w:sz w:val="20"/>
      </w:rPr>
    </w:pPr>
    <w:r>
      <w:rPr>
        <w:sz w:val="20"/>
      </w:rPr>
      <w:t>GE.23-10594  (F)</w:t>
    </w:r>
    <w:bookmarkStart w:id="8" w:name="_GoBack"/>
    <w:bookmarkEnd w:id="8"/>
    <w:r>
      <w:rPr>
        <w:sz w:val="20"/>
      </w:rPr>
      <w:tab/>
    </w:r>
    <w:r w:rsidRPr="00B51B13">
      <w:rPr>
        <w:noProof/>
        <w:sz w:val="20"/>
        <w:lang w:eastAsia="fr-CH"/>
      </w:rPr>
      <w:drawing>
        <wp:inline distT="0" distB="0" distL="0" distR="0" wp14:anchorId="4AC5EDEA" wp14:editId="2644FCBB">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F111394" wp14:editId="1C7B2963">
          <wp:extent cx="561975" cy="561975"/>
          <wp:effectExtent l="0" t="0" r="9525" b="9525"/>
          <wp:docPr id="5611846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0D01" w14:textId="77777777" w:rsidR="00A26351" w:rsidRPr="00AC3823" w:rsidRDefault="00A26351" w:rsidP="00AC3823">
      <w:pPr>
        <w:pStyle w:val="Pieddepage"/>
        <w:tabs>
          <w:tab w:val="right" w:pos="2155"/>
        </w:tabs>
        <w:spacing w:after="80" w:line="240" w:lineRule="atLeast"/>
        <w:ind w:left="680"/>
        <w:rPr>
          <w:u w:val="single"/>
        </w:rPr>
      </w:pPr>
      <w:r>
        <w:rPr>
          <w:u w:val="single"/>
        </w:rPr>
        <w:tab/>
      </w:r>
    </w:p>
  </w:footnote>
  <w:footnote w:type="continuationSeparator" w:id="0">
    <w:p w14:paraId="63ED69EE" w14:textId="77777777" w:rsidR="00A26351" w:rsidRPr="00AC3823" w:rsidRDefault="00A26351" w:rsidP="00AC3823">
      <w:pPr>
        <w:pStyle w:val="Pieddepage"/>
        <w:tabs>
          <w:tab w:val="right" w:pos="2155"/>
        </w:tabs>
        <w:spacing w:after="80" w:line="240" w:lineRule="atLeast"/>
        <w:ind w:left="680"/>
        <w:rPr>
          <w:u w:val="single"/>
        </w:rPr>
      </w:pPr>
      <w:r>
        <w:rPr>
          <w:u w:val="single"/>
        </w:rPr>
        <w:tab/>
      </w:r>
    </w:p>
  </w:footnote>
  <w:footnote w:type="continuationNotice" w:id="1">
    <w:p w14:paraId="45FCD573" w14:textId="77777777" w:rsidR="00A26351" w:rsidRPr="00AC3823" w:rsidRDefault="00A2635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D083" w14:textId="77777777" w:rsidR="004A7237" w:rsidRPr="004A7237" w:rsidRDefault="00D53D06">
    <w:pPr>
      <w:pStyle w:val="En-tte"/>
    </w:pPr>
    <w:r>
      <w:fldChar w:fldCharType="begin"/>
    </w:r>
    <w:r>
      <w:instrText xml:space="preserve"> TITLE  \* MERGEF</w:instrText>
    </w:r>
    <w:r>
      <w:instrText xml:space="preserve">ORMAT </w:instrText>
    </w:r>
    <w:r>
      <w:fldChar w:fldCharType="separate"/>
    </w:r>
    <w:r w:rsidR="004A7237">
      <w:t>ECE/TRANS/WP.15/262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4988" w14:textId="77777777" w:rsidR="004A7237" w:rsidRPr="004A7237" w:rsidRDefault="00D53D06" w:rsidP="004A7237">
    <w:pPr>
      <w:pStyle w:val="En-tte"/>
      <w:jc w:val="right"/>
    </w:pPr>
    <w:r>
      <w:fldChar w:fldCharType="begin"/>
    </w:r>
    <w:r>
      <w:instrText xml:space="preserve"> TITLE  \* MERGEFORMAT </w:instrText>
    </w:r>
    <w:r>
      <w:fldChar w:fldCharType="separate"/>
    </w:r>
    <w:r w:rsidR="004A7237">
      <w:t>ECE/TRANS/WP.15/262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73373926">
    <w:abstractNumId w:val="12"/>
  </w:num>
  <w:num w:numId="2" w16cid:durableId="1011420505">
    <w:abstractNumId w:val="11"/>
  </w:num>
  <w:num w:numId="3" w16cid:durableId="1922372414">
    <w:abstractNumId w:val="10"/>
  </w:num>
  <w:num w:numId="4" w16cid:durableId="1668820624">
    <w:abstractNumId w:val="8"/>
  </w:num>
  <w:num w:numId="5" w16cid:durableId="73361501">
    <w:abstractNumId w:val="3"/>
  </w:num>
  <w:num w:numId="6" w16cid:durableId="595020653">
    <w:abstractNumId w:val="2"/>
  </w:num>
  <w:num w:numId="7" w16cid:durableId="1637298837">
    <w:abstractNumId w:val="1"/>
  </w:num>
  <w:num w:numId="8" w16cid:durableId="636028490">
    <w:abstractNumId w:val="0"/>
  </w:num>
  <w:num w:numId="9" w16cid:durableId="1885868546">
    <w:abstractNumId w:val="9"/>
  </w:num>
  <w:num w:numId="10" w16cid:durableId="947127250">
    <w:abstractNumId w:val="7"/>
  </w:num>
  <w:num w:numId="11" w16cid:durableId="2003462980">
    <w:abstractNumId w:val="6"/>
  </w:num>
  <w:num w:numId="12" w16cid:durableId="1879976144">
    <w:abstractNumId w:val="5"/>
  </w:num>
  <w:num w:numId="13" w16cid:durableId="1932199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A7237"/>
    <w:rsid w:val="0001207F"/>
    <w:rsid w:val="00017F94"/>
    <w:rsid w:val="00023842"/>
    <w:rsid w:val="000334F9"/>
    <w:rsid w:val="0004639C"/>
    <w:rsid w:val="0007796D"/>
    <w:rsid w:val="00087076"/>
    <w:rsid w:val="000942EE"/>
    <w:rsid w:val="0009711D"/>
    <w:rsid w:val="000A52BF"/>
    <w:rsid w:val="000B089A"/>
    <w:rsid w:val="000B7790"/>
    <w:rsid w:val="000D3EE9"/>
    <w:rsid w:val="000D62F3"/>
    <w:rsid w:val="000E5260"/>
    <w:rsid w:val="00111F2F"/>
    <w:rsid w:val="00114214"/>
    <w:rsid w:val="001433FD"/>
    <w:rsid w:val="0014365E"/>
    <w:rsid w:val="00151890"/>
    <w:rsid w:val="001541D3"/>
    <w:rsid w:val="00156B77"/>
    <w:rsid w:val="001646C8"/>
    <w:rsid w:val="00176178"/>
    <w:rsid w:val="00177140"/>
    <w:rsid w:val="0018024D"/>
    <w:rsid w:val="001C2223"/>
    <w:rsid w:val="001D400F"/>
    <w:rsid w:val="001F525A"/>
    <w:rsid w:val="00212744"/>
    <w:rsid w:val="00223272"/>
    <w:rsid w:val="00240333"/>
    <w:rsid w:val="0024779E"/>
    <w:rsid w:val="00280185"/>
    <w:rsid w:val="002832AC"/>
    <w:rsid w:val="00284F58"/>
    <w:rsid w:val="002B4C77"/>
    <w:rsid w:val="002B4F7A"/>
    <w:rsid w:val="002D7C93"/>
    <w:rsid w:val="0033419D"/>
    <w:rsid w:val="0037241C"/>
    <w:rsid w:val="003819FF"/>
    <w:rsid w:val="003A0932"/>
    <w:rsid w:val="003D24DC"/>
    <w:rsid w:val="00423661"/>
    <w:rsid w:val="00441C3B"/>
    <w:rsid w:val="00446B0A"/>
    <w:rsid w:val="00446FE5"/>
    <w:rsid w:val="00452396"/>
    <w:rsid w:val="00471288"/>
    <w:rsid w:val="00471EDC"/>
    <w:rsid w:val="0049687C"/>
    <w:rsid w:val="004A7237"/>
    <w:rsid w:val="004C443A"/>
    <w:rsid w:val="004E468C"/>
    <w:rsid w:val="004F4AB6"/>
    <w:rsid w:val="00510536"/>
    <w:rsid w:val="005316B0"/>
    <w:rsid w:val="005505B7"/>
    <w:rsid w:val="00551AF2"/>
    <w:rsid w:val="00570CF2"/>
    <w:rsid w:val="00573BE5"/>
    <w:rsid w:val="00586ED3"/>
    <w:rsid w:val="00596AA9"/>
    <w:rsid w:val="005B4D0F"/>
    <w:rsid w:val="0062494F"/>
    <w:rsid w:val="006348E7"/>
    <w:rsid w:val="0066404A"/>
    <w:rsid w:val="00694DFF"/>
    <w:rsid w:val="00696EC8"/>
    <w:rsid w:val="006C590C"/>
    <w:rsid w:val="006E6CAF"/>
    <w:rsid w:val="00703D0F"/>
    <w:rsid w:val="00706363"/>
    <w:rsid w:val="007158BB"/>
    <w:rsid w:val="0071601D"/>
    <w:rsid w:val="0075410D"/>
    <w:rsid w:val="00777738"/>
    <w:rsid w:val="00785B10"/>
    <w:rsid w:val="007A1291"/>
    <w:rsid w:val="007A62E6"/>
    <w:rsid w:val="007C0337"/>
    <w:rsid w:val="007C4EE5"/>
    <w:rsid w:val="007F00EE"/>
    <w:rsid w:val="0080684C"/>
    <w:rsid w:val="008204DA"/>
    <w:rsid w:val="008272AD"/>
    <w:rsid w:val="008535AD"/>
    <w:rsid w:val="00871C75"/>
    <w:rsid w:val="00874CCF"/>
    <w:rsid w:val="008767E8"/>
    <w:rsid w:val="008776DC"/>
    <w:rsid w:val="00883605"/>
    <w:rsid w:val="008B0F4F"/>
    <w:rsid w:val="008E6043"/>
    <w:rsid w:val="009478BD"/>
    <w:rsid w:val="00961E7B"/>
    <w:rsid w:val="009705C8"/>
    <w:rsid w:val="0099259D"/>
    <w:rsid w:val="009C1CF4"/>
    <w:rsid w:val="009D6D68"/>
    <w:rsid w:val="009F02C9"/>
    <w:rsid w:val="00A01F39"/>
    <w:rsid w:val="00A26351"/>
    <w:rsid w:val="00A30353"/>
    <w:rsid w:val="00A404CB"/>
    <w:rsid w:val="00A62D91"/>
    <w:rsid w:val="00A90D54"/>
    <w:rsid w:val="00AA113A"/>
    <w:rsid w:val="00AC33BA"/>
    <w:rsid w:val="00AC3823"/>
    <w:rsid w:val="00AE323C"/>
    <w:rsid w:val="00AF774C"/>
    <w:rsid w:val="00B00181"/>
    <w:rsid w:val="00B00B0D"/>
    <w:rsid w:val="00B247C1"/>
    <w:rsid w:val="00B3232D"/>
    <w:rsid w:val="00B40927"/>
    <w:rsid w:val="00B44C82"/>
    <w:rsid w:val="00B453E3"/>
    <w:rsid w:val="00B50E25"/>
    <w:rsid w:val="00B51B13"/>
    <w:rsid w:val="00B64918"/>
    <w:rsid w:val="00B765F7"/>
    <w:rsid w:val="00B870E6"/>
    <w:rsid w:val="00B87724"/>
    <w:rsid w:val="00BA0CA9"/>
    <w:rsid w:val="00BB478A"/>
    <w:rsid w:val="00BD4D7F"/>
    <w:rsid w:val="00BD5A70"/>
    <w:rsid w:val="00BE56D2"/>
    <w:rsid w:val="00C02897"/>
    <w:rsid w:val="00C1626B"/>
    <w:rsid w:val="00C2778F"/>
    <w:rsid w:val="00C62FCF"/>
    <w:rsid w:val="00C66A47"/>
    <w:rsid w:val="00C7616F"/>
    <w:rsid w:val="00CB16B5"/>
    <w:rsid w:val="00CB2C45"/>
    <w:rsid w:val="00CB55B3"/>
    <w:rsid w:val="00CD3035"/>
    <w:rsid w:val="00CE0608"/>
    <w:rsid w:val="00D048BD"/>
    <w:rsid w:val="00D3439C"/>
    <w:rsid w:val="00D40EA5"/>
    <w:rsid w:val="00D44CF3"/>
    <w:rsid w:val="00D46C8C"/>
    <w:rsid w:val="00D47E06"/>
    <w:rsid w:val="00D53D06"/>
    <w:rsid w:val="00D55BB8"/>
    <w:rsid w:val="00D63777"/>
    <w:rsid w:val="00D72958"/>
    <w:rsid w:val="00D91469"/>
    <w:rsid w:val="00DB1831"/>
    <w:rsid w:val="00DB38E0"/>
    <w:rsid w:val="00DD3BFD"/>
    <w:rsid w:val="00DD7294"/>
    <w:rsid w:val="00DE239D"/>
    <w:rsid w:val="00DF431C"/>
    <w:rsid w:val="00DF4543"/>
    <w:rsid w:val="00DF6678"/>
    <w:rsid w:val="00E368F7"/>
    <w:rsid w:val="00E428C8"/>
    <w:rsid w:val="00E47B20"/>
    <w:rsid w:val="00E74938"/>
    <w:rsid w:val="00E84A82"/>
    <w:rsid w:val="00EA47F8"/>
    <w:rsid w:val="00EC031B"/>
    <w:rsid w:val="00EC1756"/>
    <w:rsid w:val="00ED1C2D"/>
    <w:rsid w:val="00ED4E80"/>
    <w:rsid w:val="00ED5B16"/>
    <w:rsid w:val="00ED770C"/>
    <w:rsid w:val="00EF2E22"/>
    <w:rsid w:val="00F05655"/>
    <w:rsid w:val="00F0592C"/>
    <w:rsid w:val="00F05D5B"/>
    <w:rsid w:val="00F06ED4"/>
    <w:rsid w:val="00F12FB3"/>
    <w:rsid w:val="00F43289"/>
    <w:rsid w:val="00F434BA"/>
    <w:rsid w:val="00F45A80"/>
    <w:rsid w:val="00F46438"/>
    <w:rsid w:val="00F660DF"/>
    <w:rsid w:val="00F95C08"/>
    <w:rsid w:val="00FB0163"/>
    <w:rsid w:val="00FB6B6E"/>
    <w:rsid w:val="00FC536A"/>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D81CB"/>
  <w15:docId w15:val="{99A738BF-B7A5-4546-A479-B0758184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paragraph" w:styleId="Rvision">
    <w:name w:val="Revision"/>
    <w:hidden/>
    <w:uiPriority w:val="99"/>
    <w:semiHidden/>
    <w:rsid w:val="00E84A82"/>
    <w:pPr>
      <w:spacing w:line="240" w:lineRule="auto"/>
    </w:pPr>
  </w:style>
  <w:style w:type="character" w:styleId="Marquedecommentaire">
    <w:name w:val="annotation reference"/>
    <w:basedOn w:val="Policepardfaut"/>
    <w:semiHidden/>
    <w:unhideWhenUsed/>
    <w:rsid w:val="00E84A82"/>
    <w:rPr>
      <w:sz w:val="16"/>
      <w:szCs w:val="16"/>
    </w:rPr>
  </w:style>
  <w:style w:type="paragraph" w:styleId="Commentaire">
    <w:name w:val="annotation text"/>
    <w:basedOn w:val="Normal"/>
    <w:link w:val="CommentaireCar"/>
    <w:semiHidden/>
    <w:unhideWhenUsed/>
    <w:rsid w:val="00E84A82"/>
    <w:pPr>
      <w:spacing w:line="240" w:lineRule="auto"/>
    </w:pPr>
  </w:style>
  <w:style w:type="character" w:customStyle="1" w:styleId="CommentaireCar">
    <w:name w:val="Commentaire Car"/>
    <w:basedOn w:val="Policepardfaut"/>
    <w:link w:val="Commentaire"/>
    <w:semiHidden/>
    <w:rsid w:val="00E84A82"/>
  </w:style>
  <w:style w:type="paragraph" w:styleId="Objetducommentaire">
    <w:name w:val="annotation subject"/>
    <w:basedOn w:val="Commentaire"/>
    <w:next w:val="Commentaire"/>
    <w:link w:val="ObjetducommentaireCar"/>
    <w:uiPriority w:val="99"/>
    <w:semiHidden/>
    <w:unhideWhenUsed/>
    <w:rsid w:val="00E84A82"/>
    <w:rPr>
      <w:b/>
      <w:bCs/>
    </w:rPr>
  </w:style>
  <w:style w:type="character" w:customStyle="1" w:styleId="ObjetducommentaireCar">
    <w:name w:val="Objet du commentaire Car"/>
    <w:basedOn w:val="CommentaireCar"/>
    <w:link w:val="Objetducommentaire"/>
    <w:uiPriority w:val="99"/>
    <w:semiHidden/>
    <w:rsid w:val="00E84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033">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3.xml><?xml version="1.0" encoding="utf-8"?>
<ds:datastoreItem xmlns:ds="http://schemas.openxmlformats.org/officeDocument/2006/customXml" ds:itemID="{B1A9F4A9-4ACF-4263-A955-E0DD9F571CCB}"/>
</file>

<file path=docProps/app.xml><?xml version="1.0" encoding="utf-8"?>
<Properties xmlns="http://schemas.openxmlformats.org/officeDocument/2006/extended-properties" xmlns:vt="http://schemas.openxmlformats.org/officeDocument/2006/docPropsVTypes">
  <Template>TRANS_WP1_24_F.dotm</Template>
  <TotalTime>2</TotalTime>
  <Pages>19</Pages>
  <Words>7709</Words>
  <Characters>41874</Characters>
  <Application>Microsoft Office Word</Application>
  <DocSecurity>0</DocSecurity>
  <Lines>868</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ECE/TRANS/WP.15/262</dc:title>
  <dc:subject>FINAL</dc:subject>
  <dc:creator>Mansion</dc:creator>
  <cp:keywords/>
  <dc:description/>
  <cp:lastModifiedBy>Christine Chautagnat</cp:lastModifiedBy>
  <cp:revision>2</cp:revision>
  <cp:lastPrinted>2014-05-14T10:59:00Z</cp:lastPrinted>
  <dcterms:created xsi:type="dcterms:W3CDTF">2023-06-07T12:56:00Z</dcterms:created>
  <dcterms:modified xsi:type="dcterms:W3CDTF">2023-06-07T12:56:00Z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