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A048F" w14:paraId="779B8819" w14:textId="77777777" w:rsidTr="00B20551">
        <w:trPr>
          <w:cantSplit/>
          <w:trHeight w:hRule="exact" w:val="851"/>
        </w:trPr>
        <w:tc>
          <w:tcPr>
            <w:tcW w:w="1276" w:type="dxa"/>
            <w:tcBorders>
              <w:bottom w:val="single" w:sz="4" w:space="0" w:color="auto"/>
            </w:tcBorders>
            <w:vAlign w:val="bottom"/>
          </w:tcPr>
          <w:p w14:paraId="47E91CA2" w14:textId="77777777" w:rsidR="009E6CB7" w:rsidRPr="006A048F" w:rsidRDefault="009E6CB7" w:rsidP="00B20551">
            <w:pPr>
              <w:spacing w:after="80"/>
            </w:pPr>
          </w:p>
        </w:tc>
        <w:tc>
          <w:tcPr>
            <w:tcW w:w="2268" w:type="dxa"/>
            <w:tcBorders>
              <w:bottom w:val="single" w:sz="4" w:space="0" w:color="auto"/>
            </w:tcBorders>
            <w:vAlign w:val="bottom"/>
          </w:tcPr>
          <w:p w14:paraId="54FC52AF" w14:textId="77777777" w:rsidR="009E6CB7" w:rsidRPr="006A048F" w:rsidRDefault="009E6CB7" w:rsidP="00B20551">
            <w:pPr>
              <w:spacing w:after="80" w:line="300" w:lineRule="exact"/>
              <w:rPr>
                <w:b/>
                <w:sz w:val="24"/>
                <w:szCs w:val="24"/>
              </w:rPr>
            </w:pPr>
            <w:r w:rsidRPr="006A048F">
              <w:rPr>
                <w:sz w:val="28"/>
                <w:szCs w:val="28"/>
              </w:rPr>
              <w:t>United Nations</w:t>
            </w:r>
          </w:p>
        </w:tc>
        <w:tc>
          <w:tcPr>
            <w:tcW w:w="6095" w:type="dxa"/>
            <w:gridSpan w:val="2"/>
            <w:tcBorders>
              <w:bottom w:val="single" w:sz="4" w:space="0" w:color="auto"/>
            </w:tcBorders>
            <w:vAlign w:val="bottom"/>
          </w:tcPr>
          <w:p w14:paraId="6EFCE9A0" w14:textId="23963BF2" w:rsidR="009E6CB7" w:rsidRPr="006A048F" w:rsidRDefault="00712886" w:rsidP="00712886">
            <w:pPr>
              <w:jc w:val="right"/>
            </w:pPr>
            <w:r w:rsidRPr="006A048F">
              <w:rPr>
                <w:sz w:val="40"/>
              </w:rPr>
              <w:t>ECE</w:t>
            </w:r>
            <w:r w:rsidRPr="006A048F">
              <w:t>/TRANS/WP.15/262</w:t>
            </w:r>
          </w:p>
        </w:tc>
      </w:tr>
      <w:tr w:rsidR="009E6CB7" w:rsidRPr="006A048F" w14:paraId="42CA1BFB" w14:textId="77777777" w:rsidTr="00B20551">
        <w:trPr>
          <w:cantSplit/>
          <w:trHeight w:hRule="exact" w:val="2835"/>
        </w:trPr>
        <w:tc>
          <w:tcPr>
            <w:tcW w:w="1276" w:type="dxa"/>
            <w:tcBorders>
              <w:top w:val="single" w:sz="4" w:space="0" w:color="auto"/>
              <w:bottom w:val="single" w:sz="12" w:space="0" w:color="auto"/>
            </w:tcBorders>
          </w:tcPr>
          <w:p w14:paraId="24C1135B" w14:textId="77777777" w:rsidR="009E6CB7" w:rsidRPr="006A048F" w:rsidRDefault="00686A48" w:rsidP="00B20551">
            <w:pPr>
              <w:spacing w:before="120"/>
            </w:pPr>
            <w:r w:rsidRPr="006A048F">
              <w:rPr>
                <w:noProof/>
                <w:lang w:eastAsia="fr-CH"/>
              </w:rPr>
              <w:drawing>
                <wp:inline distT="0" distB="0" distL="0" distR="0" wp14:anchorId="460721B7" wp14:editId="1AA5321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E104FAB" w14:textId="77777777" w:rsidR="009E6CB7" w:rsidRPr="006A048F" w:rsidRDefault="009E6CB7" w:rsidP="00B20551">
            <w:pPr>
              <w:spacing w:before="120" w:line="420" w:lineRule="exact"/>
              <w:rPr>
                <w:sz w:val="40"/>
                <w:szCs w:val="40"/>
              </w:rPr>
            </w:pPr>
            <w:r w:rsidRPr="006A048F">
              <w:rPr>
                <w:b/>
                <w:sz w:val="40"/>
                <w:szCs w:val="40"/>
              </w:rPr>
              <w:t>Economic and Social Council</w:t>
            </w:r>
          </w:p>
        </w:tc>
        <w:tc>
          <w:tcPr>
            <w:tcW w:w="2835" w:type="dxa"/>
            <w:tcBorders>
              <w:top w:val="single" w:sz="4" w:space="0" w:color="auto"/>
              <w:bottom w:val="single" w:sz="12" w:space="0" w:color="auto"/>
            </w:tcBorders>
          </w:tcPr>
          <w:p w14:paraId="0A468A90" w14:textId="77777777" w:rsidR="009E6CB7" w:rsidRPr="006A048F" w:rsidRDefault="00712886" w:rsidP="00712886">
            <w:pPr>
              <w:spacing w:before="240" w:line="240" w:lineRule="exact"/>
            </w:pPr>
            <w:r w:rsidRPr="006A048F">
              <w:t>Distr.: General</w:t>
            </w:r>
          </w:p>
          <w:p w14:paraId="0BA4A73A" w14:textId="0BC55BCF" w:rsidR="00712886" w:rsidRPr="006A048F" w:rsidRDefault="006A048F" w:rsidP="00712886">
            <w:pPr>
              <w:spacing w:line="240" w:lineRule="exact"/>
            </w:pPr>
            <w:r w:rsidRPr="006A048F">
              <w:t>5</w:t>
            </w:r>
            <w:r w:rsidR="0092220B" w:rsidRPr="006A048F">
              <w:t xml:space="preserve"> June</w:t>
            </w:r>
            <w:r w:rsidR="00712886" w:rsidRPr="006A048F">
              <w:t xml:space="preserve"> 2023</w:t>
            </w:r>
          </w:p>
          <w:p w14:paraId="6AD5A517" w14:textId="0D2DB411" w:rsidR="00712886" w:rsidRPr="006A048F" w:rsidRDefault="00712886" w:rsidP="00712886">
            <w:pPr>
              <w:spacing w:line="240" w:lineRule="exact"/>
            </w:pPr>
            <w:r w:rsidRPr="006A048F">
              <w:t>English</w:t>
            </w:r>
          </w:p>
          <w:p w14:paraId="72CD2324" w14:textId="1DBAF2C5" w:rsidR="00712886" w:rsidRPr="006A048F" w:rsidRDefault="00712886" w:rsidP="00712886">
            <w:pPr>
              <w:spacing w:line="240" w:lineRule="exact"/>
            </w:pPr>
            <w:r w:rsidRPr="006A048F">
              <w:t>Original: English and French</w:t>
            </w:r>
          </w:p>
        </w:tc>
      </w:tr>
    </w:tbl>
    <w:p w14:paraId="6D0A5B75" w14:textId="77777777" w:rsidR="00712886" w:rsidRPr="006A048F" w:rsidRDefault="00712886" w:rsidP="00C411EB">
      <w:pPr>
        <w:spacing w:before="120"/>
        <w:rPr>
          <w:b/>
          <w:sz w:val="28"/>
          <w:szCs w:val="28"/>
        </w:rPr>
      </w:pPr>
      <w:r w:rsidRPr="006A048F">
        <w:rPr>
          <w:b/>
          <w:sz w:val="28"/>
          <w:szCs w:val="28"/>
        </w:rPr>
        <w:t>Economic Commission for Europe</w:t>
      </w:r>
    </w:p>
    <w:p w14:paraId="41637936" w14:textId="77777777" w:rsidR="00712886" w:rsidRPr="006A048F" w:rsidRDefault="00712886" w:rsidP="00C411EB">
      <w:pPr>
        <w:spacing w:before="120"/>
        <w:rPr>
          <w:sz w:val="28"/>
          <w:szCs w:val="28"/>
        </w:rPr>
      </w:pPr>
      <w:r w:rsidRPr="006A048F">
        <w:rPr>
          <w:sz w:val="28"/>
          <w:szCs w:val="28"/>
        </w:rPr>
        <w:t>Inland Transport Committee</w:t>
      </w:r>
    </w:p>
    <w:p w14:paraId="202DE110" w14:textId="77777777" w:rsidR="00712886" w:rsidRPr="006A048F" w:rsidRDefault="00712886" w:rsidP="00C411EB">
      <w:pPr>
        <w:spacing w:before="120"/>
        <w:rPr>
          <w:b/>
          <w:sz w:val="24"/>
          <w:szCs w:val="24"/>
        </w:rPr>
      </w:pPr>
      <w:r w:rsidRPr="006A048F">
        <w:rPr>
          <w:b/>
          <w:sz w:val="24"/>
          <w:szCs w:val="24"/>
        </w:rPr>
        <w:t>Working Party on the Transport of Dangerous Goods</w:t>
      </w:r>
    </w:p>
    <w:p w14:paraId="0696914E" w14:textId="77777777" w:rsidR="00542DA0" w:rsidRPr="006A048F" w:rsidRDefault="00542DA0" w:rsidP="00542DA0">
      <w:pPr>
        <w:suppressAutoHyphens/>
        <w:kinsoku w:val="0"/>
        <w:overflowPunct w:val="0"/>
        <w:autoSpaceDE w:val="0"/>
        <w:autoSpaceDN w:val="0"/>
        <w:adjustRightInd w:val="0"/>
        <w:snapToGrid w:val="0"/>
        <w:spacing w:before="120"/>
        <w:rPr>
          <w:rFonts w:eastAsiaTheme="minorHAnsi"/>
          <w:b/>
        </w:rPr>
      </w:pPr>
      <w:r w:rsidRPr="006A048F">
        <w:rPr>
          <w:b/>
          <w:bCs/>
        </w:rPr>
        <w:t>113th session</w:t>
      </w:r>
    </w:p>
    <w:p w14:paraId="5951220B" w14:textId="77777777" w:rsidR="00542DA0" w:rsidRPr="006A048F" w:rsidRDefault="00542DA0" w:rsidP="00542DA0">
      <w:pPr>
        <w:suppressAutoHyphens/>
        <w:kinsoku w:val="0"/>
        <w:overflowPunct w:val="0"/>
        <w:autoSpaceDE w:val="0"/>
        <w:autoSpaceDN w:val="0"/>
        <w:adjustRightInd w:val="0"/>
        <w:snapToGrid w:val="0"/>
        <w:rPr>
          <w:rFonts w:eastAsiaTheme="minorHAnsi"/>
        </w:rPr>
      </w:pPr>
      <w:r w:rsidRPr="006A048F">
        <w:t>Geneva, 15–17 May 2023</w:t>
      </w:r>
    </w:p>
    <w:p w14:paraId="1994F765" w14:textId="6B64B73F" w:rsidR="00A42341" w:rsidRPr="006A048F" w:rsidRDefault="00A42341" w:rsidP="00A42341">
      <w:pPr>
        <w:keepNext/>
        <w:keepLines/>
        <w:tabs>
          <w:tab w:val="right" w:pos="851"/>
        </w:tabs>
        <w:suppressAutoHyphens/>
        <w:spacing w:before="360" w:after="240" w:line="300" w:lineRule="exact"/>
        <w:ind w:left="1134" w:right="1134" w:hanging="1134"/>
        <w:rPr>
          <w:b/>
          <w:sz w:val="28"/>
          <w:lang w:eastAsia="en-US"/>
        </w:rPr>
      </w:pPr>
      <w:r w:rsidRPr="006A048F">
        <w:rPr>
          <w:b/>
          <w:sz w:val="28"/>
          <w:lang w:eastAsia="en-US"/>
        </w:rPr>
        <w:tab/>
      </w:r>
      <w:r w:rsidRPr="006A048F">
        <w:rPr>
          <w:b/>
          <w:sz w:val="28"/>
          <w:lang w:eastAsia="en-US"/>
        </w:rPr>
        <w:tab/>
      </w:r>
      <w:bookmarkStart w:id="0" w:name="_Toc26263904"/>
      <w:r w:rsidRPr="006A048F">
        <w:rPr>
          <w:b/>
          <w:sz w:val="28"/>
          <w:lang w:eastAsia="en-US"/>
        </w:rPr>
        <w:t>Report of the Working Party on its 113th session</w:t>
      </w:r>
      <w:bookmarkStart w:id="1" w:name="_Toc499903628"/>
      <w:bookmarkEnd w:id="0"/>
      <w:bookmarkEnd w:id="1"/>
    </w:p>
    <w:p w14:paraId="02E38D6D" w14:textId="45A17C82" w:rsidR="00A42341" w:rsidRPr="006A048F" w:rsidRDefault="00A42341" w:rsidP="0075367E">
      <w:pPr>
        <w:pStyle w:val="SingleTxtG"/>
        <w:rPr>
          <w:lang w:eastAsia="en-US"/>
        </w:rPr>
      </w:pPr>
      <w:r w:rsidRPr="006A048F">
        <w:rPr>
          <w:lang w:eastAsia="en-US"/>
        </w:rPr>
        <w:t xml:space="preserve">Held in Geneva from </w:t>
      </w:r>
      <w:r w:rsidR="00542DA0" w:rsidRPr="006A048F">
        <w:rPr>
          <w:lang w:eastAsia="en-US"/>
        </w:rPr>
        <w:t>15</w:t>
      </w:r>
      <w:r w:rsidRPr="006A048F">
        <w:rPr>
          <w:lang w:eastAsia="en-US"/>
        </w:rPr>
        <w:t xml:space="preserve"> to 1</w:t>
      </w:r>
      <w:r w:rsidR="00542DA0" w:rsidRPr="006A048F">
        <w:rPr>
          <w:lang w:eastAsia="en-US"/>
        </w:rPr>
        <w:t>7</w:t>
      </w:r>
      <w:r w:rsidRPr="006A048F">
        <w:rPr>
          <w:lang w:eastAsia="en-US"/>
        </w:rPr>
        <w:t xml:space="preserve"> </w:t>
      </w:r>
      <w:r w:rsidR="00542DA0" w:rsidRPr="006A048F">
        <w:rPr>
          <w:lang w:eastAsia="en-US"/>
        </w:rPr>
        <w:t>May</w:t>
      </w:r>
      <w:r w:rsidRPr="006A048F">
        <w:rPr>
          <w:lang w:eastAsia="en-US"/>
        </w:rPr>
        <w:t xml:space="preserve"> 202</w:t>
      </w:r>
      <w:r w:rsidR="00542DA0" w:rsidRPr="006A048F">
        <w:rPr>
          <w:lang w:eastAsia="en-US"/>
        </w:rPr>
        <w:t>3</w:t>
      </w:r>
    </w:p>
    <w:p w14:paraId="1F869E9F" w14:textId="77777777" w:rsidR="00542DA0" w:rsidRPr="00013E9B" w:rsidRDefault="00542DA0" w:rsidP="006E5E26">
      <w:pPr>
        <w:spacing w:after="120"/>
        <w:rPr>
          <w:sz w:val="28"/>
          <w:lang w:val="fr-CH"/>
        </w:rPr>
      </w:pPr>
      <w:r w:rsidRPr="00013E9B">
        <w:rPr>
          <w:sz w:val="28"/>
          <w:lang w:val="fr-CH"/>
        </w:rPr>
        <w:t>Contents</w:t>
      </w:r>
    </w:p>
    <w:p w14:paraId="0A7FF81B" w14:textId="77777777" w:rsidR="00542DA0" w:rsidRPr="00013E9B" w:rsidRDefault="00542DA0" w:rsidP="006E5E26">
      <w:pPr>
        <w:tabs>
          <w:tab w:val="right" w:pos="8929"/>
          <w:tab w:val="right" w:pos="9638"/>
        </w:tabs>
        <w:spacing w:after="120"/>
        <w:ind w:left="283"/>
        <w:rPr>
          <w:lang w:val="fr-CH"/>
        </w:rPr>
      </w:pPr>
      <w:r w:rsidRPr="00013E9B">
        <w:rPr>
          <w:i/>
          <w:sz w:val="18"/>
          <w:lang w:val="fr-CH"/>
        </w:rPr>
        <w:tab/>
      </w:r>
      <w:proofErr w:type="spellStart"/>
      <w:r w:rsidRPr="00013E9B">
        <w:rPr>
          <w:i/>
          <w:sz w:val="18"/>
          <w:lang w:val="fr-CH"/>
        </w:rPr>
        <w:t>Paragraphs</w:t>
      </w:r>
      <w:proofErr w:type="spellEnd"/>
      <w:r w:rsidRPr="00013E9B">
        <w:rPr>
          <w:i/>
          <w:sz w:val="18"/>
          <w:lang w:val="fr-CH"/>
        </w:rPr>
        <w:tab/>
        <w:t>Page</w:t>
      </w:r>
    </w:p>
    <w:p w14:paraId="65AC57F5" w14:textId="42425E6C" w:rsidR="00C12D84" w:rsidRPr="00013E9B" w:rsidRDefault="00C12D84" w:rsidP="00C12D84">
      <w:pPr>
        <w:tabs>
          <w:tab w:val="right" w:pos="850"/>
          <w:tab w:val="left" w:pos="1134"/>
          <w:tab w:val="left" w:pos="1559"/>
          <w:tab w:val="left" w:pos="1984"/>
          <w:tab w:val="left" w:leader="dot" w:pos="7654"/>
          <w:tab w:val="right" w:pos="8929"/>
          <w:tab w:val="right" w:pos="9638"/>
        </w:tabs>
        <w:spacing w:after="120"/>
        <w:rPr>
          <w:lang w:val="fr-CH"/>
        </w:rPr>
      </w:pPr>
      <w:r w:rsidRPr="00013E9B">
        <w:rPr>
          <w:lang w:val="fr-CH"/>
        </w:rPr>
        <w:tab/>
        <w:t>I.</w:t>
      </w:r>
      <w:r w:rsidRPr="00013E9B">
        <w:rPr>
          <w:lang w:val="fr-CH"/>
        </w:rPr>
        <w:tab/>
      </w:r>
      <w:r w:rsidRPr="00013E9B">
        <w:rPr>
          <w:webHidden/>
          <w:lang w:val="fr-CH"/>
        </w:rPr>
        <w:t>Attendance</w:t>
      </w:r>
      <w:r w:rsidRPr="00013E9B">
        <w:rPr>
          <w:webHidden/>
          <w:lang w:val="fr-CH"/>
        </w:rPr>
        <w:tab/>
      </w:r>
      <w:r w:rsidRPr="00013E9B">
        <w:rPr>
          <w:webHidden/>
          <w:lang w:val="fr-CH"/>
        </w:rPr>
        <w:tab/>
        <w:t>1-5</w:t>
      </w:r>
      <w:r w:rsidRPr="00013E9B">
        <w:rPr>
          <w:webHidden/>
          <w:lang w:val="fr-CH"/>
        </w:rPr>
        <w:tab/>
        <w:t>3</w:t>
      </w:r>
    </w:p>
    <w:p w14:paraId="1FB7501C" w14:textId="072D2ABB"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pPr>
      <w:r w:rsidRPr="00013E9B">
        <w:rPr>
          <w:lang w:val="fr-CH"/>
        </w:rPr>
        <w:tab/>
      </w:r>
      <w:r w:rsidRPr="006A048F">
        <w:t>II.</w:t>
      </w:r>
      <w:r w:rsidRPr="006A048F">
        <w:tab/>
      </w:r>
      <w:r w:rsidRPr="006A048F">
        <w:rPr>
          <w:webHidden/>
        </w:rPr>
        <w:t>Adoption of the agenda (agenda item 1)</w:t>
      </w:r>
      <w:r w:rsidRPr="006A048F">
        <w:rPr>
          <w:webHidden/>
        </w:rPr>
        <w:tab/>
      </w:r>
      <w:r w:rsidRPr="006A048F">
        <w:rPr>
          <w:webHidden/>
        </w:rPr>
        <w:tab/>
        <w:t>6</w:t>
      </w:r>
      <w:r w:rsidRPr="006A048F">
        <w:rPr>
          <w:webHidden/>
        </w:rPr>
        <w:tab/>
        <w:t>3</w:t>
      </w:r>
    </w:p>
    <w:p w14:paraId="5689108C" w14:textId="6ACD0513"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pPr>
      <w:r w:rsidRPr="006A048F">
        <w:tab/>
        <w:t>III.</w:t>
      </w:r>
      <w:r w:rsidRPr="006A048F">
        <w:tab/>
        <w:t>Eighty-fifth session of the Inland Transport Committee (ITC) (agenda item 2)</w:t>
      </w:r>
      <w:r w:rsidRPr="006A048F">
        <w:rPr>
          <w:webHidden/>
        </w:rPr>
        <w:tab/>
        <w:t>7-12</w:t>
      </w:r>
      <w:r w:rsidRPr="006A048F">
        <w:rPr>
          <w:webHidden/>
        </w:rPr>
        <w:tab/>
        <w:t>3</w:t>
      </w:r>
    </w:p>
    <w:p w14:paraId="634CA48C" w14:textId="56488C22" w:rsidR="00C12D84" w:rsidRPr="006A048F" w:rsidRDefault="00C12D84" w:rsidP="00AF27D1">
      <w:pPr>
        <w:tabs>
          <w:tab w:val="right" w:pos="850"/>
          <w:tab w:val="left" w:pos="1134"/>
          <w:tab w:val="left" w:pos="1984"/>
          <w:tab w:val="left" w:leader="dot" w:pos="7654"/>
          <w:tab w:val="right" w:pos="8929"/>
          <w:tab w:val="right" w:pos="9638"/>
        </w:tabs>
        <w:spacing w:after="120"/>
        <w:ind w:left="1134" w:hanging="1134"/>
        <w:rPr>
          <w:webHidden/>
        </w:rPr>
      </w:pPr>
      <w:r w:rsidRPr="006A048F">
        <w:tab/>
        <w:t>IV.</w:t>
      </w:r>
      <w:r w:rsidRPr="006A048F">
        <w:tab/>
        <w:t>Status of the Agreement concerning the International Carriage of Dangerous Goods</w:t>
      </w:r>
      <w:r w:rsidRPr="006A048F">
        <w:br/>
        <w:t>by Road (ADR) and related issues (agenda item 3)</w:t>
      </w:r>
      <w:r w:rsidRPr="006A048F">
        <w:rPr>
          <w:webHidden/>
        </w:rPr>
        <w:tab/>
      </w:r>
      <w:r w:rsidRPr="006A048F">
        <w:rPr>
          <w:webHidden/>
        </w:rPr>
        <w:tab/>
        <w:t>13-15</w:t>
      </w:r>
      <w:r w:rsidRPr="006A048F">
        <w:rPr>
          <w:webHidden/>
        </w:rPr>
        <w:tab/>
        <w:t>4</w:t>
      </w:r>
    </w:p>
    <w:p w14:paraId="0E5178F6" w14:textId="56BD31C2" w:rsidR="00C12D84" w:rsidRPr="006A048F" w:rsidRDefault="00C12D84" w:rsidP="00D02318">
      <w:pPr>
        <w:tabs>
          <w:tab w:val="right" w:pos="850"/>
          <w:tab w:val="left" w:pos="1134"/>
          <w:tab w:val="left" w:pos="1559"/>
          <w:tab w:val="left" w:pos="1984"/>
          <w:tab w:val="left" w:leader="dot" w:pos="7654"/>
          <w:tab w:val="right" w:pos="8929"/>
          <w:tab w:val="right" w:pos="9638"/>
        </w:tabs>
        <w:spacing w:before="120" w:after="120"/>
        <w:ind w:left="850"/>
      </w:pPr>
      <w:r w:rsidRPr="006A048F">
        <w:tab/>
        <w:t>A.</w:t>
      </w:r>
      <w:r w:rsidRPr="006A048F">
        <w:tab/>
        <w:t>Status of the Agreement</w:t>
      </w:r>
      <w:r w:rsidRPr="006A048F">
        <w:tab/>
      </w:r>
      <w:r w:rsidRPr="006A048F">
        <w:tab/>
        <w:t>13</w:t>
      </w:r>
      <w:r w:rsidRPr="006A048F">
        <w:tab/>
      </w:r>
      <w:r w:rsidR="007D1C4B" w:rsidRPr="006A048F">
        <w:t>4</w:t>
      </w:r>
    </w:p>
    <w:p w14:paraId="669A30A2" w14:textId="332ABABE" w:rsidR="00C12D84" w:rsidRPr="006A048F" w:rsidRDefault="00C12D84" w:rsidP="00D02318">
      <w:pPr>
        <w:tabs>
          <w:tab w:val="right" w:pos="850"/>
          <w:tab w:val="left" w:pos="1134"/>
          <w:tab w:val="left" w:pos="1559"/>
          <w:tab w:val="left" w:pos="1984"/>
          <w:tab w:val="left" w:leader="dot" w:pos="7654"/>
          <w:tab w:val="right" w:pos="8929"/>
          <w:tab w:val="right" w:pos="9638"/>
        </w:tabs>
        <w:spacing w:before="120" w:after="120"/>
        <w:ind w:left="850"/>
      </w:pPr>
      <w:r w:rsidRPr="006A048F">
        <w:tab/>
        <w:t>B.</w:t>
      </w:r>
      <w:r w:rsidRPr="006A048F">
        <w:tab/>
        <w:t>Protocol of amendment of 1993</w:t>
      </w:r>
      <w:r w:rsidRPr="006A048F">
        <w:tab/>
      </w:r>
      <w:r w:rsidRPr="006A048F">
        <w:tab/>
        <w:t>14-15</w:t>
      </w:r>
      <w:r w:rsidRPr="006A048F">
        <w:tab/>
        <w:t>4</w:t>
      </w:r>
    </w:p>
    <w:p w14:paraId="4448AAB1" w14:textId="094AC7A5"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rPr>
          <w:webHidden/>
        </w:rPr>
      </w:pPr>
      <w:r w:rsidRPr="006A048F">
        <w:tab/>
        <w:t>V.</w:t>
      </w:r>
      <w:r w:rsidRPr="006A048F">
        <w:tab/>
        <w:t>Work of the RID/ADR/ADN Joint Meeting (agenda item 4)</w:t>
      </w:r>
      <w:r w:rsidRPr="006A048F">
        <w:rPr>
          <w:webHidden/>
        </w:rPr>
        <w:tab/>
      </w:r>
      <w:r w:rsidRPr="006A048F">
        <w:rPr>
          <w:webHidden/>
        </w:rPr>
        <w:tab/>
        <w:t>16-19</w:t>
      </w:r>
      <w:r w:rsidRPr="006A048F">
        <w:rPr>
          <w:webHidden/>
        </w:rPr>
        <w:tab/>
        <w:t>4</w:t>
      </w:r>
    </w:p>
    <w:p w14:paraId="32C91B19" w14:textId="14D9B666"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rPr>
          <w:webHidden/>
        </w:rPr>
      </w:pPr>
      <w:r w:rsidRPr="006A048F">
        <w:rPr>
          <w:webHidden/>
        </w:rPr>
        <w:tab/>
        <w:t>VI.</w:t>
      </w:r>
      <w:r w:rsidRPr="006A048F">
        <w:rPr>
          <w:webHidden/>
        </w:rPr>
        <w:tab/>
      </w:r>
      <w:r w:rsidRPr="006A048F">
        <w:t>Proposals for amendments to annexes A and B of ADR (agenda item 5)</w:t>
      </w:r>
      <w:r w:rsidRPr="006A048F">
        <w:rPr>
          <w:webHidden/>
        </w:rPr>
        <w:tab/>
      </w:r>
      <w:r w:rsidRPr="006A048F">
        <w:rPr>
          <w:webHidden/>
        </w:rPr>
        <w:tab/>
        <w:t>20-39</w:t>
      </w:r>
      <w:r w:rsidRPr="006A048F">
        <w:rPr>
          <w:webHidden/>
        </w:rPr>
        <w:tab/>
        <w:t>5</w:t>
      </w:r>
    </w:p>
    <w:p w14:paraId="68215CE8" w14:textId="77777777" w:rsidR="00C12D84" w:rsidRPr="006A048F" w:rsidRDefault="00C12D84" w:rsidP="00C12D84">
      <w:pPr>
        <w:tabs>
          <w:tab w:val="right" w:pos="850"/>
          <w:tab w:val="left" w:pos="1134"/>
          <w:tab w:val="left" w:pos="1559"/>
          <w:tab w:val="left" w:pos="1984"/>
          <w:tab w:val="left" w:leader="dot" w:pos="7654"/>
          <w:tab w:val="right" w:pos="8929"/>
          <w:tab w:val="right" w:pos="9638"/>
        </w:tabs>
        <w:spacing w:before="120" w:after="120"/>
      </w:pPr>
      <w:r w:rsidRPr="006A048F">
        <w:tab/>
      </w:r>
      <w:r w:rsidRPr="006A048F">
        <w:tab/>
        <w:t>A.</w:t>
      </w:r>
      <w:r w:rsidRPr="006A048F">
        <w:tab/>
        <w:t>Construction and approval of vehicles</w:t>
      </w:r>
      <w:r w:rsidRPr="006A048F">
        <w:tab/>
      </w:r>
      <w:r w:rsidRPr="006A048F">
        <w:tab/>
        <w:t>20-29</w:t>
      </w:r>
      <w:r w:rsidRPr="006A048F">
        <w:tab/>
        <w:t>5</w:t>
      </w:r>
    </w:p>
    <w:p w14:paraId="62F60D6A"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ind w:left="1503"/>
      </w:pPr>
      <w:r w:rsidRPr="006A048F">
        <w:t>1.</w:t>
      </w:r>
      <w:r w:rsidRPr="006A048F">
        <w:tab/>
        <w:t>Rear protection of vehicles</w:t>
      </w:r>
      <w:r w:rsidRPr="006A048F">
        <w:tab/>
      </w:r>
      <w:r w:rsidRPr="006A048F">
        <w:tab/>
        <w:t>20</w:t>
      </w:r>
      <w:r w:rsidRPr="006A048F">
        <w:tab/>
        <w:t>5</w:t>
      </w:r>
    </w:p>
    <w:p w14:paraId="146D933F"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ind w:left="1503"/>
      </w:pPr>
      <w:r w:rsidRPr="006A048F">
        <w:t>2.</w:t>
      </w:r>
      <w:r w:rsidRPr="006A048F">
        <w:tab/>
        <w:t>Informal working group on electrified vehicles</w:t>
      </w:r>
      <w:r w:rsidRPr="006A048F">
        <w:tab/>
      </w:r>
      <w:r w:rsidRPr="006A048F">
        <w:tab/>
        <w:t>21-23</w:t>
      </w:r>
      <w:r w:rsidRPr="006A048F">
        <w:tab/>
        <w:t>5</w:t>
      </w:r>
    </w:p>
    <w:p w14:paraId="4AB69567" w14:textId="496DE6BF"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ind w:left="1983" w:hanging="480"/>
      </w:pPr>
      <w:r w:rsidRPr="006A048F">
        <w:t>3.</w:t>
      </w:r>
      <w:r w:rsidRPr="006A048F">
        <w:tab/>
        <w:t xml:space="preserve">Supplement 18 to the 11 series of amendments to </w:t>
      </w:r>
      <w:r w:rsidR="004844C0">
        <w:br/>
      </w:r>
      <w:r w:rsidRPr="006A048F">
        <w:t>UN Regulation No. 13 (Heavy vehicle braking)</w:t>
      </w:r>
      <w:r w:rsidRPr="006A048F">
        <w:tab/>
      </w:r>
      <w:r w:rsidRPr="006A048F">
        <w:tab/>
        <w:t>24-25</w:t>
      </w:r>
      <w:r w:rsidRPr="006A048F">
        <w:tab/>
        <w:t>5</w:t>
      </w:r>
    </w:p>
    <w:p w14:paraId="598E6F20"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ind w:left="1503"/>
      </w:pPr>
      <w:r w:rsidRPr="006A048F">
        <w:t>4.</w:t>
      </w:r>
      <w:r w:rsidRPr="006A048F">
        <w:tab/>
        <w:t>Certificate of approval</w:t>
      </w:r>
      <w:r w:rsidRPr="006A048F">
        <w:tab/>
      </w:r>
      <w:r w:rsidRPr="006A048F">
        <w:tab/>
        <w:t>26-28</w:t>
      </w:r>
      <w:r w:rsidRPr="006A048F">
        <w:tab/>
        <w:t>6</w:t>
      </w:r>
    </w:p>
    <w:p w14:paraId="484A0F3E"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ind w:left="1503"/>
      </w:pPr>
      <w:r w:rsidRPr="006A048F">
        <w:t>5.</w:t>
      </w:r>
      <w:r w:rsidRPr="006A048F">
        <w:tab/>
        <w:t>Tyre pressure monitoring system</w:t>
      </w:r>
      <w:r w:rsidRPr="006A048F">
        <w:tab/>
      </w:r>
      <w:r w:rsidRPr="006A048F">
        <w:tab/>
        <w:t>29</w:t>
      </w:r>
      <w:r w:rsidRPr="006A048F">
        <w:tab/>
        <w:t>6</w:t>
      </w:r>
    </w:p>
    <w:p w14:paraId="5C379796"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pPr>
      <w:r w:rsidRPr="006A048F">
        <w:tab/>
      </w:r>
      <w:r w:rsidRPr="006A048F">
        <w:tab/>
        <w:t>B.</w:t>
      </w:r>
      <w:r w:rsidRPr="006A048F">
        <w:tab/>
        <w:t>Miscellaneous proposals</w:t>
      </w:r>
      <w:r w:rsidRPr="006A048F">
        <w:tab/>
      </w:r>
      <w:r w:rsidRPr="006A048F">
        <w:tab/>
        <w:t>30-39</w:t>
      </w:r>
      <w:r w:rsidRPr="006A048F">
        <w:tab/>
        <w:t>6</w:t>
      </w:r>
    </w:p>
    <w:p w14:paraId="5BBF3C11"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ind w:left="1503"/>
      </w:pPr>
      <w:r w:rsidRPr="006A048F">
        <w:t>1.</w:t>
      </w:r>
      <w:r w:rsidRPr="006A048F">
        <w:tab/>
        <w:t>Earth symbol in 6.8.2.1.27</w:t>
      </w:r>
      <w:r w:rsidRPr="006A048F">
        <w:tab/>
      </w:r>
      <w:r w:rsidRPr="006A048F">
        <w:tab/>
        <w:t>30-32</w:t>
      </w:r>
      <w:r w:rsidRPr="006A048F">
        <w:tab/>
        <w:t>6</w:t>
      </w:r>
    </w:p>
    <w:p w14:paraId="52704B91"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ind w:left="1503"/>
      </w:pPr>
      <w:r w:rsidRPr="006A048F">
        <w:t>2.</w:t>
      </w:r>
      <w:r w:rsidRPr="006A048F">
        <w:tab/>
        <w:t>New section 1.2.3, consequential amendment</w:t>
      </w:r>
      <w:r w:rsidRPr="006A048F">
        <w:tab/>
      </w:r>
      <w:r w:rsidRPr="006A048F">
        <w:tab/>
        <w:t>33</w:t>
      </w:r>
      <w:r w:rsidRPr="006A048F">
        <w:tab/>
        <w:t>6</w:t>
      </w:r>
    </w:p>
    <w:p w14:paraId="390FC907"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ind w:left="1983" w:hanging="480"/>
      </w:pPr>
      <w:r w:rsidRPr="006A048F">
        <w:t>3.</w:t>
      </w:r>
      <w:r w:rsidRPr="006A048F">
        <w:tab/>
        <w:t>Training of drivers: maximum number of teaching units per day</w:t>
      </w:r>
      <w:r w:rsidRPr="006A048F">
        <w:tab/>
      </w:r>
      <w:r w:rsidRPr="006A048F">
        <w:tab/>
        <w:t>34-35</w:t>
      </w:r>
      <w:r w:rsidRPr="006A048F">
        <w:tab/>
        <w:t>6</w:t>
      </w:r>
    </w:p>
    <w:p w14:paraId="2D9FD2BB"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ind w:left="1503"/>
      </w:pPr>
      <w:r w:rsidRPr="006A048F">
        <w:t>4.</w:t>
      </w:r>
      <w:r w:rsidRPr="006A048F">
        <w:tab/>
        <w:t>Discrepancy between 6.8.1.5 of RID and ADR</w:t>
      </w:r>
      <w:r w:rsidRPr="006A048F">
        <w:tab/>
      </w:r>
      <w:r w:rsidRPr="006A048F">
        <w:tab/>
        <w:t>36-37</w:t>
      </w:r>
      <w:r w:rsidRPr="006A048F">
        <w:tab/>
        <w:t>7</w:t>
      </w:r>
    </w:p>
    <w:p w14:paraId="67642AD2"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ind w:left="1503"/>
      </w:pPr>
      <w:r w:rsidRPr="006A048F">
        <w:t>5.</w:t>
      </w:r>
      <w:r w:rsidRPr="006A048F">
        <w:tab/>
        <w:t>Reference to 8.2.3 in Chapter 3.4</w:t>
      </w:r>
      <w:r w:rsidRPr="006A048F">
        <w:tab/>
      </w:r>
      <w:r w:rsidRPr="006A048F">
        <w:tab/>
        <w:t>38-39</w:t>
      </w:r>
      <w:r w:rsidRPr="006A048F">
        <w:tab/>
        <w:t>7</w:t>
      </w:r>
    </w:p>
    <w:p w14:paraId="08CBA0CB" w14:textId="77777777"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pPr>
      <w:r w:rsidRPr="006A048F">
        <w:lastRenderedPageBreak/>
        <w:tab/>
        <w:t>VII.</w:t>
      </w:r>
      <w:r w:rsidRPr="006A048F">
        <w:tab/>
        <w:t>Interpretation of ADR (agenda item 6)</w:t>
      </w:r>
      <w:r w:rsidRPr="006A048F">
        <w:tab/>
      </w:r>
      <w:r w:rsidRPr="006A048F">
        <w:tab/>
        <w:t>40-53</w:t>
      </w:r>
      <w:r w:rsidRPr="006A048F">
        <w:tab/>
        <w:t>7</w:t>
      </w:r>
    </w:p>
    <w:p w14:paraId="06E451CF"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pPr>
      <w:r w:rsidRPr="006A048F">
        <w:tab/>
      </w:r>
      <w:r w:rsidRPr="006A048F">
        <w:tab/>
        <w:t>A.</w:t>
      </w:r>
      <w:r w:rsidRPr="006A048F">
        <w:tab/>
        <w:t>Scope of ADR</w:t>
      </w:r>
      <w:r w:rsidRPr="006A048F">
        <w:tab/>
      </w:r>
      <w:r w:rsidRPr="006A048F">
        <w:tab/>
        <w:t>40-45</w:t>
      </w:r>
      <w:r w:rsidRPr="006A048F">
        <w:tab/>
        <w:t>7</w:t>
      </w:r>
    </w:p>
    <w:p w14:paraId="00231F4F" w14:textId="016C8176"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pPr>
      <w:r w:rsidRPr="006A048F">
        <w:tab/>
      </w:r>
      <w:r w:rsidRPr="006A048F">
        <w:tab/>
        <w:t>B.</w:t>
      </w:r>
      <w:r w:rsidRPr="006A048F">
        <w:tab/>
        <w:t>Transport document – goods carried per transport unit and per vehicle</w:t>
      </w:r>
      <w:r w:rsidRPr="006A048F">
        <w:tab/>
      </w:r>
      <w:r w:rsidRPr="006A048F">
        <w:tab/>
        <w:t>46-47</w:t>
      </w:r>
      <w:r w:rsidRPr="006A048F">
        <w:tab/>
      </w:r>
      <w:r w:rsidR="003074A7">
        <w:t>8</w:t>
      </w:r>
    </w:p>
    <w:p w14:paraId="5E74DA83"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pPr>
      <w:r w:rsidRPr="006A048F">
        <w:tab/>
      </w:r>
      <w:r w:rsidRPr="006A048F">
        <w:tab/>
        <w:t>C.</w:t>
      </w:r>
      <w:r w:rsidRPr="006A048F">
        <w:tab/>
        <w:t>Transport of dangerous goods as part of duties to protect the public</w:t>
      </w:r>
      <w:r w:rsidRPr="006A048F">
        <w:tab/>
      </w:r>
      <w:r w:rsidRPr="006A048F">
        <w:tab/>
        <w:t>48-49</w:t>
      </w:r>
      <w:r w:rsidRPr="006A048F">
        <w:tab/>
        <w:t>8</w:t>
      </w:r>
    </w:p>
    <w:p w14:paraId="43EFB200"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pPr>
      <w:r w:rsidRPr="006A048F">
        <w:tab/>
      </w:r>
      <w:r w:rsidRPr="006A048F">
        <w:tab/>
        <w:t>D.</w:t>
      </w:r>
      <w:r w:rsidRPr="006A048F">
        <w:tab/>
        <w:t>Examination for the renewal of the safety adviser certificate</w:t>
      </w:r>
      <w:r w:rsidRPr="006A048F">
        <w:tab/>
      </w:r>
      <w:r w:rsidRPr="006A048F">
        <w:tab/>
        <w:t>50-51</w:t>
      </w:r>
      <w:r w:rsidRPr="006A048F">
        <w:tab/>
        <w:t>8</w:t>
      </w:r>
    </w:p>
    <w:p w14:paraId="5D8C8D21" w14:textId="77777777" w:rsidR="00C12D84" w:rsidRPr="006A048F" w:rsidRDefault="00C12D84" w:rsidP="00C12D84">
      <w:pPr>
        <w:tabs>
          <w:tab w:val="right" w:pos="850"/>
          <w:tab w:val="left" w:pos="1134"/>
          <w:tab w:val="left" w:pos="1560"/>
          <w:tab w:val="left" w:pos="1984"/>
          <w:tab w:val="left" w:leader="dot" w:pos="7654"/>
          <w:tab w:val="right" w:pos="8929"/>
          <w:tab w:val="right" w:pos="9638"/>
        </w:tabs>
        <w:spacing w:before="120" w:after="120"/>
      </w:pPr>
      <w:r w:rsidRPr="006A048F">
        <w:tab/>
      </w:r>
      <w:r w:rsidRPr="006A048F">
        <w:tab/>
        <w:t>E.</w:t>
      </w:r>
      <w:r w:rsidRPr="006A048F">
        <w:tab/>
        <w:t>Reference to machinery and equipment in relation to 1.1.3.6.3, first indent</w:t>
      </w:r>
      <w:r w:rsidRPr="006A048F">
        <w:tab/>
      </w:r>
      <w:r w:rsidRPr="006A048F">
        <w:tab/>
        <w:t>52-53</w:t>
      </w:r>
      <w:r w:rsidRPr="006A048F">
        <w:tab/>
        <w:t>8</w:t>
      </w:r>
    </w:p>
    <w:p w14:paraId="740F10BD" w14:textId="6D01A876"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ind w:left="1134" w:hanging="1134"/>
      </w:pPr>
      <w:r w:rsidRPr="006A048F">
        <w:tab/>
        <w:t>VIII.</w:t>
      </w:r>
      <w:r w:rsidRPr="006A048F">
        <w:tab/>
        <w:t xml:space="preserve">Circular economy, sustainable use of natural resources and </w:t>
      </w:r>
      <w:r w:rsidR="00766D28">
        <w:br/>
      </w:r>
      <w:r w:rsidRPr="006A048F">
        <w:t>Sustainable Development Goals (agenda item 7)</w:t>
      </w:r>
      <w:r w:rsidRPr="006A048F">
        <w:tab/>
      </w:r>
      <w:r w:rsidRPr="006A048F">
        <w:tab/>
        <w:t>54-56</w:t>
      </w:r>
      <w:r w:rsidRPr="006A048F">
        <w:tab/>
      </w:r>
      <w:r w:rsidR="003074A7">
        <w:t>9</w:t>
      </w:r>
    </w:p>
    <w:p w14:paraId="01021621" w14:textId="77777777"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pPr>
      <w:r w:rsidRPr="006A048F">
        <w:tab/>
        <w:t>IX.</w:t>
      </w:r>
      <w:r w:rsidRPr="006A048F">
        <w:tab/>
        <w:t>Programme of work (agenda item 8)</w:t>
      </w:r>
      <w:r w:rsidRPr="006A048F">
        <w:tab/>
      </w:r>
      <w:r w:rsidRPr="006A048F">
        <w:tab/>
        <w:t>57-58</w:t>
      </w:r>
      <w:r w:rsidRPr="006A048F">
        <w:tab/>
        <w:t>9</w:t>
      </w:r>
    </w:p>
    <w:p w14:paraId="4817A004" w14:textId="77777777"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pPr>
      <w:r w:rsidRPr="006A048F">
        <w:tab/>
        <w:t>X.</w:t>
      </w:r>
      <w:r w:rsidRPr="006A048F">
        <w:tab/>
        <w:t>Any other business (agenda item 9)</w:t>
      </w:r>
      <w:r w:rsidRPr="006A048F">
        <w:tab/>
      </w:r>
      <w:r w:rsidRPr="006A048F">
        <w:tab/>
        <w:t>59-62</w:t>
      </w:r>
      <w:r w:rsidRPr="006A048F">
        <w:tab/>
        <w:t>9</w:t>
      </w:r>
    </w:p>
    <w:p w14:paraId="4D62A3DA" w14:textId="54BAA202"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ind w:left="1554" w:hanging="420"/>
      </w:pPr>
      <w:r w:rsidRPr="006A048F">
        <w:t>A.</w:t>
      </w:r>
      <w:r w:rsidRPr="006A048F">
        <w:tab/>
        <w:t xml:space="preserve">Competent authority approval in accordance with ADR 2.1.2.8 and </w:t>
      </w:r>
      <w:r w:rsidR="00001D5A">
        <w:br/>
      </w:r>
      <w:r w:rsidRPr="006A048F">
        <w:t xml:space="preserve">proposed amendment to the Dangerous Goods List of the </w:t>
      </w:r>
      <w:r w:rsidR="00E4313C">
        <w:br/>
      </w:r>
      <w:r w:rsidRPr="006A048F">
        <w:t>Model Regulations</w:t>
      </w:r>
      <w:r w:rsidRPr="006A048F">
        <w:tab/>
      </w:r>
      <w:r w:rsidRPr="006A048F">
        <w:tab/>
        <w:t>59</w:t>
      </w:r>
      <w:r w:rsidRPr="006A048F">
        <w:tab/>
        <w:t>9</w:t>
      </w:r>
    </w:p>
    <w:p w14:paraId="5C34C4CD" w14:textId="77777777"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ind w:left="1554" w:hanging="420"/>
      </w:pPr>
      <w:r w:rsidRPr="006A048F">
        <w:t>B.</w:t>
      </w:r>
      <w:r w:rsidRPr="006A048F">
        <w:tab/>
        <w:t>Dimensions and masses of vehicles – modular system used in Finland</w:t>
      </w:r>
      <w:r w:rsidRPr="006A048F">
        <w:tab/>
      </w:r>
      <w:r w:rsidRPr="006A048F">
        <w:tab/>
        <w:t>60</w:t>
      </w:r>
      <w:r w:rsidRPr="006A048F">
        <w:tab/>
        <w:t>9</w:t>
      </w:r>
    </w:p>
    <w:p w14:paraId="6F6EC7CF" w14:textId="77777777"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ind w:firstLine="1134"/>
      </w:pPr>
      <w:r w:rsidRPr="006A048F">
        <w:t>C.</w:t>
      </w:r>
      <w:r w:rsidRPr="006A048F">
        <w:tab/>
        <w:t>Carriage of empty uncleaned packaging waste</w:t>
      </w:r>
      <w:r w:rsidRPr="006A048F">
        <w:tab/>
      </w:r>
      <w:r w:rsidRPr="006A048F">
        <w:tab/>
        <w:t>61</w:t>
      </w:r>
      <w:r w:rsidRPr="006A048F">
        <w:tab/>
        <w:t>9</w:t>
      </w:r>
    </w:p>
    <w:p w14:paraId="07F43A27" w14:textId="1EF28D8D"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ind w:left="1134"/>
      </w:pPr>
      <w:r w:rsidRPr="006A048F">
        <w:t>D.</w:t>
      </w:r>
      <w:r w:rsidRPr="006A048F">
        <w:tab/>
        <w:t>Tribute to Mr. Adrian-</w:t>
      </w:r>
      <w:proofErr w:type="spellStart"/>
      <w:r w:rsidRPr="006A048F">
        <w:t>Teodor</w:t>
      </w:r>
      <w:proofErr w:type="spellEnd"/>
      <w:r w:rsidRPr="006A048F">
        <w:t xml:space="preserve"> </w:t>
      </w:r>
      <w:proofErr w:type="spellStart"/>
      <w:r w:rsidRPr="006A048F">
        <w:t>Raduta</w:t>
      </w:r>
      <w:proofErr w:type="spellEnd"/>
      <w:r w:rsidRPr="006A048F">
        <w:tab/>
      </w:r>
      <w:r w:rsidRPr="006A048F">
        <w:tab/>
        <w:t>62</w:t>
      </w:r>
      <w:r w:rsidRPr="006A048F">
        <w:tab/>
      </w:r>
      <w:r w:rsidR="003074A7">
        <w:t>10</w:t>
      </w:r>
    </w:p>
    <w:p w14:paraId="3F6797A6" w14:textId="77777777" w:rsidR="00C12D84" w:rsidRPr="006A048F" w:rsidRDefault="00C12D84" w:rsidP="00C12D84">
      <w:pPr>
        <w:tabs>
          <w:tab w:val="right" w:pos="850"/>
          <w:tab w:val="left" w:pos="1134"/>
          <w:tab w:val="left" w:pos="1559"/>
          <w:tab w:val="left" w:pos="1984"/>
          <w:tab w:val="left" w:leader="dot" w:pos="7654"/>
          <w:tab w:val="right" w:pos="8929"/>
          <w:tab w:val="right" w:pos="9638"/>
        </w:tabs>
        <w:spacing w:after="120"/>
      </w:pPr>
      <w:r w:rsidRPr="006A048F">
        <w:tab/>
        <w:t>XI.</w:t>
      </w:r>
      <w:r w:rsidRPr="006A048F">
        <w:tab/>
        <w:t>Adoption of the report (agenda item 10)</w:t>
      </w:r>
      <w:r w:rsidRPr="006A048F">
        <w:tab/>
      </w:r>
      <w:r w:rsidRPr="006A048F">
        <w:tab/>
        <w:t>63</w:t>
      </w:r>
      <w:r w:rsidRPr="006A048F">
        <w:tab/>
        <w:t>10</w:t>
      </w:r>
    </w:p>
    <w:p w14:paraId="04319EF7" w14:textId="77777777" w:rsidR="00C12D84" w:rsidRPr="006A048F" w:rsidRDefault="00C12D84" w:rsidP="00C12D84"/>
    <w:p w14:paraId="7EAC0D2B" w14:textId="77777777" w:rsidR="00C12D84" w:rsidRPr="006A048F" w:rsidRDefault="00C12D84" w:rsidP="00C12D84">
      <w:pPr>
        <w:spacing w:line="240" w:lineRule="auto"/>
      </w:pPr>
      <w:r w:rsidRPr="006A048F">
        <w:t>Annex</w:t>
      </w:r>
    </w:p>
    <w:p w14:paraId="66E48DD8" w14:textId="767C4CB2" w:rsidR="00F86AEB" w:rsidRPr="006A048F" w:rsidRDefault="00F86AEB" w:rsidP="00C12D84">
      <w:pPr>
        <w:spacing w:line="240" w:lineRule="auto"/>
      </w:pPr>
    </w:p>
    <w:p w14:paraId="6A5DDC14" w14:textId="31389AAD" w:rsidR="00542DA0" w:rsidRPr="006A048F" w:rsidRDefault="00C12D84" w:rsidP="009050DE">
      <w:pPr>
        <w:tabs>
          <w:tab w:val="right" w:pos="850"/>
          <w:tab w:val="left" w:pos="1134"/>
          <w:tab w:val="left" w:pos="1559"/>
          <w:tab w:val="left" w:pos="1984"/>
          <w:tab w:val="left" w:leader="dot" w:pos="7654"/>
          <w:tab w:val="right" w:pos="8929"/>
          <w:tab w:val="right" w:pos="9638"/>
        </w:tabs>
        <w:spacing w:after="120"/>
        <w:ind w:left="709" w:firstLine="437"/>
      </w:pPr>
      <w:r w:rsidRPr="006A048F">
        <w:t>Draft amendments to annexes A and B of ADR for entry into force</w:t>
      </w:r>
      <w:r w:rsidRPr="006A048F">
        <w:br/>
      </w:r>
      <w:r w:rsidRPr="006A048F">
        <w:tab/>
      </w:r>
      <w:r w:rsidR="00795536" w:rsidRPr="006A048F">
        <w:tab/>
      </w:r>
      <w:r w:rsidRPr="006A048F">
        <w:t>on 1 January 2025………………………………………………………………….</w:t>
      </w:r>
      <w:r w:rsidRPr="006A048F">
        <w:tab/>
      </w:r>
      <w:r w:rsidRPr="006A048F">
        <w:tab/>
        <w:t>11</w:t>
      </w:r>
    </w:p>
    <w:p w14:paraId="42ED2A90" w14:textId="77777777" w:rsidR="00542DA0" w:rsidRPr="006A048F" w:rsidRDefault="00542DA0"/>
    <w:p w14:paraId="45882A06" w14:textId="117B515D" w:rsidR="00542DA0" w:rsidRPr="006A048F" w:rsidRDefault="00542DA0">
      <w:r w:rsidRPr="006A048F">
        <w:br w:type="page"/>
      </w:r>
    </w:p>
    <w:p w14:paraId="3272171F" w14:textId="77777777" w:rsidR="00A251A2" w:rsidRPr="006A048F" w:rsidRDefault="00A251A2" w:rsidP="00A251A2">
      <w:pPr>
        <w:keepNext/>
        <w:keepLines/>
        <w:tabs>
          <w:tab w:val="right" w:pos="851"/>
        </w:tabs>
        <w:spacing w:before="360" w:after="240" w:line="300" w:lineRule="exact"/>
        <w:ind w:left="1134" w:right="1134" w:hanging="1134"/>
        <w:outlineLvl w:val="1"/>
        <w:rPr>
          <w:b/>
          <w:sz w:val="28"/>
          <w:lang w:eastAsia="zh-CN"/>
        </w:rPr>
      </w:pPr>
      <w:r w:rsidRPr="006A048F">
        <w:rPr>
          <w:b/>
          <w:sz w:val="28"/>
          <w:lang w:eastAsia="zh-CN"/>
        </w:rPr>
        <w:lastRenderedPageBreak/>
        <w:tab/>
        <w:t>I.</w:t>
      </w:r>
      <w:r w:rsidRPr="006A048F">
        <w:rPr>
          <w:b/>
          <w:sz w:val="28"/>
          <w:lang w:eastAsia="zh-CN"/>
        </w:rPr>
        <w:tab/>
        <w:t>Attendance</w:t>
      </w:r>
    </w:p>
    <w:p w14:paraId="5DEDC053" w14:textId="77777777" w:rsidR="00A251A2" w:rsidRPr="006A048F" w:rsidRDefault="00A251A2" w:rsidP="00A251A2">
      <w:pPr>
        <w:tabs>
          <w:tab w:val="left" w:pos="1701"/>
          <w:tab w:val="left" w:pos="2268"/>
          <w:tab w:val="left" w:pos="2835"/>
        </w:tabs>
        <w:spacing w:after="120"/>
        <w:ind w:left="1134" w:right="1134"/>
        <w:jc w:val="both"/>
        <w:rPr>
          <w:lang w:eastAsia="zh-CN"/>
        </w:rPr>
      </w:pPr>
      <w:r w:rsidRPr="006A048F">
        <w:rPr>
          <w:lang w:eastAsia="zh-CN"/>
        </w:rPr>
        <w:t>1.</w:t>
      </w:r>
      <w:r w:rsidRPr="006A048F">
        <w:rPr>
          <w:lang w:eastAsia="zh-CN"/>
        </w:rPr>
        <w:tab/>
        <w:t>The Working Party on the Transport of Dangerous Goods held its 113th session from 15–17 May 2023, with Ms. A. Roumier (France) as Chair and Mr. A. Simoni (Italy) as Vice-Chair.</w:t>
      </w:r>
    </w:p>
    <w:p w14:paraId="04F8159C" w14:textId="5D63E0F0" w:rsidR="00A251A2" w:rsidRPr="006A048F" w:rsidRDefault="00A251A2" w:rsidP="00A251A2">
      <w:pPr>
        <w:tabs>
          <w:tab w:val="left" w:pos="1701"/>
          <w:tab w:val="left" w:pos="2268"/>
          <w:tab w:val="left" w:pos="2835"/>
        </w:tabs>
        <w:spacing w:after="120"/>
        <w:ind w:left="1134" w:right="1134"/>
        <w:jc w:val="both"/>
        <w:rPr>
          <w:lang w:eastAsia="zh-CN"/>
        </w:rPr>
      </w:pPr>
      <w:r w:rsidRPr="006A048F">
        <w:rPr>
          <w:lang w:eastAsia="zh-CN"/>
        </w:rPr>
        <w:t>2.</w:t>
      </w:r>
      <w:r w:rsidRPr="006A048F">
        <w:rPr>
          <w:lang w:eastAsia="zh-CN"/>
        </w:rPr>
        <w:tab/>
        <w:t xml:space="preserve">Representatives from the following countries took part in the session: Austria, Belarus, Belgium, Bosnia and Herzegovina, Denmark, Finland, France, Germany, Hungary, Ireland, Italy, Latvia, Luxembourg, the Netherlands, Poland, Romania, Spain, Sweden, Switzerland, </w:t>
      </w:r>
      <w:proofErr w:type="spellStart"/>
      <w:r w:rsidRPr="006A048F">
        <w:rPr>
          <w:lang w:eastAsia="zh-CN"/>
        </w:rPr>
        <w:t>Türkiye</w:t>
      </w:r>
      <w:proofErr w:type="spellEnd"/>
      <w:r w:rsidRPr="006A048F">
        <w:rPr>
          <w:lang w:eastAsia="zh-CN"/>
        </w:rPr>
        <w:t xml:space="preserve"> and the United Kingdom.</w:t>
      </w:r>
    </w:p>
    <w:p w14:paraId="3C61B2E6" w14:textId="77777777" w:rsidR="00A251A2" w:rsidRPr="006A048F" w:rsidRDefault="00A251A2" w:rsidP="00A251A2">
      <w:pPr>
        <w:tabs>
          <w:tab w:val="left" w:pos="1701"/>
          <w:tab w:val="left" w:pos="2268"/>
          <w:tab w:val="left" w:pos="2835"/>
        </w:tabs>
        <w:spacing w:after="120"/>
        <w:ind w:left="1134" w:right="1134"/>
        <w:jc w:val="both"/>
        <w:rPr>
          <w:lang w:eastAsia="zh-CN"/>
        </w:rPr>
      </w:pPr>
      <w:r w:rsidRPr="006A048F">
        <w:rPr>
          <w:lang w:eastAsia="zh-CN"/>
        </w:rPr>
        <w:t>3.</w:t>
      </w:r>
      <w:r w:rsidRPr="006A048F">
        <w:rPr>
          <w:lang w:eastAsia="zh-CN"/>
        </w:rPr>
        <w:tab/>
        <w:t xml:space="preserve">Representatives of Zimbabwe also took part in the session, as provided for in paragraph 11 of the terms of reference of the Economic Commission for Europe. </w:t>
      </w:r>
    </w:p>
    <w:p w14:paraId="5A626CFD" w14:textId="001AEE9A" w:rsidR="00A251A2" w:rsidRPr="006A048F" w:rsidRDefault="00E66660" w:rsidP="00A251A2">
      <w:pPr>
        <w:tabs>
          <w:tab w:val="left" w:pos="1701"/>
          <w:tab w:val="left" w:pos="2268"/>
          <w:tab w:val="left" w:pos="2835"/>
        </w:tabs>
        <w:spacing w:after="120"/>
        <w:ind w:left="1134" w:right="1134"/>
        <w:jc w:val="both"/>
        <w:rPr>
          <w:lang w:eastAsia="zh-CN"/>
        </w:rPr>
      </w:pPr>
      <w:r w:rsidRPr="006A048F">
        <w:rPr>
          <w:lang w:eastAsia="zh-CN"/>
        </w:rPr>
        <w:t>4</w:t>
      </w:r>
      <w:r w:rsidR="00A251A2" w:rsidRPr="006A048F">
        <w:rPr>
          <w:lang w:eastAsia="zh-CN"/>
        </w:rPr>
        <w:t>.</w:t>
      </w:r>
      <w:r w:rsidR="00A251A2" w:rsidRPr="006A048F">
        <w:rPr>
          <w:lang w:eastAsia="zh-CN"/>
        </w:rPr>
        <w:tab/>
        <w:t>The following intergovernmental organization was represented: Intergovernmental Organization for International Carriage by Rail (OTIF).</w:t>
      </w:r>
    </w:p>
    <w:p w14:paraId="0CFC0F43" w14:textId="4FDBFD01" w:rsidR="00A251A2" w:rsidRPr="006A048F" w:rsidRDefault="00E66660" w:rsidP="00A251A2">
      <w:pPr>
        <w:tabs>
          <w:tab w:val="left" w:pos="1701"/>
          <w:tab w:val="left" w:pos="2268"/>
          <w:tab w:val="left" w:pos="2835"/>
        </w:tabs>
        <w:spacing w:after="120"/>
        <w:ind w:left="1134" w:right="1134"/>
        <w:jc w:val="both"/>
        <w:rPr>
          <w:lang w:eastAsia="zh-CN"/>
        </w:rPr>
      </w:pPr>
      <w:r w:rsidRPr="006A048F">
        <w:rPr>
          <w:lang w:eastAsia="zh-CN"/>
        </w:rPr>
        <w:t>5</w:t>
      </w:r>
      <w:r w:rsidR="00A251A2" w:rsidRPr="006A048F">
        <w:rPr>
          <w:lang w:eastAsia="zh-CN"/>
        </w:rPr>
        <w:t>.</w:t>
      </w:r>
      <w:r w:rsidR="00A251A2" w:rsidRPr="006A048F">
        <w:rPr>
          <w:lang w:eastAsia="zh-CN"/>
        </w:rPr>
        <w:tab/>
        <w:t>The following non-governmental organizations were represented: European Chemical Industry Council (</w:t>
      </w:r>
      <w:proofErr w:type="spellStart"/>
      <w:r w:rsidR="00A251A2" w:rsidRPr="006A048F">
        <w:rPr>
          <w:lang w:eastAsia="zh-CN"/>
        </w:rPr>
        <w:t>Cefic</w:t>
      </w:r>
      <w:proofErr w:type="spellEnd"/>
      <w:r w:rsidR="00A251A2" w:rsidRPr="006A048F">
        <w:rPr>
          <w:lang w:eastAsia="zh-CN"/>
        </w:rPr>
        <w:t xml:space="preserve">), European Confederation of Fuel Distributors (ECFD), International Association of Dangerous Goods Safety Advisers (IASA), International Organization of Motor Vehicle Manufacturers (OICA) and International Road Transport Union (IRU). </w:t>
      </w:r>
    </w:p>
    <w:p w14:paraId="3CE23FA7" w14:textId="77777777" w:rsidR="00A251A2" w:rsidRPr="006A048F" w:rsidRDefault="00A251A2" w:rsidP="00A251A2">
      <w:pPr>
        <w:keepNext/>
        <w:keepLines/>
        <w:tabs>
          <w:tab w:val="right" w:pos="851"/>
        </w:tabs>
        <w:spacing w:before="360" w:after="240" w:line="300" w:lineRule="exact"/>
        <w:ind w:left="1134" w:right="1134" w:hanging="1134"/>
        <w:outlineLvl w:val="1"/>
        <w:rPr>
          <w:b/>
          <w:sz w:val="28"/>
          <w:lang w:eastAsia="zh-CN"/>
        </w:rPr>
      </w:pPr>
      <w:r w:rsidRPr="006A048F">
        <w:rPr>
          <w:b/>
          <w:sz w:val="28"/>
          <w:lang w:eastAsia="zh-CN"/>
        </w:rPr>
        <w:tab/>
        <w:t>II.</w:t>
      </w:r>
      <w:r w:rsidRPr="006A048F">
        <w:rPr>
          <w:b/>
          <w:sz w:val="28"/>
          <w:lang w:eastAsia="zh-CN"/>
        </w:rPr>
        <w:tab/>
        <w:t>Adoption of the agenda (agenda item 1)</w:t>
      </w:r>
      <w:bookmarkStart w:id="2" w:name="_Hlk6316889"/>
      <w:bookmarkStart w:id="3" w:name="_Toc499903630"/>
      <w:bookmarkEnd w:id="2"/>
      <w:bookmarkEnd w:id="3"/>
    </w:p>
    <w:p w14:paraId="4EB0B9FE" w14:textId="77777777" w:rsidR="00A251A2" w:rsidRPr="006A048F" w:rsidRDefault="00A251A2" w:rsidP="00A251A2">
      <w:pPr>
        <w:tabs>
          <w:tab w:val="left" w:pos="3402"/>
        </w:tabs>
        <w:spacing w:after="120"/>
        <w:ind w:left="3402" w:right="1134" w:hanging="2268"/>
        <w:rPr>
          <w:lang w:eastAsia="zh-CN"/>
        </w:rPr>
      </w:pPr>
      <w:r w:rsidRPr="006A048F">
        <w:rPr>
          <w:i/>
          <w:iCs/>
          <w:lang w:eastAsia="zh-CN"/>
        </w:rPr>
        <w:t>Documents</w:t>
      </w:r>
      <w:r w:rsidRPr="006A048F">
        <w:rPr>
          <w:lang w:eastAsia="zh-CN"/>
        </w:rPr>
        <w:t>:</w:t>
      </w:r>
      <w:r w:rsidRPr="006A048F">
        <w:rPr>
          <w:lang w:eastAsia="zh-CN"/>
        </w:rPr>
        <w:tab/>
        <w:t>ECE/TRANS/WP.15/261 and ECE/TRANS/WP.15/261/Add.1 (Secretariat)</w:t>
      </w:r>
    </w:p>
    <w:p w14:paraId="6CDC1452" w14:textId="77777777" w:rsidR="00A251A2" w:rsidRPr="006A048F" w:rsidRDefault="00A251A2" w:rsidP="00A251A2">
      <w:pPr>
        <w:tabs>
          <w:tab w:val="left" w:pos="3402"/>
        </w:tabs>
        <w:spacing w:after="120"/>
        <w:ind w:left="3402" w:right="1134" w:hanging="2268"/>
        <w:jc w:val="both"/>
        <w:rPr>
          <w:lang w:eastAsia="zh-CN"/>
        </w:rPr>
      </w:pPr>
      <w:r w:rsidRPr="006A048F">
        <w:rPr>
          <w:i/>
          <w:iCs/>
          <w:lang w:eastAsia="zh-CN"/>
        </w:rPr>
        <w:t>Informal documents</w:t>
      </w:r>
      <w:r w:rsidRPr="006A048F">
        <w:rPr>
          <w:lang w:eastAsia="zh-CN"/>
        </w:rPr>
        <w:t>:</w:t>
      </w:r>
      <w:r w:rsidRPr="006A048F">
        <w:rPr>
          <w:lang w:eastAsia="zh-CN"/>
        </w:rPr>
        <w:tab/>
      </w:r>
      <w:r w:rsidRPr="006A048F">
        <w:rPr>
          <w:lang w:eastAsia="zh-CN"/>
        </w:rPr>
        <w:tab/>
        <w:t>INF.1, INF.2 and INF.3 (Secretariat)</w:t>
      </w:r>
    </w:p>
    <w:p w14:paraId="52047FD4" w14:textId="626C18B6" w:rsidR="00A251A2" w:rsidRPr="006A048F" w:rsidRDefault="00E66660" w:rsidP="00A251A2">
      <w:pPr>
        <w:suppressAutoHyphens/>
        <w:kinsoku w:val="0"/>
        <w:overflowPunct w:val="0"/>
        <w:autoSpaceDE w:val="0"/>
        <w:autoSpaceDN w:val="0"/>
        <w:adjustRightInd w:val="0"/>
        <w:snapToGrid w:val="0"/>
        <w:spacing w:after="120"/>
        <w:ind w:left="1134" w:right="1134"/>
        <w:jc w:val="both"/>
        <w:rPr>
          <w:lang w:eastAsia="zh-CN"/>
        </w:rPr>
      </w:pPr>
      <w:r w:rsidRPr="006A048F">
        <w:rPr>
          <w:lang w:eastAsia="zh-CN"/>
        </w:rPr>
        <w:t>6</w:t>
      </w:r>
      <w:r w:rsidR="00A251A2" w:rsidRPr="006A048F">
        <w:rPr>
          <w:lang w:eastAsia="zh-CN"/>
        </w:rPr>
        <w:t>.</w:t>
      </w:r>
      <w:r w:rsidR="00A251A2" w:rsidRPr="006A048F">
        <w:rPr>
          <w:lang w:eastAsia="zh-CN"/>
        </w:rPr>
        <w:tab/>
        <w:t xml:space="preserve">The Working Party adopted the provisional agenda prepared by the secretariat, as amended by informal document INF.2 to take account of informal documents INF.1 to INF.27. </w:t>
      </w:r>
    </w:p>
    <w:p w14:paraId="11A8D38A" w14:textId="77777777" w:rsidR="00A251A2" w:rsidRPr="006A048F" w:rsidRDefault="00A251A2" w:rsidP="00A251A2">
      <w:pPr>
        <w:keepNext/>
        <w:keepLines/>
        <w:tabs>
          <w:tab w:val="right" w:pos="851"/>
        </w:tabs>
        <w:spacing w:before="360" w:after="240" w:line="300" w:lineRule="exact"/>
        <w:ind w:left="1134" w:right="1134" w:hanging="1134"/>
        <w:outlineLvl w:val="1"/>
        <w:rPr>
          <w:b/>
          <w:sz w:val="28"/>
          <w:lang w:eastAsia="zh-CN"/>
        </w:rPr>
      </w:pPr>
      <w:r w:rsidRPr="006A048F">
        <w:rPr>
          <w:b/>
          <w:sz w:val="28"/>
          <w:lang w:eastAsia="zh-CN"/>
        </w:rPr>
        <w:tab/>
        <w:t>III.</w:t>
      </w:r>
      <w:r w:rsidRPr="006A048F">
        <w:rPr>
          <w:b/>
          <w:sz w:val="28"/>
          <w:lang w:eastAsia="zh-CN"/>
        </w:rPr>
        <w:tab/>
        <w:t>Eighty-fifth session of the Inland Transport Committee (ITC) (agenda item 2)</w:t>
      </w:r>
    </w:p>
    <w:p w14:paraId="14C821B6" w14:textId="29B287F1" w:rsidR="00A251A2" w:rsidRPr="006A048F" w:rsidRDefault="00A251A2" w:rsidP="00A251A2">
      <w:pPr>
        <w:tabs>
          <w:tab w:val="left" w:pos="3402"/>
        </w:tabs>
        <w:spacing w:after="120"/>
        <w:ind w:left="3402" w:right="1134" w:hanging="2268"/>
        <w:rPr>
          <w:lang w:eastAsia="zh-CN"/>
        </w:rPr>
      </w:pPr>
      <w:r w:rsidRPr="006A048F">
        <w:rPr>
          <w:i/>
          <w:iCs/>
          <w:lang w:eastAsia="zh-CN"/>
        </w:rPr>
        <w:t>Documents</w:t>
      </w:r>
      <w:r w:rsidRPr="006A048F">
        <w:rPr>
          <w:lang w:eastAsia="zh-CN"/>
        </w:rPr>
        <w:t>:</w:t>
      </w:r>
      <w:r w:rsidRPr="006A048F">
        <w:rPr>
          <w:lang w:eastAsia="zh-CN"/>
        </w:rPr>
        <w:tab/>
      </w:r>
      <w:r w:rsidRPr="006A048F">
        <w:rPr>
          <w:lang w:eastAsia="zh-CN"/>
        </w:rPr>
        <w:tab/>
        <w:t>ECE/TRANS/328 and ECE/TRANS/328/Add.1 (Report of the Inland Transport Committee on its eighty-fifth session) ECE/TRANS/2023/21 (ITC secretariat) ECE/TRANS/2023/4/Rev.1 (ITC secretariat)</w:t>
      </w:r>
    </w:p>
    <w:p w14:paraId="5CC20F05" w14:textId="77777777" w:rsidR="00A251A2" w:rsidRPr="006A048F" w:rsidRDefault="00A251A2" w:rsidP="00A251A2">
      <w:pPr>
        <w:suppressAutoHyphens/>
        <w:kinsoku w:val="0"/>
        <w:overflowPunct w:val="0"/>
        <w:autoSpaceDE w:val="0"/>
        <w:autoSpaceDN w:val="0"/>
        <w:adjustRightInd w:val="0"/>
        <w:snapToGrid w:val="0"/>
        <w:spacing w:before="120" w:after="120"/>
        <w:ind w:left="3402" w:right="1134" w:hanging="2268"/>
        <w:jc w:val="both"/>
        <w:rPr>
          <w:lang w:eastAsia="zh-CN"/>
        </w:rPr>
      </w:pPr>
      <w:r w:rsidRPr="006A048F">
        <w:rPr>
          <w:i/>
          <w:iCs/>
          <w:lang w:eastAsia="zh-CN"/>
        </w:rPr>
        <w:t>Informal document</w:t>
      </w:r>
      <w:r w:rsidRPr="006A048F">
        <w:rPr>
          <w:lang w:eastAsia="zh-CN"/>
        </w:rPr>
        <w:t>:</w:t>
      </w:r>
      <w:r w:rsidRPr="006A048F">
        <w:rPr>
          <w:lang w:eastAsia="zh-CN"/>
        </w:rPr>
        <w:tab/>
        <w:t>INF.19 (Secretariat)</w:t>
      </w:r>
    </w:p>
    <w:p w14:paraId="1BC70CBC" w14:textId="23C803D0" w:rsidR="00A251A2" w:rsidRPr="006A048F" w:rsidRDefault="00E66660" w:rsidP="00A251A2">
      <w:pPr>
        <w:tabs>
          <w:tab w:val="left" w:pos="1701"/>
          <w:tab w:val="left" w:pos="2268"/>
          <w:tab w:val="left" w:pos="2835"/>
        </w:tabs>
        <w:spacing w:after="120"/>
        <w:ind w:left="1134" w:right="1134"/>
        <w:jc w:val="both"/>
        <w:rPr>
          <w:lang w:eastAsia="zh-CN"/>
        </w:rPr>
      </w:pPr>
      <w:r w:rsidRPr="006A048F">
        <w:rPr>
          <w:lang w:eastAsia="zh-CN"/>
        </w:rPr>
        <w:t>7</w:t>
      </w:r>
      <w:r w:rsidR="00A251A2" w:rsidRPr="006A048F">
        <w:rPr>
          <w:lang w:eastAsia="zh-CN"/>
        </w:rPr>
        <w:t>.</w:t>
      </w:r>
      <w:r w:rsidR="00A251A2" w:rsidRPr="006A048F">
        <w:rPr>
          <w:lang w:eastAsia="zh-CN"/>
        </w:rPr>
        <w:tab/>
        <w:t>The Working Party took note of the relevant outcomes of the last session of the ITC (21–24 February 2023). The Working Group noted with satisfaction that the Committee had approved the results of its work for 2022 and adopted its programme of work and programme of meetings for 2023. The Working Party also welcomed the approval of the publication, in 2024, of the consolidated texts of ADR and ADN, as amended on 1 January 2025.</w:t>
      </w:r>
    </w:p>
    <w:p w14:paraId="3E403A93" w14:textId="3F2E0259" w:rsidR="00A251A2" w:rsidRPr="006A048F" w:rsidRDefault="00E66660" w:rsidP="00A251A2">
      <w:pPr>
        <w:tabs>
          <w:tab w:val="left" w:pos="1701"/>
          <w:tab w:val="left" w:pos="2268"/>
          <w:tab w:val="left" w:pos="2835"/>
        </w:tabs>
        <w:spacing w:after="120"/>
        <w:ind w:left="1134" w:right="1134"/>
        <w:jc w:val="both"/>
        <w:rPr>
          <w:lang w:eastAsia="zh-CN"/>
        </w:rPr>
      </w:pPr>
      <w:r w:rsidRPr="006A048F">
        <w:rPr>
          <w:lang w:eastAsia="zh-CN"/>
        </w:rPr>
        <w:t>8</w:t>
      </w:r>
      <w:r w:rsidR="00A251A2" w:rsidRPr="006A048F">
        <w:rPr>
          <w:lang w:eastAsia="zh-CN"/>
        </w:rPr>
        <w:t>.</w:t>
      </w:r>
      <w:r w:rsidR="00A251A2" w:rsidRPr="006A048F">
        <w:rPr>
          <w:lang w:eastAsia="zh-CN"/>
        </w:rPr>
        <w:tab/>
        <w:t xml:space="preserve">The Working Party noted with interest the continued work on the implementation of the Committee’s strategy until 2030. It noted that the Committee had encouraged all working groups to review their terms of reference and, where appropriate, to harmonize them with those of the Committee. The secretariat indicated that it would prepare a draft amendment to the terms of reference for the next session </w:t>
      </w:r>
      <w:proofErr w:type="gramStart"/>
      <w:r w:rsidR="00A251A2" w:rsidRPr="006A048F">
        <w:rPr>
          <w:lang w:eastAsia="zh-CN"/>
        </w:rPr>
        <w:t>on the basis of</w:t>
      </w:r>
      <w:proofErr w:type="gramEnd"/>
      <w:r w:rsidR="00A251A2" w:rsidRPr="006A048F">
        <w:rPr>
          <w:lang w:eastAsia="zh-CN"/>
        </w:rPr>
        <w:t xml:space="preserve"> the current terms of reference (ECE/TRANS/WP.15/190/Add.1) and the appraisal of the terms and model contained in Committee document ECE/TRANS/2023/4/Rev.1.</w:t>
      </w:r>
    </w:p>
    <w:p w14:paraId="4113EEAC" w14:textId="7B9268E7" w:rsidR="00A251A2" w:rsidRPr="006A048F" w:rsidRDefault="00E66660" w:rsidP="00A251A2">
      <w:pPr>
        <w:tabs>
          <w:tab w:val="left" w:pos="1701"/>
          <w:tab w:val="left" w:pos="2268"/>
          <w:tab w:val="left" w:pos="2835"/>
        </w:tabs>
        <w:spacing w:after="120"/>
        <w:ind w:left="1134" w:right="1134"/>
        <w:jc w:val="both"/>
        <w:rPr>
          <w:lang w:eastAsia="zh-CN"/>
        </w:rPr>
      </w:pPr>
      <w:r w:rsidRPr="006A048F">
        <w:rPr>
          <w:lang w:eastAsia="zh-CN"/>
        </w:rPr>
        <w:t>9</w:t>
      </w:r>
      <w:r w:rsidR="00A251A2" w:rsidRPr="006A048F">
        <w:rPr>
          <w:lang w:eastAsia="zh-CN"/>
        </w:rPr>
        <w:t>.</w:t>
      </w:r>
      <w:r w:rsidR="00A251A2" w:rsidRPr="006A048F">
        <w:rPr>
          <w:lang w:eastAsia="zh-CN"/>
        </w:rPr>
        <w:tab/>
        <w:t xml:space="preserve">The Working Party noted the Committee’s decision to review the terms of reference and the extension of its working parties during 2023 (see ECE/TRANS/328, para. 18) in accordance with the decisions taken during the 2005 reform of ECE and the guidelines for the establishment and functioning of working parties within ECE (ECE/EX/1). The Working Party also noted that this review would be conducted </w:t>
      </w:r>
      <w:proofErr w:type="gramStart"/>
      <w:r w:rsidR="00A251A2" w:rsidRPr="006A048F">
        <w:rPr>
          <w:lang w:eastAsia="zh-CN"/>
        </w:rPr>
        <w:t>on the basis of</w:t>
      </w:r>
      <w:proofErr w:type="gramEnd"/>
      <w:r w:rsidR="00A251A2" w:rsidRPr="006A048F">
        <w:rPr>
          <w:lang w:eastAsia="zh-CN"/>
        </w:rPr>
        <w:t xml:space="preserve"> input to be provided by </w:t>
      </w:r>
      <w:r w:rsidR="00A251A2" w:rsidRPr="006A048F">
        <w:rPr>
          <w:lang w:eastAsia="zh-CN"/>
        </w:rPr>
        <w:lastRenderedPageBreak/>
        <w:t>the Chairs of the working parties and would include identifying possible ways to improve efficiency and methods of work.</w:t>
      </w:r>
    </w:p>
    <w:p w14:paraId="34B80B16" w14:textId="28E17EC8" w:rsidR="00A251A2" w:rsidRPr="006A048F" w:rsidRDefault="00E66660" w:rsidP="00A251A2">
      <w:pPr>
        <w:tabs>
          <w:tab w:val="left" w:pos="1701"/>
          <w:tab w:val="left" w:pos="2268"/>
          <w:tab w:val="left" w:pos="2835"/>
        </w:tabs>
        <w:spacing w:after="120"/>
        <w:ind w:left="1134" w:right="1134"/>
        <w:jc w:val="both"/>
        <w:rPr>
          <w:lang w:eastAsia="zh-CN"/>
        </w:rPr>
      </w:pPr>
      <w:r w:rsidRPr="006A048F">
        <w:rPr>
          <w:lang w:eastAsia="zh-CN"/>
        </w:rPr>
        <w:t>10</w:t>
      </w:r>
      <w:r w:rsidR="00A251A2" w:rsidRPr="006A048F">
        <w:rPr>
          <w:lang w:eastAsia="zh-CN"/>
        </w:rPr>
        <w:t>.</w:t>
      </w:r>
      <w:r w:rsidR="00A251A2" w:rsidRPr="006A048F">
        <w:rPr>
          <w:lang w:eastAsia="zh-CN"/>
        </w:rPr>
        <w:tab/>
        <w:t xml:space="preserve">In this context, the Working Party welcomed the reminder in informal document INF.19 of the rules on methods of work that it had adopted in the past. It wished to resume discussions on its calendar of sessions and its rules for documentation at the next session </w:t>
      </w:r>
      <w:proofErr w:type="gramStart"/>
      <w:r w:rsidR="00A251A2" w:rsidRPr="006A048F">
        <w:rPr>
          <w:lang w:eastAsia="zh-CN"/>
        </w:rPr>
        <w:t>on the basis of</w:t>
      </w:r>
      <w:proofErr w:type="gramEnd"/>
      <w:r w:rsidR="00A251A2" w:rsidRPr="006A048F">
        <w:rPr>
          <w:lang w:eastAsia="zh-CN"/>
        </w:rPr>
        <w:t xml:space="preserve"> informal document INF.19, which would be submitted as an official document.</w:t>
      </w:r>
    </w:p>
    <w:p w14:paraId="138E133A" w14:textId="2F6BF599" w:rsidR="00A251A2" w:rsidRPr="006A048F" w:rsidRDefault="00E66660" w:rsidP="00A251A2">
      <w:pPr>
        <w:tabs>
          <w:tab w:val="left" w:pos="1701"/>
          <w:tab w:val="left" w:pos="2268"/>
          <w:tab w:val="left" w:pos="2835"/>
        </w:tabs>
        <w:spacing w:after="120"/>
        <w:ind w:left="1134" w:right="1134"/>
        <w:jc w:val="both"/>
        <w:rPr>
          <w:lang w:eastAsia="zh-CN"/>
        </w:rPr>
      </w:pPr>
      <w:r w:rsidRPr="006A048F">
        <w:rPr>
          <w:lang w:eastAsia="zh-CN"/>
        </w:rPr>
        <w:t>11</w:t>
      </w:r>
      <w:r w:rsidR="00A251A2" w:rsidRPr="006A048F">
        <w:rPr>
          <w:lang w:eastAsia="zh-CN"/>
        </w:rPr>
        <w:t xml:space="preserve">. </w:t>
      </w:r>
      <w:r w:rsidR="00A251A2" w:rsidRPr="006A048F">
        <w:rPr>
          <w:lang w:eastAsia="zh-CN"/>
        </w:rPr>
        <w:tab/>
        <w:t xml:space="preserve">The Working Party has already confirmed that the agenda for the last sessions of the biennial periods (November sessions of odd-numbered years) could be extended to new proposals for amendments, as has been done in previous years. </w:t>
      </w:r>
      <w:proofErr w:type="gramStart"/>
      <w:r w:rsidR="00A251A2" w:rsidRPr="006A048F">
        <w:rPr>
          <w:lang w:eastAsia="zh-CN"/>
        </w:rPr>
        <w:t>In particular, this</w:t>
      </w:r>
      <w:proofErr w:type="gramEnd"/>
      <w:r w:rsidR="00A251A2" w:rsidRPr="006A048F">
        <w:rPr>
          <w:lang w:eastAsia="zh-CN"/>
        </w:rPr>
        <w:t xml:space="preserve"> made it possible to take advantage of the time freed up by the fact that the documents adopted by the Joint Meeting concerning the provisions common to the three inland transport modes were, in general, no longer discussed again within the Working Party in order to focus on new provisions specific to road transport.</w:t>
      </w:r>
    </w:p>
    <w:p w14:paraId="4C844F71" w14:textId="574B1078" w:rsidR="00A251A2" w:rsidRPr="006A048F" w:rsidRDefault="00E66660" w:rsidP="00A251A2">
      <w:pPr>
        <w:tabs>
          <w:tab w:val="left" w:pos="1701"/>
          <w:tab w:val="left" w:pos="2268"/>
          <w:tab w:val="left" w:pos="2835"/>
        </w:tabs>
        <w:spacing w:after="120"/>
        <w:ind w:left="1134" w:right="1134"/>
        <w:jc w:val="both"/>
        <w:rPr>
          <w:lang w:eastAsia="zh-CN"/>
        </w:rPr>
      </w:pPr>
      <w:r w:rsidRPr="006A048F">
        <w:rPr>
          <w:lang w:eastAsia="zh-CN"/>
        </w:rPr>
        <w:t>12</w:t>
      </w:r>
      <w:r w:rsidR="00A251A2" w:rsidRPr="006A048F">
        <w:rPr>
          <w:lang w:eastAsia="zh-CN"/>
        </w:rPr>
        <w:t>.</w:t>
      </w:r>
      <w:r w:rsidR="00A251A2" w:rsidRPr="006A048F">
        <w:rPr>
          <w:lang w:eastAsia="zh-CN"/>
        </w:rPr>
        <w:tab/>
        <w:t xml:space="preserve">The Working Party noted with satisfaction the actions of the ITC on climate change adaptation and mitigation and confirmed its support for the development of the ITC strategy on the reduction of greenhouse gas emissions in inland transport </w:t>
      </w:r>
      <w:proofErr w:type="gramStart"/>
      <w:r w:rsidR="00A251A2" w:rsidRPr="006A048F">
        <w:rPr>
          <w:lang w:eastAsia="zh-CN"/>
        </w:rPr>
        <w:t>on the basis of</w:t>
      </w:r>
      <w:proofErr w:type="gramEnd"/>
      <w:r w:rsidR="00A251A2" w:rsidRPr="006A048F">
        <w:rPr>
          <w:lang w:eastAsia="zh-CN"/>
        </w:rPr>
        <w:t xml:space="preserve"> the draft presented at the session by a member of the Committee’s secretariat. Noting that the deadline for contributions and comments on the draft was Friday, 29 September 2023, the Working Party invited delegations wishing to do so to send their contributions to the Chair before the beginning of September </w:t>
      </w:r>
      <w:proofErr w:type="gramStart"/>
      <w:r w:rsidR="00A251A2" w:rsidRPr="006A048F">
        <w:rPr>
          <w:lang w:eastAsia="zh-CN"/>
        </w:rPr>
        <w:t>on the basis of</w:t>
      </w:r>
      <w:proofErr w:type="gramEnd"/>
      <w:r w:rsidR="00A251A2" w:rsidRPr="006A048F">
        <w:rPr>
          <w:lang w:eastAsia="zh-CN"/>
        </w:rPr>
        <w:t xml:space="preserve"> the preliminary work contained in document ECE/TRANS/2023/21.</w:t>
      </w:r>
    </w:p>
    <w:p w14:paraId="0AE884CF" w14:textId="77777777" w:rsidR="00A251A2" w:rsidRPr="006A048F" w:rsidRDefault="00A251A2" w:rsidP="00A251A2">
      <w:pPr>
        <w:keepNext/>
        <w:keepLines/>
        <w:tabs>
          <w:tab w:val="right" w:pos="851"/>
        </w:tabs>
        <w:spacing w:before="360" w:after="240" w:line="300" w:lineRule="exact"/>
        <w:ind w:left="1134" w:right="1134" w:hanging="1134"/>
        <w:outlineLvl w:val="1"/>
        <w:rPr>
          <w:b/>
          <w:sz w:val="28"/>
          <w:lang w:eastAsia="zh-CN"/>
        </w:rPr>
      </w:pPr>
      <w:r w:rsidRPr="006A048F">
        <w:rPr>
          <w:b/>
          <w:sz w:val="28"/>
          <w:lang w:eastAsia="zh-CN"/>
        </w:rPr>
        <w:tab/>
        <w:t>IV.</w:t>
      </w:r>
      <w:r w:rsidRPr="006A048F">
        <w:rPr>
          <w:b/>
          <w:sz w:val="28"/>
          <w:lang w:eastAsia="zh-CN"/>
        </w:rPr>
        <w:tab/>
        <w:t>Status of the Agreement concerning the International Carriage of Dangerous Goods by Road (ADR) and related issues (agenda item 3)</w:t>
      </w:r>
    </w:p>
    <w:p w14:paraId="153BBC1D" w14:textId="77777777" w:rsidR="00A251A2" w:rsidRPr="006A048F" w:rsidRDefault="00A251A2" w:rsidP="00A251A2">
      <w:pPr>
        <w:keepNext/>
        <w:keepLines/>
        <w:tabs>
          <w:tab w:val="right" w:pos="851"/>
        </w:tabs>
        <w:spacing w:before="360" w:after="240" w:line="270" w:lineRule="exact"/>
        <w:ind w:left="1134" w:right="1134" w:hanging="1134"/>
        <w:outlineLvl w:val="2"/>
        <w:rPr>
          <w:rFonts w:eastAsia="Calibri"/>
          <w:b/>
          <w:sz w:val="24"/>
          <w:lang w:eastAsia="zh-CN"/>
        </w:rPr>
      </w:pPr>
      <w:r w:rsidRPr="006A048F">
        <w:rPr>
          <w:b/>
          <w:sz w:val="24"/>
          <w:lang w:eastAsia="zh-CN"/>
        </w:rPr>
        <w:tab/>
        <w:t>A.</w:t>
      </w:r>
      <w:r w:rsidRPr="006A048F">
        <w:rPr>
          <w:b/>
          <w:sz w:val="24"/>
          <w:lang w:eastAsia="zh-CN"/>
        </w:rPr>
        <w:tab/>
        <w:t xml:space="preserve">Status of the Agreement </w:t>
      </w:r>
    </w:p>
    <w:p w14:paraId="2FAC5FE1" w14:textId="7B3C3814" w:rsidR="00A251A2" w:rsidRPr="006A048F" w:rsidRDefault="00E66660" w:rsidP="00A251A2">
      <w:pPr>
        <w:tabs>
          <w:tab w:val="left" w:pos="1701"/>
          <w:tab w:val="left" w:pos="2268"/>
          <w:tab w:val="left" w:pos="2835"/>
        </w:tabs>
        <w:spacing w:after="120"/>
        <w:ind w:left="1134" w:right="1134"/>
        <w:jc w:val="both"/>
        <w:rPr>
          <w:lang w:eastAsia="zh-CN"/>
        </w:rPr>
      </w:pPr>
      <w:r w:rsidRPr="006A048F">
        <w:rPr>
          <w:lang w:eastAsia="zh-CN"/>
        </w:rPr>
        <w:t>13</w:t>
      </w:r>
      <w:r w:rsidR="00A251A2" w:rsidRPr="006A048F">
        <w:rPr>
          <w:lang w:eastAsia="zh-CN"/>
        </w:rPr>
        <w:t>.</w:t>
      </w:r>
      <w:r w:rsidR="00A251A2" w:rsidRPr="006A048F">
        <w:rPr>
          <w:lang w:eastAsia="zh-CN"/>
        </w:rPr>
        <w:tab/>
        <w:t>There have been no changes to the status of ADR (54 contracting parties) nor to that of the Protocol of amendment of 1993 (40 contracting parties) since the last session.</w:t>
      </w:r>
    </w:p>
    <w:p w14:paraId="02E70F30" w14:textId="77777777" w:rsidR="00A251A2" w:rsidRPr="006A048F" w:rsidRDefault="00A251A2" w:rsidP="00A251A2">
      <w:pPr>
        <w:keepNext/>
        <w:keepLines/>
        <w:tabs>
          <w:tab w:val="right" w:pos="851"/>
        </w:tabs>
        <w:spacing w:before="360" w:after="240" w:line="270" w:lineRule="exact"/>
        <w:ind w:left="1134" w:right="1134" w:hanging="1134"/>
        <w:outlineLvl w:val="2"/>
        <w:rPr>
          <w:rFonts w:eastAsia="Calibri"/>
          <w:b/>
          <w:sz w:val="24"/>
          <w:lang w:eastAsia="zh-CN"/>
        </w:rPr>
      </w:pPr>
      <w:r w:rsidRPr="006A048F">
        <w:rPr>
          <w:b/>
          <w:sz w:val="24"/>
          <w:lang w:eastAsia="zh-CN"/>
        </w:rPr>
        <w:tab/>
        <w:t>B.</w:t>
      </w:r>
      <w:r w:rsidRPr="006A048F">
        <w:rPr>
          <w:b/>
          <w:sz w:val="24"/>
          <w:lang w:eastAsia="zh-CN"/>
        </w:rPr>
        <w:tab/>
        <w:t>Protocol of amendment of 1993</w:t>
      </w:r>
    </w:p>
    <w:p w14:paraId="753E4CBF" w14:textId="5555B827" w:rsidR="00A251A2" w:rsidRPr="006A048F" w:rsidRDefault="00E66660" w:rsidP="00A251A2">
      <w:pPr>
        <w:tabs>
          <w:tab w:val="left" w:pos="1701"/>
          <w:tab w:val="left" w:pos="2268"/>
          <w:tab w:val="left" w:pos="2835"/>
        </w:tabs>
        <w:spacing w:after="120"/>
        <w:ind w:left="1134" w:right="1134"/>
        <w:jc w:val="both"/>
        <w:rPr>
          <w:lang w:eastAsia="zh-CN"/>
        </w:rPr>
      </w:pPr>
      <w:r w:rsidRPr="006A048F">
        <w:rPr>
          <w:lang w:eastAsia="zh-CN"/>
        </w:rPr>
        <w:t>14</w:t>
      </w:r>
      <w:r w:rsidR="00A251A2" w:rsidRPr="006A048F">
        <w:rPr>
          <w:lang w:eastAsia="zh-CN"/>
        </w:rPr>
        <w:t>.</w:t>
      </w:r>
      <w:r w:rsidR="00A251A2" w:rsidRPr="006A048F">
        <w:rPr>
          <w:lang w:eastAsia="zh-CN"/>
        </w:rPr>
        <w:tab/>
        <w:t xml:space="preserve">The Working Party encouraged the countries that had not yet deposited the required legal instruments for the Protocol of 1993 to enter into force (Armenia, Azerbaijan, Belarus, Bosnia and Herzegovina, Croatia, Iceland, Kazakhstan, Montenegro, Morocco, North Macedonia, Nigeria, San Marino, </w:t>
      </w:r>
      <w:proofErr w:type="gramStart"/>
      <w:r w:rsidR="00A251A2" w:rsidRPr="006A048F">
        <w:rPr>
          <w:lang w:eastAsia="zh-CN"/>
        </w:rPr>
        <w:t>Tajikistan</w:t>
      </w:r>
      <w:proofErr w:type="gramEnd"/>
      <w:r w:rsidR="00A251A2" w:rsidRPr="006A048F">
        <w:rPr>
          <w:lang w:eastAsia="zh-CN"/>
        </w:rPr>
        <w:t xml:space="preserve"> and Uganda) to take the necessary measures to ratify or accede to it so that it could come into effect.</w:t>
      </w:r>
    </w:p>
    <w:p w14:paraId="721330F3" w14:textId="16162C60" w:rsidR="00A251A2" w:rsidRPr="006A048F" w:rsidRDefault="00A251A2" w:rsidP="00A251A2">
      <w:pPr>
        <w:tabs>
          <w:tab w:val="left" w:pos="1701"/>
          <w:tab w:val="left" w:pos="2268"/>
          <w:tab w:val="left" w:pos="2835"/>
        </w:tabs>
        <w:spacing w:after="120"/>
        <w:ind w:left="1134" w:right="1134"/>
        <w:jc w:val="both"/>
        <w:rPr>
          <w:lang w:eastAsia="zh-CN"/>
        </w:rPr>
      </w:pPr>
      <w:r w:rsidRPr="006A048F">
        <w:rPr>
          <w:lang w:eastAsia="zh-CN"/>
        </w:rPr>
        <w:t>15.</w:t>
      </w:r>
      <w:r w:rsidRPr="006A048F">
        <w:rPr>
          <w:lang w:eastAsia="zh-CN"/>
        </w:rPr>
        <w:tab/>
        <w:t>It was noted that when the Protocol would enter into force the restriction of at least four wheels in the scope of ADR would apply (see paragraphs 40 to 45).</w:t>
      </w:r>
    </w:p>
    <w:p w14:paraId="5E608B9A" w14:textId="77777777" w:rsidR="00BF24C9" w:rsidRPr="006A048F" w:rsidRDefault="00BF24C9" w:rsidP="00BF24C9">
      <w:pPr>
        <w:keepNext/>
        <w:keepLines/>
        <w:tabs>
          <w:tab w:val="right" w:pos="851"/>
        </w:tabs>
        <w:suppressAutoHyphens/>
        <w:spacing w:before="360" w:after="240" w:line="300" w:lineRule="exact"/>
        <w:ind w:left="1134" w:right="1134" w:hanging="1134"/>
        <w:outlineLvl w:val="1"/>
        <w:rPr>
          <w:b/>
          <w:sz w:val="28"/>
          <w:lang w:eastAsia="en-US"/>
        </w:rPr>
      </w:pPr>
      <w:r w:rsidRPr="006A048F">
        <w:rPr>
          <w:b/>
          <w:sz w:val="28"/>
          <w:lang w:eastAsia="en-US"/>
        </w:rPr>
        <w:tab/>
        <w:t>V.</w:t>
      </w:r>
      <w:r w:rsidRPr="006A048F">
        <w:rPr>
          <w:b/>
          <w:sz w:val="28"/>
          <w:lang w:eastAsia="en-US"/>
        </w:rPr>
        <w:tab/>
        <w:t>Work of the RID/ADR/ADN Joint Meeting (agenda item 4)</w:t>
      </w:r>
    </w:p>
    <w:p w14:paraId="38D87122" w14:textId="77777777" w:rsidR="00BF24C9" w:rsidRPr="006A048F" w:rsidRDefault="00BF24C9" w:rsidP="00BF24C9">
      <w:pPr>
        <w:tabs>
          <w:tab w:val="left" w:pos="3402"/>
        </w:tabs>
        <w:suppressAutoHyphens/>
        <w:spacing w:after="120"/>
        <w:ind w:left="3402" w:right="1134" w:hanging="2268"/>
        <w:rPr>
          <w:rFonts w:eastAsia="SimSun"/>
          <w:lang w:eastAsia="zh-CN"/>
        </w:rPr>
      </w:pPr>
      <w:r w:rsidRPr="006A048F">
        <w:rPr>
          <w:rFonts w:eastAsia="SimSun"/>
          <w:i/>
          <w:iCs/>
          <w:lang w:eastAsia="zh-CN"/>
        </w:rPr>
        <w:t>Documents</w:t>
      </w:r>
      <w:r w:rsidRPr="006A048F">
        <w:rPr>
          <w:rFonts w:eastAsia="SimSun"/>
          <w:lang w:eastAsia="zh-CN"/>
        </w:rPr>
        <w:t>:</w:t>
      </w:r>
      <w:r w:rsidRPr="006A048F">
        <w:rPr>
          <w:rFonts w:eastAsia="SimSun"/>
          <w:lang w:eastAsia="zh-CN"/>
        </w:rPr>
        <w:tab/>
      </w:r>
      <w:r w:rsidRPr="006A048F">
        <w:rPr>
          <w:rFonts w:eastAsia="SimSun"/>
          <w:lang w:eastAsia="zh-CN"/>
        </w:rPr>
        <w:tab/>
        <w:t xml:space="preserve">ECE/TRANS/WP.15/AC.1/168 (Report of the Joint Meeting on its spring 2023 session) </w:t>
      </w:r>
      <w:r w:rsidRPr="006A048F">
        <w:rPr>
          <w:rFonts w:eastAsia="SimSun"/>
          <w:lang w:eastAsia="zh-CN"/>
        </w:rPr>
        <w:br/>
        <w:t>ECE/TRANS/WP.15/AC.1/2023/14 (Germany)</w:t>
      </w:r>
    </w:p>
    <w:p w14:paraId="6278E530" w14:textId="77777777" w:rsidR="00BF24C9" w:rsidRPr="006A048F" w:rsidRDefault="00BF24C9" w:rsidP="00BF24C9">
      <w:pPr>
        <w:tabs>
          <w:tab w:val="left" w:pos="3402"/>
        </w:tabs>
        <w:suppressAutoHyphens/>
        <w:spacing w:after="120"/>
        <w:ind w:left="3402" w:right="1134" w:hanging="2268"/>
        <w:rPr>
          <w:rFonts w:eastAsia="SimSun"/>
          <w:lang w:eastAsia="zh-CN"/>
        </w:rPr>
      </w:pPr>
      <w:r w:rsidRPr="006A048F">
        <w:rPr>
          <w:rFonts w:eastAsia="SimSun"/>
          <w:i/>
          <w:iCs/>
          <w:lang w:eastAsia="zh-CN"/>
        </w:rPr>
        <w:t>Informal documents</w:t>
      </w:r>
      <w:r w:rsidRPr="006A048F">
        <w:rPr>
          <w:rFonts w:eastAsia="SimSun"/>
          <w:lang w:eastAsia="zh-CN"/>
        </w:rPr>
        <w:t>:</w:t>
      </w:r>
      <w:r w:rsidRPr="006A048F">
        <w:rPr>
          <w:rFonts w:eastAsia="SimSun"/>
          <w:lang w:eastAsia="zh-CN"/>
        </w:rPr>
        <w:tab/>
        <w:t>INF.7 (Secretariat), INF.8 (France), INF.18 (Finland), INF.24 (Germany)</w:t>
      </w:r>
    </w:p>
    <w:p w14:paraId="52FD5959" w14:textId="63AACF7A" w:rsidR="00BF24C9" w:rsidRPr="006A048F" w:rsidRDefault="00BF24C9"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16.</w:t>
      </w:r>
      <w:r w:rsidRPr="006A048F">
        <w:rPr>
          <w:rFonts w:eastAsia="SimSun"/>
          <w:lang w:eastAsia="zh-CN"/>
        </w:rPr>
        <w:tab/>
        <w:t>The Working Party endorsed the amendments adopted by the Joint Meeting at its spring 2023 session, as contained in informal document INF.7 in English, French and Russian with some editorial changes (see annex). The amendments to 6.8.2.2.11 and related transitional measures, in square brackets, will be confirmed at the 114th session after further discussion at the next session of the Joint Meeting.</w:t>
      </w:r>
    </w:p>
    <w:p w14:paraId="5C598F49" w14:textId="77777777" w:rsidR="00BF24C9" w:rsidRPr="006A048F" w:rsidRDefault="00BF24C9"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lastRenderedPageBreak/>
        <w:t>17.</w:t>
      </w:r>
      <w:r w:rsidRPr="006A048F">
        <w:rPr>
          <w:rFonts w:eastAsia="SimSun"/>
          <w:lang w:eastAsia="zh-CN"/>
        </w:rPr>
        <w:tab/>
        <w:t xml:space="preserve">The Working Party agreed to maintain the reference to Chapter 3.5 in the text of 5.4.1.1.21, as amended, although 3.5.6 refers to documents other than the transport document provided for in Chapter 5.4 of ADR. </w:t>
      </w:r>
    </w:p>
    <w:p w14:paraId="72DAC932" w14:textId="3A927CFE" w:rsidR="00BF24C9" w:rsidRPr="006A048F" w:rsidRDefault="00BF24C9"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18.</w:t>
      </w:r>
      <w:r w:rsidRPr="006A048F">
        <w:rPr>
          <w:rFonts w:eastAsia="SimSun"/>
          <w:lang w:eastAsia="zh-CN"/>
        </w:rPr>
        <w:tab/>
        <w:t>The text of document ECE/TRANS/WP.15/AC.1/2023/14 was adopted with the editorial changes adopted by the Joint Meeting and with additional editorial changes (see annex).</w:t>
      </w:r>
    </w:p>
    <w:p w14:paraId="4E656FA9" w14:textId="77777777" w:rsidR="00BF24C9" w:rsidRPr="006A048F" w:rsidRDefault="00BF24C9"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19.</w:t>
      </w:r>
      <w:r w:rsidRPr="006A048F">
        <w:rPr>
          <w:rFonts w:eastAsia="SimSun"/>
          <w:lang w:eastAsia="zh-CN"/>
        </w:rPr>
        <w:tab/>
        <w:t>The Working Party considered the different options contained in informal document INF.18 to take account of the possible consequences for the wording of 5.4.1.4.2 of the amendment adopted in 5.4.0.1. Most of the delegations that expressed their views came down in favour of the consequential amendment proposed in option 2. The Working Party noted, however, that the wording of this paragraph may need to be further revised to refer to the identification of goods carried by vehicle rather than by transport unit. The current text has been maintained.</w:t>
      </w:r>
    </w:p>
    <w:p w14:paraId="293A05F8" w14:textId="77777777" w:rsidR="00AD5D19" w:rsidRPr="006A048F" w:rsidRDefault="00AD5D19" w:rsidP="00AD5D19">
      <w:pPr>
        <w:keepNext/>
        <w:keepLines/>
        <w:tabs>
          <w:tab w:val="right" w:pos="851"/>
        </w:tabs>
        <w:suppressAutoHyphens/>
        <w:spacing w:before="360" w:after="240" w:line="300" w:lineRule="exact"/>
        <w:ind w:left="1134" w:right="1134" w:hanging="1134"/>
        <w:outlineLvl w:val="1"/>
        <w:rPr>
          <w:b/>
          <w:sz w:val="28"/>
          <w:lang w:eastAsia="en-US"/>
        </w:rPr>
      </w:pPr>
      <w:r w:rsidRPr="006A048F">
        <w:rPr>
          <w:b/>
          <w:bCs/>
          <w:sz w:val="28"/>
          <w:lang w:eastAsia="en-US"/>
        </w:rPr>
        <w:tab/>
        <w:t>VI.</w:t>
      </w:r>
      <w:r w:rsidRPr="006A048F">
        <w:rPr>
          <w:b/>
          <w:sz w:val="28"/>
          <w:lang w:eastAsia="en-US"/>
        </w:rPr>
        <w:tab/>
      </w:r>
      <w:r w:rsidRPr="006A048F">
        <w:rPr>
          <w:b/>
          <w:bCs/>
          <w:sz w:val="28"/>
          <w:lang w:eastAsia="en-US"/>
        </w:rPr>
        <w:t>Proposals for amendments to annexes A and B of ADR (agenda item 5)</w:t>
      </w:r>
    </w:p>
    <w:p w14:paraId="3203C5E0" w14:textId="77777777" w:rsidR="00AD5D19" w:rsidRPr="006A048F" w:rsidRDefault="00AD5D19" w:rsidP="00AD5D19">
      <w:pPr>
        <w:keepNext/>
        <w:keepLines/>
        <w:tabs>
          <w:tab w:val="right" w:pos="851"/>
        </w:tabs>
        <w:suppressAutoHyphens/>
        <w:spacing w:before="360" w:after="240" w:line="270" w:lineRule="exact"/>
        <w:ind w:left="1134" w:right="1134" w:hanging="1134"/>
        <w:outlineLvl w:val="2"/>
        <w:rPr>
          <w:b/>
          <w:sz w:val="24"/>
          <w:lang w:eastAsia="en-US"/>
        </w:rPr>
      </w:pPr>
      <w:r w:rsidRPr="006A048F">
        <w:rPr>
          <w:b/>
          <w:bCs/>
          <w:sz w:val="24"/>
          <w:lang w:eastAsia="en-US"/>
        </w:rPr>
        <w:tab/>
        <w:t>A.</w:t>
      </w:r>
      <w:r w:rsidRPr="006A048F">
        <w:rPr>
          <w:b/>
          <w:sz w:val="24"/>
          <w:lang w:eastAsia="en-US"/>
        </w:rPr>
        <w:tab/>
      </w:r>
      <w:r w:rsidRPr="006A048F">
        <w:rPr>
          <w:b/>
          <w:bCs/>
          <w:sz w:val="24"/>
          <w:lang w:eastAsia="en-US"/>
        </w:rPr>
        <w:t>Construction and approval of vehicles</w:t>
      </w:r>
    </w:p>
    <w:p w14:paraId="55CAE07D" w14:textId="77777777" w:rsidR="00AD5D19" w:rsidRPr="006A048F" w:rsidRDefault="00AD5D19" w:rsidP="00AD5D19">
      <w:pPr>
        <w:keepNext/>
        <w:keepLines/>
        <w:tabs>
          <w:tab w:val="right" w:pos="851"/>
        </w:tabs>
        <w:suppressAutoHyphens/>
        <w:spacing w:before="240" w:after="120" w:line="240" w:lineRule="exact"/>
        <w:ind w:left="1134" w:right="1134" w:hanging="1134"/>
        <w:outlineLvl w:val="3"/>
        <w:rPr>
          <w:b/>
          <w:lang w:eastAsia="en-US"/>
        </w:rPr>
      </w:pPr>
      <w:r w:rsidRPr="006A048F">
        <w:rPr>
          <w:b/>
          <w:bCs/>
          <w:lang w:eastAsia="en-US"/>
        </w:rPr>
        <w:tab/>
        <w:t>1.</w:t>
      </w:r>
      <w:r w:rsidRPr="006A048F">
        <w:rPr>
          <w:b/>
          <w:lang w:eastAsia="en-US"/>
        </w:rPr>
        <w:tab/>
      </w:r>
      <w:r w:rsidRPr="006A048F">
        <w:rPr>
          <w:b/>
          <w:bCs/>
          <w:lang w:eastAsia="en-US"/>
        </w:rPr>
        <w:t>Rear protection of vehicles</w:t>
      </w:r>
    </w:p>
    <w:p w14:paraId="63130B80" w14:textId="77777777" w:rsidR="00AD5D19" w:rsidRPr="006A048F" w:rsidRDefault="00AD5D19" w:rsidP="00AD5D19">
      <w:pPr>
        <w:keepNext/>
        <w:keepLines/>
        <w:tabs>
          <w:tab w:val="left" w:pos="3402"/>
        </w:tabs>
        <w:suppressAutoHyphens/>
        <w:kinsoku w:val="0"/>
        <w:overflowPunct w:val="0"/>
        <w:autoSpaceDE w:val="0"/>
        <w:autoSpaceDN w:val="0"/>
        <w:adjustRightInd w:val="0"/>
        <w:snapToGrid w:val="0"/>
        <w:spacing w:after="120"/>
        <w:ind w:left="3402" w:right="1134" w:hanging="2268"/>
        <w:rPr>
          <w:lang w:eastAsia="en-US"/>
        </w:rPr>
      </w:pPr>
      <w:r w:rsidRPr="006A048F">
        <w:rPr>
          <w:i/>
          <w:iCs/>
          <w:lang w:eastAsia="en-US"/>
        </w:rPr>
        <w:t>Document</w:t>
      </w:r>
      <w:r w:rsidRPr="006A048F">
        <w:rPr>
          <w:lang w:eastAsia="en-US"/>
        </w:rPr>
        <w:t>:</w:t>
      </w:r>
      <w:r w:rsidRPr="006A048F">
        <w:rPr>
          <w:lang w:eastAsia="en-US"/>
        </w:rPr>
        <w:tab/>
      </w:r>
      <w:r w:rsidRPr="006A048F">
        <w:rPr>
          <w:lang w:eastAsia="en-US"/>
        </w:rPr>
        <w:tab/>
        <w:t>ECE/TRANS/WP.15/2023/1 (United Kingdom)</w:t>
      </w:r>
    </w:p>
    <w:p w14:paraId="6CAD2382" w14:textId="77777777" w:rsidR="00AD5D19" w:rsidRPr="006A048F" w:rsidRDefault="00AD5D19" w:rsidP="00AD5D19">
      <w:pPr>
        <w:suppressAutoHyphens/>
        <w:kinsoku w:val="0"/>
        <w:overflowPunct w:val="0"/>
        <w:autoSpaceDE w:val="0"/>
        <w:autoSpaceDN w:val="0"/>
        <w:adjustRightInd w:val="0"/>
        <w:snapToGrid w:val="0"/>
        <w:spacing w:before="120" w:after="120"/>
        <w:ind w:left="3402" w:right="1134" w:hanging="2268"/>
        <w:jc w:val="both"/>
        <w:rPr>
          <w:lang w:eastAsia="en-US"/>
        </w:rPr>
      </w:pPr>
      <w:r w:rsidRPr="006A048F">
        <w:rPr>
          <w:i/>
          <w:iCs/>
          <w:lang w:eastAsia="en-US"/>
        </w:rPr>
        <w:t>Informal document</w:t>
      </w:r>
      <w:r w:rsidRPr="006A048F">
        <w:rPr>
          <w:lang w:eastAsia="en-US"/>
        </w:rPr>
        <w:t>:</w:t>
      </w:r>
      <w:r w:rsidRPr="006A048F">
        <w:rPr>
          <w:lang w:eastAsia="en-US"/>
        </w:rPr>
        <w:tab/>
        <w:t>INF.9 (Netherlands)</w:t>
      </w:r>
    </w:p>
    <w:p w14:paraId="493835A7" w14:textId="5A3604A9" w:rsidR="00AD5D19" w:rsidRPr="006A048F" w:rsidRDefault="00E66660" w:rsidP="00AD5D19">
      <w:pPr>
        <w:tabs>
          <w:tab w:val="left" w:pos="1701"/>
          <w:tab w:val="left" w:pos="2268"/>
        </w:tabs>
        <w:suppressAutoHyphens/>
        <w:spacing w:after="120"/>
        <w:ind w:left="1134" w:right="1134"/>
        <w:jc w:val="both"/>
        <w:rPr>
          <w:rFonts w:eastAsia="SimSun"/>
          <w:lang w:eastAsia="zh-CN"/>
        </w:rPr>
      </w:pPr>
      <w:r w:rsidRPr="006A048F">
        <w:rPr>
          <w:rFonts w:eastAsia="SimSun"/>
          <w:lang w:eastAsia="zh-CN"/>
        </w:rPr>
        <w:t>20</w:t>
      </w:r>
      <w:r w:rsidR="00AD5D19" w:rsidRPr="006A048F">
        <w:rPr>
          <w:rFonts w:eastAsia="SimSun"/>
          <w:lang w:eastAsia="zh-CN"/>
        </w:rPr>
        <w:t>.</w:t>
      </w:r>
      <w:r w:rsidR="00AD5D19" w:rsidRPr="006A048F">
        <w:rPr>
          <w:rFonts w:eastAsia="SimSun"/>
          <w:lang w:eastAsia="zh-CN"/>
        </w:rPr>
        <w:tab/>
        <w:t xml:space="preserve">Several delegations were in favour of the proposal of the United Kingdom. Several delegations supported the comments of the Netherlands contained in informal document INF.9 and preferred to continue the discussion at the next session </w:t>
      </w:r>
      <w:proofErr w:type="gramStart"/>
      <w:r w:rsidR="00AD5D19" w:rsidRPr="006A048F">
        <w:rPr>
          <w:rFonts w:eastAsia="SimSun"/>
          <w:lang w:eastAsia="zh-CN"/>
        </w:rPr>
        <w:t>on the basis of</w:t>
      </w:r>
      <w:proofErr w:type="gramEnd"/>
      <w:r w:rsidR="00AD5D19" w:rsidRPr="006A048F">
        <w:rPr>
          <w:rFonts w:eastAsia="SimSun"/>
          <w:lang w:eastAsia="zh-CN"/>
        </w:rPr>
        <w:t xml:space="preserve"> a revised proposal to take account of those comments. The Working Party invited delegations who so wished to send their comments to the representatives of the United Kingdom and the Netherlands, who would prepare a revised proposal for the next session.</w:t>
      </w:r>
    </w:p>
    <w:p w14:paraId="0C6F123A" w14:textId="77777777" w:rsidR="00AD5D19" w:rsidRPr="006A048F" w:rsidRDefault="00AD5D19" w:rsidP="00AD5D19">
      <w:pPr>
        <w:keepNext/>
        <w:keepLines/>
        <w:tabs>
          <w:tab w:val="right" w:pos="851"/>
        </w:tabs>
        <w:suppressAutoHyphens/>
        <w:spacing w:before="240" w:after="120" w:line="240" w:lineRule="exact"/>
        <w:ind w:left="1134" w:right="1134" w:hanging="1134"/>
        <w:outlineLvl w:val="3"/>
        <w:rPr>
          <w:b/>
          <w:lang w:eastAsia="en-US"/>
        </w:rPr>
      </w:pPr>
      <w:r w:rsidRPr="006A048F">
        <w:rPr>
          <w:b/>
          <w:bCs/>
          <w:lang w:eastAsia="en-US"/>
        </w:rPr>
        <w:tab/>
        <w:t>2.</w:t>
      </w:r>
      <w:r w:rsidRPr="006A048F">
        <w:rPr>
          <w:b/>
          <w:lang w:eastAsia="en-US"/>
        </w:rPr>
        <w:tab/>
      </w:r>
      <w:r w:rsidRPr="006A048F">
        <w:rPr>
          <w:b/>
          <w:bCs/>
          <w:lang w:eastAsia="en-US"/>
        </w:rPr>
        <w:t>Informal working group on electrified vehicles</w:t>
      </w:r>
      <w:bookmarkStart w:id="4" w:name="_Hlk103239770"/>
      <w:bookmarkEnd w:id="4"/>
    </w:p>
    <w:p w14:paraId="1C1AE449" w14:textId="77777777" w:rsidR="00AD5D19" w:rsidRPr="00013E9B" w:rsidRDefault="00AD5D19" w:rsidP="00AD5D19">
      <w:pPr>
        <w:keepNext/>
        <w:keepLines/>
        <w:tabs>
          <w:tab w:val="left" w:pos="3402"/>
        </w:tabs>
        <w:suppressAutoHyphens/>
        <w:kinsoku w:val="0"/>
        <w:overflowPunct w:val="0"/>
        <w:autoSpaceDE w:val="0"/>
        <w:autoSpaceDN w:val="0"/>
        <w:adjustRightInd w:val="0"/>
        <w:snapToGrid w:val="0"/>
        <w:spacing w:after="120"/>
        <w:ind w:left="3402" w:right="1134" w:hanging="2268"/>
        <w:rPr>
          <w:lang w:val="fr-CH" w:eastAsia="en-US"/>
        </w:rPr>
      </w:pPr>
      <w:proofErr w:type="gramStart"/>
      <w:r w:rsidRPr="00013E9B">
        <w:rPr>
          <w:i/>
          <w:iCs/>
          <w:lang w:val="fr-CH" w:eastAsia="en-US"/>
        </w:rPr>
        <w:t>Document</w:t>
      </w:r>
      <w:r w:rsidRPr="00013E9B">
        <w:rPr>
          <w:lang w:val="fr-CH" w:eastAsia="en-US"/>
        </w:rPr>
        <w:t>:</w:t>
      </w:r>
      <w:proofErr w:type="gramEnd"/>
      <w:r w:rsidRPr="00013E9B">
        <w:rPr>
          <w:lang w:val="fr-CH" w:eastAsia="en-US"/>
        </w:rPr>
        <w:tab/>
      </w:r>
      <w:r w:rsidRPr="00013E9B">
        <w:rPr>
          <w:lang w:val="fr-CH" w:eastAsia="en-US"/>
        </w:rPr>
        <w:tab/>
        <w:t>ECE/TRANS/WP.15/2023/4 (</w:t>
      </w:r>
      <w:proofErr w:type="spellStart"/>
      <w:r w:rsidRPr="00013E9B">
        <w:rPr>
          <w:lang w:val="fr-CH" w:eastAsia="en-US"/>
        </w:rPr>
        <w:t>Netherlands</w:t>
      </w:r>
      <w:proofErr w:type="spellEnd"/>
      <w:r w:rsidRPr="00013E9B">
        <w:rPr>
          <w:lang w:val="fr-CH" w:eastAsia="en-US"/>
        </w:rPr>
        <w:t>)</w:t>
      </w:r>
    </w:p>
    <w:p w14:paraId="4EB47440" w14:textId="77777777" w:rsidR="00AD5D19" w:rsidRPr="006A048F" w:rsidRDefault="00AD5D19" w:rsidP="00AD5D19">
      <w:pPr>
        <w:suppressAutoHyphens/>
        <w:kinsoku w:val="0"/>
        <w:overflowPunct w:val="0"/>
        <w:autoSpaceDE w:val="0"/>
        <w:autoSpaceDN w:val="0"/>
        <w:adjustRightInd w:val="0"/>
        <w:snapToGrid w:val="0"/>
        <w:spacing w:before="120" w:after="120"/>
        <w:ind w:left="3402" w:right="1134" w:hanging="2268"/>
        <w:jc w:val="both"/>
        <w:rPr>
          <w:lang w:eastAsia="en-US"/>
        </w:rPr>
      </w:pPr>
      <w:r w:rsidRPr="006A048F">
        <w:rPr>
          <w:i/>
          <w:iCs/>
          <w:lang w:eastAsia="en-US"/>
        </w:rPr>
        <w:t>Informal document</w:t>
      </w:r>
      <w:r w:rsidRPr="006A048F">
        <w:rPr>
          <w:lang w:eastAsia="en-US"/>
        </w:rPr>
        <w:t>:</w:t>
      </w:r>
      <w:r w:rsidRPr="006A048F">
        <w:rPr>
          <w:lang w:eastAsia="en-US"/>
        </w:rPr>
        <w:tab/>
        <w:t>INF.5 (Chair of the informal working group on electrified vehicles), INF.27 (Netherlands)</w:t>
      </w:r>
    </w:p>
    <w:p w14:paraId="7BDC89C6" w14:textId="3A313304" w:rsidR="00AD5D19" w:rsidRPr="006A048F" w:rsidRDefault="00E66660" w:rsidP="00AD5D19">
      <w:pPr>
        <w:tabs>
          <w:tab w:val="left" w:pos="1701"/>
          <w:tab w:val="left" w:pos="2268"/>
        </w:tabs>
        <w:suppressAutoHyphens/>
        <w:spacing w:after="120"/>
        <w:ind w:left="1134" w:right="1134"/>
        <w:jc w:val="both"/>
        <w:rPr>
          <w:rFonts w:eastAsia="SimSun"/>
          <w:lang w:eastAsia="zh-CN"/>
        </w:rPr>
      </w:pPr>
      <w:r w:rsidRPr="006A048F">
        <w:rPr>
          <w:rFonts w:eastAsia="SimSun"/>
          <w:lang w:eastAsia="zh-CN"/>
        </w:rPr>
        <w:t>21</w:t>
      </w:r>
      <w:r w:rsidR="00AD5D19" w:rsidRPr="006A048F">
        <w:rPr>
          <w:rFonts w:eastAsia="SimSun"/>
          <w:lang w:eastAsia="zh-CN"/>
        </w:rPr>
        <w:t>.</w:t>
      </w:r>
      <w:r w:rsidR="00AD5D19" w:rsidRPr="006A048F">
        <w:rPr>
          <w:rFonts w:eastAsia="SimSun"/>
          <w:lang w:eastAsia="zh-CN"/>
        </w:rPr>
        <w:tab/>
        <w:t>The representative of the Netherlands, as chair of the informal working group on electrified vehicles, reported on the progress of the work of the group and the proposed amendments to document ECE/TRANS/WP.15/2023/4 aimed at amending the provisions concerning the energizing of power systems for their application to electric vehicles.</w:t>
      </w:r>
    </w:p>
    <w:p w14:paraId="569E588E" w14:textId="025C281A" w:rsidR="00AD5D19" w:rsidRPr="006A048F" w:rsidRDefault="00E66660" w:rsidP="00AD5D19">
      <w:pPr>
        <w:tabs>
          <w:tab w:val="left" w:pos="1701"/>
          <w:tab w:val="left" w:pos="2268"/>
        </w:tabs>
        <w:suppressAutoHyphens/>
        <w:spacing w:after="120"/>
        <w:ind w:left="1134" w:right="1134"/>
        <w:jc w:val="both"/>
        <w:rPr>
          <w:rFonts w:eastAsia="SimSun"/>
          <w:lang w:eastAsia="zh-CN"/>
        </w:rPr>
      </w:pPr>
      <w:r w:rsidRPr="006A048F">
        <w:rPr>
          <w:rFonts w:eastAsia="SimSun"/>
          <w:lang w:eastAsia="zh-CN"/>
        </w:rPr>
        <w:t>22</w:t>
      </w:r>
      <w:r w:rsidR="00AD5D19" w:rsidRPr="006A048F">
        <w:rPr>
          <w:rFonts w:eastAsia="SimSun"/>
          <w:lang w:eastAsia="zh-CN"/>
        </w:rPr>
        <w:t>.</w:t>
      </w:r>
      <w:r w:rsidR="00AD5D19" w:rsidRPr="006A048F">
        <w:rPr>
          <w:rFonts w:eastAsia="SimSun"/>
          <w:lang w:eastAsia="zh-CN"/>
        </w:rPr>
        <w:tab/>
        <w:t>The Working Party noted that the secretariat post was still vacant and requested OICA to appoint a new secretary from among its members as soon as possible so as not to delay the work of the informal group.</w:t>
      </w:r>
    </w:p>
    <w:p w14:paraId="13B82185" w14:textId="50A7E33C" w:rsidR="00AD5D19" w:rsidRPr="006A048F" w:rsidRDefault="00E66660" w:rsidP="00AD5D19">
      <w:pPr>
        <w:tabs>
          <w:tab w:val="left" w:pos="1701"/>
          <w:tab w:val="left" w:pos="2268"/>
        </w:tabs>
        <w:suppressAutoHyphens/>
        <w:spacing w:after="120"/>
        <w:ind w:left="1134" w:right="1134"/>
        <w:jc w:val="both"/>
        <w:rPr>
          <w:rFonts w:eastAsia="SimSun"/>
          <w:lang w:eastAsia="zh-CN"/>
        </w:rPr>
      </w:pPr>
      <w:r w:rsidRPr="006A048F">
        <w:rPr>
          <w:rFonts w:eastAsia="SimSun"/>
          <w:lang w:eastAsia="zh-CN"/>
        </w:rPr>
        <w:t>23</w:t>
      </w:r>
      <w:r w:rsidR="00AD5D19" w:rsidRPr="006A048F">
        <w:rPr>
          <w:rFonts w:eastAsia="SimSun"/>
          <w:lang w:eastAsia="zh-CN"/>
        </w:rPr>
        <w:t>.</w:t>
      </w:r>
      <w:r w:rsidR="00AD5D19" w:rsidRPr="006A048F">
        <w:rPr>
          <w:rFonts w:eastAsia="SimSun"/>
          <w:lang w:eastAsia="zh-CN"/>
        </w:rPr>
        <w:tab/>
        <w:t>The Working Party adopted the proposed amendments to document ECE/TRANS/WP.15/2023/4 with some editorial changes and additional consequential amendments (see annex). It considered that the wording of the note under 9.2.2.8 could be improved. The note was kept in square brackets to be reviewed in the following session. The Working Party noted with satisfaction that the adoption of these new provisions was a first step to allow the adoption of provisions for the use of battery electrified vehicles for category</w:t>
      </w:r>
      <w:r w:rsidR="00D45BF0">
        <w:rPr>
          <w:rFonts w:eastAsia="SimSun"/>
          <w:lang w:eastAsia="zh-CN"/>
        </w:rPr>
        <w:t> </w:t>
      </w:r>
      <w:r w:rsidR="00AD5D19" w:rsidRPr="006A048F">
        <w:rPr>
          <w:rFonts w:eastAsia="SimSun"/>
          <w:lang w:eastAsia="zh-CN"/>
        </w:rPr>
        <w:t xml:space="preserve">FL. </w:t>
      </w:r>
    </w:p>
    <w:p w14:paraId="19EAAE4E" w14:textId="77777777" w:rsidR="00AD5D19" w:rsidRPr="006A048F" w:rsidRDefault="00AD5D19" w:rsidP="00D45BF0">
      <w:pPr>
        <w:keepNext/>
        <w:keepLines/>
        <w:tabs>
          <w:tab w:val="right" w:pos="851"/>
        </w:tabs>
        <w:suppressAutoHyphens/>
        <w:spacing w:before="240" w:after="120" w:line="240" w:lineRule="exact"/>
        <w:ind w:left="1134" w:right="1134" w:hanging="1134"/>
        <w:outlineLvl w:val="3"/>
        <w:rPr>
          <w:rFonts w:eastAsia="Calibri"/>
          <w:b/>
          <w:lang w:eastAsia="en-US"/>
        </w:rPr>
      </w:pPr>
      <w:r w:rsidRPr="006A048F">
        <w:rPr>
          <w:b/>
          <w:bCs/>
          <w:lang w:eastAsia="en-US"/>
        </w:rPr>
        <w:lastRenderedPageBreak/>
        <w:tab/>
        <w:t>3.</w:t>
      </w:r>
      <w:r w:rsidRPr="006A048F">
        <w:rPr>
          <w:b/>
          <w:lang w:eastAsia="en-US"/>
        </w:rPr>
        <w:tab/>
      </w:r>
      <w:r w:rsidRPr="006A048F">
        <w:rPr>
          <w:b/>
          <w:bCs/>
          <w:lang w:eastAsia="en-US"/>
        </w:rPr>
        <w:t>Supplement 18 to the 11 series of amendments to UN Regulation No. 13 (Heavy vehicle braking)</w:t>
      </w:r>
      <w:r w:rsidRPr="006A048F">
        <w:rPr>
          <w:b/>
          <w:lang w:eastAsia="en-US"/>
        </w:rPr>
        <w:t xml:space="preserve"> </w:t>
      </w:r>
    </w:p>
    <w:p w14:paraId="5B2DA8A5" w14:textId="77777777" w:rsidR="00AD5D19" w:rsidRPr="006A048F" w:rsidRDefault="00AD5D19" w:rsidP="00D45BF0">
      <w:pPr>
        <w:keepNext/>
        <w:keepLines/>
        <w:suppressAutoHyphens/>
        <w:kinsoku w:val="0"/>
        <w:overflowPunct w:val="0"/>
        <w:autoSpaceDE w:val="0"/>
        <w:autoSpaceDN w:val="0"/>
        <w:adjustRightInd w:val="0"/>
        <w:snapToGrid w:val="0"/>
        <w:spacing w:before="120" w:after="120"/>
        <w:ind w:left="3402" w:right="1134" w:hanging="2268"/>
        <w:jc w:val="both"/>
        <w:rPr>
          <w:lang w:eastAsia="en-US"/>
        </w:rPr>
      </w:pPr>
      <w:r w:rsidRPr="006A048F">
        <w:rPr>
          <w:i/>
          <w:iCs/>
          <w:lang w:eastAsia="en-US"/>
        </w:rPr>
        <w:t>Informal documents</w:t>
      </w:r>
      <w:r w:rsidRPr="006A048F">
        <w:rPr>
          <w:lang w:eastAsia="en-US"/>
        </w:rPr>
        <w:t>:</w:t>
      </w:r>
      <w:r w:rsidRPr="006A048F">
        <w:rPr>
          <w:lang w:eastAsia="en-US"/>
        </w:rPr>
        <w:tab/>
        <w:t>INF.6 (Netherlands), INF.16 (OICA)</w:t>
      </w:r>
    </w:p>
    <w:p w14:paraId="01ABB8A2" w14:textId="7815C661" w:rsidR="00AD5D19" w:rsidRPr="006A048F" w:rsidRDefault="00E66660" w:rsidP="00D45BF0">
      <w:pPr>
        <w:keepNext/>
        <w:keepLines/>
        <w:tabs>
          <w:tab w:val="left" w:pos="1701"/>
          <w:tab w:val="left" w:pos="2268"/>
        </w:tabs>
        <w:suppressAutoHyphens/>
        <w:spacing w:after="120"/>
        <w:ind w:left="1134" w:right="1134"/>
        <w:jc w:val="both"/>
        <w:rPr>
          <w:rFonts w:eastAsia="Calibri"/>
          <w:lang w:eastAsia="zh-CN"/>
        </w:rPr>
      </w:pPr>
      <w:r w:rsidRPr="006A048F">
        <w:rPr>
          <w:rFonts w:eastAsia="SimSun"/>
          <w:lang w:eastAsia="zh-CN"/>
        </w:rPr>
        <w:t>24</w:t>
      </w:r>
      <w:r w:rsidR="00AD5D19" w:rsidRPr="006A048F">
        <w:rPr>
          <w:rFonts w:eastAsia="SimSun"/>
          <w:lang w:eastAsia="zh-CN"/>
        </w:rPr>
        <w:t xml:space="preserve">. </w:t>
      </w:r>
      <w:r w:rsidR="00AD5D19" w:rsidRPr="006A048F">
        <w:rPr>
          <w:rFonts w:eastAsia="SimSun"/>
          <w:lang w:eastAsia="zh-CN"/>
        </w:rPr>
        <w:tab/>
        <w:t xml:space="preserve">The Working Party noted that the World Forum for Harmonization of Vehicle Regulations had adopted Supplement 18 to the 11 series of amendments to UN Regulation No. 13 at its March 2021 session to cover electric regenerative braking systems. </w:t>
      </w:r>
    </w:p>
    <w:p w14:paraId="33D6C78A" w14:textId="10C39E85" w:rsidR="00AD5D19" w:rsidRPr="006A048F" w:rsidRDefault="00E66660" w:rsidP="00AD5D19">
      <w:pPr>
        <w:tabs>
          <w:tab w:val="left" w:pos="1701"/>
          <w:tab w:val="left" w:pos="2268"/>
        </w:tabs>
        <w:suppressAutoHyphens/>
        <w:spacing w:after="120"/>
        <w:ind w:left="1134" w:right="1134"/>
        <w:jc w:val="both"/>
        <w:rPr>
          <w:rFonts w:eastAsia="SimSun"/>
          <w:lang w:eastAsia="zh-CN"/>
        </w:rPr>
      </w:pPr>
      <w:r w:rsidRPr="006A048F">
        <w:rPr>
          <w:rFonts w:eastAsia="SimSun"/>
          <w:lang w:eastAsia="zh-CN"/>
        </w:rPr>
        <w:t>25</w:t>
      </w:r>
      <w:r w:rsidR="00AD5D19" w:rsidRPr="006A048F">
        <w:rPr>
          <w:rFonts w:eastAsia="SimSun"/>
          <w:lang w:eastAsia="zh-CN"/>
        </w:rPr>
        <w:t>.</w:t>
      </w:r>
      <w:r w:rsidR="00AD5D19" w:rsidRPr="006A048F">
        <w:rPr>
          <w:rFonts w:eastAsia="SimSun"/>
          <w:lang w:eastAsia="zh-CN"/>
        </w:rPr>
        <w:tab/>
      </w:r>
      <w:proofErr w:type="gramStart"/>
      <w:r w:rsidR="00AD5D19" w:rsidRPr="006A048F">
        <w:rPr>
          <w:rFonts w:eastAsia="SimSun"/>
          <w:lang w:eastAsia="zh-CN"/>
        </w:rPr>
        <w:t>On the basis of</w:t>
      </w:r>
      <w:proofErr w:type="gramEnd"/>
      <w:r w:rsidR="00AD5D19" w:rsidRPr="006A048F">
        <w:rPr>
          <w:rFonts w:eastAsia="SimSun"/>
          <w:lang w:eastAsia="zh-CN"/>
        </w:rPr>
        <w:t xml:space="preserve"> the explanations given in informal document INF.16, the Working Party agreed that the current provisions of ADR concerning braking remained unchanged for the moment and that it might be necessary to come back to this subject in the future.</w:t>
      </w:r>
    </w:p>
    <w:p w14:paraId="53FECF14" w14:textId="77777777" w:rsidR="000A4219" w:rsidRPr="006A048F" w:rsidRDefault="000A4219" w:rsidP="000A4219">
      <w:pPr>
        <w:keepNext/>
        <w:keepLines/>
        <w:tabs>
          <w:tab w:val="right" w:pos="851"/>
        </w:tabs>
        <w:spacing w:before="240" w:after="120" w:line="240" w:lineRule="exact"/>
        <w:ind w:left="1134" w:right="1134" w:hanging="1134"/>
        <w:outlineLvl w:val="3"/>
        <w:rPr>
          <w:b/>
          <w:lang w:eastAsia="zh-CN"/>
        </w:rPr>
      </w:pPr>
      <w:r w:rsidRPr="006A048F">
        <w:rPr>
          <w:b/>
          <w:bCs/>
          <w:lang w:eastAsia="zh-CN"/>
        </w:rPr>
        <w:tab/>
        <w:t>4.</w:t>
      </w:r>
      <w:r w:rsidRPr="006A048F">
        <w:rPr>
          <w:b/>
          <w:lang w:eastAsia="zh-CN"/>
        </w:rPr>
        <w:tab/>
      </w:r>
      <w:r w:rsidRPr="006A048F">
        <w:rPr>
          <w:b/>
          <w:bCs/>
          <w:lang w:eastAsia="zh-CN"/>
        </w:rPr>
        <w:t>Certificate of approval</w:t>
      </w:r>
    </w:p>
    <w:p w14:paraId="715B0249" w14:textId="77777777" w:rsidR="000A4219" w:rsidRPr="006A048F" w:rsidRDefault="000A4219" w:rsidP="000A4219">
      <w:pPr>
        <w:suppressAutoHyphens/>
        <w:kinsoku w:val="0"/>
        <w:overflowPunct w:val="0"/>
        <w:autoSpaceDE w:val="0"/>
        <w:autoSpaceDN w:val="0"/>
        <w:adjustRightInd w:val="0"/>
        <w:snapToGrid w:val="0"/>
        <w:spacing w:before="120" w:after="120"/>
        <w:ind w:left="3402" w:right="1134" w:hanging="2268"/>
        <w:jc w:val="both"/>
        <w:rPr>
          <w:lang w:eastAsia="zh-CN"/>
        </w:rPr>
      </w:pPr>
      <w:r w:rsidRPr="006A048F">
        <w:rPr>
          <w:i/>
          <w:iCs/>
          <w:lang w:eastAsia="zh-CN"/>
        </w:rPr>
        <w:t>Informal document</w:t>
      </w:r>
      <w:r w:rsidRPr="006A048F">
        <w:rPr>
          <w:lang w:eastAsia="zh-CN"/>
        </w:rPr>
        <w:t>:</w:t>
      </w:r>
      <w:r w:rsidRPr="006A048F">
        <w:rPr>
          <w:lang w:eastAsia="zh-CN"/>
        </w:rPr>
        <w:tab/>
        <w:t>INF.22 (United Kingdom)</w:t>
      </w:r>
    </w:p>
    <w:p w14:paraId="4B73AA6C" w14:textId="761EDF07" w:rsidR="000A4219" w:rsidRPr="006A048F" w:rsidRDefault="00E66660" w:rsidP="000A4219">
      <w:pPr>
        <w:tabs>
          <w:tab w:val="left" w:pos="1701"/>
          <w:tab w:val="left" w:pos="2268"/>
          <w:tab w:val="left" w:pos="2835"/>
        </w:tabs>
        <w:spacing w:after="120"/>
        <w:ind w:left="1134" w:right="1134"/>
        <w:jc w:val="both"/>
        <w:rPr>
          <w:lang w:eastAsia="zh-CN"/>
        </w:rPr>
      </w:pPr>
      <w:r w:rsidRPr="006A048F">
        <w:rPr>
          <w:lang w:eastAsia="zh-CN"/>
        </w:rPr>
        <w:t>26</w:t>
      </w:r>
      <w:r w:rsidR="000A4219" w:rsidRPr="006A048F">
        <w:rPr>
          <w:lang w:eastAsia="zh-CN"/>
        </w:rPr>
        <w:t>.</w:t>
      </w:r>
      <w:r w:rsidR="000A4219" w:rsidRPr="006A048F">
        <w:rPr>
          <w:lang w:eastAsia="zh-CN"/>
        </w:rPr>
        <w:tab/>
        <w:t xml:space="preserve">Most of the delegations that spoke </w:t>
      </w:r>
      <w:proofErr w:type="gramStart"/>
      <w:r w:rsidR="000A4219" w:rsidRPr="006A048F">
        <w:rPr>
          <w:lang w:eastAsia="zh-CN"/>
        </w:rPr>
        <w:t>were of the opinion that</w:t>
      </w:r>
      <w:proofErr w:type="gramEnd"/>
      <w:r w:rsidR="000A4219" w:rsidRPr="006A048F">
        <w:rPr>
          <w:lang w:eastAsia="zh-CN"/>
        </w:rPr>
        <w:t xml:space="preserve"> the ADR in force on 1 January 2023 only allowed for paper versions of the certificate of approval. Some delegations indicated that the approval bodies in their countries could already issue certificates in electronic form, but that a printed version in accordance with the format in 9.1.3 had to be carried on board the vehicle.</w:t>
      </w:r>
    </w:p>
    <w:p w14:paraId="2F5DCD79" w14:textId="2E5FA031" w:rsidR="000A4219" w:rsidRPr="006A048F" w:rsidRDefault="00E66660" w:rsidP="000A4219">
      <w:pPr>
        <w:tabs>
          <w:tab w:val="left" w:pos="1701"/>
          <w:tab w:val="left" w:pos="2268"/>
          <w:tab w:val="left" w:pos="2835"/>
        </w:tabs>
        <w:spacing w:after="120"/>
        <w:ind w:left="1134" w:right="1134"/>
        <w:jc w:val="both"/>
        <w:rPr>
          <w:lang w:eastAsia="zh-CN"/>
        </w:rPr>
      </w:pPr>
      <w:r w:rsidRPr="006A048F">
        <w:rPr>
          <w:lang w:eastAsia="zh-CN"/>
        </w:rPr>
        <w:t>27</w:t>
      </w:r>
      <w:r w:rsidR="000A4219" w:rsidRPr="006A048F">
        <w:rPr>
          <w:lang w:eastAsia="zh-CN"/>
        </w:rPr>
        <w:t xml:space="preserve">. </w:t>
      </w:r>
      <w:r w:rsidR="000A4219" w:rsidRPr="006A048F">
        <w:rPr>
          <w:lang w:eastAsia="zh-CN"/>
        </w:rPr>
        <w:tab/>
        <w:t>The delegations that spoke were in favour of introducing provisions to allow for the dematerialization of certificates of approval. These provisions should include arrangements for access to and authentication of such certificates and appropriate security arrangements for the storage and processing of electronic data.</w:t>
      </w:r>
    </w:p>
    <w:p w14:paraId="3CA06570" w14:textId="64ECC207" w:rsidR="000A4219" w:rsidRPr="006A048F" w:rsidRDefault="00E66660" w:rsidP="000A4219">
      <w:pPr>
        <w:tabs>
          <w:tab w:val="left" w:pos="1701"/>
          <w:tab w:val="left" w:pos="2268"/>
          <w:tab w:val="left" w:pos="2835"/>
        </w:tabs>
        <w:spacing w:after="120"/>
        <w:ind w:left="1134" w:right="1134"/>
        <w:jc w:val="both"/>
        <w:rPr>
          <w:lang w:eastAsia="zh-CN"/>
        </w:rPr>
      </w:pPr>
      <w:r w:rsidRPr="006A048F">
        <w:rPr>
          <w:lang w:eastAsia="zh-CN"/>
        </w:rPr>
        <w:t>28</w:t>
      </w:r>
      <w:r w:rsidR="000A4219" w:rsidRPr="006A048F">
        <w:rPr>
          <w:lang w:eastAsia="zh-CN"/>
        </w:rPr>
        <w:t>.</w:t>
      </w:r>
      <w:r w:rsidR="000A4219" w:rsidRPr="006A048F">
        <w:rPr>
          <w:lang w:eastAsia="zh-CN"/>
        </w:rPr>
        <w:tab/>
        <w:t>The Working Party invited the United Kingdom to continue work on this topic.</w:t>
      </w:r>
    </w:p>
    <w:p w14:paraId="79A1C91C" w14:textId="3071E6A4" w:rsidR="00F331BC" w:rsidRPr="006A048F" w:rsidRDefault="00F331BC" w:rsidP="00F331BC">
      <w:pPr>
        <w:pStyle w:val="H23G"/>
      </w:pPr>
      <w:r w:rsidRPr="006A048F">
        <w:tab/>
        <w:t xml:space="preserve">5. </w:t>
      </w:r>
      <w:r w:rsidRPr="006A048F">
        <w:tab/>
        <w:t>Tyre pressure monitoring system</w:t>
      </w:r>
    </w:p>
    <w:p w14:paraId="4EAD3679" w14:textId="77777777" w:rsidR="00F331BC" w:rsidRPr="006A048F" w:rsidRDefault="00F331BC" w:rsidP="00F331BC">
      <w:pPr>
        <w:pStyle w:val="SingleTxtG"/>
      </w:pPr>
      <w:r w:rsidRPr="006A048F">
        <w:rPr>
          <w:i/>
          <w:iCs/>
        </w:rPr>
        <w:t>Informal document:</w:t>
      </w:r>
      <w:r w:rsidRPr="006A048F">
        <w:t xml:space="preserve"> INF.26 (Netherlands)</w:t>
      </w:r>
    </w:p>
    <w:p w14:paraId="660FB12C" w14:textId="215AE77C" w:rsidR="00F331BC" w:rsidRPr="006A048F" w:rsidRDefault="00E66660" w:rsidP="00F331BC">
      <w:pPr>
        <w:pStyle w:val="SingleTxtG"/>
      </w:pPr>
      <w:r w:rsidRPr="006A048F">
        <w:t>29</w:t>
      </w:r>
      <w:r w:rsidR="00F331BC" w:rsidRPr="006A048F">
        <w:t>.</w:t>
      </w:r>
      <w:r w:rsidR="00F331BC" w:rsidRPr="006A048F">
        <w:tab/>
        <w:t xml:space="preserve">The delegations which spoke </w:t>
      </w:r>
      <w:proofErr w:type="gramStart"/>
      <w:r w:rsidR="00F331BC" w:rsidRPr="006A048F">
        <w:t>were of the opinion that</w:t>
      </w:r>
      <w:proofErr w:type="gramEnd"/>
      <w:r w:rsidR="00F331BC" w:rsidRPr="006A048F">
        <w:t xml:space="preserve"> 1.1.3.7 did not exempt tyre pressure sensors from the requirements of 9.2.2.9 for EX/III and FL vehicles and that sensors on these vehicles inside the pressure chamber were not required to comply with the requirements of 9.2.2.9.</w:t>
      </w:r>
    </w:p>
    <w:p w14:paraId="7060424A" w14:textId="77777777" w:rsidR="000A4219" w:rsidRPr="006A048F" w:rsidRDefault="000A4219" w:rsidP="000A4219">
      <w:pPr>
        <w:keepNext/>
        <w:keepLines/>
        <w:tabs>
          <w:tab w:val="right" w:pos="851"/>
        </w:tabs>
        <w:spacing w:before="360" w:after="240" w:line="270" w:lineRule="exact"/>
        <w:ind w:left="1134" w:right="1134" w:hanging="1134"/>
        <w:outlineLvl w:val="2"/>
        <w:rPr>
          <w:b/>
          <w:sz w:val="24"/>
          <w:lang w:eastAsia="zh-CN"/>
        </w:rPr>
      </w:pPr>
      <w:r w:rsidRPr="006A048F">
        <w:rPr>
          <w:b/>
          <w:bCs/>
          <w:sz w:val="24"/>
          <w:lang w:eastAsia="zh-CN"/>
        </w:rPr>
        <w:tab/>
        <w:t>B.</w:t>
      </w:r>
      <w:r w:rsidRPr="006A048F">
        <w:rPr>
          <w:b/>
          <w:sz w:val="24"/>
          <w:lang w:eastAsia="zh-CN"/>
        </w:rPr>
        <w:tab/>
      </w:r>
      <w:r w:rsidRPr="006A048F">
        <w:rPr>
          <w:b/>
          <w:bCs/>
          <w:sz w:val="24"/>
          <w:lang w:eastAsia="zh-CN"/>
        </w:rPr>
        <w:t>Miscellaneous proposals</w:t>
      </w:r>
    </w:p>
    <w:p w14:paraId="37DC1176" w14:textId="77777777" w:rsidR="000A4219" w:rsidRPr="006A048F" w:rsidRDefault="000A4219" w:rsidP="000A4219">
      <w:pPr>
        <w:keepNext/>
        <w:keepLines/>
        <w:tabs>
          <w:tab w:val="right" w:pos="851"/>
        </w:tabs>
        <w:spacing w:before="240" w:after="120" w:line="240" w:lineRule="exact"/>
        <w:ind w:left="1134" w:right="1134" w:hanging="1134"/>
        <w:outlineLvl w:val="3"/>
        <w:rPr>
          <w:b/>
          <w:lang w:eastAsia="zh-CN"/>
        </w:rPr>
      </w:pPr>
      <w:r w:rsidRPr="006A048F">
        <w:rPr>
          <w:b/>
          <w:bCs/>
          <w:lang w:eastAsia="zh-CN"/>
        </w:rPr>
        <w:tab/>
        <w:t>1.</w:t>
      </w:r>
      <w:r w:rsidRPr="006A048F">
        <w:rPr>
          <w:b/>
          <w:lang w:eastAsia="zh-CN"/>
        </w:rPr>
        <w:tab/>
      </w:r>
      <w:r w:rsidRPr="006A048F">
        <w:rPr>
          <w:b/>
          <w:bCs/>
          <w:lang w:eastAsia="zh-CN"/>
        </w:rPr>
        <w:t>Earth symbol in 6.8.2.1.27</w:t>
      </w:r>
    </w:p>
    <w:p w14:paraId="1096AA05" w14:textId="77777777" w:rsidR="000A4219" w:rsidRPr="006A048F" w:rsidRDefault="000A4219" w:rsidP="000A4219">
      <w:pPr>
        <w:suppressAutoHyphens/>
        <w:kinsoku w:val="0"/>
        <w:overflowPunct w:val="0"/>
        <w:autoSpaceDE w:val="0"/>
        <w:autoSpaceDN w:val="0"/>
        <w:adjustRightInd w:val="0"/>
        <w:snapToGrid w:val="0"/>
        <w:spacing w:before="120" w:after="120"/>
        <w:ind w:left="3402" w:right="1134" w:hanging="2268"/>
        <w:jc w:val="both"/>
        <w:rPr>
          <w:lang w:eastAsia="zh-CN"/>
        </w:rPr>
      </w:pPr>
      <w:r w:rsidRPr="006A048F">
        <w:rPr>
          <w:i/>
          <w:iCs/>
          <w:lang w:eastAsia="zh-CN"/>
        </w:rPr>
        <w:t>Document</w:t>
      </w:r>
      <w:r w:rsidRPr="006A048F">
        <w:rPr>
          <w:lang w:eastAsia="zh-CN"/>
        </w:rPr>
        <w:t>:</w:t>
      </w:r>
      <w:r w:rsidRPr="006A048F">
        <w:rPr>
          <w:lang w:eastAsia="zh-CN"/>
        </w:rPr>
        <w:tab/>
        <w:t>ECE/TRANS/WP.15/2023/2 (Germany)</w:t>
      </w:r>
    </w:p>
    <w:p w14:paraId="7F054699" w14:textId="6C6A5033" w:rsidR="000A4219" w:rsidRPr="006A048F" w:rsidRDefault="00E66660" w:rsidP="000A4219">
      <w:pPr>
        <w:tabs>
          <w:tab w:val="left" w:pos="1701"/>
          <w:tab w:val="left" w:pos="2268"/>
          <w:tab w:val="left" w:pos="2835"/>
        </w:tabs>
        <w:spacing w:after="120"/>
        <w:ind w:left="1134" w:right="1134"/>
        <w:jc w:val="both"/>
        <w:rPr>
          <w:lang w:eastAsia="zh-CN"/>
        </w:rPr>
      </w:pPr>
      <w:r w:rsidRPr="006A048F">
        <w:rPr>
          <w:lang w:eastAsia="zh-CN"/>
        </w:rPr>
        <w:t>30</w:t>
      </w:r>
      <w:r w:rsidR="000A4219" w:rsidRPr="006A048F">
        <w:rPr>
          <w:lang w:eastAsia="zh-CN"/>
        </w:rPr>
        <w:t>.</w:t>
      </w:r>
      <w:r w:rsidR="000A4219" w:rsidRPr="006A048F">
        <w:rPr>
          <w:lang w:eastAsia="zh-CN"/>
        </w:rPr>
        <w:tab/>
        <w:t>The proposal to amend the earth symbol in 6.8.2.1.27 was adopted (see annex).</w:t>
      </w:r>
    </w:p>
    <w:p w14:paraId="0872520C" w14:textId="68AF5649" w:rsidR="000A4219" w:rsidRPr="006A048F" w:rsidRDefault="00E66660" w:rsidP="000A4219">
      <w:pPr>
        <w:tabs>
          <w:tab w:val="left" w:pos="1701"/>
          <w:tab w:val="left" w:pos="2268"/>
          <w:tab w:val="left" w:pos="2835"/>
        </w:tabs>
        <w:spacing w:after="120"/>
        <w:ind w:left="1134" w:right="1134"/>
        <w:jc w:val="both"/>
        <w:rPr>
          <w:lang w:eastAsia="zh-CN"/>
        </w:rPr>
      </w:pPr>
      <w:r w:rsidRPr="006A048F">
        <w:rPr>
          <w:lang w:eastAsia="zh-CN"/>
        </w:rPr>
        <w:t>31</w:t>
      </w:r>
      <w:r w:rsidR="000A4219" w:rsidRPr="006A048F">
        <w:rPr>
          <w:lang w:eastAsia="zh-CN"/>
        </w:rPr>
        <w:t>.</w:t>
      </w:r>
      <w:r w:rsidR="000A4219" w:rsidRPr="006A048F">
        <w:rPr>
          <w:lang w:eastAsia="zh-CN"/>
        </w:rPr>
        <w:tab/>
        <w:t>Several delegations indicated that the symbol, as amended, was already used to identify earths on tank vehicles and that this amendment would not require transitional measures. The Working Party invited delegations to check this point before the next session.</w:t>
      </w:r>
    </w:p>
    <w:p w14:paraId="24C25095" w14:textId="738EB1D6" w:rsidR="000A4219" w:rsidRPr="006A048F" w:rsidRDefault="00E66660" w:rsidP="000A4219">
      <w:pPr>
        <w:tabs>
          <w:tab w:val="left" w:pos="1701"/>
          <w:tab w:val="left" w:pos="2268"/>
          <w:tab w:val="left" w:pos="2835"/>
        </w:tabs>
        <w:spacing w:after="120"/>
        <w:ind w:left="1134" w:right="1134"/>
        <w:jc w:val="both"/>
        <w:rPr>
          <w:lang w:eastAsia="zh-CN"/>
        </w:rPr>
      </w:pPr>
      <w:r w:rsidRPr="006A048F">
        <w:rPr>
          <w:lang w:eastAsia="zh-CN"/>
        </w:rPr>
        <w:t>32</w:t>
      </w:r>
      <w:r w:rsidR="000A4219" w:rsidRPr="006A048F">
        <w:rPr>
          <w:lang w:eastAsia="zh-CN"/>
        </w:rPr>
        <w:t>.</w:t>
      </w:r>
      <w:r w:rsidR="000A4219" w:rsidRPr="006A048F">
        <w:rPr>
          <w:lang w:eastAsia="zh-CN"/>
        </w:rPr>
        <w:tab/>
        <w:t>Some delegations considered that it might be useful to provide a more complete description of the required marking or to refer to a standard such as IEC 60417. That could be considered at a future session.</w:t>
      </w:r>
    </w:p>
    <w:p w14:paraId="4D9A1CC6" w14:textId="77777777" w:rsidR="000A4219" w:rsidRPr="006A048F" w:rsidRDefault="000A4219" w:rsidP="000A4219">
      <w:pPr>
        <w:keepNext/>
        <w:keepLines/>
        <w:tabs>
          <w:tab w:val="right" w:pos="851"/>
        </w:tabs>
        <w:spacing w:before="240" w:after="120" w:line="240" w:lineRule="exact"/>
        <w:ind w:left="1134" w:right="1134" w:hanging="1134"/>
        <w:outlineLvl w:val="3"/>
        <w:rPr>
          <w:b/>
          <w:lang w:eastAsia="zh-CN"/>
        </w:rPr>
      </w:pPr>
      <w:r w:rsidRPr="006A048F">
        <w:rPr>
          <w:b/>
          <w:bCs/>
          <w:lang w:eastAsia="zh-CN"/>
        </w:rPr>
        <w:tab/>
        <w:t>2.</w:t>
      </w:r>
      <w:r w:rsidRPr="006A048F">
        <w:rPr>
          <w:b/>
          <w:lang w:eastAsia="zh-CN"/>
        </w:rPr>
        <w:tab/>
      </w:r>
      <w:r w:rsidRPr="006A048F">
        <w:rPr>
          <w:b/>
          <w:bCs/>
          <w:lang w:eastAsia="zh-CN"/>
        </w:rPr>
        <w:t>New section 1.2.3, consequential amendment</w:t>
      </w:r>
    </w:p>
    <w:p w14:paraId="2C4EBE0F" w14:textId="77777777" w:rsidR="000A4219" w:rsidRPr="00013E9B" w:rsidRDefault="000A4219" w:rsidP="000A4219">
      <w:pPr>
        <w:suppressAutoHyphens/>
        <w:kinsoku w:val="0"/>
        <w:overflowPunct w:val="0"/>
        <w:autoSpaceDE w:val="0"/>
        <w:autoSpaceDN w:val="0"/>
        <w:adjustRightInd w:val="0"/>
        <w:snapToGrid w:val="0"/>
        <w:spacing w:before="120" w:after="120"/>
        <w:ind w:left="3402" w:right="1134" w:hanging="2268"/>
        <w:jc w:val="both"/>
        <w:rPr>
          <w:lang w:val="fr-CH" w:eastAsia="zh-CN"/>
        </w:rPr>
      </w:pPr>
      <w:proofErr w:type="gramStart"/>
      <w:r w:rsidRPr="00013E9B">
        <w:rPr>
          <w:i/>
          <w:iCs/>
          <w:lang w:val="fr-CH" w:eastAsia="zh-CN"/>
        </w:rPr>
        <w:t>Document</w:t>
      </w:r>
      <w:r w:rsidRPr="00013E9B">
        <w:rPr>
          <w:lang w:val="fr-CH" w:eastAsia="zh-CN"/>
        </w:rPr>
        <w:t>:</w:t>
      </w:r>
      <w:proofErr w:type="gramEnd"/>
      <w:r w:rsidRPr="00013E9B">
        <w:rPr>
          <w:lang w:val="fr-CH" w:eastAsia="zh-CN"/>
        </w:rPr>
        <w:tab/>
        <w:t>ECE/TRANS/WP.15/2023/3 (</w:t>
      </w:r>
      <w:proofErr w:type="spellStart"/>
      <w:r w:rsidRPr="00013E9B">
        <w:rPr>
          <w:lang w:val="fr-CH" w:eastAsia="zh-CN"/>
        </w:rPr>
        <w:t>Secretariat</w:t>
      </w:r>
      <w:proofErr w:type="spellEnd"/>
      <w:r w:rsidRPr="00013E9B">
        <w:rPr>
          <w:lang w:val="fr-CH" w:eastAsia="zh-CN"/>
        </w:rPr>
        <w:t>)</w:t>
      </w:r>
    </w:p>
    <w:p w14:paraId="63DE0F07" w14:textId="100B147B" w:rsidR="000A4219" w:rsidRPr="006A048F" w:rsidRDefault="00E66660" w:rsidP="000A4219">
      <w:pPr>
        <w:tabs>
          <w:tab w:val="left" w:pos="1701"/>
          <w:tab w:val="left" w:pos="2268"/>
          <w:tab w:val="left" w:pos="2835"/>
        </w:tabs>
        <w:spacing w:after="120"/>
        <w:ind w:left="1134" w:right="1134"/>
        <w:jc w:val="both"/>
        <w:rPr>
          <w:lang w:eastAsia="zh-CN"/>
        </w:rPr>
      </w:pPr>
      <w:r w:rsidRPr="006A048F">
        <w:rPr>
          <w:lang w:eastAsia="zh-CN"/>
        </w:rPr>
        <w:t>33</w:t>
      </w:r>
      <w:r w:rsidR="000A4219" w:rsidRPr="006A048F">
        <w:rPr>
          <w:lang w:eastAsia="zh-CN"/>
        </w:rPr>
        <w:t>.</w:t>
      </w:r>
      <w:r w:rsidR="000A4219" w:rsidRPr="006A048F">
        <w:rPr>
          <w:lang w:eastAsia="zh-CN"/>
        </w:rPr>
        <w:tab/>
        <w:t>The proposed amendment to 1.1.2.2 was adopted (see annex).</w:t>
      </w:r>
    </w:p>
    <w:p w14:paraId="58F3679E" w14:textId="77777777" w:rsidR="000A4219" w:rsidRPr="006A048F" w:rsidRDefault="000A4219" w:rsidP="000A4219">
      <w:pPr>
        <w:keepNext/>
        <w:keepLines/>
        <w:tabs>
          <w:tab w:val="right" w:pos="851"/>
        </w:tabs>
        <w:spacing w:before="240" w:after="120" w:line="240" w:lineRule="exact"/>
        <w:ind w:left="1134" w:right="1134" w:hanging="1134"/>
        <w:outlineLvl w:val="3"/>
        <w:rPr>
          <w:b/>
          <w:lang w:eastAsia="zh-CN"/>
        </w:rPr>
      </w:pPr>
      <w:r w:rsidRPr="006A048F">
        <w:rPr>
          <w:b/>
          <w:bCs/>
          <w:lang w:eastAsia="zh-CN"/>
        </w:rPr>
        <w:tab/>
        <w:t>3.</w:t>
      </w:r>
      <w:r w:rsidRPr="006A048F">
        <w:rPr>
          <w:b/>
          <w:lang w:eastAsia="zh-CN"/>
        </w:rPr>
        <w:tab/>
      </w:r>
      <w:r w:rsidRPr="006A048F">
        <w:rPr>
          <w:b/>
          <w:bCs/>
          <w:lang w:eastAsia="zh-CN"/>
        </w:rPr>
        <w:t>Training of drivers: maximum number of teaching units per day</w:t>
      </w:r>
    </w:p>
    <w:p w14:paraId="0CDAFDB4" w14:textId="77777777" w:rsidR="000A4219" w:rsidRPr="006A048F" w:rsidRDefault="000A4219" w:rsidP="000A4219">
      <w:pPr>
        <w:suppressAutoHyphens/>
        <w:kinsoku w:val="0"/>
        <w:overflowPunct w:val="0"/>
        <w:autoSpaceDE w:val="0"/>
        <w:autoSpaceDN w:val="0"/>
        <w:adjustRightInd w:val="0"/>
        <w:snapToGrid w:val="0"/>
        <w:spacing w:before="120" w:after="120"/>
        <w:ind w:left="3402" w:right="1134" w:hanging="2268"/>
        <w:jc w:val="both"/>
        <w:rPr>
          <w:lang w:eastAsia="zh-CN"/>
        </w:rPr>
      </w:pPr>
      <w:r w:rsidRPr="006A048F">
        <w:rPr>
          <w:i/>
          <w:iCs/>
          <w:lang w:eastAsia="zh-CN"/>
        </w:rPr>
        <w:t>Informal document</w:t>
      </w:r>
      <w:r w:rsidRPr="006A048F">
        <w:rPr>
          <w:lang w:eastAsia="zh-CN"/>
        </w:rPr>
        <w:t>:</w:t>
      </w:r>
      <w:r w:rsidRPr="006A048F">
        <w:rPr>
          <w:lang w:eastAsia="zh-CN"/>
        </w:rPr>
        <w:tab/>
        <w:t>INF.13 (Switzerland)</w:t>
      </w:r>
    </w:p>
    <w:p w14:paraId="4843AC0C" w14:textId="2FBF2E7C" w:rsidR="000A4219" w:rsidRPr="006A048F" w:rsidRDefault="00E66660" w:rsidP="000A4219">
      <w:pPr>
        <w:tabs>
          <w:tab w:val="left" w:pos="1701"/>
          <w:tab w:val="left" w:pos="2268"/>
          <w:tab w:val="left" w:pos="2835"/>
        </w:tabs>
        <w:spacing w:after="120"/>
        <w:ind w:left="1134" w:right="1134"/>
        <w:jc w:val="both"/>
        <w:rPr>
          <w:rFonts w:ascii="TimesNewRomanPSMT" w:hAnsi="TimesNewRomanPSMT" w:cs="TimesNewRomanPSMT"/>
          <w:lang w:eastAsia="zh-CN"/>
        </w:rPr>
      </w:pPr>
      <w:r w:rsidRPr="006A048F">
        <w:rPr>
          <w:lang w:eastAsia="zh-CN"/>
        </w:rPr>
        <w:t>34</w:t>
      </w:r>
      <w:r w:rsidR="000A4219" w:rsidRPr="006A048F">
        <w:rPr>
          <w:lang w:eastAsia="zh-CN"/>
        </w:rPr>
        <w:t>.</w:t>
      </w:r>
      <w:r w:rsidR="000A4219" w:rsidRPr="006A048F">
        <w:rPr>
          <w:lang w:eastAsia="zh-CN"/>
        </w:rPr>
        <w:tab/>
        <w:t xml:space="preserve">The delegations that spoke were of the opinion that the use of the word “normally” in 8.2.2.3.7 meant that courses should be planned on the basis of a maximum of 8 daily teaching </w:t>
      </w:r>
      <w:r w:rsidR="000A4219" w:rsidRPr="006A048F">
        <w:rPr>
          <w:lang w:eastAsia="zh-CN"/>
        </w:rPr>
        <w:lastRenderedPageBreak/>
        <w:t>units, but that that number could be exceeded in exceptional circumstances when holding the courses (</w:t>
      </w:r>
      <w:proofErr w:type="gramStart"/>
      <w:r w:rsidR="000A4219" w:rsidRPr="006A048F">
        <w:rPr>
          <w:lang w:eastAsia="zh-CN"/>
        </w:rPr>
        <w:t>e.g.</w:t>
      </w:r>
      <w:proofErr w:type="gramEnd"/>
      <w:r w:rsidR="000A4219" w:rsidRPr="006A048F">
        <w:rPr>
          <w:lang w:eastAsia="zh-CN"/>
        </w:rPr>
        <w:t xml:space="preserve"> in the event of delays).</w:t>
      </w:r>
    </w:p>
    <w:p w14:paraId="672C110A" w14:textId="451F28C5" w:rsidR="000A4219" w:rsidRPr="006A048F" w:rsidRDefault="00E66660" w:rsidP="000A4219">
      <w:pPr>
        <w:tabs>
          <w:tab w:val="left" w:pos="1701"/>
          <w:tab w:val="left" w:pos="2268"/>
          <w:tab w:val="left" w:pos="2835"/>
        </w:tabs>
        <w:spacing w:after="120"/>
        <w:ind w:left="1134" w:right="1134"/>
        <w:jc w:val="both"/>
        <w:rPr>
          <w:lang w:eastAsia="zh-CN"/>
        </w:rPr>
      </w:pPr>
      <w:r w:rsidRPr="006A048F">
        <w:rPr>
          <w:lang w:eastAsia="zh-CN"/>
        </w:rPr>
        <w:t>35</w:t>
      </w:r>
      <w:r w:rsidR="000A4219" w:rsidRPr="006A048F">
        <w:rPr>
          <w:lang w:eastAsia="zh-CN"/>
        </w:rPr>
        <w:t>.</w:t>
      </w:r>
      <w:r w:rsidR="000A4219" w:rsidRPr="006A048F">
        <w:rPr>
          <w:lang w:eastAsia="zh-CN"/>
        </w:rPr>
        <w:tab/>
        <w:t xml:space="preserve">Most were not in favour of the proposal of Switzerland to increase the number of planned daily teaching unit to 10. </w:t>
      </w:r>
    </w:p>
    <w:p w14:paraId="20968DD1" w14:textId="77777777" w:rsidR="000A4219" w:rsidRPr="006A048F" w:rsidRDefault="000A4219" w:rsidP="000A4219">
      <w:pPr>
        <w:keepNext/>
        <w:keepLines/>
        <w:tabs>
          <w:tab w:val="right" w:pos="851"/>
        </w:tabs>
        <w:spacing w:before="240" w:after="120" w:line="240" w:lineRule="exact"/>
        <w:ind w:left="1134" w:right="1134" w:hanging="1134"/>
        <w:outlineLvl w:val="3"/>
        <w:rPr>
          <w:b/>
          <w:lang w:eastAsia="zh-CN"/>
        </w:rPr>
      </w:pPr>
      <w:r w:rsidRPr="006A048F">
        <w:rPr>
          <w:b/>
          <w:bCs/>
          <w:lang w:eastAsia="zh-CN"/>
        </w:rPr>
        <w:tab/>
        <w:t>4.</w:t>
      </w:r>
      <w:r w:rsidRPr="006A048F">
        <w:rPr>
          <w:b/>
          <w:lang w:eastAsia="zh-CN"/>
        </w:rPr>
        <w:tab/>
      </w:r>
      <w:r w:rsidRPr="006A048F">
        <w:rPr>
          <w:b/>
          <w:bCs/>
          <w:lang w:eastAsia="zh-CN"/>
        </w:rPr>
        <w:t>Discrepancy between 6.8.1.5 of RID and ADR</w:t>
      </w:r>
    </w:p>
    <w:p w14:paraId="4ACB54F4" w14:textId="77777777" w:rsidR="000A4219" w:rsidRPr="006A048F" w:rsidRDefault="000A4219" w:rsidP="000A4219">
      <w:pPr>
        <w:suppressAutoHyphens/>
        <w:kinsoku w:val="0"/>
        <w:overflowPunct w:val="0"/>
        <w:autoSpaceDE w:val="0"/>
        <w:autoSpaceDN w:val="0"/>
        <w:adjustRightInd w:val="0"/>
        <w:snapToGrid w:val="0"/>
        <w:spacing w:before="120" w:after="120"/>
        <w:ind w:left="3402" w:right="1134" w:hanging="2268"/>
        <w:jc w:val="both"/>
        <w:rPr>
          <w:lang w:eastAsia="zh-CN"/>
        </w:rPr>
      </w:pPr>
      <w:r w:rsidRPr="006A048F">
        <w:rPr>
          <w:i/>
          <w:iCs/>
          <w:lang w:eastAsia="zh-CN"/>
        </w:rPr>
        <w:t>Informal document</w:t>
      </w:r>
      <w:r w:rsidRPr="006A048F">
        <w:rPr>
          <w:lang w:eastAsia="zh-CN"/>
        </w:rPr>
        <w:t>:</w:t>
      </w:r>
      <w:r w:rsidRPr="006A048F">
        <w:rPr>
          <w:lang w:eastAsia="zh-CN"/>
        </w:rPr>
        <w:tab/>
        <w:t>INF.25 (Belgium)</w:t>
      </w:r>
    </w:p>
    <w:p w14:paraId="75870029" w14:textId="5D064A01" w:rsidR="000A4219" w:rsidRPr="006A048F" w:rsidRDefault="00E66660" w:rsidP="000A4219">
      <w:pPr>
        <w:tabs>
          <w:tab w:val="left" w:pos="1701"/>
          <w:tab w:val="left" w:pos="2268"/>
          <w:tab w:val="left" w:pos="2835"/>
        </w:tabs>
        <w:spacing w:after="120"/>
        <w:ind w:left="1134" w:right="1134"/>
        <w:jc w:val="both"/>
        <w:rPr>
          <w:lang w:eastAsia="zh-CN"/>
        </w:rPr>
      </w:pPr>
      <w:r w:rsidRPr="006A048F">
        <w:rPr>
          <w:lang w:eastAsia="zh-CN"/>
        </w:rPr>
        <w:t>36</w:t>
      </w:r>
      <w:r w:rsidR="000A4219" w:rsidRPr="006A048F">
        <w:rPr>
          <w:lang w:eastAsia="zh-CN"/>
        </w:rPr>
        <w:t>.</w:t>
      </w:r>
      <w:r w:rsidR="000A4219" w:rsidRPr="006A048F">
        <w:rPr>
          <w:lang w:eastAsia="zh-CN"/>
        </w:rPr>
        <w:tab/>
        <w:t>The Working Party noted that the notes in 6.8.1.5.1 (a) and 6.8.1.5.4 (a) applied to tank vehicles and tank containers in ADR, whereas they did not apply in RID.</w:t>
      </w:r>
    </w:p>
    <w:p w14:paraId="571E17D5" w14:textId="5CC4CA8B" w:rsidR="000A4219" w:rsidRPr="006A048F" w:rsidRDefault="00E66660" w:rsidP="000A4219">
      <w:pPr>
        <w:tabs>
          <w:tab w:val="left" w:pos="1701"/>
          <w:tab w:val="left" w:pos="2268"/>
          <w:tab w:val="left" w:pos="2835"/>
        </w:tabs>
        <w:spacing w:after="120"/>
        <w:ind w:left="1134" w:right="1134"/>
        <w:jc w:val="both"/>
        <w:rPr>
          <w:lang w:eastAsia="zh-CN"/>
        </w:rPr>
      </w:pPr>
      <w:r w:rsidRPr="006A048F">
        <w:rPr>
          <w:lang w:eastAsia="zh-CN"/>
        </w:rPr>
        <w:t>37</w:t>
      </w:r>
      <w:r w:rsidR="000A4219" w:rsidRPr="006A048F">
        <w:rPr>
          <w:lang w:eastAsia="zh-CN"/>
        </w:rPr>
        <w:t>.</w:t>
      </w:r>
      <w:r w:rsidR="000A4219" w:rsidRPr="006A048F">
        <w:rPr>
          <w:lang w:eastAsia="zh-CN"/>
        </w:rPr>
        <w:tab/>
        <w:t>The Working Party invited the representative of Belgium to submit his document to the Joint Meeting for consideration by the Working Group on Tanks.</w:t>
      </w:r>
    </w:p>
    <w:p w14:paraId="400D6680" w14:textId="77777777" w:rsidR="0026105D" w:rsidRPr="006A048F" w:rsidRDefault="0026105D" w:rsidP="0026105D">
      <w:pPr>
        <w:pStyle w:val="H23G"/>
      </w:pPr>
      <w:r w:rsidRPr="006A048F">
        <w:tab/>
        <w:t xml:space="preserve">5. </w:t>
      </w:r>
      <w:r w:rsidRPr="006A048F">
        <w:tab/>
        <w:t>Reference to 8.2.3 in Chapter 3.4</w:t>
      </w:r>
    </w:p>
    <w:p w14:paraId="5D2222C7" w14:textId="77777777" w:rsidR="0026105D" w:rsidRPr="006A048F" w:rsidRDefault="0026105D" w:rsidP="0026105D">
      <w:pPr>
        <w:pStyle w:val="SingleTxtG"/>
      </w:pPr>
      <w:r w:rsidRPr="006A048F">
        <w:rPr>
          <w:i/>
          <w:iCs/>
        </w:rPr>
        <w:t xml:space="preserve">Informal document: </w:t>
      </w:r>
      <w:r w:rsidRPr="006A048F">
        <w:t>INF.12 (IASA)</w:t>
      </w:r>
    </w:p>
    <w:p w14:paraId="019D03D0" w14:textId="77C6C98E" w:rsidR="0026105D" w:rsidRPr="006A048F" w:rsidRDefault="00E66660" w:rsidP="0026105D">
      <w:pPr>
        <w:pStyle w:val="SingleTxtG"/>
      </w:pPr>
      <w:r w:rsidRPr="006A048F">
        <w:t>38</w:t>
      </w:r>
      <w:r w:rsidR="0026105D" w:rsidRPr="006A048F">
        <w:t>.</w:t>
      </w:r>
      <w:r w:rsidR="0026105D" w:rsidRPr="006A048F">
        <w:tab/>
        <w:t>Several delegations were in favour of IASA's proposal to refer to 8.2.3 in the list of provisions remaining applicable in 3.4.1. Others thought the reference to 1.3 was sufficient.</w:t>
      </w:r>
    </w:p>
    <w:p w14:paraId="7FA7FC07" w14:textId="012DB69F" w:rsidR="0026105D" w:rsidRPr="006A048F" w:rsidRDefault="00E66660" w:rsidP="0026105D">
      <w:pPr>
        <w:pStyle w:val="SingleTxtG"/>
      </w:pPr>
      <w:r w:rsidRPr="006A048F">
        <w:t>39</w:t>
      </w:r>
      <w:r w:rsidR="0026105D" w:rsidRPr="006A048F">
        <w:t xml:space="preserve">. </w:t>
      </w:r>
      <w:r w:rsidR="0026105D" w:rsidRPr="006A048F">
        <w:tab/>
        <w:t>The Working Party invited the representative of IASA to present an official document at the 114th session.</w:t>
      </w:r>
    </w:p>
    <w:p w14:paraId="77DDD71B" w14:textId="77777777" w:rsidR="00BF24C9" w:rsidRPr="006A048F" w:rsidRDefault="00BF24C9" w:rsidP="00BF24C9">
      <w:pPr>
        <w:keepNext/>
        <w:keepLines/>
        <w:tabs>
          <w:tab w:val="right" w:pos="851"/>
        </w:tabs>
        <w:suppressAutoHyphens/>
        <w:spacing w:before="360" w:after="240" w:line="300" w:lineRule="exact"/>
        <w:ind w:left="1134" w:right="1134" w:hanging="1134"/>
        <w:outlineLvl w:val="1"/>
        <w:rPr>
          <w:b/>
          <w:sz w:val="28"/>
          <w:lang w:eastAsia="en-US"/>
        </w:rPr>
      </w:pPr>
      <w:r w:rsidRPr="006A048F">
        <w:rPr>
          <w:b/>
          <w:sz w:val="28"/>
          <w:lang w:eastAsia="en-US"/>
        </w:rPr>
        <w:tab/>
        <w:t>VII.</w:t>
      </w:r>
      <w:r w:rsidRPr="006A048F">
        <w:rPr>
          <w:b/>
          <w:sz w:val="28"/>
          <w:lang w:eastAsia="en-US"/>
        </w:rPr>
        <w:tab/>
        <w:t>Interpretation of ADR (agenda item 6)</w:t>
      </w:r>
    </w:p>
    <w:p w14:paraId="14921E66" w14:textId="77777777" w:rsidR="00BF24C9" w:rsidRPr="006A048F" w:rsidRDefault="00BF24C9" w:rsidP="00BF24C9">
      <w:pPr>
        <w:keepNext/>
        <w:keepLines/>
        <w:tabs>
          <w:tab w:val="right" w:pos="851"/>
        </w:tabs>
        <w:suppressAutoHyphens/>
        <w:spacing w:before="360" w:after="240" w:line="270" w:lineRule="exact"/>
        <w:ind w:left="1134" w:right="1134" w:hanging="1134"/>
        <w:outlineLvl w:val="2"/>
        <w:rPr>
          <w:b/>
          <w:sz w:val="24"/>
          <w:lang w:eastAsia="en-US"/>
        </w:rPr>
      </w:pPr>
      <w:r w:rsidRPr="006A048F">
        <w:rPr>
          <w:b/>
          <w:sz w:val="24"/>
          <w:lang w:eastAsia="en-US"/>
        </w:rPr>
        <w:tab/>
        <w:t>A.</w:t>
      </w:r>
      <w:r w:rsidRPr="006A048F">
        <w:rPr>
          <w:b/>
          <w:sz w:val="24"/>
          <w:lang w:eastAsia="en-US"/>
        </w:rPr>
        <w:tab/>
        <w:t>Scope of ADR</w:t>
      </w:r>
    </w:p>
    <w:p w14:paraId="44A4DEA2" w14:textId="77777777" w:rsidR="00BF24C9" w:rsidRPr="006A048F" w:rsidRDefault="00BF24C9" w:rsidP="00BF24C9">
      <w:pPr>
        <w:tabs>
          <w:tab w:val="left" w:pos="3402"/>
        </w:tabs>
        <w:suppressAutoHyphens/>
        <w:spacing w:after="120"/>
        <w:ind w:left="1134" w:right="1134"/>
        <w:jc w:val="both"/>
        <w:rPr>
          <w:rFonts w:eastAsia="SimSun"/>
          <w:lang w:eastAsia="zh-CN"/>
        </w:rPr>
      </w:pPr>
      <w:r w:rsidRPr="006A048F">
        <w:rPr>
          <w:rFonts w:eastAsia="SimSun"/>
          <w:i/>
          <w:iCs/>
          <w:lang w:eastAsia="zh-CN"/>
        </w:rPr>
        <w:t>Document</w:t>
      </w:r>
      <w:r w:rsidRPr="006A048F">
        <w:rPr>
          <w:rFonts w:eastAsia="SimSun"/>
          <w:lang w:eastAsia="zh-CN"/>
        </w:rPr>
        <w:t>:</w:t>
      </w:r>
      <w:r w:rsidRPr="006A048F">
        <w:rPr>
          <w:rFonts w:eastAsia="SimSun"/>
          <w:lang w:eastAsia="zh-CN"/>
        </w:rPr>
        <w:tab/>
      </w:r>
      <w:r w:rsidRPr="006A048F">
        <w:rPr>
          <w:rFonts w:eastAsia="SimSun"/>
          <w:lang w:eastAsia="zh-CN"/>
        </w:rPr>
        <w:tab/>
        <w:t>ECE/TRANS/WP.15/2023/5 (Secretariat)</w:t>
      </w:r>
    </w:p>
    <w:p w14:paraId="03FDD3CF" w14:textId="77777777" w:rsidR="00BF24C9" w:rsidRPr="006A048F" w:rsidRDefault="00BF24C9" w:rsidP="00BF24C9">
      <w:pPr>
        <w:tabs>
          <w:tab w:val="left" w:pos="3402"/>
        </w:tabs>
        <w:suppressAutoHyphens/>
        <w:spacing w:after="120"/>
        <w:ind w:left="1134" w:right="1134"/>
        <w:jc w:val="both"/>
        <w:rPr>
          <w:rFonts w:eastAsia="SimSun"/>
          <w:lang w:eastAsia="zh-CN"/>
        </w:rPr>
      </w:pPr>
      <w:r w:rsidRPr="006A048F">
        <w:rPr>
          <w:rFonts w:eastAsia="SimSun"/>
          <w:i/>
          <w:iCs/>
          <w:lang w:eastAsia="zh-CN"/>
        </w:rPr>
        <w:t>Informal documents</w:t>
      </w:r>
      <w:r w:rsidRPr="006A048F">
        <w:rPr>
          <w:rFonts w:eastAsia="SimSun"/>
          <w:lang w:eastAsia="zh-CN"/>
        </w:rPr>
        <w:t>:</w:t>
      </w:r>
      <w:r w:rsidRPr="006A048F">
        <w:rPr>
          <w:rFonts w:eastAsia="SimSun"/>
          <w:lang w:eastAsia="zh-CN"/>
        </w:rPr>
        <w:tab/>
        <w:t>INF.17 (Denmark), INF.21 (France), INF.23 (Switzerland)</w:t>
      </w:r>
    </w:p>
    <w:p w14:paraId="3BB34F57" w14:textId="0F0231FD"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40</w:t>
      </w:r>
      <w:r w:rsidR="00BF24C9" w:rsidRPr="006A048F">
        <w:rPr>
          <w:rFonts w:eastAsia="SimSun"/>
          <w:lang w:eastAsia="zh-CN"/>
        </w:rPr>
        <w:t>.</w:t>
      </w:r>
      <w:r w:rsidR="00BF24C9" w:rsidRPr="006A048F">
        <w:rPr>
          <w:rFonts w:eastAsia="SimSun"/>
          <w:lang w:eastAsia="zh-CN"/>
        </w:rPr>
        <w:tab/>
        <w:t xml:space="preserve">The Working Party noted that the title of III B and the text of paragraph 13 of document ECE/TRANS/WP.15/2023/5 should be corrected to refer to cycles with an auxiliary engine with a maximum cylinder capacity of 50 cm³. With this modification, the Working Party agreed that the document prepared by the secretariat gave a clear picture of the </w:t>
      </w:r>
      <w:proofErr w:type="gramStart"/>
      <w:r w:rsidR="00BF24C9" w:rsidRPr="006A048F">
        <w:rPr>
          <w:rFonts w:eastAsia="SimSun"/>
          <w:lang w:eastAsia="zh-CN"/>
        </w:rPr>
        <w:t>current status</w:t>
      </w:r>
      <w:proofErr w:type="gramEnd"/>
      <w:r w:rsidR="00BF24C9" w:rsidRPr="006A048F">
        <w:rPr>
          <w:rFonts w:eastAsia="SimSun"/>
          <w:lang w:eastAsia="zh-CN"/>
        </w:rPr>
        <w:t xml:space="preserve"> of the application of ADR to two- and three-wheeled vehicles and of possible developments (see also paragraph 15).</w:t>
      </w:r>
    </w:p>
    <w:p w14:paraId="68F79DB6" w14:textId="09FBA99B"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41</w:t>
      </w:r>
      <w:r w:rsidR="00BF24C9" w:rsidRPr="006A048F">
        <w:rPr>
          <w:rFonts w:eastAsia="SimSun"/>
          <w:lang w:eastAsia="zh-CN"/>
        </w:rPr>
        <w:t>.</w:t>
      </w:r>
      <w:r w:rsidR="00BF24C9" w:rsidRPr="006A048F">
        <w:rPr>
          <w:rFonts w:eastAsia="SimSun"/>
          <w:lang w:eastAsia="zh-CN"/>
        </w:rPr>
        <w:tab/>
        <w:t xml:space="preserve">Several delegations presented how cycles and other cargo transport units not covered by ADR were regulated in their countries and in what way. The Working Party invited delegations that had not yet done so to transmit this information in writing to the secretariat with a reference to the applicable national laws, where appropriate. </w:t>
      </w:r>
    </w:p>
    <w:p w14:paraId="7E6A388A" w14:textId="0A98626E"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42</w:t>
      </w:r>
      <w:r w:rsidR="00BF24C9" w:rsidRPr="006A048F">
        <w:rPr>
          <w:rFonts w:eastAsia="SimSun"/>
          <w:lang w:eastAsia="zh-CN"/>
        </w:rPr>
        <w:t>.</w:t>
      </w:r>
      <w:r w:rsidR="00BF24C9" w:rsidRPr="006A048F">
        <w:rPr>
          <w:rFonts w:eastAsia="SimSun"/>
          <w:lang w:eastAsia="zh-CN"/>
        </w:rPr>
        <w:tab/>
        <w:t xml:space="preserve">The Working Party noted that similar discussions had been held in ICAO with respect to deliveries by remote-controlled aircraft (drones). </w:t>
      </w:r>
    </w:p>
    <w:p w14:paraId="4C07F5C7" w14:textId="39A76190"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43</w:t>
      </w:r>
      <w:r w:rsidR="00BF24C9" w:rsidRPr="006A048F">
        <w:rPr>
          <w:rFonts w:eastAsia="SimSun"/>
          <w:lang w:eastAsia="zh-CN"/>
        </w:rPr>
        <w:t xml:space="preserve">. </w:t>
      </w:r>
      <w:r w:rsidR="00BF24C9" w:rsidRPr="006A048F">
        <w:rPr>
          <w:rFonts w:eastAsia="SimSun"/>
          <w:lang w:eastAsia="zh-CN"/>
        </w:rPr>
        <w:tab/>
        <w:t xml:space="preserve">Several delegations were in favour of continuing the discussion at future sessions </w:t>
      </w:r>
      <w:proofErr w:type="gramStart"/>
      <w:r w:rsidR="00BF24C9" w:rsidRPr="006A048F">
        <w:rPr>
          <w:rFonts w:eastAsia="SimSun"/>
          <w:lang w:eastAsia="zh-CN"/>
        </w:rPr>
        <w:t>in order to</w:t>
      </w:r>
      <w:proofErr w:type="gramEnd"/>
      <w:r w:rsidR="00BF24C9" w:rsidRPr="006A048F">
        <w:rPr>
          <w:rFonts w:eastAsia="SimSun"/>
          <w:lang w:eastAsia="zh-CN"/>
        </w:rPr>
        <w:t xml:space="preserve"> study the possibilities of revising the scope of ADR and adapting the technical provisions of annexes A and B accordingly in order to allow the safe and secure transport of dangerous goods by </w:t>
      </w:r>
      <w:proofErr w:type="spellStart"/>
      <w:r w:rsidR="00BF24C9" w:rsidRPr="006A048F">
        <w:rPr>
          <w:rFonts w:eastAsia="SimSun"/>
          <w:lang w:eastAsia="zh-CN"/>
        </w:rPr>
        <w:t>micromobility</w:t>
      </w:r>
      <w:proofErr w:type="spellEnd"/>
      <w:r w:rsidR="00BF24C9" w:rsidRPr="006A048F">
        <w:rPr>
          <w:rFonts w:eastAsia="SimSun"/>
          <w:lang w:eastAsia="zh-CN"/>
        </w:rPr>
        <w:t xml:space="preserve"> vehicles and by cycles.</w:t>
      </w:r>
    </w:p>
    <w:p w14:paraId="686C9FA5" w14:textId="2F07CF60"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44</w:t>
      </w:r>
      <w:r w:rsidR="00BF24C9" w:rsidRPr="006A048F">
        <w:rPr>
          <w:rFonts w:eastAsia="SimSun"/>
          <w:lang w:eastAsia="zh-CN"/>
        </w:rPr>
        <w:t>.</w:t>
      </w:r>
      <w:r w:rsidR="00BF24C9" w:rsidRPr="006A048F">
        <w:rPr>
          <w:rFonts w:eastAsia="SimSun"/>
          <w:lang w:eastAsia="zh-CN"/>
        </w:rPr>
        <w:tab/>
        <w:t xml:space="preserve">Document ECE/TRANS/WP.15/2023/5, as revised to </w:t>
      </w:r>
      <w:proofErr w:type="gramStart"/>
      <w:r w:rsidR="00BF24C9" w:rsidRPr="006A048F">
        <w:rPr>
          <w:rFonts w:eastAsia="SimSun"/>
          <w:lang w:eastAsia="zh-CN"/>
        </w:rPr>
        <w:t>take into account</w:t>
      </w:r>
      <w:proofErr w:type="gramEnd"/>
      <w:r w:rsidR="00BF24C9" w:rsidRPr="006A048F">
        <w:rPr>
          <w:rFonts w:eastAsia="SimSun"/>
          <w:lang w:eastAsia="zh-CN"/>
        </w:rPr>
        <w:t xml:space="preserve"> the modification detailed above, will remain on the agenda for the next session.</w:t>
      </w:r>
    </w:p>
    <w:p w14:paraId="2A355A4E" w14:textId="0533F854"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45</w:t>
      </w:r>
      <w:r w:rsidR="00BF24C9" w:rsidRPr="006A048F">
        <w:rPr>
          <w:rFonts w:eastAsia="SimSun"/>
          <w:lang w:eastAsia="zh-CN"/>
        </w:rPr>
        <w:t>.</w:t>
      </w:r>
      <w:r w:rsidR="00BF24C9" w:rsidRPr="006A048F">
        <w:rPr>
          <w:rFonts w:eastAsia="SimSun"/>
          <w:lang w:eastAsia="zh-CN"/>
        </w:rPr>
        <w:tab/>
        <w:t xml:space="preserve">The Working Group noted that the clarification of current provisions and the development of new provisions to allow the safe and secure transport of dangerous goods by </w:t>
      </w:r>
      <w:proofErr w:type="spellStart"/>
      <w:r w:rsidR="00BF24C9" w:rsidRPr="006A048F">
        <w:rPr>
          <w:rFonts w:eastAsia="SimSun"/>
          <w:lang w:eastAsia="zh-CN"/>
        </w:rPr>
        <w:t>micromobility</w:t>
      </w:r>
      <w:proofErr w:type="spellEnd"/>
      <w:r w:rsidR="00BF24C9" w:rsidRPr="006A048F">
        <w:rPr>
          <w:rFonts w:eastAsia="SimSun"/>
          <w:lang w:eastAsia="zh-CN"/>
        </w:rPr>
        <w:t xml:space="preserve"> vehicles and by cycles would contribute to the achievement of Sustainable Development Goals 3, 11 and 13.</w:t>
      </w:r>
    </w:p>
    <w:p w14:paraId="5BD62240" w14:textId="77777777" w:rsidR="00BF24C9" w:rsidRPr="006A048F" w:rsidRDefault="00BF24C9" w:rsidP="00BF24C9">
      <w:pPr>
        <w:keepNext/>
        <w:keepLines/>
        <w:tabs>
          <w:tab w:val="right" w:pos="851"/>
        </w:tabs>
        <w:suppressAutoHyphens/>
        <w:spacing w:before="360" w:after="240" w:line="270" w:lineRule="exact"/>
        <w:ind w:left="1134" w:right="1134" w:hanging="1134"/>
        <w:outlineLvl w:val="2"/>
        <w:rPr>
          <w:b/>
          <w:sz w:val="24"/>
          <w:lang w:eastAsia="en-US"/>
        </w:rPr>
      </w:pPr>
      <w:r w:rsidRPr="006A048F">
        <w:rPr>
          <w:b/>
          <w:sz w:val="24"/>
          <w:lang w:eastAsia="en-US"/>
        </w:rPr>
        <w:lastRenderedPageBreak/>
        <w:tab/>
        <w:t>B.</w:t>
      </w:r>
      <w:r w:rsidRPr="006A048F">
        <w:rPr>
          <w:b/>
          <w:sz w:val="24"/>
          <w:lang w:eastAsia="en-US"/>
        </w:rPr>
        <w:tab/>
        <w:t>Transport document – goods carried per transport unit and per vehicle</w:t>
      </w:r>
    </w:p>
    <w:p w14:paraId="40ECC8C4" w14:textId="77777777" w:rsidR="00BF24C9" w:rsidRPr="00013E9B" w:rsidRDefault="00BF24C9" w:rsidP="00BF24C9">
      <w:pPr>
        <w:tabs>
          <w:tab w:val="left" w:pos="3402"/>
        </w:tabs>
        <w:suppressAutoHyphens/>
        <w:spacing w:after="120"/>
        <w:ind w:left="1134" w:right="1134"/>
        <w:jc w:val="both"/>
        <w:rPr>
          <w:rFonts w:eastAsia="SimSun"/>
          <w:lang w:val="fr-CH" w:eastAsia="zh-CN"/>
        </w:rPr>
      </w:pPr>
      <w:proofErr w:type="gramStart"/>
      <w:r w:rsidRPr="00013E9B">
        <w:rPr>
          <w:rFonts w:eastAsia="SimSun"/>
          <w:i/>
          <w:iCs/>
          <w:lang w:val="fr-CH" w:eastAsia="zh-CN"/>
        </w:rPr>
        <w:t>Document</w:t>
      </w:r>
      <w:r w:rsidRPr="00013E9B">
        <w:rPr>
          <w:rFonts w:eastAsia="SimSun"/>
          <w:lang w:val="fr-CH" w:eastAsia="zh-CN"/>
        </w:rPr>
        <w:t>:</w:t>
      </w:r>
      <w:proofErr w:type="gramEnd"/>
      <w:r w:rsidRPr="00013E9B">
        <w:rPr>
          <w:rFonts w:eastAsia="SimSun"/>
          <w:lang w:val="fr-CH" w:eastAsia="zh-CN"/>
        </w:rPr>
        <w:tab/>
        <w:t>ECE/TRANS/WP.15/2023/6 (</w:t>
      </w:r>
      <w:proofErr w:type="spellStart"/>
      <w:r w:rsidRPr="00013E9B">
        <w:rPr>
          <w:rFonts w:eastAsia="SimSun"/>
          <w:lang w:val="fr-CH" w:eastAsia="zh-CN"/>
        </w:rPr>
        <w:t>Finland</w:t>
      </w:r>
      <w:proofErr w:type="spellEnd"/>
      <w:r w:rsidRPr="00013E9B">
        <w:rPr>
          <w:rFonts w:eastAsia="SimSun"/>
          <w:lang w:val="fr-CH" w:eastAsia="zh-CN"/>
        </w:rPr>
        <w:t>)</w:t>
      </w:r>
    </w:p>
    <w:p w14:paraId="56DEE709" w14:textId="212E9C08"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46</w:t>
      </w:r>
      <w:r w:rsidR="00BF24C9" w:rsidRPr="006A048F">
        <w:rPr>
          <w:rFonts w:eastAsia="SimSun"/>
          <w:lang w:eastAsia="zh-CN"/>
        </w:rPr>
        <w:t>.</w:t>
      </w:r>
      <w:r w:rsidR="00BF24C9" w:rsidRPr="006A048F">
        <w:rPr>
          <w:rFonts w:eastAsia="SimSun"/>
          <w:lang w:eastAsia="zh-CN"/>
        </w:rPr>
        <w:tab/>
        <w:t xml:space="preserve">The Working Party confirmed that the adopted amendment to 5.4.0.1 (see para. 19) addressed the concerns of Finland. </w:t>
      </w:r>
    </w:p>
    <w:p w14:paraId="40522A52" w14:textId="46D21F97"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47</w:t>
      </w:r>
      <w:r w:rsidR="00BF24C9" w:rsidRPr="006A048F">
        <w:rPr>
          <w:rFonts w:eastAsia="SimSun"/>
          <w:lang w:eastAsia="zh-CN"/>
        </w:rPr>
        <w:t>.</w:t>
      </w:r>
      <w:r w:rsidR="00BF24C9" w:rsidRPr="006A048F">
        <w:rPr>
          <w:rFonts w:eastAsia="SimSun"/>
          <w:lang w:eastAsia="zh-CN"/>
        </w:rPr>
        <w:tab/>
        <w:t>The Working Party also agreed that the development of the use of electronic data processing (EDP) or electronic data interchange (EDI) techniques to replace transport documents, as provided for in 5.4.0.2, would facilitate the identification and tracking of goods unloaded or transferred from one vehicle to another during a delivery operation.</w:t>
      </w:r>
    </w:p>
    <w:p w14:paraId="2B2E74C4" w14:textId="77777777" w:rsidR="00BF24C9" w:rsidRPr="006A048F" w:rsidRDefault="00BF24C9" w:rsidP="00BF24C9">
      <w:pPr>
        <w:keepNext/>
        <w:keepLines/>
        <w:tabs>
          <w:tab w:val="right" w:pos="851"/>
        </w:tabs>
        <w:suppressAutoHyphens/>
        <w:spacing w:before="360" w:after="240" w:line="270" w:lineRule="exact"/>
        <w:ind w:left="1134" w:right="1134" w:hanging="1134"/>
        <w:outlineLvl w:val="2"/>
        <w:rPr>
          <w:b/>
          <w:sz w:val="24"/>
          <w:lang w:eastAsia="en-US"/>
        </w:rPr>
      </w:pPr>
      <w:r w:rsidRPr="006A048F">
        <w:rPr>
          <w:b/>
          <w:sz w:val="24"/>
          <w:lang w:eastAsia="en-US"/>
        </w:rPr>
        <w:tab/>
        <w:t>C.</w:t>
      </w:r>
      <w:r w:rsidRPr="006A048F">
        <w:rPr>
          <w:b/>
          <w:sz w:val="24"/>
          <w:lang w:eastAsia="en-US"/>
        </w:rPr>
        <w:tab/>
        <w:t xml:space="preserve">Transport of dangerous goods as part of duties to protect the public </w:t>
      </w:r>
    </w:p>
    <w:p w14:paraId="3042490A" w14:textId="77777777" w:rsidR="00BF24C9" w:rsidRPr="006A048F" w:rsidRDefault="00BF24C9" w:rsidP="00BF24C9">
      <w:pPr>
        <w:tabs>
          <w:tab w:val="left" w:pos="3402"/>
        </w:tabs>
        <w:suppressAutoHyphens/>
        <w:spacing w:after="120"/>
        <w:ind w:left="3402" w:right="1134" w:hanging="2268"/>
        <w:rPr>
          <w:rFonts w:eastAsia="SimSun"/>
          <w:lang w:eastAsia="zh-CN"/>
        </w:rPr>
      </w:pPr>
      <w:proofErr w:type="gramStart"/>
      <w:r w:rsidRPr="00013E9B">
        <w:rPr>
          <w:rFonts w:eastAsia="SimSun"/>
          <w:i/>
          <w:iCs/>
          <w:lang w:val="fr-CH" w:eastAsia="zh-CN"/>
        </w:rPr>
        <w:t>Document</w:t>
      </w:r>
      <w:r w:rsidRPr="00013E9B">
        <w:rPr>
          <w:rFonts w:eastAsia="SimSun"/>
          <w:lang w:val="fr-CH" w:eastAsia="zh-CN"/>
        </w:rPr>
        <w:t>:</w:t>
      </w:r>
      <w:proofErr w:type="gramEnd"/>
      <w:r w:rsidRPr="00013E9B">
        <w:rPr>
          <w:rFonts w:eastAsia="SimSun"/>
          <w:lang w:val="fr-CH" w:eastAsia="zh-CN"/>
        </w:rPr>
        <w:tab/>
        <w:t xml:space="preserve">ECE/TRANS/WP.15/AC.1/168, paras. </w:t>
      </w:r>
      <w:r w:rsidRPr="006A048F">
        <w:rPr>
          <w:rFonts w:eastAsia="SimSun"/>
          <w:lang w:eastAsia="zh-CN"/>
        </w:rPr>
        <w:t>35 and 36 (Report of the Joint Meeting on its spring 2023 session)</w:t>
      </w:r>
    </w:p>
    <w:p w14:paraId="79F8C332" w14:textId="77777777" w:rsidR="00BF24C9" w:rsidRPr="006A048F" w:rsidRDefault="00BF24C9" w:rsidP="00BF24C9">
      <w:pPr>
        <w:tabs>
          <w:tab w:val="left" w:pos="3402"/>
        </w:tabs>
        <w:suppressAutoHyphens/>
        <w:spacing w:after="120"/>
        <w:ind w:left="1134" w:right="1134"/>
        <w:jc w:val="both"/>
        <w:rPr>
          <w:rFonts w:eastAsia="SimSun"/>
          <w:lang w:eastAsia="zh-CN"/>
        </w:rPr>
      </w:pPr>
      <w:r w:rsidRPr="006A048F">
        <w:rPr>
          <w:rFonts w:eastAsia="SimSun"/>
          <w:i/>
          <w:iCs/>
          <w:lang w:eastAsia="zh-CN"/>
        </w:rPr>
        <w:t>Informal document</w:t>
      </w:r>
      <w:r w:rsidRPr="006A048F">
        <w:rPr>
          <w:rFonts w:eastAsia="SimSun"/>
          <w:lang w:eastAsia="zh-CN"/>
        </w:rPr>
        <w:t>:</w:t>
      </w:r>
      <w:r w:rsidRPr="006A048F">
        <w:rPr>
          <w:rFonts w:eastAsia="SimSun"/>
          <w:lang w:eastAsia="zh-CN"/>
        </w:rPr>
        <w:tab/>
        <w:t>INF.4 (Netherlands)</w:t>
      </w:r>
    </w:p>
    <w:p w14:paraId="576548B4" w14:textId="51A5B78E"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48</w:t>
      </w:r>
      <w:r w:rsidR="00BF24C9" w:rsidRPr="006A048F">
        <w:rPr>
          <w:rFonts w:eastAsia="SimSun"/>
          <w:lang w:eastAsia="zh-CN"/>
        </w:rPr>
        <w:t>.</w:t>
      </w:r>
      <w:r w:rsidR="00BF24C9" w:rsidRPr="006A048F">
        <w:rPr>
          <w:rFonts w:eastAsia="SimSun"/>
          <w:lang w:eastAsia="zh-CN"/>
        </w:rPr>
        <w:tab/>
        <w:t>The Working Party confirmed the interpretation of the Joint Meeting that the provisions in 1.1.3.1 (d) and (e) allowed public services (</w:t>
      </w:r>
      <w:proofErr w:type="gramStart"/>
      <w:r w:rsidR="00BF24C9" w:rsidRPr="006A048F">
        <w:rPr>
          <w:rFonts w:eastAsia="SimSun"/>
          <w:lang w:eastAsia="zh-CN"/>
        </w:rPr>
        <w:t>e.g.</w:t>
      </w:r>
      <w:proofErr w:type="gramEnd"/>
      <w:r w:rsidR="00BF24C9" w:rsidRPr="006A048F">
        <w:rPr>
          <w:rFonts w:eastAsia="SimSun"/>
          <w:lang w:eastAsia="zh-CN"/>
        </w:rPr>
        <w:t xml:space="preserve"> police, enforcement, customs) to carry dangerous goods as part of their duties to protect the public. That interpretation would be published on the relevant page of the ECE website. </w:t>
      </w:r>
    </w:p>
    <w:p w14:paraId="63A2FED3" w14:textId="0B411D58"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49</w:t>
      </w:r>
      <w:r w:rsidR="00BF24C9" w:rsidRPr="006A048F">
        <w:rPr>
          <w:rFonts w:eastAsia="SimSun"/>
          <w:lang w:eastAsia="zh-CN"/>
        </w:rPr>
        <w:t>.</w:t>
      </w:r>
      <w:r w:rsidR="00BF24C9" w:rsidRPr="006A048F">
        <w:rPr>
          <w:rFonts w:eastAsia="SimSun"/>
          <w:lang w:eastAsia="zh-CN"/>
        </w:rPr>
        <w:tab/>
        <w:t xml:space="preserve">However, the Working Party </w:t>
      </w:r>
      <w:proofErr w:type="gramStart"/>
      <w:r w:rsidR="00BF24C9" w:rsidRPr="006A048F">
        <w:rPr>
          <w:rFonts w:eastAsia="SimSun"/>
          <w:lang w:eastAsia="zh-CN"/>
        </w:rPr>
        <w:t>was of the opinion that</w:t>
      </w:r>
      <w:proofErr w:type="gramEnd"/>
      <w:r w:rsidR="00BF24C9" w:rsidRPr="006A048F">
        <w:rPr>
          <w:rFonts w:eastAsia="SimSun"/>
          <w:lang w:eastAsia="zh-CN"/>
        </w:rPr>
        <w:t xml:space="preserve"> it might be useful to specify in more detail the cases covered by 1.1.3.1 and invited the representative of the Netherlands to reconsider this question, for road transport, on the basis of informal document INF.14, which had been presented to the Joint Meeting at its spring 2023 session, and in the light of the comments received.</w:t>
      </w:r>
    </w:p>
    <w:p w14:paraId="7F16D1E5" w14:textId="77777777" w:rsidR="00BF24C9" w:rsidRPr="006A048F" w:rsidRDefault="00BF24C9" w:rsidP="00BF24C9">
      <w:pPr>
        <w:keepNext/>
        <w:keepLines/>
        <w:tabs>
          <w:tab w:val="right" w:pos="851"/>
        </w:tabs>
        <w:suppressAutoHyphens/>
        <w:spacing w:before="360" w:after="240" w:line="270" w:lineRule="exact"/>
        <w:ind w:left="1134" w:right="1134" w:hanging="1134"/>
        <w:outlineLvl w:val="2"/>
        <w:rPr>
          <w:b/>
          <w:sz w:val="24"/>
          <w:lang w:eastAsia="en-US"/>
        </w:rPr>
      </w:pPr>
      <w:r w:rsidRPr="006A048F">
        <w:rPr>
          <w:b/>
          <w:sz w:val="24"/>
          <w:lang w:eastAsia="en-US"/>
        </w:rPr>
        <w:tab/>
        <w:t>D.</w:t>
      </w:r>
      <w:r w:rsidRPr="006A048F">
        <w:rPr>
          <w:b/>
          <w:sz w:val="24"/>
          <w:lang w:eastAsia="en-US"/>
        </w:rPr>
        <w:tab/>
        <w:t xml:space="preserve">Examination for the renewal of the safety adviser certificate </w:t>
      </w:r>
    </w:p>
    <w:p w14:paraId="297F37F4" w14:textId="77777777" w:rsidR="00BF24C9" w:rsidRPr="006A048F" w:rsidRDefault="00BF24C9" w:rsidP="00BF24C9">
      <w:pPr>
        <w:tabs>
          <w:tab w:val="left" w:pos="3402"/>
        </w:tabs>
        <w:suppressAutoHyphens/>
        <w:spacing w:after="120"/>
        <w:ind w:left="1134" w:right="1134"/>
        <w:jc w:val="both"/>
        <w:rPr>
          <w:rFonts w:eastAsia="SimSun"/>
          <w:lang w:eastAsia="zh-CN"/>
        </w:rPr>
      </w:pPr>
      <w:r w:rsidRPr="006A048F">
        <w:rPr>
          <w:rFonts w:eastAsia="SimSun"/>
          <w:i/>
          <w:iCs/>
          <w:lang w:eastAsia="zh-CN"/>
        </w:rPr>
        <w:t>Informal document</w:t>
      </w:r>
      <w:r w:rsidRPr="006A048F">
        <w:rPr>
          <w:rFonts w:eastAsia="SimSun"/>
          <w:lang w:eastAsia="zh-CN"/>
        </w:rPr>
        <w:t>:</w:t>
      </w:r>
      <w:r w:rsidRPr="006A048F">
        <w:rPr>
          <w:rFonts w:eastAsia="SimSun"/>
          <w:lang w:eastAsia="zh-CN"/>
        </w:rPr>
        <w:tab/>
        <w:t>INF.14 (Ireland)</w:t>
      </w:r>
    </w:p>
    <w:p w14:paraId="10924590" w14:textId="18AA074B"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50</w:t>
      </w:r>
      <w:r w:rsidR="00BF24C9" w:rsidRPr="006A048F">
        <w:rPr>
          <w:rFonts w:eastAsia="SimSun"/>
          <w:lang w:eastAsia="zh-CN"/>
        </w:rPr>
        <w:t>.</w:t>
      </w:r>
      <w:r w:rsidR="00BF24C9" w:rsidRPr="006A048F">
        <w:rPr>
          <w:rFonts w:eastAsia="SimSun"/>
          <w:lang w:eastAsia="zh-CN"/>
        </w:rPr>
        <w:tab/>
        <w:t>Most of the delegations that expressed their views indicated that, by decision of the competent authority, the examination for the renewal of the safety adviser certificate organized in their country did not include a case study, as mentioned in 1.8.3.12.4 (b). Other countries, such as Ireland, had chosen to maintain the case study for examinations for renewal.</w:t>
      </w:r>
    </w:p>
    <w:p w14:paraId="56836872" w14:textId="47EEBCD2"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51</w:t>
      </w:r>
      <w:r w:rsidR="00BF24C9" w:rsidRPr="006A048F">
        <w:rPr>
          <w:rFonts w:eastAsia="SimSun"/>
          <w:lang w:eastAsia="zh-CN"/>
        </w:rPr>
        <w:t>.</w:t>
      </w:r>
      <w:r w:rsidR="00BF24C9" w:rsidRPr="006A048F">
        <w:rPr>
          <w:rFonts w:eastAsia="SimSun"/>
          <w:lang w:eastAsia="zh-CN"/>
        </w:rPr>
        <w:tab/>
        <w:t>The Working Party noted that the different language versions of the text of 1.8.3.16.2 were not completely aligned and that this could, therefore, lead to different interpretations. As this text is common to RID, ADR and ADN, any proposed amendments should be discussed by the Joint Meeting.</w:t>
      </w:r>
    </w:p>
    <w:p w14:paraId="24B42158" w14:textId="77777777" w:rsidR="00A25857" w:rsidRPr="006A048F" w:rsidRDefault="00A25857" w:rsidP="00A25857">
      <w:pPr>
        <w:pStyle w:val="H1G"/>
      </w:pPr>
      <w:r w:rsidRPr="006A048F">
        <w:tab/>
        <w:t xml:space="preserve">E. </w:t>
      </w:r>
      <w:r w:rsidRPr="006A048F">
        <w:tab/>
        <w:t>Reference to machinery and equipment in relation to 1.1.3.6.3, first indent</w:t>
      </w:r>
    </w:p>
    <w:p w14:paraId="2D6FE6F7" w14:textId="77777777" w:rsidR="00A25857" w:rsidRPr="006A048F" w:rsidRDefault="00A25857" w:rsidP="00A25857">
      <w:pPr>
        <w:pStyle w:val="SingleTxtG"/>
      </w:pPr>
      <w:r w:rsidRPr="006A048F">
        <w:rPr>
          <w:i/>
          <w:iCs/>
        </w:rPr>
        <w:t>Informal document:</w:t>
      </w:r>
      <w:r w:rsidRPr="006A048F">
        <w:t xml:space="preserve"> INF.15 (IASA)</w:t>
      </w:r>
    </w:p>
    <w:p w14:paraId="38FC5BD6" w14:textId="7B6986D1" w:rsidR="00A25857" w:rsidRPr="006A048F" w:rsidRDefault="00E66660" w:rsidP="00A25857">
      <w:pPr>
        <w:pStyle w:val="SingleTxtG"/>
      </w:pPr>
      <w:r w:rsidRPr="006A048F">
        <w:t>52</w:t>
      </w:r>
      <w:r w:rsidR="00A25857" w:rsidRPr="006A048F">
        <w:t xml:space="preserve">. </w:t>
      </w:r>
      <w:r w:rsidR="00A25857" w:rsidRPr="006A048F">
        <w:tab/>
        <w:t>Most of the delegations which spoke considered that it was the net mass of the dangerous substance contained which should be taken into consideration in the case of UN No. 2990.</w:t>
      </w:r>
    </w:p>
    <w:p w14:paraId="445BECDF" w14:textId="2F8696E9" w:rsidR="00A25857" w:rsidRPr="006A048F" w:rsidRDefault="00E66660" w:rsidP="00A25857">
      <w:pPr>
        <w:pStyle w:val="SingleTxtG"/>
      </w:pPr>
      <w:r w:rsidRPr="006A048F">
        <w:t>53</w:t>
      </w:r>
      <w:r w:rsidR="00A25857" w:rsidRPr="006A048F">
        <w:t xml:space="preserve">. </w:t>
      </w:r>
      <w:r w:rsidR="00A25857" w:rsidRPr="006A048F">
        <w:tab/>
        <w:t>The Working Party invited the representative of IASA to contact the delegation of Spain, which had already prepared proposals on the classification of articles and of dangerous goods in machinery and equipment in RID, ADR and ADN and, possibly, to submit an official document to the Joint Meeting.</w:t>
      </w:r>
    </w:p>
    <w:p w14:paraId="0A4AD407" w14:textId="77777777" w:rsidR="00BF24C9" w:rsidRPr="006A048F" w:rsidRDefault="00BF24C9" w:rsidP="00BF24C9">
      <w:pPr>
        <w:keepNext/>
        <w:keepLines/>
        <w:tabs>
          <w:tab w:val="right" w:pos="851"/>
        </w:tabs>
        <w:suppressAutoHyphens/>
        <w:spacing w:before="360" w:after="240" w:line="300" w:lineRule="exact"/>
        <w:ind w:left="1134" w:right="1134" w:hanging="1134"/>
        <w:outlineLvl w:val="1"/>
        <w:rPr>
          <w:b/>
          <w:sz w:val="28"/>
          <w:lang w:eastAsia="en-US"/>
        </w:rPr>
      </w:pPr>
      <w:r w:rsidRPr="006A048F">
        <w:rPr>
          <w:b/>
          <w:sz w:val="28"/>
          <w:lang w:eastAsia="en-US"/>
        </w:rPr>
        <w:lastRenderedPageBreak/>
        <w:tab/>
        <w:t>VIII.</w:t>
      </w:r>
      <w:r w:rsidRPr="006A048F">
        <w:rPr>
          <w:b/>
          <w:sz w:val="28"/>
          <w:lang w:eastAsia="en-US"/>
        </w:rPr>
        <w:tab/>
        <w:t>Circular economy, sustainable use of natural resources and Sustainable Development Goals (agenda item 7)</w:t>
      </w:r>
    </w:p>
    <w:p w14:paraId="73B4D89F" w14:textId="77777777" w:rsidR="00BF24C9" w:rsidRPr="006A048F" w:rsidRDefault="00BF24C9" w:rsidP="00BF24C9">
      <w:pPr>
        <w:tabs>
          <w:tab w:val="left" w:pos="3402"/>
        </w:tabs>
        <w:suppressAutoHyphens/>
        <w:spacing w:after="120"/>
        <w:ind w:left="3402" w:right="1134" w:hanging="2268"/>
        <w:rPr>
          <w:rFonts w:eastAsia="SimSun"/>
          <w:lang w:eastAsia="zh-CN"/>
        </w:rPr>
      </w:pPr>
      <w:r w:rsidRPr="006A048F">
        <w:rPr>
          <w:rFonts w:eastAsia="SimSun"/>
          <w:i/>
          <w:iCs/>
          <w:lang w:eastAsia="zh-CN"/>
        </w:rPr>
        <w:t>Document</w:t>
      </w:r>
      <w:r w:rsidRPr="006A048F">
        <w:rPr>
          <w:rFonts w:eastAsia="SimSun"/>
          <w:lang w:eastAsia="zh-CN"/>
        </w:rPr>
        <w:t>:</w:t>
      </w:r>
      <w:r w:rsidRPr="006A048F">
        <w:rPr>
          <w:rFonts w:eastAsia="SimSun"/>
          <w:lang w:eastAsia="zh-CN"/>
        </w:rPr>
        <w:tab/>
        <w:t>ECE/TRANS/WP.15/AC.1/168, para. 60 (Report of the Joint Meeting on its spring 2023 session)</w:t>
      </w:r>
    </w:p>
    <w:p w14:paraId="7BE741EC" w14:textId="72596854"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54</w:t>
      </w:r>
      <w:r w:rsidR="00BF24C9" w:rsidRPr="006A048F">
        <w:rPr>
          <w:rFonts w:eastAsia="SimSun"/>
          <w:lang w:eastAsia="zh-CN"/>
        </w:rPr>
        <w:t>.</w:t>
      </w:r>
      <w:r w:rsidR="00BF24C9" w:rsidRPr="006A048F">
        <w:rPr>
          <w:rFonts w:eastAsia="SimSun"/>
          <w:lang w:eastAsia="zh-CN"/>
        </w:rPr>
        <w:tab/>
        <w:t>At its 112th session, the Working Party had invited delegations, when submitting proposals, to note in the justification part any interlinkage there might be with these topics.</w:t>
      </w:r>
    </w:p>
    <w:p w14:paraId="71D8E5CE" w14:textId="65526658"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55</w:t>
      </w:r>
      <w:r w:rsidR="00BF24C9" w:rsidRPr="006A048F">
        <w:rPr>
          <w:rFonts w:eastAsia="SimSun"/>
          <w:lang w:eastAsia="zh-CN"/>
        </w:rPr>
        <w:t>.</w:t>
      </w:r>
      <w:r w:rsidR="00BF24C9" w:rsidRPr="006A048F">
        <w:rPr>
          <w:rFonts w:eastAsia="SimSun"/>
          <w:lang w:eastAsia="zh-CN"/>
        </w:rPr>
        <w:tab/>
        <w:t xml:space="preserve">In this context, the secretariat presented the Joint Meeting with a draft table identifying the Sustainable Development Goals most closely aligned with RID, ADR and ADN and the work of the RID/ADR/ADN Joint Meeting, the Working Party on the Transport of Dangerous </w:t>
      </w:r>
      <w:proofErr w:type="gramStart"/>
      <w:r w:rsidR="00BF24C9" w:rsidRPr="006A048F">
        <w:rPr>
          <w:rFonts w:eastAsia="SimSun"/>
          <w:lang w:eastAsia="zh-CN"/>
        </w:rPr>
        <w:t>Goods</w:t>
      </w:r>
      <w:proofErr w:type="gramEnd"/>
      <w:r w:rsidR="00BF24C9" w:rsidRPr="006A048F">
        <w:rPr>
          <w:rFonts w:eastAsia="SimSun"/>
          <w:lang w:eastAsia="zh-CN"/>
        </w:rPr>
        <w:t xml:space="preserve"> and the ADN Safety Committee (informal document INF.23, which is available on the web page of the spring 2023 session of the Joint Meeting https://unece.org/info/Transport/Dangerous-Goods/events/373808).</w:t>
      </w:r>
    </w:p>
    <w:p w14:paraId="28F4FF68" w14:textId="7829AB7A" w:rsidR="00BF24C9" w:rsidRPr="006A048F" w:rsidRDefault="00E66660" w:rsidP="00BF24C9">
      <w:pPr>
        <w:tabs>
          <w:tab w:val="left" w:pos="1701"/>
          <w:tab w:val="left" w:pos="2268"/>
        </w:tabs>
        <w:suppressAutoHyphens/>
        <w:spacing w:after="120"/>
        <w:ind w:left="1134" w:right="1134"/>
        <w:jc w:val="both"/>
        <w:rPr>
          <w:rFonts w:eastAsia="SimSun"/>
          <w:lang w:eastAsia="zh-CN"/>
        </w:rPr>
      </w:pPr>
      <w:r w:rsidRPr="006A048F">
        <w:rPr>
          <w:rFonts w:eastAsia="SimSun"/>
          <w:lang w:eastAsia="zh-CN"/>
        </w:rPr>
        <w:t>56</w:t>
      </w:r>
      <w:r w:rsidR="00BF24C9" w:rsidRPr="006A048F">
        <w:rPr>
          <w:rFonts w:eastAsia="SimSun"/>
          <w:lang w:eastAsia="zh-CN"/>
        </w:rPr>
        <w:t>.</w:t>
      </w:r>
      <w:r w:rsidR="00BF24C9" w:rsidRPr="006A048F">
        <w:rPr>
          <w:rFonts w:eastAsia="SimSun"/>
          <w:lang w:eastAsia="zh-CN"/>
        </w:rPr>
        <w:tab/>
        <w:t xml:space="preserve">The Working Party invited those delegations that wished to do so to send their comments on this draft to the secretariat before the end of May 2023. </w:t>
      </w:r>
    </w:p>
    <w:p w14:paraId="0F62FFE5" w14:textId="77777777" w:rsidR="00F13DF9" w:rsidRPr="006A048F" w:rsidRDefault="00F13DF9" w:rsidP="00F13DF9">
      <w:pPr>
        <w:keepNext/>
        <w:keepLines/>
        <w:tabs>
          <w:tab w:val="right" w:pos="851"/>
        </w:tabs>
        <w:suppressAutoHyphens/>
        <w:spacing w:before="360" w:after="240" w:line="300" w:lineRule="exact"/>
        <w:ind w:left="1134" w:right="1134" w:hanging="1134"/>
        <w:outlineLvl w:val="1"/>
        <w:rPr>
          <w:b/>
          <w:sz w:val="28"/>
          <w:lang w:eastAsia="en-US"/>
        </w:rPr>
      </w:pPr>
      <w:r w:rsidRPr="006A048F">
        <w:rPr>
          <w:b/>
          <w:bCs/>
          <w:sz w:val="28"/>
          <w:lang w:eastAsia="en-US"/>
        </w:rPr>
        <w:tab/>
        <w:t>IX.</w:t>
      </w:r>
      <w:r w:rsidRPr="006A048F">
        <w:rPr>
          <w:b/>
          <w:sz w:val="28"/>
          <w:lang w:eastAsia="en-US"/>
        </w:rPr>
        <w:tab/>
      </w:r>
      <w:r w:rsidRPr="006A048F">
        <w:rPr>
          <w:b/>
          <w:bCs/>
          <w:sz w:val="28"/>
          <w:lang w:eastAsia="en-US"/>
        </w:rPr>
        <w:t>Programme of work (agenda item 8)</w:t>
      </w:r>
    </w:p>
    <w:p w14:paraId="63FFAA96" w14:textId="3D06B68D" w:rsidR="00F13DF9" w:rsidRPr="006A048F" w:rsidRDefault="00E66660" w:rsidP="00F13DF9">
      <w:pPr>
        <w:tabs>
          <w:tab w:val="left" w:pos="1701"/>
          <w:tab w:val="left" w:pos="2268"/>
        </w:tabs>
        <w:suppressAutoHyphens/>
        <w:spacing w:after="120"/>
        <w:ind w:left="1134" w:right="1134"/>
        <w:jc w:val="both"/>
        <w:rPr>
          <w:rFonts w:eastAsia="SimSun"/>
          <w:lang w:eastAsia="zh-CN"/>
        </w:rPr>
      </w:pPr>
      <w:r w:rsidRPr="006A048F">
        <w:rPr>
          <w:rFonts w:eastAsia="SimSun"/>
          <w:lang w:eastAsia="zh-CN"/>
        </w:rPr>
        <w:t>57</w:t>
      </w:r>
      <w:r w:rsidR="00F13DF9" w:rsidRPr="006A048F">
        <w:rPr>
          <w:rFonts w:eastAsia="SimSun"/>
          <w:lang w:eastAsia="zh-CN"/>
        </w:rPr>
        <w:t>.</w:t>
      </w:r>
      <w:r w:rsidR="00F13DF9" w:rsidRPr="006A048F">
        <w:rPr>
          <w:rFonts w:eastAsia="SimSun"/>
          <w:lang w:eastAsia="zh-CN"/>
        </w:rPr>
        <w:tab/>
        <w:t xml:space="preserve">The 114th session of the Working Party would be held from 6 to 10 November 2023. The agenda items for that session would be the same as for the 113th session, with the addition of an item for the election of officers. </w:t>
      </w:r>
    </w:p>
    <w:p w14:paraId="624037BF" w14:textId="543F893A" w:rsidR="00F13DF9" w:rsidRPr="006A048F" w:rsidRDefault="00E66660" w:rsidP="00F13DF9">
      <w:pPr>
        <w:suppressAutoHyphens/>
        <w:spacing w:after="120"/>
        <w:ind w:left="1134" w:right="1134"/>
        <w:jc w:val="both"/>
        <w:rPr>
          <w:rFonts w:eastAsia="Calibri"/>
          <w:lang w:eastAsia="en-US"/>
        </w:rPr>
      </w:pPr>
      <w:r w:rsidRPr="006A048F">
        <w:rPr>
          <w:lang w:eastAsia="en-US"/>
        </w:rPr>
        <w:t>58</w:t>
      </w:r>
      <w:r w:rsidR="00F13DF9" w:rsidRPr="006A048F">
        <w:rPr>
          <w:lang w:eastAsia="en-US"/>
        </w:rPr>
        <w:t>.</w:t>
      </w:r>
      <w:r w:rsidR="00F13DF9" w:rsidRPr="006A048F">
        <w:rPr>
          <w:lang w:eastAsia="en-US"/>
        </w:rPr>
        <w:tab/>
        <w:t>The deadline for submission of formal documents for that session was 11 August 2023.</w:t>
      </w:r>
    </w:p>
    <w:p w14:paraId="54A792DF" w14:textId="77777777" w:rsidR="00F13DF9" w:rsidRPr="006A048F" w:rsidRDefault="00F13DF9" w:rsidP="00F13DF9">
      <w:pPr>
        <w:keepNext/>
        <w:keepLines/>
        <w:tabs>
          <w:tab w:val="right" w:pos="851"/>
        </w:tabs>
        <w:suppressAutoHyphens/>
        <w:spacing w:before="360" w:after="240" w:line="300" w:lineRule="exact"/>
        <w:ind w:left="1134" w:right="1134" w:hanging="1134"/>
        <w:outlineLvl w:val="1"/>
        <w:rPr>
          <w:b/>
          <w:sz w:val="28"/>
          <w:lang w:eastAsia="en-US"/>
        </w:rPr>
      </w:pPr>
      <w:r w:rsidRPr="006A048F">
        <w:rPr>
          <w:b/>
          <w:bCs/>
          <w:sz w:val="28"/>
          <w:lang w:eastAsia="en-US"/>
        </w:rPr>
        <w:tab/>
        <w:t>X.</w:t>
      </w:r>
      <w:r w:rsidRPr="006A048F">
        <w:rPr>
          <w:b/>
          <w:sz w:val="28"/>
          <w:lang w:eastAsia="en-US"/>
        </w:rPr>
        <w:tab/>
      </w:r>
      <w:r w:rsidRPr="006A048F">
        <w:rPr>
          <w:b/>
          <w:bCs/>
          <w:sz w:val="28"/>
          <w:lang w:eastAsia="en-US"/>
        </w:rPr>
        <w:t>Any other business (agenda item 9)</w:t>
      </w:r>
    </w:p>
    <w:p w14:paraId="3BBA51D9" w14:textId="77777777" w:rsidR="00F13DF9" w:rsidRPr="006A048F" w:rsidRDefault="00F13DF9" w:rsidP="00F13DF9">
      <w:pPr>
        <w:keepNext/>
        <w:keepLines/>
        <w:tabs>
          <w:tab w:val="right" w:pos="851"/>
        </w:tabs>
        <w:suppressAutoHyphens/>
        <w:spacing w:before="360" w:after="240" w:line="270" w:lineRule="exact"/>
        <w:ind w:left="1134" w:right="1134" w:hanging="1134"/>
        <w:outlineLvl w:val="2"/>
        <w:rPr>
          <w:b/>
          <w:sz w:val="24"/>
          <w:lang w:eastAsia="en-US"/>
        </w:rPr>
      </w:pPr>
      <w:r w:rsidRPr="006A048F">
        <w:rPr>
          <w:b/>
          <w:bCs/>
          <w:sz w:val="24"/>
          <w:lang w:eastAsia="en-US"/>
        </w:rPr>
        <w:tab/>
        <w:t>A.</w:t>
      </w:r>
      <w:r w:rsidRPr="006A048F">
        <w:rPr>
          <w:b/>
          <w:sz w:val="24"/>
          <w:lang w:eastAsia="en-US"/>
        </w:rPr>
        <w:tab/>
      </w:r>
      <w:r w:rsidRPr="006A048F">
        <w:rPr>
          <w:b/>
          <w:bCs/>
          <w:sz w:val="24"/>
          <w:lang w:eastAsia="en-US"/>
        </w:rPr>
        <w:t>Competent authority approval in accordance with ADR 2.1.2.8 and proposed amendment to the Dangerous Goods List of the Model Regulations</w:t>
      </w:r>
    </w:p>
    <w:p w14:paraId="75E2CDB1" w14:textId="77777777" w:rsidR="00F13DF9" w:rsidRPr="006A048F" w:rsidRDefault="00F13DF9" w:rsidP="00F13DF9">
      <w:pPr>
        <w:keepNext/>
        <w:keepLines/>
        <w:tabs>
          <w:tab w:val="left" w:pos="3402"/>
        </w:tabs>
        <w:suppressAutoHyphens/>
        <w:kinsoku w:val="0"/>
        <w:overflowPunct w:val="0"/>
        <w:autoSpaceDE w:val="0"/>
        <w:autoSpaceDN w:val="0"/>
        <w:adjustRightInd w:val="0"/>
        <w:snapToGrid w:val="0"/>
        <w:spacing w:after="120"/>
        <w:ind w:left="3402" w:right="1134" w:hanging="2268"/>
        <w:rPr>
          <w:lang w:eastAsia="en-US"/>
        </w:rPr>
      </w:pPr>
      <w:r w:rsidRPr="006A048F">
        <w:rPr>
          <w:i/>
          <w:iCs/>
          <w:lang w:eastAsia="en-US"/>
        </w:rPr>
        <w:t>Informal document</w:t>
      </w:r>
      <w:r w:rsidRPr="006A048F">
        <w:rPr>
          <w:lang w:eastAsia="en-US"/>
        </w:rPr>
        <w:t>:</w:t>
      </w:r>
      <w:r w:rsidRPr="006A048F">
        <w:rPr>
          <w:lang w:eastAsia="en-US"/>
        </w:rPr>
        <w:tab/>
      </w:r>
      <w:r w:rsidRPr="006A048F">
        <w:rPr>
          <w:lang w:eastAsia="en-US"/>
        </w:rPr>
        <w:tab/>
        <w:t>INF.10 (Ireland)</w:t>
      </w:r>
    </w:p>
    <w:p w14:paraId="18F9F3AB" w14:textId="5EC33C0D" w:rsidR="00F13DF9" w:rsidRPr="006A048F" w:rsidRDefault="00E66660" w:rsidP="00F13DF9">
      <w:pPr>
        <w:tabs>
          <w:tab w:val="left" w:pos="1701"/>
          <w:tab w:val="left" w:pos="2268"/>
        </w:tabs>
        <w:suppressAutoHyphens/>
        <w:spacing w:after="120"/>
        <w:ind w:left="1134" w:right="1134"/>
        <w:jc w:val="both"/>
        <w:rPr>
          <w:rFonts w:eastAsia="SimSun"/>
          <w:lang w:eastAsia="zh-CN"/>
        </w:rPr>
      </w:pPr>
      <w:r w:rsidRPr="006A048F">
        <w:rPr>
          <w:rFonts w:eastAsia="SimSun"/>
          <w:lang w:eastAsia="zh-CN"/>
        </w:rPr>
        <w:t>59</w:t>
      </w:r>
      <w:r w:rsidR="00F13DF9" w:rsidRPr="006A048F">
        <w:rPr>
          <w:rFonts w:eastAsia="SimSun"/>
          <w:lang w:eastAsia="zh-CN"/>
        </w:rPr>
        <w:t>.</w:t>
      </w:r>
      <w:r w:rsidR="00F13DF9" w:rsidRPr="006A048F">
        <w:rPr>
          <w:rFonts w:eastAsia="SimSun"/>
          <w:lang w:eastAsia="zh-CN"/>
        </w:rPr>
        <w:tab/>
        <w:t>The Working Party advised the representative of Ireland to submit her document to the informal working group on the transport of hazardous waste of the Joint Meeting for advice before making a proposal to the Subcommittee of Experts on the Transport of Dangerous Goods for the amendment of the Dangerous Goods List in the Model Regulations.</w:t>
      </w:r>
    </w:p>
    <w:p w14:paraId="4DEC543B" w14:textId="77777777" w:rsidR="00251835" w:rsidRPr="006A048F" w:rsidRDefault="00251835" w:rsidP="00251835">
      <w:pPr>
        <w:keepNext/>
        <w:keepLines/>
        <w:tabs>
          <w:tab w:val="right" w:pos="851"/>
        </w:tabs>
        <w:spacing w:before="360" w:after="240" w:line="270" w:lineRule="exact"/>
        <w:ind w:left="1134" w:right="1134" w:hanging="1134"/>
        <w:outlineLvl w:val="2"/>
        <w:rPr>
          <w:b/>
          <w:sz w:val="24"/>
          <w:lang w:eastAsia="zh-CN"/>
        </w:rPr>
      </w:pPr>
      <w:r w:rsidRPr="006A048F">
        <w:rPr>
          <w:b/>
          <w:bCs/>
          <w:sz w:val="24"/>
          <w:lang w:eastAsia="zh-CN"/>
        </w:rPr>
        <w:tab/>
        <w:t>B.</w:t>
      </w:r>
      <w:r w:rsidRPr="006A048F">
        <w:rPr>
          <w:b/>
          <w:sz w:val="24"/>
          <w:lang w:eastAsia="zh-CN"/>
        </w:rPr>
        <w:tab/>
      </w:r>
      <w:r w:rsidRPr="006A048F">
        <w:rPr>
          <w:b/>
          <w:bCs/>
          <w:sz w:val="24"/>
          <w:lang w:eastAsia="zh-CN"/>
        </w:rPr>
        <w:t>Dimensions and masses of vehicles – modular system used in Finland</w:t>
      </w:r>
    </w:p>
    <w:p w14:paraId="7E684AA0" w14:textId="77777777" w:rsidR="00251835" w:rsidRPr="006A048F" w:rsidRDefault="00251835" w:rsidP="00251835">
      <w:pPr>
        <w:keepNext/>
        <w:keepLines/>
        <w:tabs>
          <w:tab w:val="left" w:pos="3402"/>
        </w:tabs>
        <w:suppressAutoHyphens/>
        <w:kinsoku w:val="0"/>
        <w:overflowPunct w:val="0"/>
        <w:autoSpaceDE w:val="0"/>
        <w:autoSpaceDN w:val="0"/>
        <w:adjustRightInd w:val="0"/>
        <w:snapToGrid w:val="0"/>
        <w:spacing w:after="120"/>
        <w:ind w:left="3402" w:right="1134" w:hanging="2268"/>
        <w:rPr>
          <w:lang w:eastAsia="zh-CN"/>
        </w:rPr>
      </w:pPr>
      <w:r w:rsidRPr="006A048F">
        <w:rPr>
          <w:i/>
          <w:iCs/>
          <w:lang w:eastAsia="zh-CN"/>
        </w:rPr>
        <w:t>Informal document</w:t>
      </w:r>
      <w:r w:rsidRPr="006A048F">
        <w:rPr>
          <w:lang w:eastAsia="zh-CN"/>
        </w:rPr>
        <w:t>:</w:t>
      </w:r>
      <w:r w:rsidRPr="006A048F">
        <w:rPr>
          <w:lang w:eastAsia="zh-CN"/>
        </w:rPr>
        <w:tab/>
      </w:r>
      <w:r w:rsidRPr="006A048F">
        <w:rPr>
          <w:lang w:eastAsia="zh-CN"/>
        </w:rPr>
        <w:tab/>
        <w:t xml:space="preserve">INF.20 and </w:t>
      </w:r>
      <w:proofErr w:type="gramStart"/>
      <w:r w:rsidRPr="006A048F">
        <w:rPr>
          <w:lang w:eastAsia="zh-CN"/>
        </w:rPr>
        <w:t>Add</w:t>
      </w:r>
      <w:proofErr w:type="gramEnd"/>
      <w:r w:rsidRPr="006A048F">
        <w:rPr>
          <w:lang w:eastAsia="zh-CN"/>
        </w:rPr>
        <w:t xml:space="preserve">.1 (Finland) </w:t>
      </w:r>
    </w:p>
    <w:p w14:paraId="0203CB3F" w14:textId="3AADB9B4" w:rsidR="00251835" w:rsidRPr="006A048F" w:rsidRDefault="00E66660" w:rsidP="00251835">
      <w:pPr>
        <w:tabs>
          <w:tab w:val="left" w:pos="1701"/>
          <w:tab w:val="left" w:pos="2268"/>
          <w:tab w:val="left" w:pos="2835"/>
        </w:tabs>
        <w:spacing w:after="120"/>
        <w:ind w:left="1134" w:right="1134"/>
        <w:jc w:val="both"/>
        <w:rPr>
          <w:rFonts w:ascii="TimesNewRomanPSMT" w:hAnsi="TimesNewRomanPSMT" w:cs="TimesNewRomanPSMT"/>
          <w:lang w:eastAsia="zh-CN"/>
        </w:rPr>
      </w:pPr>
      <w:r w:rsidRPr="006A048F">
        <w:rPr>
          <w:lang w:eastAsia="zh-CN"/>
        </w:rPr>
        <w:t>60</w:t>
      </w:r>
      <w:r w:rsidR="00251835" w:rsidRPr="006A048F">
        <w:rPr>
          <w:lang w:eastAsia="zh-CN"/>
        </w:rPr>
        <w:t>.</w:t>
      </w:r>
      <w:r w:rsidR="00251835" w:rsidRPr="006A048F">
        <w:rPr>
          <w:lang w:eastAsia="zh-CN"/>
        </w:rPr>
        <w:tab/>
        <w:t xml:space="preserve">The representative of Finland organized a presentation on the combinations of vehicles and transport units used in Finland and having larger dimensions and masses than the traditional European combinations of vehicles and transport units. </w:t>
      </w:r>
    </w:p>
    <w:p w14:paraId="6698F1BF" w14:textId="77777777" w:rsidR="00251835" w:rsidRPr="006A048F" w:rsidRDefault="00251835" w:rsidP="00251835">
      <w:pPr>
        <w:keepNext/>
        <w:keepLines/>
        <w:tabs>
          <w:tab w:val="right" w:pos="851"/>
        </w:tabs>
        <w:spacing w:before="360" w:after="240" w:line="270" w:lineRule="exact"/>
        <w:ind w:left="1134" w:right="1134" w:hanging="1134"/>
        <w:outlineLvl w:val="2"/>
        <w:rPr>
          <w:b/>
          <w:sz w:val="24"/>
          <w:lang w:eastAsia="zh-CN"/>
        </w:rPr>
      </w:pPr>
      <w:r w:rsidRPr="006A048F">
        <w:rPr>
          <w:b/>
          <w:bCs/>
          <w:sz w:val="24"/>
          <w:lang w:eastAsia="zh-CN"/>
        </w:rPr>
        <w:tab/>
        <w:t>C.</w:t>
      </w:r>
      <w:r w:rsidRPr="006A048F">
        <w:rPr>
          <w:b/>
          <w:sz w:val="24"/>
          <w:lang w:eastAsia="zh-CN"/>
        </w:rPr>
        <w:tab/>
      </w:r>
      <w:r w:rsidRPr="006A048F">
        <w:rPr>
          <w:b/>
          <w:bCs/>
          <w:sz w:val="24"/>
          <w:lang w:eastAsia="zh-CN"/>
        </w:rPr>
        <w:t>Carriage of empty uncleaned packaging waste</w:t>
      </w:r>
    </w:p>
    <w:p w14:paraId="147F1FA2" w14:textId="77777777" w:rsidR="00251835" w:rsidRPr="006A048F" w:rsidRDefault="00251835" w:rsidP="00251835">
      <w:pPr>
        <w:keepNext/>
        <w:keepLines/>
        <w:tabs>
          <w:tab w:val="left" w:pos="3402"/>
        </w:tabs>
        <w:suppressAutoHyphens/>
        <w:kinsoku w:val="0"/>
        <w:overflowPunct w:val="0"/>
        <w:autoSpaceDE w:val="0"/>
        <w:autoSpaceDN w:val="0"/>
        <w:adjustRightInd w:val="0"/>
        <w:snapToGrid w:val="0"/>
        <w:spacing w:after="120"/>
        <w:ind w:left="3402" w:right="1134" w:hanging="2268"/>
        <w:rPr>
          <w:lang w:eastAsia="zh-CN"/>
        </w:rPr>
      </w:pPr>
      <w:r w:rsidRPr="006A048F">
        <w:rPr>
          <w:i/>
          <w:iCs/>
          <w:lang w:eastAsia="zh-CN"/>
        </w:rPr>
        <w:t>Informal document</w:t>
      </w:r>
      <w:r w:rsidRPr="006A048F">
        <w:rPr>
          <w:lang w:eastAsia="zh-CN"/>
        </w:rPr>
        <w:t>:</w:t>
      </w:r>
      <w:r w:rsidRPr="006A048F">
        <w:rPr>
          <w:lang w:eastAsia="zh-CN"/>
        </w:rPr>
        <w:tab/>
      </w:r>
      <w:r w:rsidRPr="006A048F">
        <w:rPr>
          <w:lang w:eastAsia="zh-CN"/>
        </w:rPr>
        <w:tab/>
        <w:t>INF.11 (Ireland)</w:t>
      </w:r>
    </w:p>
    <w:p w14:paraId="6BED3BE7" w14:textId="21132CF8" w:rsidR="00251835" w:rsidRPr="006A048F" w:rsidRDefault="00E66660" w:rsidP="00251835">
      <w:pPr>
        <w:spacing w:after="120"/>
        <w:ind w:left="1134" w:right="1134"/>
        <w:jc w:val="both"/>
        <w:rPr>
          <w:lang w:eastAsia="zh-CN"/>
        </w:rPr>
      </w:pPr>
      <w:r w:rsidRPr="006A048F">
        <w:rPr>
          <w:lang w:eastAsia="zh-CN"/>
        </w:rPr>
        <w:t>61</w:t>
      </w:r>
      <w:r w:rsidR="00251835" w:rsidRPr="006A048F">
        <w:rPr>
          <w:lang w:eastAsia="zh-CN"/>
        </w:rPr>
        <w:t>.</w:t>
      </w:r>
      <w:r w:rsidR="00251835" w:rsidRPr="006A048F">
        <w:rPr>
          <w:lang w:eastAsia="zh-CN"/>
        </w:rPr>
        <w:tab/>
        <w:t>The Working Party advised the representative of Ireland to submit her document to the informal working group on the transport of hazardous waste of the Joint Meeting for advice.</w:t>
      </w:r>
    </w:p>
    <w:p w14:paraId="071FF3A6" w14:textId="77777777" w:rsidR="00251835" w:rsidRPr="006A048F" w:rsidRDefault="00251835" w:rsidP="00251835">
      <w:pPr>
        <w:keepNext/>
        <w:keepLines/>
        <w:tabs>
          <w:tab w:val="right" w:pos="851"/>
        </w:tabs>
        <w:spacing w:before="360" w:after="240" w:line="270" w:lineRule="exact"/>
        <w:ind w:left="1134" w:right="1134" w:hanging="1134"/>
        <w:outlineLvl w:val="2"/>
        <w:rPr>
          <w:b/>
          <w:sz w:val="24"/>
          <w:lang w:eastAsia="zh-CN"/>
        </w:rPr>
      </w:pPr>
      <w:r w:rsidRPr="006A048F">
        <w:rPr>
          <w:b/>
          <w:bCs/>
          <w:sz w:val="24"/>
          <w:lang w:eastAsia="zh-CN"/>
        </w:rPr>
        <w:lastRenderedPageBreak/>
        <w:tab/>
        <w:t>D.</w:t>
      </w:r>
      <w:r w:rsidRPr="006A048F">
        <w:rPr>
          <w:b/>
          <w:sz w:val="24"/>
          <w:lang w:eastAsia="zh-CN"/>
        </w:rPr>
        <w:tab/>
      </w:r>
      <w:r w:rsidRPr="006A048F">
        <w:rPr>
          <w:b/>
          <w:bCs/>
          <w:sz w:val="24"/>
          <w:lang w:eastAsia="zh-CN"/>
        </w:rPr>
        <w:t>Tribute to Mr. Adrian-</w:t>
      </w:r>
      <w:proofErr w:type="spellStart"/>
      <w:r w:rsidRPr="006A048F">
        <w:rPr>
          <w:b/>
          <w:bCs/>
          <w:sz w:val="24"/>
          <w:lang w:eastAsia="zh-CN"/>
        </w:rPr>
        <w:t>Teodor</w:t>
      </w:r>
      <w:proofErr w:type="spellEnd"/>
      <w:r w:rsidRPr="006A048F">
        <w:rPr>
          <w:b/>
          <w:bCs/>
          <w:sz w:val="24"/>
          <w:lang w:eastAsia="zh-CN"/>
        </w:rPr>
        <w:t xml:space="preserve"> </w:t>
      </w:r>
      <w:proofErr w:type="spellStart"/>
      <w:r w:rsidRPr="006A048F">
        <w:rPr>
          <w:b/>
          <w:bCs/>
          <w:sz w:val="24"/>
          <w:lang w:eastAsia="zh-CN"/>
        </w:rPr>
        <w:t>Raduta</w:t>
      </w:r>
      <w:proofErr w:type="spellEnd"/>
    </w:p>
    <w:p w14:paraId="6FD2DBFA" w14:textId="08B2DE86" w:rsidR="00251835" w:rsidRPr="006A048F" w:rsidRDefault="00E66660" w:rsidP="00251835">
      <w:pPr>
        <w:spacing w:after="120"/>
        <w:ind w:left="1134" w:right="1134"/>
        <w:jc w:val="both"/>
        <w:rPr>
          <w:lang w:eastAsia="zh-CN"/>
        </w:rPr>
      </w:pPr>
      <w:r w:rsidRPr="006A048F">
        <w:rPr>
          <w:lang w:eastAsia="zh-CN"/>
        </w:rPr>
        <w:t>62</w:t>
      </w:r>
      <w:r w:rsidR="00251835" w:rsidRPr="006A048F">
        <w:rPr>
          <w:lang w:eastAsia="zh-CN"/>
        </w:rPr>
        <w:t>.</w:t>
      </w:r>
      <w:r w:rsidR="00251835" w:rsidRPr="006A048F">
        <w:rPr>
          <w:lang w:eastAsia="zh-CN"/>
        </w:rPr>
        <w:tab/>
        <w:t>Learning that Mr. Adrian-</w:t>
      </w:r>
      <w:proofErr w:type="spellStart"/>
      <w:r w:rsidR="00251835" w:rsidRPr="006A048F">
        <w:rPr>
          <w:lang w:eastAsia="zh-CN"/>
        </w:rPr>
        <w:t>Teodor</w:t>
      </w:r>
      <w:proofErr w:type="spellEnd"/>
      <w:r w:rsidR="00251835" w:rsidRPr="006A048F">
        <w:rPr>
          <w:lang w:eastAsia="zh-CN"/>
        </w:rPr>
        <w:t xml:space="preserve"> </w:t>
      </w:r>
      <w:proofErr w:type="spellStart"/>
      <w:r w:rsidR="00251835" w:rsidRPr="006A048F">
        <w:rPr>
          <w:lang w:eastAsia="zh-CN"/>
        </w:rPr>
        <w:t>Raduta</w:t>
      </w:r>
      <w:proofErr w:type="spellEnd"/>
      <w:r w:rsidR="00251835" w:rsidRPr="006A048F">
        <w:rPr>
          <w:lang w:eastAsia="zh-CN"/>
        </w:rPr>
        <w:t xml:space="preserve"> was retiring and would no longer participate in its sessions, the Working Party thanked him for his participation, particularly in the work on the construction and approval of </w:t>
      </w:r>
      <w:proofErr w:type="gramStart"/>
      <w:r w:rsidR="00251835" w:rsidRPr="006A048F">
        <w:rPr>
          <w:lang w:eastAsia="zh-CN"/>
        </w:rPr>
        <w:t>vehicles, and</w:t>
      </w:r>
      <w:proofErr w:type="gramEnd"/>
      <w:r w:rsidR="00251835" w:rsidRPr="006A048F">
        <w:rPr>
          <w:lang w:eastAsia="zh-CN"/>
        </w:rPr>
        <w:t xml:space="preserve"> wished him a happy retirement.</w:t>
      </w:r>
    </w:p>
    <w:p w14:paraId="26D27F2F" w14:textId="77777777" w:rsidR="00E174E9" w:rsidRPr="006A048F" w:rsidRDefault="00E174E9" w:rsidP="00E174E9">
      <w:pPr>
        <w:pStyle w:val="HChG"/>
      </w:pPr>
      <w:r w:rsidRPr="006A048F">
        <w:tab/>
        <w:t xml:space="preserve">XI. </w:t>
      </w:r>
      <w:r w:rsidRPr="006A048F">
        <w:tab/>
        <w:t>Adoption of the report (agenda item 10)</w:t>
      </w:r>
    </w:p>
    <w:p w14:paraId="74660537" w14:textId="77777777" w:rsidR="00E174E9" w:rsidRPr="006A048F" w:rsidRDefault="00E174E9" w:rsidP="00E174E9">
      <w:pPr>
        <w:pStyle w:val="SingleTxtG"/>
      </w:pPr>
      <w:r w:rsidRPr="006A048F">
        <w:t xml:space="preserve">63. </w:t>
      </w:r>
      <w:r w:rsidRPr="006A048F">
        <w:tab/>
        <w:t xml:space="preserve">The Working Party adopted the report of its 113th session and its annex </w:t>
      </w:r>
      <w:proofErr w:type="gramStart"/>
      <w:r w:rsidRPr="006A048F">
        <w:t>on the basis of</w:t>
      </w:r>
      <w:proofErr w:type="gramEnd"/>
      <w:r w:rsidRPr="006A048F">
        <w:t xml:space="preserve"> a draft prepared by the secretariat.</w:t>
      </w:r>
    </w:p>
    <w:p w14:paraId="28D13108" w14:textId="3708E02F" w:rsidR="00E174E9" w:rsidRPr="006A048F" w:rsidRDefault="00E174E9">
      <w:r w:rsidRPr="006A048F">
        <w:br w:type="page"/>
      </w:r>
    </w:p>
    <w:p w14:paraId="75E0EC47" w14:textId="77777777" w:rsidR="00C92E3B" w:rsidRPr="006A048F" w:rsidRDefault="00C92E3B" w:rsidP="00C92E3B">
      <w:pPr>
        <w:keepNext/>
        <w:keepLines/>
        <w:tabs>
          <w:tab w:val="right" w:pos="851"/>
        </w:tabs>
        <w:suppressAutoHyphens/>
        <w:spacing w:before="360" w:after="240" w:line="270" w:lineRule="exact"/>
        <w:ind w:left="1134" w:right="1134" w:hanging="1134"/>
        <w:rPr>
          <w:b/>
          <w:sz w:val="28"/>
          <w:szCs w:val="28"/>
        </w:rPr>
      </w:pPr>
      <w:r w:rsidRPr="006A048F">
        <w:rPr>
          <w:b/>
          <w:sz w:val="28"/>
          <w:szCs w:val="28"/>
        </w:rPr>
        <w:lastRenderedPageBreak/>
        <w:t>Annex</w:t>
      </w:r>
    </w:p>
    <w:p w14:paraId="50D560D2" w14:textId="77777777" w:rsidR="00C92E3B" w:rsidRPr="006A048F" w:rsidRDefault="00C92E3B" w:rsidP="00C92E3B">
      <w:pPr>
        <w:keepNext/>
        <w:keepLines/>
        <w:tabs>
          <w:tab w:val="right" w:pos="851"/>
        </w:tabs>
        <w:suppressAutoHyphens/>
        <w:spacing w:before="360" w:after="240" w:line="270" w:lineRule="exact"/>
        <w:ind w:left="1134" w:right="1134" w:hanging="1134"/>
        <w:rPr>
          <w:b/>
          <w:sz w:val="24"/>
        </w:rPr>
      </w:pPr>
      <w:r w:rsidRPr="006A048F">
        <w:rPr>
          <w:b/>
          <w:sz w:val="24"/>
        </w:rPr>
        <w:tab/>
      </w:r>
      <w:r w:rsidRPr="006A048F">
        <w:rPr>
          <w:b/>
          <w:sz w:val="24"/>
        </w:rPr>
        <w:tab/>
        <w:t>Draft amendments to annexes A and B of ADR for entry into force on 1 January 2025</w:t>
      </w:r>
    </w:p>
    <w:p w14:paraId="38803485" w14:textId="77777777" w:rsidR="002A67EE" w:rsidRPr="006A048F" w:rsidRDefault="002A67EE" w:rsidP="002A67EE">
      <w:pPr>
        <w:pStyle w:val="H1G"/>
      </w:pPr>
      <w:r w:rsidRPr="006A048F">
        <w:tab/>
      </w:r>
      <w:r w:rsidRPr="006A048F">
        <w:tab/>
        <w:t>Chapter 1.1</w:t>
      </w:r>
    </w:p>
    <w:p w14:paraId="296BB633" w14:textId="6F7C62A5" w:rsidR="002A67EE" w:rsidRPr="006A048F" w:rsidRDefault="002A67EE" w:rsidP="002A67EE">
      <w:pPr>
        <w:pStyle w:val="SingleTxtG"/>
        <w:ind w:left="2268" w:hanging="1134"/>
        <w:rPr>
          <w:b/>
          <w:bCs/>
        </w:rPr>
      </w:pPr>
      <w:r w:rsidRPr="006A048F">
        <w:t>1.1.2.2</w:t>
      </w:r>
      <w:r w:rsidRPr="006A048F">
        <w:tab/>
      </w:r>
      <w:r w:rsidR="00021D2D">
        <w:tab/>
      </w:r>
      <w:r w:rsidRPr="006A048F">
        <w:rPr>
          <w:rFonts w:eastAsia="SimSun"/>
          <w:lang w:eastAsia="zh-CN"/>
        </w:rPr>
        <w:t>Amend the title for Chapter 1.2 to read “Definitions, units of measurement and abbreviations”</w:t>
      </w:r>
      <w:r w:rsidRPr="006A048F">
        <w:t>.</w:t>
      </w:r>
    </w:p>
    <w:p w14:paraId="24397AE0" w14:textId="77777777" w:rsidR="002A67EE" w:rsidRPr="006A048F" w:rsidRDefault="002A67EE" w:rsidP="002A67EE">
      <w:pPr>
        <w:pStyle w:val="SingleTxtG"/>
        <w:rPr>
          <w:i/>
          <w:iCs/>
        </w:rPr>
      </w:pPr>
      <w:r w:rsidRPr="006A048F">
        <w:rPr>
          <w:i/>
          <w:iCs/>
        </w:rPr>
        <w:t>(Reference document: ECE/TRANS/WP.15/2023/3)</w:t>
      </w:r>
    </w:p>
    <w:p w14:paraId="4C2BADA1" w14:textId="77777777" w:rsidR="002A67EE" w:rsidRPr="006A048F" w:rsidRDefault="002A67EE" w:rsidP="002A67EE">
      <w:pPr>
        <w:pStyle w:val="SingleTxtG"/>
        <w:ind w:left="2268" w:hanging="1134"/>
      </w:pPr>
      <w:r w:rsidRPr="006A048F">
        <w:t>1.1.3.1</w:t>
      </w:r>
      <w:r w:rsidRPr="006A048F">
        <w:tab/>
      </w:r>
      <w:r w:rsidRPr="006A048F">
        <w:tab/>
        <w:t>Rename current paragraph (a) as paragraph (a) (i).</w:t>
      </w:r>
    </w:p>
    <w:p w14:paraId="42B0D38D" w14:textId="1FCB0788" w:rsidR="002A67EE" w:rsidRPr="006A048F" w:rsidRDefault="002A67EE" w:rsidP="002A67EE">
      <w:pPr>
        <w:pStyle w:val="SingleTxtG"/>
        <w:ind w:left="2268" w:hanging="1134"/>
      </w:pPr>
      <w:r w:rsidRPr="006A048F">
        <w:tab/>
      </w:r>
      <w:r w:rsidR="004D4599" w:rsidRPr="006A048F">
        <w:tab/>
      </w:r>
      <w:r w:rsidRPr="006A048F">
        <w:t>After paragraph (a) (i), add the following new paragraph (ii):</w:t>
      </w:r>
    </w:p>
    <w:p w14:paraId="14B0AECD" w14:textId="77777777" w:rsidR="002A67EE" w:rsidRPr="006A048F" w:rsidRDefault="002A67EE" w:rsidP="004D4599">
      <w:pPr>
        <w:pStyle w:val="SingleTxtG"/>
        <w:tabs>
          <w:tab w:val="clear" w:pos="1701"/>
        </w:tabs>
        <w:ind w:left="2268" w:hanging="1134"/>
      </w:pPr>
      <w:r w:rsidRPr="006A048F">
        <w:t>“(ii)</w:t>
      </w:r>
      <w:r w:rsidRPr="006A048F">
        <w:tab/>
        <w:t>The carriage of dangerous goods by private individuals in the limits defined in paragraph (a) (i) intended initially for their personal or domestic use or for their leisure or sporting activities and which are carried as waste, including the cases when these dangerous goods are no longer packaged in the original package for retail sale, provided that measures have been taken to prevent any leakage under normal carriage conditions;”.</w:t>
      </w:r>
    </w:p>
    <w:p w14:paraId="592EBB7F" w14:textId="77777777" w:rsidR="002A67EE" w:rsidRPr="006A048F" w:rsidRDefault="002A67EE" w:rsidP="002A67EE">
      <w:pPr>
        <w:spacing w:after="120"/>
        <w:ind w:left="1134" w:right="1134"/>
        <w:jc w:val="both"/>
        <w:rPr>
          <w:i/>
          <w:iCs/>
        </w:rPr>
      </w:pPr>
      <w:r w:rsidRPr="006A048F">
        <w:rPr>
          <w:i/>
          <w:iCs/>
        </w:rPr>
        <w:t>(Reference document: ECE/TRANS/WP.15/AC.1/168)</w:t>
      </w:r>
    </w:p>
    <w:p w14:paraId="70DBECD9" w14:textId="77777777" w:rsidR="002A67EE" w:rsidRPr="006A048F" w:rsidRDefault="002A67EE" w:rsidP="002A67EE">
      <w:pPr>
        <w:pStyle w:val="H1G"/>
      </w:pPr>
      <w:r w:rsidRPr="006A048F">
        <w:tab/>
      </w:r>
      <w:r w:rsidRPr="006A048F">
        <w:tab/>
        <w:t>Chapter 1.4</w:t>
      </w:r>
    </w:p>
    <w:p w14:paraId="401A2862" w14:textId="45D0683B" w:rsidR="002A67EE" w:rsidRPr="006A048F" w:rsidRDefault="002A67EE" w:rsidP="002A67EE">
      <w:pPr>
        <w:pStyle w:val="SingleTxtG"/>
        <w:ind w:left="2268" w:hanging="1134"/>
        <w:rPr>
          <w:lang w:eastAsia="en-US"/>
        </w:rPr>
      </w:pPr>
      <w:r w:rsidRPr="006A048F">
        <w:rPr>
          <w:lang w:eastAsia="en-US"/>
        </w:rPr>
        <w:t>1.4.2.1.1</w:t>
      </w:r>
      <w:r w:rsidRPr="006A048F">
        <w:rPr>
          <w:lang w:eastAsia="en-US"/>
        </w:rPr>
        <w:tab/>
        <w:t>In (e), replace “bulk containers” by</w:t>
      </w:r>
      <w:r w:rsidRPr="006A048F">
        <w:t xml:space="preserve"> </w:t>
      </w:r>
      <w:r w:rsidRPr="006A048F">
        <w:rPr>
          <w:lang w:eastAsia="en-US"/>
        </w:rPr>
        <w:t>“containers for carriage in bulk”.</w:t>
      </w:r>
    </w:p>
    <w:p w14:paraId="468C12A4" w14:textId="77777777" w:rsidR="002A67EE" w:rsidRPr="006A048F" w:rsidRDefault="002A67EE" w:rsidP="002A67EE">
      <w:pPr>
        <w:spacing w:after="120"/>
        <w:ind w:left="1134" w:right="1134"/>
        <w:jc w:val="both"/>
        <w:rPr>
          <w:i/>
          <w:iCs/>
        </w:rPr>
      </w:pPr>
      <w:r w:rsidRPr="006A048F">
        <w:rPr>
          <w:i/>
          <w:iCs/>
        </w:rPr>
        <w:t>(Reference document: ECE/TRANS/WP.15/AC.1/168)</w:t>
      </w:r>
    </w:p>
    <w:p w14:paraId="06B3EBA8" w14:textId="77777777" w:rsidR="002A67EE" w:rsidRPr="006A048F" w:rsidRDefault="002A67EE" w:rsidP="002A67EE">
      <w:pPr>
        <w:pStyle w:val="H1G"/>
      </w:pPr>
      <w:r w:rsidRPr="006A048F">
        <w:tab/>
      </w:r>
      <w:r w:rsidRPr="006A048F">
        <w:tab/>
        <w:t>Chapter 1.6</w:t>
      </w:r>
    </w:p>
    <w:p w14:paraId="3F6449D9" w14:textId="66805F71" w:rsidR="002A67EE" w:rsidRPr="006A048F" w:rsidRDefault="002A67EE" w:rsidP="002A67EE">
      <w:pPr>
        <w:pStyle w:val="SingleTxtG"/>
        <w:ind w:left="2268" w:hanging="1134"/>
        <w:rPr>
          <w:lang w:eastAsia="en-US"/>
        </w:rPr>
      </w:pPr>
      <w:r w:rsidRPr="006A048F">
        <w:rPr>
          <w:lang w:eastAsia="en-US"/>
        </w:rPr>
        <w:t>1.6.1</w:t>
      </w:r>
      <w:r w:rsidRPr="006A048F">
        <w:rPr>
          <w:lang w:eastAsia="en-US"/>
        </w:rPr>
        <w:tab/>
      </w:r>
      <w:r w:rsidR="00021D2D">
        <w:rPr>
          <w:lang w:eastAsia="en-US"/>
        </w:rPr>
        <w:tab/>
      </w:r>
      <w:r w:rsidRPr="006A048F">
        <w:rPr>
          <w:lang w:eastAsia="en-US"/>
        </w:rPr>
        <w:t>Add the following transitional measure:</w:t>
      </w:r>
    </w:p>
    <w:p w14:paraId="0571DE0E" w14:textId="259702F0" w:rsidR="002A67EE" w:rsidRPr="006A048F" w:rsidRDefault="002A67EE" w:rsidP="002A67EE">
      <w:pPr>
        <w:pStyle w:val="SingleTxtG"/>
        <w:ind w:left="2268" w:hanging="1134"/>
        <w:rPr>
          <w:lang w:eastAsia="en-US"/>
        </w:rPr>
      </w:pPr>
      <w:r w:rsidRPr="006A048F">
        <w:rPr>
          <w:lang w:eastAsia="en-US"/>
        </w:rPr>
        <w:t>“1.6.1.54</w:t>
      </w:r>
      <w:r w:rsidRPr="006A048F">
        <w:rPr>
          <w:lang w:eastAsia="en-US"/>
        </w:rPr>
        <w:tab/>
        <w:t xml:space="preserve">Vats for the carriage of molten aluminium of UN No. 3257 which have been constructed and approved before 1 July 2025 in accordance with the provisions of national </w:t>
      </w:r>
      <w:proofErr w:type="gramStart"/>
      <w:r w:rsidRPr="006A048F">
        <w:rPr>
          <w:lang w:eastAsia="en-US"/>
        </w:rPr>
        <w:t>law</w:t>
      </w:r>
      <w:proofErr w:type="gramEnd"/>
      <w:r w:rsidRPr="006A048F">
        <w:rPr>
          <w:lang w:eastAsia="en-US"/>
        </w:rPr>
        <w:t xml:space="preserve"> but which do not, however, conform to the construction and approval requirements of AP11 in 7.3.3.2.7 applicable as from 1 January 2025 may continue to be used with the approval of the competent authorities in the countries of use.”</w:t>
      </w:r>
    </w:p>
    <w:p w14:paraId="7C6078DA" w14:textId="77777777" w:rsidR="002A67EE" w:rsidRPr="006A048F" w:rsidRDefault="002A67EE" w:rsidP="002A67EE">
      <w:pPr>
        <w:spacing w:after="120"/>
        <w:ind w:left="1134" w:right="1134"/>
        <w:jc w:val="both"/>
        <w:rPr>
          <w:i/>
          <w:iCs/>
        </w:rPr>
      </w:pPr>
      <w:r w:rsidRPr="006A048F">
        <w:rPr>
          <w:i/>
          <w:iCs/>
        </w:rPr>
        <w:t>(Reference document:</w:t>
      </w:r>
      <w:r w:rsidRPr="006A048F">
        <w:t xml:space="preserve"> </w:t>
      </w:r>
      <w:r w:rsidRPr="006A048F">
        <w:rPr>
          <w:i/>
          <w:iCs/>
        </w:rPr>
        <w:t>ECE/TRANS/WP.15/AC.1/2023/14, as amended)</w:t>
      </w:r>
    </w:p>
    <w:p w14:paraId="1C094520" w14:textId="4F06B0EA" w:rsidR="002A67EE" w:rsidRPr="006A048F" w:rsidRDefault="002A67EE" w:rsidP="002A67EE">
      <w:pPr>
        <w:pStyle w:val="SingleTxtG"/>
        <w:ind w:left="2268" w:hanging="1134"/>
        <w:rPr>
          <w:lang w:eastAsia="en-US"/>
        </w:rPr>
      </w:pPr>
      <w:r w:rsidRPr="006A048F">
        <w:rPr>
          <w:lang w:eastAsia="en-US"/>
        </w:rPr>
        <w:t>1.6.3</w:t>
      </w:r>
      <w:r w:rsidRPr="006A048F">
        <w:rPr>
          <w:lang w:eastAsia="en-US"/>
        </w:rPr>
        <w:tab/>
      </w:r>
      <w:r w:rsidR="00EE22B6">
        <w:rPr>
          <w:lang w:eastAsia="en-US"/>
        </w:rPr>
        <w:tab/>
      </w:r>
      <w:r w:rsidRPr="006A048F">
        <w:rPr>
          <w:lang w:eastAsia="en-US"/>
        </w:rPr>
        <w:t>Add the following transitional measure:</w:t>
      </w:r>
    </w:p>
    <w:p w14:paraId="2AAD8EE7" w14:textId="2D587320" w:rsidR="002A67EE" w:rsidRPr="006A048F" w:rsidRDefault="002A67EE" w:rsidP="002A67EE">
      <w:pPr>
        <w:pStyle w:val="SingleTxtG"/>
        <w:ind w:left="2268" w:hanging="1134"/>
        <w:rPr>
          <w:lang w:eastAsia="en-US"/>
        </w:rPr>
      </w:pPr>
      <w:r w:rsidRPr="006A048F">
        <w:rPr>
          <w:lang w:eastAsia="en-US"/>
        </w:rPr>
        <w:t>[“1.6.3.61</w:t>
      </w:r>
      <w:r w:rsidRPr="006A048F">
        <w:rPr>
          <w:lang w:eastAsia="en-US"/>
        </w:rPr>
        <w:tab/>
        <w:t>Fixed tanks (tank-vehicles) and demountable tanks constructed before 1 July 2025 in accordance with the requirements in force up to 31 December 2024, but which however do not conform to the requirements of 6.8.2.2.11 applicable from 1 January 2025 may continue to be used.”]</w:t>
      </w:r>
    </w:p>
    <w:p w14:paraId="5F50092F" w14:textId="77777777" w:rsidR="002A67EE" w:rsidRPr="006A048F" w:rsidRDefault="002A67EE" w:rsidP="002A67EE">
      <w:pPr>
        <w:spacing w:after="120"/>
        <w:ind w:left="1134" w:right="1134"/>
        <w:jc w:val="both"/>
        <w:rPr>
          <w:i/>
          <w:iCs/>
        </w:rPr>
      </w:pPr>
      <w:r w:rsidRPr="006A048F">
        <w:rPr>
          <w:i/>
          <w:iCs/>
        </w:rPr>
        <w:t>(Reference document: ECE/TRANS/WP.15/AC.1/168)</w:t>
      </w:r>
    </w:p>
    <w:p w14:paraId="1C7D450A" w14:textId="4EBDEF9A" w:rsidR="002A67EE" w:rsidRPr="006A048F" w:rsidRDefault="002A67EE" w:rsidP="002A67EE">
      <w:pPr>
        <w:pStyle w:val="SingleTxtG"/>
        <w:ind w:left="2268" w:hanging="1134"/>
        <w:rPr>
          <w:lang w:eastAsia="en-US"/>
        </w:rPr>
      </w:pPr>
      <w:r w:rsidRPr="006A048F">
        <w:rPr>
          <w:lang w:eastAsia="en-US"/>
        </w:rPr>
        <w:t>1.6.4</w:t>
      </w:r>
      <w:r w:rsidRPr="006A048F">
        <w:rPr>
          <w:lang w:eastAsia="en-US"/>
        </w:rPr>
        <w:tab/>
      </w:r>
      <w:r w:rsidR="00EE22B6">
        <w:rPr>
          <w:lang w:eastAsia="en-US"/>
        </w:rPr>
        <w:tab/>
      </w:r>
      <w:r w:rsidRPr="006A048F">
        <w:rPr>
          <w:lang w:eastAsia="en-US"/>
        </w:rPr>
        <w:t>Add the following transitional measure:</w:t>
      </w:r>
    </w:p>
    <w:p w14:paraId="0CCE58DE" w14:textId="35456679" w:rsidR="002A67EE" w:rsidRPr="006A048F" w:rsidRDefault="002A67EE" w:rsidP="002A67EE">
      <w:pPr>
        <w:pStyle w:val="SingleTxtG"/>
        <w:ind w:left="2268" w:hanging="1134"/>
        <w:rPr>
          <w:lang w:eastAsia="en-US"/>
        </w:rPr>
      </w:pPr>
      <w:r w:rsidRPr="006A048F">
        <w:rPr>
          <w:lang w:eastAsia="en-US"/>
        </w:rPr>
        <w:t>[“1.6.4.65</w:t>
      </w:r>
      <w:r w:rsidRPr="006A048F">
        <w:rPr>
          <w:lang w:eastAsia="en-US"/>
        </w:rPr>
        <w:tab/>
        <w:t>Tank-containers constructed before 1 July 2025 in accordance with the requirements in force up to 31 December 2024, but which however do not conform to the requirements of 6.8.2.2.11 applicable from 1 January 2025 may continue to be used.”]</w:t>
      </w:r>
    </w:p>
    <w:p w14:paraId="6333F405" w14:textId="77777777" w:rsidR="002A67EE" w:rsidRPr="006A048F" w:rsidRDefault="002A67EE" w:rsidP="002A67EE">
      <w:pPr>
        <w:spacing w:after="120"/>
        <w:ind w:left="1134" w:right="1134"/>
        <w:jc w:val="both"/>
        <w:rPr>
          <w:i/>
          <w:iCs/>
        </w:rPr>
      </w:pPr>
      <w:r w:rsidRPr="006A048F">
        <w:rPr>
          <w:i/>
          <w:iCs/>
        </w:rPr>
        <w:t>(Reference document: ECE/TRANS/WP.15/AC.1/168)</w:t>
      </w:r>
    </w:p>
    <w:p w14:paraId="5B254692" w14:textId="77777777" w:rsidR="002A67EE" w:rsidRPr="006A048F" w:rsidRDefault="002A67EE" w:rsidP="002A67EE">
      <w:pPr>
        <w:pStyle w:val="H1G"/>
      </w:pPr>
      <w:r w:rsidRPr="006A048F">
        <w:lastRenderedPageBreak/>
        <w:tab/>
      </w:r>
      <w:r w:rsidRPr="006A048F">
        <w:tab/>
        <w:t>Chapter 3.2, Table A</w:t>
      </w:r>
    </w:p>
    <w:p w14:paraId="40113850" w14:textId="4278ED40" w:rsidR="002A67EE" w:rsidRPr="006A048F" w:rsidRDefault="002A67EE" w:rsidP="002A67EE">
      <w:pPr>
        <w:pStyle w:val="SingleTxtG"/>
        <w:ind w:left="2268" w:hanging="1134"/>
        <w:rPr>
          <w:lang w:eastAsia="en-US"/>
        </w:rPr>
      </w:pPr>
      <w:r w:rsidRPr="006A048F">
        <w:rPr>
          <w:lang w:eastAsia="en-US"/>
        </w:rPr>
        <w:t xml:space="preserve">For all entries of UN </w:t>
      </w:r>
      <w:r w:rsidRPr="006A048F">
        <w:t>No.</w:t>
      </w:r>
      <w:r w:rsidRPr="006A048F">
        <w:rPr>
          <w:lang w:eastAsia="en-US"/>
        </w:rPr>
        <w:t xml:space="preserve"> 2037, in column (16), insert</w:t>
      </w:r>
      <w:r w:rsidRPr="006A048F">
        <w:t xml:space="preserve"> </w:t>
      </w:r>
      <w:r w:rsidRPr="006A048F">
        <w:rPr>
          <w:lang w:eastAsia="en-US"/>
        </w:rPr>
        <w:t>“V14”.</w:t>
      </w:r>
    </w:p>
    <w:p w14:paraId="6FAA36C4" w14:textId="77777777" w:rsidR="002A67EE" w:rsidRPr="006A048F" w:rsidRDefault="002A67EE" w:rsidP="002A67EE">
      <w:pPr>
        <w:spacing w:after="120"/>
        <w:ind w:left="1134" w:right="1134"/>
        <w:jc w:val="both"/>
        <w:rPr>
          <w:i/>
          <w:iCs/>
        </w:rPr>
      </w:pPr>
      <w:r w:rsidRPr="006A048F">
        <w:rPr>
          <w:i/>
          <w:iCs/>
        </w:rPr>
        <w:t>(Reference document: ECE/TRANS/WP.15/AC.1/168)</w:t>
      </w:r>
    </w:p>
    <w:p w14:paraId="7003F802" w14:textId="34327A0E" w:rsidR="002A67EE" w:rsidRPr="006A048F" w:rsidRDefault="002A67EE" w:rsidP="002A67EE">
      <w:pPr>
        <w:pStyle w:val="SingleTxtG"/>
        <w:ind w:left="2268" w:hanging="1134"/>
        <w:rPr>
          <w:lang w:eastAsia="en-US"/>
        </w:rPr>
      </w:pPr>
      <w:r w:rsidRPr="006A048F">
        <w:rPr>
          <w:lang w:eastAsia="en-US"/>
        </w:rPr>
        <w:t xml:space="preserve">For UN </w:t>
      </w:r>
      <w:r w:rsidRPr="006A048F">
        <w:t>No.</w:t>
      </w:r>
      <w:r w:rsidRPr="006A048F">
        <w:rPr>
          <w:lang w:eastAsia="en-US"/>
        </w:rPr>
        <w:t xml:space="preserve"> 2073, in column (6), delete</w:t>
      </w:r>
      <w:r w:rsidRPr="006A048F">
        <w:t xml:space="preserve"> </w:t>
      </w:r>
      <w:r w:rsidRPr="006A048F">
        <w:rPr>
          <w:lang w:eastAsia="en-US"/>
        </w:rPr>
        <w:t>“532”.</w:t>
      </w:r>
    </w:p>
    <w:p w14:paraId="634E59D6" w14:textId="77777777" w:rsidR="002A67EE" w:rsidRPr="006A048F" w:rsidRDefault="002A67EE" w:rsidP="002A67EE">
      <w:pPr>
        <w:spacing w:after="120"/>
        <w:ind w:left="1134" w:right="1134"/>
        <w:jc w:val="both"/>
        <w:rPr>
          <w:i/>
          <w:iCs/>
        </w:rPr>
      </w:pPr>
      <w:r w:rsidRPr="006A048F">
        <w:rPr>
          <w:i/>
          <w:iCs/>
        </w:rPr>
        <w:t>(Reference document: ECE/TRANS/WP.15/AC.1/168)</w:t>
      </w:r>
    </w:p>
    <w:p w14:paraId="4FD96359" w14:textId="0F8141B5" w:rsidR="002A67EE" w:rsidRPr="006A048F" w:rsidRDefault="002A67EE" w:rsidP="002A67EE">
      <w:pPr>
        <w:pStyle w:val="SingleTxtG"/>
        <w:ind w:left="2268" w:hanging="1134"/>
        <w:rPr>
          <w:lang w:eastAsia="en-US"/>
        </w:rPr>
      </w:pPr>
      <w:r w:rsidRPr="006A048F">
        <w:rPr>
          <w:lang w:eastAsia="en-US"/>
        </w:rPr>
        <w:t xml:space="preserve">For UN </w:t>
      </w:r>
      <w:r w:rsidRPr="006A048F">
        <w:t>No.</w:t>
      </w:r>
      <w:r w:rsidRPr="006A048F">
        <w:rPr>
          <w:lang w:eastAsia="en-US"/>
        </w:rPr>
        <w:t xml:space="preserve"> 2672, in column (6), delete</w:t>
      </w:r>
      <w:r w:rsidRPr="006A048F">
        <w:t xml:space="preserve"> </w:t>
      </w:r>
      <w:r w:rsidRPr="006A048F">
        <w:rPr>
          <w:lang w:eastAsia="en-US"/>
        </w:rPr>
        <w:t>“543”.</w:t>
      </w:r>
    </w:p>
    <w:p w14:paraId="61C529CB" w14:textId="77777777" w:rsidR="002A67EE" w:rsidRPr="006A048F" w:rsidRDefault="002A67EE" w:rsidP="002A67EE">
      <w:pPr>
        <w:spacing w:after="120"/>
        <w:ind w:left="1134" w:right="1134"/>
        <w:jc w:val="both"/>
        <w:rPr>
          <w:i/>
          <w:iCs/>
        </w:rPr>
      </w:pPr>
      <w:r w:rsidRPr="006A048F">
        <w:rPr>
          <w:i/>
          <w:iCs/>
        </w:rPr>
        <w:t>(Reference document: ECE/TRANS/WP.15/AC.1/168)</w:t>
      </w:r>
    </w:p>
    <w:p w14:paraId="63E13021" w14:textId="77777777" w:rsidR="002A67EE" w:rsidRPr="006A048F" w:rsidRDefault="002A67EE" w:rsidP="002A67EE">
      <w:pPr>
        <w:pStyle w:val="SingleTxtG"/>
        <w:ind w:left="2268" w:hanging="1134"/>
        <w:rPr>
          <w:lang w:eastAsia="en-US"/>
        </w:rPr>
      </w:pPr>
      <w:r w:rsidRPr="006A048F">
        <w:rPr>
          <w:lang w:eastAsia="en-US"/>
        </w:rPr>
        <w:t>For UN No. 3257, first entry, in column (17), add “AP11”.</w:t>
      </w:r>
    </w:p>
    <w:p w14:paraId="51004498" w14:textId="77777777" w:rsidR="002A67EE" w:rsidRPr="006A048F" w:rsidRDefault="002A67EE" w:rsidP="002A67EE">
      <w:pPr>
        <w:spacing w:after="120"/>
        <w:ind w:left="1134" w:right="1134"/>
        <w:jc w:val="both"/>
        <w:rPr>
          <w:i/>
          <w:iCs/>
        </w:rPr>
      </w:pPr>
      <w:r w:rsidRPr="006A048F">
        <w:rPr>
          <w:i/>
          <w:iCs/>
        </w:rPr>
        <w:t>(Reference document:</w:t>
      </w:r>
      <w:r w:rsidRPr="006A048F">
        <w:t xml:space="preserve"> </w:t>
      </w:r>
      <w:r w:rsidRPr="006A048F">
        <w:rPr>
          <w:i/>
          <w:iCs/>
        </w:rPr>
        <w:t>ECE/TRANS/WP.15/AC.1/2023/14)</w:t>
      </w:r>
    </w:p>
    <w:p w14:paraId="1254568F" w14:textId="6CC26F54" w:rsidR="002A67EE" w:rsidRPr="006A048F" w:rsidRDefault="002A67EE" w:rsidP="002A67EE">
      <w:pPr>
        <w:pStyle w:val="SingleTxtG"/>
        <w:ind w:left="2268" w:hanging="1134"/>
        <w:rPr>
          <w:lang w:eastAsia="en-US"/>
        </w:rPr>
      </w:pPr>
      <w:r w:rsidRPr="006A048F">
        <w:rPr>
          <w:lang w:eastAsia="en-US"/>
        </w:rPr>
        <w:t xml:space="preserve">For UN </w:t>
      </w:r>
      <w:r w:rsidRPr="006A048F">
        <w:t>No.</w:t>
      </w:r>
      <w:r w:rsidRPr="006A048F">
        <w:rPr>
          <w:lang w:eastAsia="en-US"/>
        </w:rPr>
        <w:t xml:space="preserve"> 3550, in column (9b), insert</w:t>
      </w:r>
      <w:r w:rsidRPr="006A048F">
        <w:t xml:space="preserve"> </w:t>
      </w:r>
      <w:r w:rsidRPr="006A048F">
        <w:rPr>
          <w:lang w:eastAsia="en-US"/>
        </w:rPr>
        <w:t>“MP18”.</w:t>
      </w:r>
    </w:p>
    <w:p w14:paraId="48896F89" w14:textId="77777777" w:rsidR="002A67EE" w:rsidRPr="006A048F" w:rsidRDefault="002A67EE" w:rsidP="002A67EE">
      <w:pPr>
        <w:spacing w:after="120"/>
        <w:ind w:left="1134" w:right="1134"/>
        <w:jc w:val="both"/>
        <w:rPr>
          <w:i/>
          <w:iCs/>
        </w:rPr>
      </w:pPr>
      <w:r w:rsidRPr="006A048F">
        <w:rPr>
          <w:i/>
          <w:iCs/>
        </w:rPr>
        <w:t>(Reference document: ECE/TRANS/WP.15/AC.1/168)</w:t>
      </w:r>
    </w:p>
    <w:p w14:paraId="5B88AE77" w14:textId="77777777" w:rsidR="002A67EE" w:rsidRPr="006A048F" w:rsidRDefault="002A67EE" w:rsidP="002A67EE">
      <w:pPr>
        <w:pStyle w:val="H1G"/>
      </w:pPr>
      <w:r w:rsidRPr="006A048F">
        <w:tab/>
      </w:r>
      <w:r w:rsidRPr="006A048F">
        <w:tab/>
        <w:t>Chapter 3.3</w:t>
      </w:r>
    </w:p>
    <w:p w14:paraId="2599E0F3" w14:textId="77777777" w:rsidR="002A67EE" w:rsidRPr="006A048F" w:rsidRDefault="002A67EE" w:rsidP="002A67EE">
      <w:pPr>
        <w:pStyle w:val="SingleTxtG"/>
        <w:ind w:left="2268" w:hanging="1134"/>
        <w:rPr>
          <w:lang w:eastAsia="en-US"/>
        </w:rPr>
      </w:pPr>
      <w:r w:rsidRPr="006A048F">
        <w:rPr>
          <w:lang w:eastAsia="en-US"/>
        </w:rPr>
        <w:t>SP 532</w:t>
      </w:r>
      <w:r w:rsidRPr="006A048F">
        <w:rPr>
          <w:lang w:eastAsia="en-US"/>
        </w:rPr>
        <w:tab/>
        <w:t>Delete and add “532 (Deleted)”.</w:t>
      </w:r>
    </w:p>
    <w:p w14:paraId="1B579C54" w14:textId="77777777" w:rsidR="002A67EE" w:rsidRPr="006A048F" w:rsidRDefault="002A67EE" w:rsidP="002A67EE">
      <w:pPr>
        <w:spacing w:after="120"/>
        <w:ind w:left="1134" w:right="1134"/>
        <w:jc w:val="both"/>
        <w:rPr>
          <w:i/>
          <w:iCs/>
        </w:rPr>
      </w:pPr>
      <w:r w:rsidRPr="006A048F">
        <w:rPr>
          <w:i/>
          <w:iCs/>
        </w:rPr>
        <w:t>(Reference document: ECE/TRANS/WP.15/AC.1/168)</w:t>
      </w:r>
    </w:p>
    <w:p w14:paraId="0B14F206" w14:textId="77777777" w:rsidR="002A67EE" w:rsidRPr="006A048F" w:rsidRDefault="002A67EE" w:rsidP="002A67EE">
      <w:pPr>
        <w:pStyle w:val="SingleTxtG"/>
        <w:ind w:left="2268" w:hanging="1134"/>
        <w:rPr>
          <w:lang w:eastAsia="en-US"/>
        </w:rPr>
      </w:pPr>
      <w:r w:rsidRPr="006A048F">
        <w:rPr>
          <w:lang w:eastAsia="en-US"/>
        </w:rPr>
        <w:t>SP 543</w:t>
      </w:r>
      <w:r w:rsidRPr="006A048F">
        <w:rPr>
          <w:lang w:eastAsia="en-US"/>
        </w:rPr>
        <w:tab/>
        <w:t>Delete and add “543 (Deleted)”.</w:t>
      </w:r>
    </w:p>
    <w:p w14:paraId="3D9589CD" w14:textId="77777777" w:rsidR="002A67EE" w:rsidRPr="006A048F" w:rsidRDefault="002A67EE" w:rsidP="002A67EE">
      <w:pPr>
        <w:spacing w:after="120"/>
        <w:ind w:left="1134" w:right="1134"/>
        <w:jc w:val="both"/>
        <w:rPr>
          <w:i/>
          <w:iCs/>
        </w:rPr>
      </w:pPr>
      <w:r w:rsidRPr="006A048F">
        <w:rPr>
          <w:i/>
          <w:iCs/>
        </w:rPr>
        <w:t>(Reference document: ECE/TRANS/WP.15/AC.1/168)</w:t>
      </w:r>
    </w:p>
    <w:p w14:paraId="2CD44B1A" w14:textId="77777777" w:rsidR="002A67EE" w:rsidRPr="006A048F" w:rsidRDefault="002A67EE" w:rsidP="002A67EE">
      <w:pPr>
        <w:pStyle w:val="SingleTxtG"/>
        <w:ind w:left="2268" w:hanging="1134"/>
        <w:rPr>
          <w:lang w:eastAsia="en-US"/>
        </w:rPr>
      </w:pPr>
      <w:r w:rsidRPr="006A048F">
        <w:rPr>
          <w:lang w:eastAsia="en-US"/>
        </w:rPr>
        <w:t>SP 668</w:t>
      </w:r>
      <w:r w:rsidRPr="006A048F">
        <w:rPr>
          <w:lang w:eastAsia="en-US"/>
        </w:rPr>
        <w:tab/>
        <w:t>Amend the introductory sentence to read as follows:</w:t>
      </w:r>
    </w:p>
    <w:p w14:paraId="6751DED0" w14:textId="77777777" w:rsidR="002A67EE" w:rsidRPr="006A048F" w:rsidRDefault="002A67EE" w:rsidP="002A67EE">
      <w:pPr>
        <w:pStyle w:val="SingleTxtG"/>
        <w:rPr>
          <w:lang w:eastAsia="en-US"/>
        </w:rPr>
      </w:pPr>
      <w:r w:rsidRPr="006A048F">
        <w:t>“</w:t>
      </w:r>
      <w:r w:rsidRPr="006A048F">
        <w:rPr>
          <w:lang w:eastAsia="en-US"/>
        </w:rPr>
        <w:t>Substances for the purpose of applying road markings and bitumen or similar products for the purpose of repairing cracks and crevices in existing road surfaces, carried at elevated temperature, are not subject to the other requirements of ADR, provided that the following conditions are met:</w:t>
      </w:r>
      <w:r w:rsidRPr="006A048F">
        <w:t>”</w:t>
      </w:r>
      <w:r w:rsidRPr="006A048F">
        <w:rPr>
          <w:lang w:eastAsia="en-US"/>
        </w:rPr>
        <w:t>.</w:t>
      </w:r>
    </w:p>
    <w:p w14:paraId="4ADDBE82" w14:textId="77777777" w:rsidR="002A67EE" w:rsidRPr="006A048F" w:rsidRDefault="002A67EE" w:rsidP="002A67EE">
      <w:pPr>
        <w:spacing w:after="120"/>
        <w:ind w:left="1134" w:right="1134"/>
        <w:jc w:val="both"/>
        <w:rPr>
          <w:i/>
          <w:iCs/>
        </w:rPr>
      </w:pPr>
      <w:r w:rsidRPr="006A048F">
        <w:rPr>
          <w:i/>
          <w:iCs/>
        </w:rPr>
        <w:t>(Reference document: ECE/TRANS/WP.15/AC.1/168)</w:t>
      </w:r>
    </w:p>
    <w:p w14:paraId="37E25F1D" w14:textId="77777777" w:rsidR="002A67EE" w:rsidRPr="006A048F" w:rsidRDefault="002A67EE" w:rsidP="002A67EE">
      <w:pPr>
        <w:pStyle w:val="H1G"/>
      </w:pPr>
      <w:r w:rsidRPr="006A048F">
        <w:tab/>
      </w:r>
      <w:r w:rsidRPr="006A048F">
        <w:tab/>
        <w:t>Chapter 4.1</w:t>
      </w:r>
    </w:p>
    <w:p w14:paraId="0267A5DE" w14:textId="7F1243A8" w:rsidR="002A67EE" w:rsidRPr="006A048F" w:rsidRDefault="002A67EE" w:rsidP="002A67EE">
      <w:pPr>
        <w:pStyle w:val="SingleTxtG"/>
        <w:ind w:left="2268" w:hanging="1134"/>
        <w:rPr>
          <w:lang w:eastAsia="en-US"/>
        </w:rPr>
      </w:pPr>
      <w:r w:rsidRPr="006A048F">
        <w:rPr>
          <w:lang w:eastAsia="en-US"/>
        </w:rPr>
        <w:t>4.1.1.21.6</w:t>
      </w:r>
      <w:r w:rsidRPr="006A048F">
        <w:rPr>
          <w:lang w:eastAsia="en-US"/>
        </w:rPr>
        <w:tab/>
        <w:t>In table 4.1.1.21.6, for UN No. 1779, in column (3b), replace “C3” by</w:t>
      </w:r>
      <w:r w:rsidRPr="006A048F">
        <w:t xml:space="preserve"> </w:t>
      </w:r>
      <w:r w:rsidRPr="006A048F">
        <w:rPr>
          <w:lang w:eastAsia="en-US"/>
        </w:rPr>
        <w:t>“CF1”.</w:t>
      </w:r>
    </w:p>
    <w:p w14:paraId="5D52F051" w14:textId="77777777" w:rsidR="002A67EE" w:rsidRPr="006A048F" w:rsidRDefault="002A67EE" w:rsidP="002A67EE">
      <w:pPr>
        <w:spacing w:after="120"/>
        <w:ind w:left="1134" w:right="1134"/>
        <w:jc w:val="both"/>
        <w:rPr>
          <w:i/>
          <w:iCs/>
        </w:rPr>
      </w:pPr>
      <w:r w:rsidRPr="006A048F">
        <w:rPr>
          <w:i/>
          <w:iCs/>
        </w:rPr>
        <w:t>(Reference document: ECE/TRANS/WP.15/AC.1/168)</w:t>
      </w:r>
    </w:p>
    <w:p w14:paraId="51DA35E2" w14:textId="7ABA8222" w:rsidR="002A67EE" w:rsidRPr="006A048F" w:rsidRDefault="002A67EE" w:rsidP="002A67EE">
      <w:pPr>
        <w:pStyle w:val="SingleTxtG"/>
        <w:ind w:left="2268" w:hanging="1134"/>
        <w:rPr>
          <w:lang w:eastAsia="en-US"/>
        </w:rPr>
      </w:pPr>
      <w:r w:rsidRPr="006A048F">
        <w:rPr>
          <w:lang w:eastAsia="en-US"/>
        </w:rPr>
        <w:t>4.1.4.1</w:t>
      </w:r>
      <w:r w:rsidRPr="006A048F">
        <w:t>, P</w:t>
      </w:r>
      <w:r w:rsidRPr="006A048F">
        <w:rPr>
          <w:lang w:eastAsia="en-US"/>
        </w:rPr>
        <w:t>200</w:t>
      </w:r>
      <w:r w:rsidRPr="006A048F">
        <w:rPr>
          <w:lang w:eastAsia="en-US"/>
        </w:rPr>
        <w:tab/>
        <w:t>In paragraph (10), in special packing provision p, amend as follows:</w:t>
      </w:r>
    </w:p>
    <w:p w14:paraId="3B520382" w14:textId="5E4E3A8F" w:rsidR="002A67EE" w:rsidRPr="006A048F" w:rsidRDefault="004D4599" w:rsidP="002A67EE">
      <w:pPr>
        <w:pStyle w:val="SingleTxtG"/>
        <w:ind w:left="2268" w:hanging="1134"/>
        <w:rPr>
          <w:lang w:eastAsia="en-US"/>
        </w:rPr>
      </w:pPr>
      <w:r w:rsidRPr="006A048F">
        <w:tab/>
      </w:r>
      <w:r w:rsidR="002A67EE" w:rsidRPr="006A048F">
        <w:tab/>
        <w:t xml:space="preserve">- </w:t>
      </w:r>
      <w:r w:rsidR="002A67EE" w:rsidRPr="006A048F">
        <w:rPr>
          <w:lang w:eastAsia="en-US"/>
        </w:rPr>
        <w:t>In the second paragraph, delete</w:t>
      </w:r>
      <w:r w:rsidR="002A67EE" w:rsidRPr="006A048F">
        <w:t xml:space="preserve"> </w:t>
      </w:r>
      <w:r w:rsidR="002A67EE" w:rsidRPr="006A048F">
        <w:rPr>
          <w:lang w:eastAsia="en-US"/>
        </w:rPr>
        <w:t>“fitted with pressure relief devices or”.</w:t>
      </w:r>
    </w:p>
    <w:p w14:paraId="545D54FD" w14:textId="7A295C68" w:rsidR="002A67EE" w:rsidRPr="006A048F" w:rsidRDefault="004D4599" w:rsidP="002A67EE">
      <w:pPr>
        <w:pStyle w:val="SingleTxtG"/>
        <w:ind w:left="2268" w:hanging="1134"/>
        <w:rPr>
          <w:lang w:eastAsia="en-US"/>
        </w:rPr>
      </w:pPr>
      <w:r w:rsidRPr="006A048F">
        <w:tab/>
      </w:r>
      <w:r w:rsidR="002A67EE" w:rsidRPr="006A048F">
        <w:tab/>
        <w:t xml:space="preserve">- </w:t>
      </w:r>
      <w:r w:rsidR="002A67EE" w:rsidRPr="006A048F">
        <w:rPr>
          <w:lang w:eastAsia="en-US"/>
        </w:rPr>
        <w:t>Delete the last paragraph.</w:t>
      </w:r>
    </w:p>
    <w:p w14:paraId="1B9241AF" w14:textId="77777777" w:rsidR="002A67EE" w:rsidRPr="006A048F" w:rsidRDefault="002A67EE" w:rsidP="002A67EE">
      <w:pPr>
        <w:spacing w:after="120"/>
        <w:ind w:left="1134" w:right="1134"/>
        <w:jc w:val="both"/>
        <w:rPr>
          <w:i/>
          <w:iCs/>
        </w:rPr>
      </w:pPr>
      <w:r w:rsidRPr="006A048F">
        <w:rPr>
          <w:i/>
          <w:iCs/>
        </w:rPr>
        <w:t>(Reference document: ECE/TRANS/WP.15/AC.1/168)</w:t>
      </w:r>
    </w:p>
    <w:p w14:paraId="54EE8CE5" w14:textId="77777777" w:rsidR="002A67EE" w:rsidRPr="006A048F" w:rsidRDefault="002A67EE" w:rsidP="002A67EE">
      <w:pPr>
        <w:pStyle w:val="H1G"/>
      </w:pPr>
      <w:r w:rsidRPr="006A048F">
        <w:tab/>
      </w:r>
      <w:r w:rsidRPr="006A048F">
        <w:tab/>
        <w:t>Chapter 4.3</w:t>
      </w:r>
    </w:p>
    <w:p w14:paraId="5EA0217B" w14:textId="528534DB" w:rsidR="002A67EE" w:rsidRPr="006A048F" w:rsidRDefault="002A67EE" w:rsidP="002A67EE">
      <w:pPr>
        <w:pStyle w:val="SingleTxtG"/>
        <w:ind w:left="2268" w:hanging="1134"/>
        <w:rPr>
          <w:lang w:eastAsia="en-US"/>
        </w:rPr>
      </w:pPr>
      <w:r w:rsidRPr="006A048F">
        <w:rPr>
          <w:lang w:eastAsia="en-US"/>
        </w:rPr>
        <w:t>4.3.4.1.2</w:t>
      </w:r>
      <w:r w:rsidRPr="006A048F">
        <w:rPr>
          <w:lang w:eastAsia="en-US"/>
        </w:rPr>
        <w:tab/>
        <w:t>Amend the table as follows:</w:t>
      </w:r>
    </w:p>
    <w:p w14:paraId="403141ED" w14:textId="61066C6B" w:rsidR="002A67EE" w:rsidRPr="006A048F" w:rsidRDefault="002A67EE" w:rsidP="002A67EE">
      <w:pPr>
        <w:pStyle w:val="SingleTxtG"/>
        <w:ind w:left="2268" w:hanging="1134"/>
        <w:rPr>
          <w:lang w:eastAsia="en-US"/>
        </w:rPr>
      </w:pPr>
      <w:r w:rsidRPr="006A048F">
        <w:tab/>
      </w:r>
      <w:r w:rsidR="004D4599" w:rsidRPr="006A048F">
        <w:tab/>
      </w:r>
      <w:r w:rsidRPr="006A048F">
        <w:t xml:space="preserve">- </w:t>
      </w:r>
      <w:r w:rsidRPr="006A048F">
        <w:rPr>
          <w:lang w:eastAsia="en-US"/>
        </w:rPr>
        <w:t xml:space="preserve">For tank code </w:t>
      </w:r>
      <w:r w:rsidRPr="006A048F">
        <w:t>“</w:t>
      </w:r>
      <w:r w:rsidRPr="006A048F">
        <w:rPr>
          <w:lang w:eastAsia="en-US"/>
        </w:rPr>
        <w:t>LGBV</w:t>
      </w:r>
      <w:r w:rsidRPr="006A048F">
        <w:t>”</w:t>
      </w:r>
      <w:r w:rsidRPr="006A048F">
        <w:rPr>
          <w:lang w:eastAsia="en-US"/>
        </w:rPr>
        <w:t xml:space="preserve">, after the row for </w:t>
      </w:r>
      <w:r w:rsidRPr="006A048F">
        <w:t>“</w:t>
      </w:r>
      <w:r w:rsidRPr="006A048F">
        <w:rPr>
          <w:lang w:eastAsia="en-US"/>
        </w:rPr>
        <w:t>5.1 | O1 | III</w:t>
      </w:r>
      <w:r w:rsidRPr="006A048F">
        <w:t>”</w:t>
      </w:r>
      <w:r w:rsidRPr="006A048F">
        <w:rPr>
          <w:lang w:eastAsia="en-US"/>
        </w:rPr>
        <w:t>, insert the following new row:</w:t>
      </w:r>
      <w:r w:rsidRPr="006A048F">
        <w:t xml:space="preserve"> “</w:t>
      </w:r>
      <w:r w:rsidRPr="006A048F">
        <w:rPr>
          <w:lang w:eastAsia="en-US"/>
        </w:rPr>
        <w:t>5.1 | OT1 | III</w:t>
      </w:r>
      <w:r w:rsidRPr="006A048F">
        <w:t>”</w:t>
      </w:r>
      <w:r w:rsidRPr="006A048F">
        <w:rPr>
          <w:lang w:eastAsia="en-US"/>
        </w:rPr>
        <w:t>.</w:t>
      </w:r>
    </w:p>
    <w:p w14:paraId="3CBAFD8F" w14:textId="4E7A2DFF" w:rsidR="002A67EE" w:rsidRPr="006A048F" w:rsidRDefault="002A67EE" w:rsidP="002A67EE">
      <w:pPr>
        <w:pStyle w:val="SingleTxtG"/>
        <w:ind w:left="2268" w:hanging="1134"/>
        <w:rPr>
          <w:lang w:eastAsia="en-US"/>
        </w:rPr>
      </w:pPr>
      <w:r w:rsidRPr="006A048F">
        <w:tab/>
      </w:r>
      <w:r w:rsidR="004D4599" w:rsidRPr="006A048F">
        <w:tab/>
      </w:r>
      <w:r w:rsidRPr="006A048F">
        <w:t xml:space="preserve">- </w:t>
      </w:r>
      <w:r w:rsidRPr="006A048F">
        <w:rPr>
          <w:lang w:eastAsia="en-US"/>
        </w:rPr>
        <w:t>For tank code “L1.5BN”, delete the second row (“3 | F1 | III, flashpoint &lt; 23 °C, viscous, vapour pressure at 50 °C &gt; 1.1 bar, boiling point &gt; 35°C”).</w:t>
      </w:r>
    </w:p>
    <w:p w14:paraId="6C9E3655" w14:textId="40436368" w:rsidR="002A67EE" w:rsidRPr="006A048F" w:rsidRDefault="004D4599" w:rsidP="002A67EE">
      <w:pPr>
        <w:pStyle w:val="SingleTxtG"/>
        <w:ind w:left="2268" w:hanging="1134"/>
        <w:rPr>
          <w:lang w:eastAsia="en-US"/>
        </w:rPr>
      </w:pPr>
      <w:r w:rsidRPr="006A048F">
        <w:tab/>
      </w:r>
      <w:r w:rsidR="002A67EE" w:rsidRPr="006A048F">
        <w:tab/>
        <w:t xml:space="preserve">- </w:t>
      </w:r>
      <w:r w:rsidR="002A67EE" w:rsidRPr="006A048F">
        <w:rPr>
          <w:lang w:eastAsia="en-US"/>
        </w:rPr>
        <w:t>For tank code “L4BN”, in the row for “(3) | (F1)”, in the “Packing group” column, delete “III, boiling point ≤ 35 °C”).</w:t>
      </w:r>
    </w:p>
    <w:p w14:paraId="0C973D7D" w14:textId="74496977" w:rsidR="002A67EE" w:rsidRPr="006A048F" w:rsidRDefault="004D4599" w:rsidP="002A67EE">
      <w:pPr>
        <w:pStyle w:val="SingleTxtG"/>
        <w:ind w:left="2268" w:hanging="1134"/>
        <w:rPr>
          <w:lang w:eastAsia="en-US"/>
        </w:rPr>
      </w:pPr>
      <w:r w:rsidRPr="006A048F">
        <w:lastRenderedPageBreak/>
        <w:tab/>
      </w:r>
      <w:r w:rsidR="002A67EE" w:rsidRPr="006A048F">
        <w:tab/>
        <w:t xml:space="preserve">- </w:t>
      </w:r>
      <w:r w:rsidR="002A67EE" w:rsidRPr="006A048F">
        <w:rPr>
          <w:lang w:eastAsia="en-US"/>
        </w:rPr>
        <w:t>For tank code “L4BN”, in the row “5.1 | O1”, in the “Packing group” column, delete</w:t>
      </w:r>
      <w:r w:rsidR="002A67EE" w:rsidRPr="006A048F">
        <w:t xml:space="preserve"> </w:t>
      </w:r>
      <w:r w:rsidR="002A67EE" w:rsidRPr="006A048F">
        <w:rPr>
          <w:lang w:eastAsia="en-US"/>
        </w:rPr>
        <w:t>“I,”.</w:t>
      </w:r>
    </w:p>
    <w:p w14:paraId="211E9963" w14:textId="3F5FEE85" w:rsidR="002A67EE" w:rsidRPr="006A048F" w:rsidRDefault="004D4599" w:rsidP="002A67EE">
      <w:pPr>
        <w:pStyle w:val="SingleTxtG"/>
        <w:ind w:left="2268" w:hanging="1134"/>
        <w:rPr>
          <w:lang w:eastAsia="en-US"/>
        </w:rPr>
      </w:pPr>
      <w:r w:rsidRPr="006A048F">
        <w:tab/>
      </w:r>
      <w:r w:rsidR="002A67EE" w:rsidRPr="006A048F">
        <w:tab/>
        <w:t xml:space="preserve">- </w:t>
      </w:r>
      <w:r w:rsidR="002A67EE" w:rsidRPr="006A048F">
        <w:rPr>
          <w:lang w:eastAsia="en-US"/>
        </w:rPr>
        <w:t>For tank code “L4BN”, in the row “5.1 | OT1”, in the “Packing group” column, replace “I” by</w:t>
      </w:r>
      <w:r w:rsidR="002A67EE" w:rsidRPr="006A048F">
        <w:t xml:space="preserve"> </w:t>
      </w:r>
      <w:r w:rsidR="002A67EE" w:rsidRPr="006A048F">
        <w:rPr>
          <w:lang w:eastAsia="en-US"/>
        </w:rPr>
        <w:t>“II”.</w:t>
      </w:r>
    </w:p>
    <w:p w14:paraId="2DEF2E8D" w14:textId="77777777" w:rsidR="002A67EE" w:rsidRPr="006A048F" w:rsidRDefault="002A67EE" w:rsidP="002A67EE">
      <w:pPr>
        <w:spacing w:after="120"/>
        <w:ind w:left="1134" w:right="1134"/>
        <w:jc w:val="both"/>
        <w:rPr>
          <w:i/>
          <w:iCs/>
        </w:rPr>
      </w:pPr>
      <w:r w:rsidRPr="006A048F">
        <w:rPr>
          <w:i/>
          <w:iCs/>
        </w:rPr>
        <w:t>(Reference document: ECE/TRANS/WP.15/AC.1/168)</w:t>
      </w:r>
    </w:p>
    <w:p w14:paraId="4BD9AAEB" w14:textId="77777777" w:rsidR="002A67EE" w:rsidRPr="006A048F" w:rsidRDefault="002A67EE" w:rsidP="002A67EE">
      <w:pPr>
        <w:pStyle w:val="H1G"/>
      </w:pPr>
      <w:r w:rsidRPr="006A048F">
        <w:tab/>
      </w:r>
      <w:r w:rsidRPr="006A048F">
        <w:tab/>
        <w:t>Chapter 5.4</w:t>
      </w:r>
    </w:p>
    <w:p w14:paraId="787ECF16" w14:textId="77777777" w:rsidR="002A67EE" w:rsidRPr="006A048F" w:rsidRDefault="002A67EE" w:rsidP="002A67EE">
      <w:pPr>
        <w:pStyle w:val="SingleTxtG"/>
        <w:ind w:left="2268" w:hanging="1134"/>
        <w:rPr>
          <w:lang w:eastAsia="en-US"/>
        </w:rPr>
      </w:pPr>
      <w:r w:rsidRPr="006A048F">
        <w:rPr>
          <w:lang w:eastAsia="en-US"/>
        </w:rPr>
        <w:t>5.4.0.1</w:t>
      </w:r>
      <w:r w:rsidRPr="006A048F">
        <w:rPr>
          <w:lang w:eastAsia="en-US"/>
        </w:rPr>
        <w:tab/>
      </w:r>
      <w:r w:rsidRPr="006A048F">
        <w:rPr>
          <w:lang w:eastAsia="en-US"/>
        </w:rPr>
        <w:tab/>
        <w:t>After the first sentence, add the following second sentence:</w:t>
      </w:r>
    </w:p>
    <w:p w14:paraId="33DB7767" w14:textId="405A7CA8" w:rsidR="002A67EE" w:rsidRPr="006A048F" w:rsidRDefault="002A67EE" w:rsidP="002A67EE">
      <w:pPr>
        <w:pStyle w:val="SingleTxtG"/>
        <w:rPr>
          <w:lang w:eastAsia="en-US"/>
        </w:rPr>
      </w:pPr>
      <w:r w:rsidRPr="006A048F">
        <w:rPr>
          <w:lang w:eastAsia="en-US"/>
        </w:rPr>
        <w:t xml:space="preserve">“The information prescribed in this Chapter related to the dangerous goods carried shall be </w:t>
      </w:r>
      <w:r w:rsidRPr="006A048F">
        <w:t>available</w:t>
      </w:r>
      <w:r w:rsidRPr="006A048F">
        <w:rPr>
          <w:lang w:eastAsia="en-US"/>
        </w:rPr>
        <w:t xml:space="preserve"> during carriage in such a way that the goods per vehicle and the vehicle which is carrying them can be identified in the documentation.”</w:t>
      </w:r>
    </w:p>
    <w:p w14:paraId="0580805D" w14:textId="77777777" w:rsidR="002A67EE" w:rsidRPr="006A048F" w:rsidRDefault="002A67EE" w:rsidP="002A67EE">
      <w:pPr>
        <w:spacing w:after="120"/>
        <w:ind w:left="1134" w:right="1134"/>
        <w:jc w:val="both"/>
        <w:rPr>
          <w:i/>
          <w:iCs/>
        </w:rPr>
      </w:pPr>
      <w:r w:rsidRPr="006A048F">
        <w:rPr>
          <w:i/>
          <w:iCs/>
        </w:rPr>
        <w:t>(Reference document: ECE/TRANS/WP.15/AC.1/168, as amended)</w:t>
      </w:r>
    </w:p>
    <w:p w14:paraId="2DC93060" w14:textId="7AE4683D" w:rsidR="002A67EE" w:rsidRPr="006A048F" w:rsidRDefault="002A67EE" w:rsidP="002A67EE">
      <w:pPr>
        <w:pStyle w:val="SingleTxtG"/>
        <w:ind w:left="2268" w:hanging="1134"/>
        <w:rPr>
          <w:lang w:eastAsia="en-US"/>
        </w:rPr>
      </w:pPr>
      <w:r w:rsidRPr="006A048F">
        <w:rPr>
          <w:lang w:eastAsia="en-US"/>
        </w:rPr>
        <w:t>5.4.1.1.1</w:t>
      </w:r>
      <w:r w:rsidRPr="006A048F">
        <w:rPr>
          <w:lang w:eastAsia="en-US"/>
        </w:rPr>
        <w:tab/>
        <w:t>The amendment to paragraph (g) in the French version does not apply to the English text.</w:t>
      </w:r>
    </w:p>
    <w:p w14:paraId="1A519C62" w14:textId="77777777" w:rsidR="002A67EE" w:rsidRPr="006A048F" w:rsidRDefault="002A67EE" w:rsidP="002A67EE">
      <w:pPr>
        <w:spacing w:after="120"/>
        <w:ind w:left="1134" w:right="1134"/>
        <w:jc w:val="both"/>
        <w:rPr>
          <w:i/>
          <w:iCs/>
        </w:rPr>
      </w:pPr>
      <w:r w:rsidRPr="006A048F">
        <w:rPr>
          <w:i/>
          <w:iCs/>
        </w:rPr>
        <w:t>(Reference document: ECE/TRANS/WP.15/AC.1/168)</w:t>
      </w:r>
    </w:p>
    <w:p w14:paraId="47E91658" w14:textId="77777777" w:rsidR="002A67EE" w:rsidRPr="006A048F" w:rsidRDefault="002A67EE" w:rsidP="002A67EE">
      <w:pPr>
        <w:pStyle w:val="SingleTxtG"/>
        <w:ind w:left="2268" w:hanging="1134"/>
        <w:rPr>
          <w:lang w:eastAsia="en-US"/>
        </w:rPr>
      </w:pPr>
      <w:r w:rsidRPr="006A048F">
        <w:rPr>
          <w:lang w:eastAsia="en-US"/>
        </w:rPr>
        <w:t>5.4.1.1.21</w:t>
      </w:r>
      <w:r w:rsidRPr="006A048F">
        <w:rPr>
          <w:lang w:eastAsia="en-US"/>
        </w:rPr>
        <w:tab/>
        <w:t>Amend to read as follows:</w:t>
      </w:r>
    </w:p>
    <w:p w14:paraId="540B1764" w14:textId="77777777" w:rsidR="002A67EE" w:rsidRPr="006A048F" w:rsidRDefault="002A67EE" w:rsidP="002A67EE">
      <w:pPr>
        <w:pStyle w:val="SingleTxtG"/>
        <w:ind w:left="2268" w:hanging="1134"/>
        <w:rPr>
          <w:i/>
          <w:iCs/>
          <w:lang w:eastAsia="en-US"/>
        </w:rPr>
      </w:pPr>
      <w:r w:rsidRPr="006A048F">
        <w:rPr>
          <w:lang w:eastAsia="en-US"/>
        </w:rPr>
        <w:t>“5.4.1.1.21</w:t>
      </w:r>
      <w:r w:rsidRPr="006A048F">
        <w:rPr>
          <w:lang w:eastAsia="en-US"/>
        </w:rPr>
        <w:tab/>
      </w:r>
      <w:r w:rsidRPr="006A048F">
        <w:rPr>
          <w:i/>
          <w:iCs/>
          <w:lang w:eastAsia="en-US"/>
        </w:rPr>
        <w:t>Information required in specific cases defined in other parts of ADR</w:t>
      </w:r>
    </w:p>
    <w:p w14:paraId="488D46F9" w14:textId="55C00BDB" w:rsidR="002A67EE" w:rsidRPr="006A048F" w:rsidRDefault="002A67EE" w:rsidP="002A67EE">
      <w:pPr>
        <w:pStyle w:val="SingleTxtG"/>
        <w:ind w:left="2268" w:hanging="1134"/>
        <w:rPr>
          <w:lang w:eastAsia="en-US"/>
        </w:rPr>
      </w:pPr>
      <w:r w:rsidRPr="006A048F">
        <w:tab/>
      </w:r>
      <w:r w:rsidR="004D4599" w:rsidRPr="006A048F">
        <w:tab/>
      </w:r>
      <w:r w:rsidRPr="006A048F">
        <w:rPr>
          <w:lang w:eastAsia="en-US"/>
        </w:rPr>
        <w:t xml:space="preserve">Where in accordance with provisions in chapters 3.3, 3.5, 4.1, 4.2, 4.3 and 5.5 information </w:t>
      </w:r>
      <w:proofErr w:type="gramStart"/>
      <w:r w:rsidRPr="006A048F">
        <w:rPr>
          <w:lang w:eastAsia="en-US"/>
        </w:rPr>
        <w:t>is</w:t>
      </w:r>
      <w:proofErr w:type="gramEnd"/>
      <w:r w:rsidRPr="006A048F">
        <w:rPr>
          <w:lang w:eastAsia="en-US"/>
        </w:rPr>
        <w:t xml:space="preserve"> necessary, this information shall be included in the transport information.”</w:t>
      </w:r>
    </w:p>
    <w:p w14:paraId="6EE88AA8" w14:textId="77777777" w:rsidR="002A67EE" w:rsidRPr="006A048F" w:rsidRDefault="002A67EE" w:rsidP="002A67EE">
      <w:pPr>
        <w:spacing w:after="120"/>
        <w:ind w:left="1134" w:right="1134"/>
        <w:jc w:val="both"/>
        <w:rPr>
          <w:i/>
          <w:iCs/>
        </w:rPr>
      </w:pPr>
      <w:r w:rsidRPr="006A048F">
        <w:rPr>
          <w:i/>
          <w:iCs/>
        </w:rPr>
        <w:t>(Reference document: ECE/TRANS/WP.15/AC.1/168, as amended)</w:t>
      </w:r>
    </w:p>
    <w:p w14:paraId="6A1C44D1" w14:textId="77777777" w:rsidR="002A67EE" w:rsidRPr="006A048F" w:rsidRDefault="002A67EE" w:rsidP="002A67EE">
      <w:pPr>
        <w:pStyle w:val="H1G"/>
      </w:pPr>
      <w:r w:rsidRPr="006A048F">
        <w:tab/>
      </w:r>
      <w:r w:rsidRPr="006A048F">
        <w:tab/>
        <w:t>Chapter 6.2</w:t>
      </w:r>
    </w:p>
    <w:p w14:paraId="5988F472" w14:textId="77777777" w:rsidR="002A67EE" w:rsidRPr="006A048F" w:rsidRDefault="002A67EE" w:rsidP="002A67EE">
      <w:pPr>
        <w:pStyle w:val="SingleTxtG"/>
        <w:ind w:left="2268" w:hanging="1134"/>
        <w:rPr>
          <w:lang w:eastAsia="en-US"/>
        </w:rPr>
      </w:pPr>
      <w:r w:rsidRPr="006A048F">
        <w:rPr>
          <w:lang w:eastAsia="en-US"/>
        </w:rPr>
        <w:t>6.2.4.1</w:t>
      </w:r>
      <w:r w:rsidRPr="006A048F">
        <w:rPr>
          <w:lang w:eastAsia="en-US"/>
        </w:rPr>
        <w:tab/>
      </w:r>
      <w:r w:rsidRPr="006A048F">
        <w:rPr>
          <w:lang w:eastAsia="en-US"/>
        </w:rPr>
        <w:tab/>
        <w:t>Amend the table, under “for design and construction of pressure receptacles or pressure receptacle shells” as follows:</w:t>
      </w:r>
    </w:p>
    <w:p w14:paraId="7616902E" w14:textId="4393B7A9" w:rsidR="002A67EE" w:rsidRPr="006A048F" w:rsidRDefault="002A67EE" w:rsidP="002A67EE">
      <w:pPr>
        <w:pStyle w:val="SingleTxtG"/>
        <w:ind w:left="2268" w:hanging="1134"/>
      </w:pPr>
      <w:r w:rsidRPr="006A048F">
        <w:tab/>
      </w:r>
      <w:r w:rsidR="004D4599" w:rsidRPr="006A048F">
        <w:tab/>
      </w:r>
      <w:r w:rsidRPr="006A048F">
        <w:t xml:space="preserve">- </w:t>
      </w:r>
      <w:r w:rsidRPr="006A048F">
        <w:rPr>
          <w:lang w:eastAsia="en-US"/>
        </w:rPr>
        <w:t>After the row for standard EN ISO 9809-3:2019, insert the following new row:</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2"/>
        <w:gridCol w:w="1134"/>
        <w:gridCol w:w="1251"/>
        <w:gridCol w:w="450"/>
      </w:tblGrid>
      <w:tr w:rsidR="002A67EE" w:rsidRPr="006A048F" w14:paraId="28BF4AA2" w14:textId="77777777" w:rsidTr="002A67EE">
        <w:tc>
          <w:tcPr>
            <w:tcW w:w="1413" w:type="dxa"/>
            <w:tcBorders>
              <w:top w:val="single" w:sz="4" w:space="0" w:color="auto"/>
              <w:left w:val="single" w:sz="4" w:space="0" w:color="auto"/>
              <w:bottom w:val="single" w:sz="4" w:space="0" w:color="auto"/>
              <w:right w:val="single" w:sz="4" w:space="0" w:color="auto"/>
            </w:tcBorders>
            <w:vAlign w:val="center"/>
            <w:hideMark/>
          </w:tcPr>
          <w:p w14:paraId="5AA61B96" w14:textId="77777777" w:rsidR="002A67EE" w:rsidRPr="006A048F" w:rsidRDefault="002A67EE">
            <w:pPr>
              <w:keepNext/>
              <w:spacing w:line="240" w:lineRule="auto"/>
              <w:jc w:val="center"/>
            </w:pPr>
            <w:r w:rsidRPr="006A048F">
              <w:rPr>
                <w:rFonts w:cs="Arial"/>
                <w:szCs w:val="22"/>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17D3278" w14:textId="77777777" w:rsidR="002A67EE" w:rsidRPr="006A048F" w:rsidRDefault="002A67EE">
            <w:pPr>
              <w:spacing w:line="240" w:lineRule="auto"/>
              <w:jc w:val="center"/>
            </w:pPr>
            <w:r w:rsidRPr="006A048F">
              <w:rPr>
                <w:rFonts w:cs="Arial"/>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05EB6E" w14:textId="77777777" w:rsidR="002A67EE" w:rsidRPr="006A048F" w:rsidRDefault="002A67EE">
            <w:pPr>
              <w:spacing w:line="240" w:lineRule="auto"/>
              <w:jc w:val="center"/>
            </w:pPr>
            <w:r w:rsidRPr="006A048F">
              <w:rPr>
                <w:rFonts w:cs="Arial"/>
                <w:szCs w:val="22"/>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1D259987" w14:textId="77777777" w:rsidR="002A67EE" w:rsidRPr="006A048F" w:rsidRDefault="002A67EE">
            <w:pPr>
              <w:spacing w:line="240" w:lineRule="auto"/>
              <w:jc w:val="center"/>
            </w:pPr>
            <w:r w:rsidRPr="006A048F">
              <w:rPr>
                <w:rFonts w:cs="Arial"/>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467F9D38" w14:textId="77777777" w:rsidR="002A67EE" w:rsidRPr="006A048F" w:rsidRDefault="002A67EE">
            <w:pPr>
              <w:spacing w:line="240" w:lineRule="auto"/>
              <w:jc w:val="center"/>
            </w:pPr>
            <w:r w:rsidRPr="006A048F">
              <w:rPr>
                <w:rFonts w:cs="Arial"/>
                <w:szCs w:val="22"/>
              </w:rPr>
              <w:t>(5)</w:t>
            </w:r>
          </w:p>
        </w:tc>
      </w:tr>
      <w:tr w:rsidR="002A67EE" w:rsidRPr="006A048F" w14:paraId="53E997B9" w14:textId="77777777" w:rsidTr="002A67EE">
        <w:tc>
          <w:tcPr>
            <w:tcW w:w="1413" w:type="dxa"/>
            <w:tcBorders>
              <w:top w:val="single" w:sz="4" w:space="0" w:color="auto"/>
              <w:left w:val="single" w:sz="4" w:space="0" w:color="auto"/>
              <w:bottom w:val="single" w:sz="4" w:space="0" w:color="auto"/>
              <w:right w:val="single" w:sz="4" w:space="0" w:color="auto"/>
            </w:tcBorders>
            <w:vAlign w:val="center"/>
            <w:hideMark/>
          </w:tcPr>
          <w:p w14:paraId="4D9EE1CC" w14:textId="77777777" w:rsidR="002A67EE" w:rsidRPr="006A048F" w:rsidRDefault="002A67EE">
            <w:pPr>
              <w:spacing w:before="120" w:after="120"/>
              <w:rPr>
                <w:iCs/>
                <w:color w:val="000000"/>
              </w:rPr>
            </w:pPr>
            <w:r w:rsidRPr="006A048F">
              <w:t>EN ISO 9809-4:2022</w:t>
            </w:r>
          </w:p>
        </w:tc>
        <w:tc>
          <w:tcPr>
            <w:tcW w:w="4252" w:type="dxa"/>
            <w:tcBorders>
              <w:top w:val="single" w:sz="4" w:space="0" w:color="auto"/>
              <w:left w:val="single" w:sz="4" w:space="0" w:color="auto"/>
              <w:bottom w:val="single" w:sz="4" w:space="0" w:color="auto"/>
              <w:right w:val="single" w:sz="4" w:space="0" w:color="auto"/>
            </w:tcBorders>
            <w:hideMark/>
          </w:tcPr>
          <w:p w14:paraId="63492ABF" w14:textId="77777777" w:rsidR="002A67EE" w:rsidRPr="006A048F" w:rsidRDefault="002A67EE">
            <w:r w:rsidRPr="006A048F">
              <w:t xml:space="preserve">Gas cylinders – Design, construction and testing of refillable seamless steel gas cylinders and tubes – Part 4: Stainless steel cylinders with an Rm value of less than 1 100 MPa </w:t>
            </w:r>
          </w:p>
          <w:p w14:paraId="08F9C0D9" w14:textId="77777777" w:rsidR="002A67EE" w:rsidRPr="006A048F" w:rsidRDefault="002A67EE">
            <w:pPr>
              <w:spacing w:before="120" w:after="120"/>
              <w:rPr>
                <w:iCs/>
                <w:color w:val="000000"/>
              </w:rPr>
            </w:pPr>
            <w:r w:rsidRPr="006A048F">
              <w:rPr>
                <w:b/>
                <w:bCs/>
                <w:i/>
              </w:rPr>
              <w:t xml:space="preserve">NOTE: </w:t>
            </w:r>
            <w:r w:rsidRPr="006A048F">
              <w:rPr>
                <w:bCs/>
                <w:i/>
              </w:rPr>
              <w:t>Small quantities are a batch of cylinders not exceeding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8080A" w14:textId="77777777" w:rsidR="002A67EE" w:rsidRPr="006A048F" w:rsidRDefault="002A67EE">
            <w:pPr>
              <w:spacing w:before="120" w:after="120"/>
              <w:rPr>
                <w:iCs/>
                <w:color w:val="000000"/>
              </w:rPr>
            </w:pPr>
            <w:r w:rsidRPr="006A048F">
              <w:t>6.2.3.1 and 6.2.3.4</w:t>
            </w:r>
          </w:p>
        </w:tc>
        <w:tc>
          <w:tcPr>
            <w:tcW w:w="1251" w:type="dxa"/>
            <w:tcBorders>
              <w:top w:val="single" w:sz="4" w:space="0" w:color="auto"/>
              <w:left w:val="single" w:sz="4" w:space="0" w:color="auto"/>
              <w:bottom w:val="single" w:sz="4" w:space="0" w:color="auto"/>
              <w:right w:val="single" w:sz="4" w:space="0" w:color="auto"/>
            </w:tcBorders>
            <w:vAlign w:val="center"/>
            <w:hideMark/>
          </w:tcPr>
          <w:p w14:paraId="62096536" w14:textId="77777777" w:rsidR="002A67EE" w:rsidRPr="006A048F" w:rsidRDefault="002A67EE">
            <w:pPr>
              <w:spacing w:before="120" w:after="120"/>
              <w:jc w:val="center"/>
              <w:rPr>
                <w:iCs/>
                <w:color w:val="000000"/>
              </w:rPr>
            </w:pPr>
            <w:r w:rsidRPr="006A048F">
              <w:t>Until further notice</w:t>
            </w:r>
          </w:p>
        </w:tc>
        <w:tc>
          <w:tcPr>
            <w:tcW w:w="450" w:type="dxa"/>
            <w:tcBorders>
              <w:top w:val="single" w:sz="4" w:space="0" w:color="auto"/>
              <w:left w:val="single" w:sz="4" w:space="0" w:color="auto"/>
              <w:bottom w:val="single" w:sz="4" w:space="0" w:color="auto"/>
              <w:right w:val="single" w:sz="4" w:space="0" w:color="auto"/>
            </w:tcBorders>
          </w:tcPr>
          <w:p w14:paraId="1D7CB2F1" w14:textId="77777777" w:rsidR="002A67EE" w:rsidRPr="006A048F" w:rsidRDefault="002A67EE">
            <w:pPr>
              <w:spacing w:before="120" w:after="120"/>
            </w:pPr>
          </w:p>
        </w:tc>
      </w:tr>
    </w:tbl>
    <w:p w14:paraId="436E7BAF" w14:textId="14F9A5D7" w:rsidR="002A67EE" w:rsidRPr="006A048F" w:rsidRDefault="002A67EE" w:rsidP="002A67EE">
      <w:pPr>
        <w:pStyle w:val="SingleTxtG"/>
        <w:spacing w:before="120"/>
        <w:ind w:left="2268" w:hanging="1134"/>
      </w:pPr>
      <w:r w:rsidRPr="006A048F">
        <w:tab/>
      </w:r>
      <w:r w:rsidR="004D4599" w:rsidRPr="006A048F">
        <w:tab/>
      </w:r>
      <w:r w:rsidRPr="006A048F">
        <w:t xml:space="preserve">- In </w:t>
      </w:r>
      <w:r w:rsidRPr="006A048F">
        <w:rPr>
          <w:lang w:eastAsia="en-US"/>
        </w:rPr>
        <w:t>the</w:t>
      </w:r>
      <w:r w:rsidRPr="006A048F">
        <w:t xml:space="preserve"> row for standard EN 13110:2012, in column (4), replace “Until further notice” by “</w:t>
      </w:r>
      <w:r w:rsidRPr="006A048F">
        <w:rPr>
          <w:bCs/>
        </w:rPr>
        <w:t>Between 1 January 2013 and 31 December 2026</w:t>
      </w:r>
      <w:r w:rsidRPr="006A048F">
        <w:t>”.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193"/>
        <w:gridCol w:w="1127"/>
        <w:gridCol w:w="1241"/>
        <w:gridCol w:w="450"/>
      </w:tblGrid>
      <w:tr w:rsidR="002A67EE" w:rsidRPr="006A048F" w14:paraId="573AA1B5" w14:textId="77777777" w:rsidTr="002A67EE">
        <w:tc>
          <w:tcPr>
            <w:tcW w:w="1413" w:type="dxa"/>
            <w:tcBorders>
              <w:top w:val="single" w:sz="4" w:space="0" w:color="auto"/>
              <w:left w:val="single" w:sz="4" w:space="0" w:color="auto"/>
              <w:bottom w:val="single" w:sz="4" w:space="0" w:color="auto"/>
              <w:right w:val="single" w:sz="4" w:space="0" w:color="auto"/>
            </w:tcBorders>
            <w:vAlign w:val="center"/>
            <w:hideMark/>
          </w:tcPr>
          <w:p w14:paraId="008BBC80" w14:textId="77777777" w:rsidR="002A67EE" w:rsidRPr="006A048F" w:rsidRDefault="002A67EE">
            <w:pPr>
              <w:keepNext/>
              <w:spacing w:line="240" w:lineRule="auto"/>
              <w:jc w:val="center"/>
            </w:pPr>
            <w:r w:rsidRPr="006A048F">
              <w:rPr>
                <w:rFonts w:cs="Arial"/>
                <w:szCs w:val="22"/>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BCB1866" w14:textId="77777777" w:rsidR="002A67EE" w:rsidRPr="006A048F" w:rsidRDefault="002A67EE">
            <w:pPr>
              <w:spacing w:line="240" w:lineRule="auto"/>
              <w:jc w:val="center"/>
            </w:pPr>
            <w:r w:rsidRPr="006A048F">
              <w:rPr>
                <w:rFonts w:cs="Arial"/>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73C6BE" w14:textId="77777777" w:rsidR="002A67EE" w:rsidRPr="006A048F" w:rsidRDefault="002A67EE">
            <w:pPr>
              <w:spacing w:line="240" w:lineRule="auto"/>
              <w:jc w:val="center"/>
            </w:pPr>
            <w:r w:rsidRPr="006A048F">
              <w:rPr>
                <w:rFonts w:cs="Arial"/>
                <w:szCs w:val="22"/>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399C2327" w14:textId="77777777" w:rsidR="002A67EE" w:rsidRPr="006A048F" w:rsidRDefault="002A67EE">
            <w:pPr>
              <w:spacing w:line="240" w:lineRule="auto"/>
              <w:jc w:val="center"/>
            </w:pPr>
            <w:r w:rsidRPr="006A048F">
              <w:rPr>
                <w:rFonts w:cs="Arial"/>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35FD733C" w14:textId="77777777" w:rsidR="002A67EE" w:rsidRPr="006A048F" w:rsidRDefault="002A67EE">
            <w:pPr>
              <w:spacing w:line="240" w:lineRule="auto"/>
              <w:jc w:val="center"/>
            </w:pPr>
            <w:r w:rsidRPr="006A048F">
              <w:rPr>
                <w:rFonts w:cs="Arial"/>
                <w:szCs w:val="22"/>
              </w:rPr>
              <w:t>(5)</w:t>
            </w:r>
          </w:p>
        </w:tc>
      </w:tr>
      <w:tr w:rsidR="002A67EE" w:rsidRPr="006A048F" w14:paraId="5D0B5CE6" w14:textId="77777777" w:rsidTr="002A67EE">
        <w:tc>
          <w:tcPr>
            <w:tcW w:w="1413" w:type="dxa"/>
            <w:tcBorders>
              <w:top w:val="single" w:sz="4" w:space="0" w:color="auto"/>
              <w:left w:val="single" w:sz="4" w:space="0" w:color="auto"/>
              <w:bottom w:val="single" w:sz="4" w:space="0" w:color="auto"/>
              <w:right w:val="single" w:sz="4" w:space="0" w:color="auto"/>
            </w:tcBorders>
            <w:vAlign w:val="center"/>
            <w:hideMark/>
          </w:tcPr>
          <w:p w14:paraId="7F5A7F95" w14:textId="77777777" w:rsidR="002A67EE" w:rsidRPr="006A048F" w:rsidRDefault="002A67EE">
            <w:pPr>
              <w:spacing w:before="120" w:after="120"/>
              <w:rPr>
                <w:iCs/>
                <w:color w:val="000000"/>
              </w:rPr>
            </w:pPr>
            <w:r w:rsidRPr="006A048F">
              <w:t>EN 13110:2022</w:t>
            </w:r>
          </w:p>
        </w:tc>
        <w:tc>
          <w:tcPr>
            <w:tcW w:w="4252" w:type="dxa"/>
            <w:tcBorders>
              <w:top w:val="single" w:sz="4" w:space="0" w:color="auto"/>
              <w:left w:val="single" w:sz="4" w:space="0" w:color="auto"/>
              <w:bottom w:val="single" w:sz="4" w:space="0" w:color="auto"/>
              <w:right w:val="single" w:sz="4" w:space="0" w:color="auto"/>
            </w:tcBorders>
            <w:hideMark/>
          </w:tcPr>
          <w:p w14:paraId="4DDD675F" w14:textId="77777777" w:rsidR="002A67EE" w:rsidRPr="006A048F" w:rsidRDefault="002A67EE">
            <w:pPr>
              <w:spacing w:before="120" w:after="120"/>
              <w:rPr>
                <w:iCs/>
                <w:color w:val="000000"/>
              </w:rPr>
            </w:pPr>
            <w:r w:rsidRPr="006A048F">
              <w:t>LPG equipment and accessories – Transportable refillable welded aluminium cylinders for liquefied petroleum gas (LPG) – Design and construction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D3853F" w14:textId="77777777" w:rsidR="002A67EE" w:rsidRPr="006A048F" w:rsidRDefault="002A67EE">
            <w:pPr>
              <w:spacing w:before="120" w:after="120"/>
              <w:rPr>
                <w:iCs/>
                <w:color w:val="000000"/>
              </w:rPr>
            </w:pPr>
            <w:r w:rsidRPr="006A048F">
              <w:t>6.2.3.1 and 6.2.3.4</w:t>
            </w:r>
          </w:p>
        </w:tc>
        <w:tc>
          <w:tcPr>
            <w:tcW w:w="1251" w:type="dxa"/>
            <w:tcBorders>
              <w:top w:val="single" w:sz="4" w:space="0" w:color="auto"/>
              <w:left w:val="single" w:sz="4" w:space="0" w:color="auto"/>
              <w:bottom w:val="single" w:sz="4" w:space="0" w:color="auto"/>
              <w:right w:val="single" w:sz="4" w:space="0" w:color="auto"/>
            </w:tcBorders>
            <w:vAlign w:val="center"/>
            <w:hideMark/>
          </w:tcPr>
          <w:p w14:paraId="6AABA4A4" w14:textId="77777777" w:rsidR="002A67EE" w:rsidRPr="006A048F" w:rsidRDefault="002A67EE">
            <w:pPr>
              <w:spacing w:before="120" w:after="120"/>
              <w:jc w:val="center"/>
              <w:rPr>
                <w:iCs/>
                <w:color w:val="000000"/>
              </w:rPr>
            </w:pPr>
            <w:r w:rsidRPr="006A048F">
              <w:t>Until further notice</w:t>
            </w:r>
          </w:p>
        </w:tc>
        <w:tc>
          <w:tcPr>
            <w:tcW w:w="450" w:type="dxa"/>
            <w:tcBorders>
              <w:top w:val="single" w:sz="4" w:space="0" w:color="auto"/>
              <w:left w:val="single" w:sz="4" w:space="0" w:color="auto"/>
              <w:bottom w:val="single" w:sz="4" w:space="0" w:color="auto"/>
              <w:right w:val="single" w:sz="4" w:space="0" w:color="auto"/>
            </w:tcBorders>
          </w:tcPr>
          <w:p w14:paraId="55D810DA" w14:textId="77777777" w:rsidR="002A67EE" w:rsidRPr="006A048F" w:rsidRDefault="002A67EE">
            <w:pPr>
              <w:spacing w:before="120" w:after="120"/>
            </w:pPr>
          </w:p>
        </w:tc>
      </w:tr>
    </w:tbl>
    <w:p w14:paraId="17F7DE5D" w14:textId="2D5FB9D1" w:rsidR="002A67EE" w:rsidRPr="006A048F" w:rsidRDefault="002A67EE" w:rsidP="002A67EE">
      <w:pPr>
        <w:pStyle w:val="SingleTxtG"/>
        <w:spacing w:before="120"/>
        <w:ind w:left="2268" w:hanging="1134"/>
        <w:rPr>
          <w:rFonts w:cs="Arial"/>
        </w:rPr>
      </w:pPr>
      <w:r w:rsidRPr="006A048F">
        <w:tab/>
      </w:r>
      <w:r w:rsidR="006A048F">
        <w:tab/>
      </w:r>
      <w:r w:rsidRPr="006A048F">
        <w:t>Amend</w:t>
      </w:r>
      <w:r w:rsidRPr="006A048F">
        <w:rPr>
          <w:rFonts w:cs="Arial"/>
        </w:rPr>
        <w:t xml:space="preserve"> the table, under “for design and construction of closures” as follows:</w:t>
      </w:r>
    </w:p>
    <w:p w14:paraId="1B1A6476" w14:textId="485BDB9B" w:rsidR="002A67EE" w:rsidRPr="006A048F" w:rsidRDefault="002A67EE" w:rsidP="002A67EE">
      <w:pPr>
        <w:pStyle w:val="SingleTxtG"/>
        <w:ind w:left="2268" w:hanging="1134"/>
      </w:pPr>
      <w:r w:rsidRPr="006A048F">
        <w:tab/>
      </w:r>
      <w:r w:rsidR="004D4599" w:rsidRPr="006A048F">
        <w:tab/>
      </w:r>
      <w:r w:rsidRPr="006A048F">
        <w:t xml:space="preserve">- In the row for standard EN 14129:2014, in column (4), replace “Until further notice” by </w:t>
      </w:r>
      <w:r w:rsidRPr="006A048F">
        <w:rPr>
          <w:rFonts w:cs="Arial"/>
          <w:szCs w:val="22"/>
        </w:rPr>
        <w:t>“</w:t>
      </w:r>
      <w:r w:rsidRPr="006A048F">
        <w:t>Between 1 January 2021 and 31 December 2026</w:t>
      </w:r>
      <w:r w:rsidRPr="006A048F">
        <w:rPr>
          <w:rFonts w:cs="Arial"/>
          <w:szCs w:val="22"/>
        </w:rPr>
        <w:t>”.</w:t>
      </w:r>
      <w:r w:rsidRPr="006A048F">
        <w:t xml:space="preserve">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4086"/>
        <w:gridCol w:w="1117"/>
        <w:gridCol w:w="1225"/>
        <w:gridCol w:w="450"/>
      </w:tblGrid>
      <w:tr w:rsidR="002A67EE" w:rsidRPr="006A048F" w14:paraId="272617DC" w14:textId="77777777" w:rsidTr="002A67EE">
        <w:tc>
          <w:tcPr>
            <w:tcW w:w="1622" w:type="dxa"/>
            <w:tcBorders>
              <w:top w:val="single" w:sz="4" w:space="0" w:color="auto"/>
              <w:left w:val="single" w:sz="4" w:space="0" w:color="auto"/>
              <w:bottom w:val="single" w:sz="4" w:space="0" w:color="auto"/>
              <w:right w:val="single" w:sz="4" w:space="0" w:color="auto"/>
            </w:tcBorders>
            <w:vAlign w:val="center"/>
            <w:hideMark/>
          </w:tcPr>
          <w:p w14:paraId="5E8CD211" w14:textId="77777777" w:rsidR="002A67EE" w:rsidRPr="006A048F" w:rsidRDefault="002A67EE">
            <w:pPr>
              <w:keepNext/>
              <w:spacing w:line="240" w:lineRule="auto"/>
              <w:jc w:val="center"/>
            </w:pPr>
            <w:r w:rsidRPr="006A048F">
              <w:rPr>
                <w:rFonts w:cs="Arial"/>
                <w:szCs w:val="22"/>
              </w:rPr>
              <w:lastRenderedPageBreak/>
              <w:t>(1)</w:t>
            </w:r>
          </w:p>
        </w:tc>
        <w:tc>
          <w:tcPr>
            <w:tcW w:w="4086" w:type="dxa"/>
            <w:tcBorders>
              <w:top w:val="single" w:sz="4" w:space="0" w:color="auto"/>
              <w:left w:val="single" w:sz="4" w:space="0" w:color="auto"/>
              <w:bottom w:val="single" w:sz="4" w:space="0" w:color="auto"/>
              <w:right w:val="single" w:sz="4" w:space="0" w:color="auto"/>
            </w:tcBorders>
            <w:vAlign w:val="center"/>
            <w:hideMark/>
          </w:tcPr>
          <w:p w14:paraId="5B63AFCA" w14:textId="77777777" w:rsidR="002A67EE" w:rsidRPr="006A048F" w:rsidRDefault="002A67EE">
            <w:pPr>
              <w:spacing w:line="240" w:lineRule="auto"/>
              <w:jc w:val="center"/>
            </w:pPr>
            <w:r w:rsidRPr="006A048F">
              <w:rPr>
                <w:rFonts w:cs="Arial"/>
                <w:szCs w:val="22"/>
              </w:rPr>
              <w:t>(2)</w:t>
            </w:r>
          </w:p>
        </w:tc>
        <w:tc>
          <w:tcPr>
            <w:tcW w:w="1117" w:type="dxa"/>
            <w:tcBorders>
              <w:top w:val="single" w:sz="4" w:space="0" w:color="auto"/>
              <w:left w:val="single" w:sz="4" w:space="0" w:color="auto"/>
              <w:bottom w:val="single" w:sz="4" w:space="0" w:color="auto"/>
              <w:right w:val="single" w:sz="4" w:space="0" w:color="auto"/>
            </w:tcBorders>
            <w:vAlign w:val="center"/>
            <w:hideMark/>
          </w:tcPr>
          <w:p w14:paraId="1A5BBB84" w14:textId="77777777" w:rsidR="002A67EE" w:rsidRPr="006A048F" w:rsidRDefault="002A67EE">
            <w:pPr>
              <w:spacing w:line="240" w:lineRule="auto"/>
              <w:jc w:val="center"/>
            </w:pPr>
            <w:r w:rsidRPr="006A048F">
              <w:rPr>
                <w:rFonts w:cs="Arial"/>
                <w:szCs w:val="22"/>
              </w:rPr>
              <w:t>(3)</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C357658" w14:textId="77777777" w:rsidR="002A67EE" w:rsidRPr="006A048F" w:rsidRDefault="002A67EE">
            <w:pPr>
              <w:spacing w:line="240" w:lineRule="auto"/>
              <w:jc w:val="center"/>
            </w:pPr>
            <w:r w:rsidRPr="006A048F">
              <w:rPr>
                <w:rFonts w:cs="Arial"/>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3A09DB12" w14:textId="77777777" w:rsidR="002A67EE" w:rsidRPr="006A048F" w:rsidRDefault="002A67EE">
            <w:pPr>
              <w:spacing w:line="240" w:lineRule="auto"/>
              <w:jc w:val="center"/>
            </w:pPr>
            <w:r w:rsidRPr="006A048F">
              <w:rPr>
                <w:rFonts w:cs="Arial"/>
                <w:szCs w:val="22"/>
              </w:rPr>
              <w:t>(5)</w:t>
            </w:r>
          </w:p>
        </w:tc>
      </w:tr>
      <w:tr w:rsidR="002A67EE" w:rsidRPr="006A048F" w14:paraId="51644AB7" w14:textId="77777777" w:rsidTr="002A67EE">
        <w:tc>
          <w:tcPr>
            <w:tcW w:w="1622" w:type="dxa"/>
            <w:tcBorders>
              <w:top w:val="single" w:sz="4" w:space="0" w:color="auto"/>
              <w:left w:val="single" w:sz="4" w:space="0" w:color="auto"/>
              <w:bottom w:val="single" w:sz="4" w:space="0" w:color="auto"/>
              <w:right w:val="single" w:sz="4" w:space="0" w:color="auto"/>
            </w:tcBorders>
            <w:vAlign w:val="center"/>
            <w:hideMark/>
          </w:tcPr>
          <w:p w14:paraId="7B6E0FFC" w14:textId="77777777" w:rsidR="002A67EE" w:rsidRPr="006A048F" w:rsidRDefault="002A67EE">
            <w:pPr>
              <w:spacing w:before="120" w:after="120"/>
              <w:rPr>
                <w:iCs/>
                <w:color w:val="000000"/>
              </w:rPr>
            </w:pPr>
            <w:r w:rsidRPr="006A048F">
              <w:rPr>
                <w:bCs/>
                <w:iCs/>
              </w:rPr>
              <w:t>EN </w:t>
            </w:r>
            <w:proofErr w:type="gramStart"/>
            <w:r w:rsidRPr="006A048F">
              <w:rPr>
                <w:bCs/>
                <w:iCs/>
              </w:rPr>
              <w:t>14129</w:t>
            </w:r>
            <w:r w:rsidRPr="006A048F">
              <w:t>:</w:t>
            </w:r>
            <w:r w:rsidRPr="006A048F">
              <w:rPr>
                <w:b/>
              </w:rPr>
              <w:t>[</w:t>
            </w:r>
            <w:proofErr w:type="gramEnd"/>
            <w:r w:rsidRPr="006A048F">
              <w:t>2023</w:t>
            </w:r>
            <w:r w:rsidRPr="006A048F">
              <w:rPr>
                <w:b/>
              </w:rPr>
              <w:t>]</w:t>
            </w:r>
          </w:p>
        </w:tc>
        <w:tc>
          <w:tcPr>
            <w:tcW w:w="4086" w:type="dxa"/>
            <w:tcBorders>
              <w:top w:val="single" w:sz="4" w:space="0" w:color="auto"/>
              <w:left w:val="single" w:sz="4" w:space="0" w:color="auto"/>
              <w:bottom w:val="single" w:sz="4" w:space="0" w:color="auto"/>
              <w:right w:val="single" w:sz="4" w:space="0" w:color="auto"/>
            </w:tcBorders>
            <w:hideMark/>
          </w:tcPr>
          <w:p w14:paraId="4868382C" w14:textId="77777777" w:rsidR="002A67EE" w:rsidRPr="006A048F" w:rsidRDefault="002A67EE">
            <w:pPr>
              <w:rPr>
                <w:bCs/>
                <w:iCs/>
              </w:rPr>
            </w:pPr>
            <w:r w:rsidRPr="006A048F">
              <w:rPr>
                <w:bCs/>
                <w:iCs/>
              </w:rPr>
              <w:t>LPG Equipment and accessories – Pressure relief valves for LPG pressure vessels</w:t>
            </w:r>
          </w:p>
          <w:p w14:paraId="613FD31D" w14:textId="77777777" w:rsidR="002A67EE" w:rsidRPr="006A048F" w:rsidRDefault="002A67EE">
            <w:pPr>
              <w:spacing w:before="120" w:after="120"/>
              <w:rPr>
                <w:iCs/>
                <w:color w:val="000000"/>
              </w:rPr>
            </w:pPr>
            <w:r w:rsidRPr="006A048F">
              <w:rPr>
                <w:b/>
                <w:i/>
              </w:rPr>
              <w:t xml:space="preserve">NOTE: </w:t>
            </w:r>
            <w:r w:rsidRPr="006A048F">
              <w:rPr>
                <w:bCs/>
                <w:i/>
              </w:rPr>
              <w:t>This standard is applicable to pressure drums.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6892E549" w14:textId="77777777" w:rsidR="002A67EE" w:rsidRPr="006A048F" w:rsidRDefault="002A67EE">
            <w:pPr>
              <w:spacing w:before="120" w:after="120"/>
              <w:rPr>
                <w:iCs/>
                <w:color w:val="000000"/>
              </w:rPr>
            </w:pPr>
            <w:r w:rsidRPr="006A048F">
              <w:t>6.2.3.1, 6.2.3.3 and 6.2.3.4</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67314FB" w14:textId="77777777" w:rsidR="002A67EE" w:rsidRPr="006A048F" w:rsidRDefault="002A67EE">
            <w:pPr>
              <w:spacing w:before="120" w:after="120"/>
              <w:jc w:val="center"/>
              <w:rPr>
                <w:iCs/>
                <w:color w:val="000000"/>
              </w:rPr>
            </w:pPr>
            <w:r w:rsidRPr="006A048F">
              <w:t>Until further notice</w:t>
            </w:r>
          </w:p>
        </w:tc>
        <w:tc>
          <w:tcPr>
            <w:tcW w:w="450" w:type="dxa"/>
            <w:tcBorders>
              <w:top w:val="single" w:sz="4" w:space="0" w:color="auto"/>
              <w:left w:val="single" w:sz="4" w:space="0" w:color="auto"/>
              <w:bottom w:val="single" w:sz="4" w:space="0" w:color="auto"/>
              <w:right w:val="single" w:sz="4" w:space="0" w:color="auto"/>
            </w:tcBorders>
          </w:tcPr>
          <w:p w14:paraId="67F8DDDD" w14:textId="77777777" w:rsidR="002A67EE" w:rsidRPr="006A048F" w:rsidRDefault="002A67EE">
            <w:pPr>
              <w:spacing w:before="120" w:after="120"/>
            </w:pPr>
          </w:p>
        </w:tc>
      </w:tr>
    </w:tbl>
    <w:p w14:paraId="0F9329BF" w14:textId="77777777" w:rsidR="002A67EE" w:rsidRPr="006A048F" w:rsidRDefault="002A67EE" w:rsidP="002A67EE">
      <w:pPr>
        <w:spacing w:before="120" w:after="120"/>
        <w:ind w:left="1134" w:right="1134"/>
        <w:jc w:val="both"/>
        <w:rPr>
          <w:i/>
          <w:iCs/>
        </w:rPr>
      </w:pPr>
      <w:r w:rsidRPr="006A048F">
        <w:rPr>
          <w:i/>
          <w:iCs/>
        </w:rPr>
        <w:t>(Reference document: ECE/TRANS/WP.15/AC.1/168)</w:t>
      </w:r>
    </w:p>
    <w:p w14:paraId="6DE133A7" w14:textId="77777777" w:rsidR="002A67EE" w:rsidRPr="006A048F" w:rsidRDefault="002A67EE" w:rsidP="002A67EE">
      <w:pPr>
        <w:pStyle w:val="H1G"/>
      </w:pPr>
      <w:r w:rsidRPr="006A048F">
        <w:tab/>
      </w:r>
      <w:r w:rsidRPr="006A048F">
        <w:tab/>
        <w:t>Chapter 6.8</w:t>
      </w:r>
    </w:p>
    <w:p w14:paraId="7387784A" w14:textId="77777777" w:rsidR="002A67EE" w:rsidRPr="006A048F" w:rsidRDefault="002A67EE" w:rsidP="002A67EE">
      <w:pPr>
        <w:pStyle w:val="SingleTxtG"/>
        <w:ind w:left="2268" w:hanging="1134"/>
        <w:rPr>
          <w:lang w:eastAsia="en-US"/>
        </w:rPr>
      </w:pPr>
      <w:r w:rsidRPr="006A048F">
        <w:rPr>
          <w:lang w:eastAsia="en-US"/>
        </w:rPr>
        <w:t>6.8.2.1.23</w:t>
      </w:r>
      <w:r w:rsidRPr="006A048F">
        <w:rPr>
          <w:lang w:eastAsia="en-US"/>
        </w:rPr>
        <w:tab/>
        <w:t>After the first sub-paragraph, insert the following Note:</w:t>
      </w:r>
    </w:p>
    <w:p w14:paraId="2F1E9B01" w14:textId="77777777" w:rsidR="002A67EE" w:rsidRPr="006A048F" w:rsidRDefault="002A67EE" w:rsidP="002A67EE">
      <w:pPr>
        <w:pStyle w:val="SingleTxtG"/>
        <w:ind w:left="2268" w:hanging="1134"/>
        <w:rPr>
          <w:lang w:eastAsia="en-US"/>
        </w:rPr>
      </w:pPr>
      <w:r w:rsidRPr="006A048F">
        <w:rPr>
          <w:lang w:eastAsia="en-US"/>
        </w:rPr>
        <w:t>“</w:t>
      </w:r>
      <w:r w:rsidRPr="006A048F">
        <w:rPr>
          <w:b/>
          <w:bCs/>
          <w:i/>
          <w:iCs/>
          <w:lang w:eastAsia="en-US"/>
        </w:rPr>
        <w:t>NOTE:</w:t>
      </w:r>
      <w:r w:rsidRPr="006A048F">
        <w:rPr>
          <w:i/>
          <w:iCs/>
          <w:lang w:eastAsia="en-US"/>
        </w:rPr>
        <w:tab/>
        <w:t>When 6.8.5 is applicable, the impact-strength tests carried out for the qualifications of the welding process shall comply with the requirements of 6.8.5.3.</w:t>
      </w:r>
      <w:r w:rsidRPr="006A048F">
        <w:rPr>
          <w:lang w:eastAsia="en-US"/>
        </w:rPr>
        <w:t>”</w:t>
      </w:r>
    </w:p>
    <w:p w14:paraId="442D5366" w14:textId="77777777" w:rsidR="002A67EE" w:rsidRPr="006A048F" w:rsidRDefault="002A67EE" w:rsidP="002A67EE">
      <w:pPr>
        <w:spacing w:after="120"/>
        <w:ind w:left="1134" w:right="1134"/>
        <w:jc w:val="both"/>
        <w:rPr>
          <w:i/>
          <w:iCs/>
        </w:rPr>
      </w:pPr>
      <w:r w:rsidRPr="006A048F">
        <w:rPr>
          <w:i/>
          <w:iCs/>
        </w:rPr>
        <w:t>(Reference document: ECE/TRANS/WP.15/AC.1/168)</w:t>
      </w:r>
    </w:p>
    <w:p w14:paraId="19E54853" w14:textId="276073BD" w:rsidR="002A67EE" w:rsidRPr="006A048F" w:rsidRDefault="002A67EE" w:rsidP="002A67EE">
      <w:pPr>
        <w:pStyle w:val="SingleTxtG"/>
        <w:ind w:left="2268" w:hanging="1134"/>
        <w:rPr>
          <w:b/>
          <w:bCs/>
        </w:rPr>
      </w:pPr>
      <w:r w:rsidRPr="006A048F">
        <w:t>6.8.2.1.27</w:t>
      </w:r>
      <w:r w:rsidRPr="006A048F">
        <w:tab/>
        <w:t xml:space="preserve">In the left column, last sentence, replace the earth ground symbol by </w:t>
      </w:r>
      <w:r w:rsidRPr="006A048F">
        <w:rPr>
          <w:noProof/>
        </w:rPr>
        <w:drawing>
          <wp:inline distT="0" distB="0" distL="0" distR="0" wp14:anchorId="426BB15E" wp14:editId="29C28B22">
            <wp:extent cx="153035" cy="168910"/>
            <wp:effectExtent l="0" t="0" r="0" b="2540"/>
            <wp:docPr id="3" name="Picture 3"/>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53035" cy="172085"/>
                    </a:xfrm>
                    <a:prstGeom prst="rect">
                      <a:avLst/>
                    </a:prstGeom>
                  </pic:spPr>
                </pic:pic>
              </a:graphicData>
            </a:graphic>
          </wp:inline>
        </w:drawing>
      </w:r>
      <w:r w:rsidRPr="006A048F">
        <w:t>.</w:t>
      </w:r>
    </w:p>
    <w:p w14:paraId="0C144A95" w14:textId="77777777" w:rsidR="002A67EE" w:rsidRPr="006A048F" w:rsidRDefault="002A67EE" w:rsidP="002A67EE">
      <w:pPr>
        <w:pStyle w:val="SingleTxtG"/>
        <w:rPr>
          <w:i/>
          <w:iCs/>
        </w:rPr>
      </w:pPr>
      <w:r w:rsidRPr="006A048F">
        <w:rPr>
          <w:i/>
          <w:iCs/>
        </w:rPr>
        <w:t>(Reference document: ECE/TRANS/WP.15/2023/2)</w:t>
      </w:r>
    </w:p>
    <w:p w14:paraId="017DF2FA" w14:textId="77777777" w:rsidR="002A67EE" w:rsidRPr="006A048F" w:rsidRDefault="002A67EE" w:rsidP="002A67EE">
      <w:pPr>
        <w:pStyle w:val="SingleTxtG"/>
        <w:ind w:left="2268" w:hanging="1134"/>
        <w:rPr>
          <w:lang w:eastAsia="en-US"/>
        </w:rPr>
      </w:pPr>
      <w:r w:rsidRPr="006A048F">
        <w:rPr>
          <w:lang w:eastAsia="en-US"/>
        </w:rPr>
        <w:t>[6.8.2.2.11</w:t>
      </w:r>
      <w:r w:rsidRPr="006A048F">
        <w:rPr>
          <w:lang w:eastAsia="en-US"/>
        </w:rPr>
        <w:tab/>
        <w:t>Amend to read as follows:</w:t>
      </w:r>
    </w:p>
    <w:p w14:paraId="57DF00D0" w14:textId="77777777" w:rsidR="002A67EE" w:rsidRPr="006A048F" w:rsidRDefault="002A67EE" w:rsidP="002A67EE">
      <w:pPr>
        <w:pStyle w:val="SingleTxtG"/>
        <w:ind w:left="2268" w:hanging="1134"/>
        <w:rPr>
          <w:lang w:eastAsia="en-US"/>
        </w:rPr>
      </w:pPr>
      <w:r w:rsidRPr="006A048F">
        <w:rPr>
          <w:lang w:eastAsia="en-US"/>
        </w:rPr>
        <w:t>“6.8.2.2.11</w:t>
      </w:r>
      <w:r w:rsidRPr="006A048F">
        <w:rPr>
          <w:lang w:eastAsia="en-US"/>
        </w:rPr>
        <w:tab/>
        <w:t>Level-gauges shall neither be part of, nor fitted to shells, if they incorporate transparent material which can, at any time, come into direct contact with the substance carried in the shell.”]</w:t>
      </w:r>
    </w:p>
    <w:p w14:paraId="212F1AE9" w14:textId="77777777" w:rsidR="002A67EE" w:rsidRPr="006A048F" w:rsidRDefault="002A67EE" w:rsidP="002A67EE">
      <w:pPr>
        <w:spacing w:after="120"/>
        <w:ind w:left="1134" w:right="1134"/>
        <w:jc w:val="both"/>
        <w:rPr>
          <w:i/>
          <w:iCs/>
        </w:rPr>
      </w:pPr>
      <w:r w:rsidRPr="006A048F">
        <w:rPr>
          <w:i/>
          <w:iCs/>
        </w:rPr>
        <w:t>(Reference document: ECE/TRANS/WP.15/AC.1/168)</w:t>
      </w:r>
    </w:p>
    <w:p w14:paraId="1AD90214" w14:textId="4318157B" w:rsidR="002A67EE" w:rsidRPr="006A048F" w:rsidRDefault="002A67EE" w:rsidP="002A67EE">
      <w:pPr>
        <w:pStyle w:val="SingleTxtG"/>
        <w:ind w:left="2268" w:hanging="1134"/>
        <w:rPr>
          <w:lang w:eastAsia="en-US"/>
        </w:rPr>
      </w:pPr>
      <w:r w:rsidRPr="006A048F">
        <w:rPr>
          <w:lang w:eastAsia="en-US"/>
        </w:rPr>
        <w:t>6.8.2.6.1</w:t>
      </w:r>
      <w:r w:rsidRPr="006A048F">
        <w:rPr>
          <w:lang w:eastAsia="en-US"/>
        </w:rPr>
        <w:tab/>
        <w:t>In the table, under “For equipment”, in the row for standard EN 14129:2014, in column (4), replace “Until further notice” by “Between 1 January 2015 and 31 December 2026”. Add a new row beneath this row as follows:</w:t>
      </w: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252"/>
        <w:gridCol w:w="1134"/>
        <w:gridCol w:w="1251"/>
        <w:gridCol w:w="450"/>
      </w:tblGrid>
      <w:tr w:rsidR="002A67EE" w:rsidRPr="006A048F" w14:paraId="47E5B38E" w14:textId="77777777" w:rsidTr="002A67EE">
        <w:tc>
          <w:tcPr>
            <w:tcW w:w="1413" w:type="dxa"/>
            <w:tcBorders>
              <w:top w:val="single" w:sz="4" w:space="0" w:color="auto"/>
              <w:left w:val="single" w:sz="4" w:space="0" w:color="auto"/>
              <w:bottom w:val="single" w:sz="4" w:space="0" w:color="auto"/>
              <w:right w:val="single" w:sz="4" w:space="0" w:color="auto"/>
            </w:tcBorders>
            <w:vAlign w:val="center"/>
            <w:hideMark/>
          </w:tcPr>
          <w:p w14:paraId="12318AB7" w14:textId="77777777" w:rsidR="002A67EE" w:rsidRPr="006A048F" w:rsidRDefault="002A67EE">
            <w:pPr>
              <w:keepNext/>
              <w:spacing w:line="240" w:lineRule="auto"/>
              <w:jc w:val="center"/>
            </w:pPr>
            <w:r w:rsidRPr="006A048F">
              <w:rPr>
                <w:rFonts w:cs="Arial"/>
                <w:szCs w:val="22"/>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1A352F8" w14:textId="77777777" w:rsidR="002A67EE" w:rsidRPr="006A048F" w:rsidRDefault="002A67EE">
            <w:pPr>
              <w:spacing w:line="240" w:lineRule="auto"/>
              <w:jc w:val="center"/>
            </w:pPr>
            <w:r w:rsidRPr="006A048F">
              <w:rPr>
                <w:rFonts w:cs="Arial"/>
                <w:szCs w:val="2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B2A852" w14:textId="77777777" w:rsidR="002A67EE" w:rsidRPr="006A048F" w:rsidRDefault="002A67EE">
            <w:pPr>
              <w:spacing w:line="240" w:lineRule="auto"/>
              <w:jc w:val="center"/>
            </w:pPr>
            <w:r w:rsidRPr="006A048F">
              <w:rPr>
                <w:rFonts w:cs="Arial"/>
                <w:szCs w:val="22"/>
              </w:rPr>
              <w:t>(3)</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DF01C6A" w14:textId="77777777" w:rsidR="002A67EE" w:rsidRPr="006A048F" w:rsidRDefault="002A67EE">
            <w:pPr>
              <w:spacing w:line="240" w:lineRule="auto"/>
              <w:jc w:val="center"/>
            </w:pPr>
            <w:r w:rsidRPr="006A048F">
              <w:rPr>
                <w:rFonts w:cs="Arial"/>
                <w:szCs w:val="22"/>
              </w:rPr>
              <w:t>(4)</w:t>
            </w:r>
          </w:p>
        </w:tc>
        <w:tc>
          <w:tcPr>
            <w:tcW w:w="450" w:type="dxa"/>
            <w:tcBorders>
              <w:top w:val="single" w:sz="4" w:space="0" w:color="auto"/>
              <w:left w:val="single" w:sz="4" w:space="0" w:color="auto"/>
              <w:bottom w:val="single" w:sz="4" w:space="0" w:color="auto"/>
              <w:right w:val="single" w:sz="4" w:space="0" w:color="auto"/>
            </w:tcBorders>
            <w:vAlign w:val="center"/>
            <w:hideMark/>
          </w:tcPr>
          <w:p w14:paraId="7F7F0B69" w14:textId="77777777" w:rsidR="002A67EE" w:rsidRPr="006A048F" w:rsidRDefault="002A67EE">
            <w:pPr>
              <w:spacing w:line="240" w:lineRule="auto"/>
              <w:jc w:val="center"/>
            </w:pPr>
            <w:r w:rsidRPr="006A048F">
              <w:rPr>
                <w:rFonts w:cs="Arial"/>
                <w:szCs w:val="22"/>
              </w:rPr>
              <w:t>(5)</w:t>
            </w:r>
          </w:p>
        </w:tc>
      </w:tr>
      <w:tr w:rsidR="002A67EE" w:rsidRPr="006A048F" w14:paraId="62AFD6C8" w14:textId="77777777" w:rsidTr="002A67EE">
        <w:tc>
          <w:tcPr>
            <w:tcW w:w="1413" w:type="dxa"/>
            <w:tcBorders>
              <w:top w:val="single" w:sz="4" w:space="0" w:color="auto"/>
              <w:left w:val="single" w:sz="4" w:space="0" w:color="auto"/>
              <w:bottom w:val="single" w:sz="4" w:space="0" w:color="auto"/>
              <w:right w:val="single" w:sz="4" w:space="0" w:color="auto"/>
            </w:tcBorders>
            <w:vAlign w:val="center"/>
            <w:hideMark/>
          </w:tcPr>
          <w:p w14:paraId="52262487" w14:textId="77777777" w:rsidR="002A67EE" w:rsidRPr="006A048F" w:rsidRDefault="002A67EE">
            <w:pPr>
              <w:spacing w:before="120" w:after="120"/>
              <w:rPr>
                <w:iCs/>
                <w:color w:val="000000"/>
              </w:rPr>
            </w:pPr>
            <w:r w:rsidRPr="006A048F">
              <w:rPr>
                <w:bCs/>
                <w:iCs/>
              </w:rPr>
              <w:t xml:space="preserve">EN </w:t>
            </w:r>
            <w:proofErr w:type="gramStart"/>
            <w:r w:rsidRPr="006A048F">
              <w:rPr>
                <w:bCs/>
                <w:iCs/>
              </w:rPr>
              <w:t>14129</w:t>
            </w:r>
            <w:r w:rsidRPr="006A048F">
              <w:t>:</w:t>
            </w:r>
            <w:r w:rsidRPr="006A048F">
              <w:rPr>
                <w:b/>
              </w:rPr>
              <w:t>[</w:t>
            </w:r>
            <w:proofErr w:type="gramEnd"/>
            <w:r w:rsidRPr="006A048F">
              <w:t>2023</w:t>
            </w:r>
            <w:r w:rsidRPr="006A048F">
              <w:rPr>
                <w:b/>
              </w:rPr>
              <w:t>]</w:t>
            </w:r>
          </w:p>
        </w:tc>
        <w:tc>
          <w:tcPr>
            <w:tcW w:w="4252" w:type="dxa"/>
            <w:tcBorders>
              <w:top w:val="single" w:sz="4" w:space="0" w:color="auto"/>
              <w:left w:val="single" w:sz="4" w:space="0" w:color="auto"/>
              <w:bottom w:val="single" w:sz="4" w:space="0" w:color="auto"/>
              <w:right w:val="single" w:sz="4" w:space="0" w:color="auto"/>
            </w:tcBorders>
            <w:hideMark/>
          </w:tcPr>
          <w:p w14:paraId="1C5435FF" w14:textId="77777777" w:rsidR="002A67EE" w:rsidRPr="006A048F" w:rsidRDefault="002A67EE">
            <w:pPr>
              <w:spacing w:before="120" w:after="120"/>
              <w:rPr>
                <w:iCs/>
                <w:color w:val="000000"/>
              </w:rPr>
            </w:pPr>
            <w:r w:rsidRPr="006A048F">
              <w:rPr>
                <w:bCs/>
                <w:iCs/>
              </w:rPr>
              <w:t>LPG Equipment and accessories – Pressure relief valves for LPG pressure vessels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A84124" w14:textId="77777777" w:rsidR="002A67EE" w:rsidRPr="006A048F" w:rsidRDefault="002A67EE">
            <w:pPr>
              <w:spacing w:before="120" w:after="120"/>
              <w:rPr>
                <w:iCs/>
                <w:color w:val="000000"/>
              </w:rPr>
            </w:pPr>
            <w:r w:rsidRPr="006A048F">
              <w:t>6.8.2.1.1 and 6.8.3.2.9</w:t>
            </w:r>
          </w:p>
        </w:tc>
        <w:tc>
          <w:tcPr>
            <w:tcW w:w="1251" w:type="dxa"/>
            <w:tcBorders>
              <w:top w:val="single" w:sz="4" w:space="0" w:color="auto"/>
              <w:left w:val="single" w:sz="4" w:space="0" w:color="auto"/>
              <w:bottom w:val="single" w:sz="4" w:space="0" w:color="auto"/>
              <w:right w:val="single" w:sz="4" w:space="0" w:color="auto"/>
            </w:tcBorders>
            <w:vAlign w:val="center"/>
            <w:hideMark/>
          </w:tcPr>
          <w:p w14:paraId="02D7E330" w14:textId="77777777" w:rsidR="002A67EE" w:rsidRPr="006A048F" w:rsidRDefault="002A67EE">
            <w:pPr>
              <w:spacing w:before="120" w:after="120"/>
              <w:jc w:val="center"/>
              <w:rPr>
                <w:iCs/>
                <w:color w:val="000000"/>
              </w:rPr>
            </w:pPr>
            <w:r w:rsidRPr="006A048F">
              <w:t>Until further notice</w:t>
            </w:r>
          </w:p>
        </w:tc>
        <w:tc>
          <w:tcPr>
            <w:tcW w:w="450" w:type="dxa"/>
            <w:tcBorders>
              <w:top w:val="single" w:sz="4" w:space="0" w:color="auto"/>
              <w:left w:val="single" w:sz="4" w:space="0" w:color="auto"/>
              <w:bottom w:val="single" w:sz="4" w:space="0" w:color="auto"/>
              <w:right w:val="single" w:sz="4" w:space="0" w:color="auto"/>
            </w:tcBorders>
          </w:tcPr>
          <w:p w14:paraId="2F336B80" w14:textId="77777777" w:rsidR="002A67EE" w:rsidRPr="006A048F" w:rsidRDefault="002A67EE">
            <w:pPr>
              <w:spacing w:before="120" w:after="120"/>
            </w:pPr>
          </w:p>
        </w:tc>
      </w:tr>
    </w:tbl>
    <w:p w14:paraId="569D77EC" w14:textId="77777777" w:rsidR="002A67EE" w:rsidRPr="006A048F" w:rsidRDefault="002A67EE" w:rsidP="002A67EE">
      <w:pPr>
        <w:spacing w:before="120" w:after="120"/>
        <w:ind w:left="1134" w:right="1134"/>
        <w:jc w:val="both"/>
        <w:rPr>
          <w:i/>
          <w:iCs/>
        </w:rPr>
      </w:pPr>
      <w:r w:rsidRPr="006A048F">
        <w:rPr>
          <w:i/>
          <w:iCs/>
        </w:rPr>
        <w:t>(Reference document: ECE/TRANS/WP.15/AC.1/168)</w:t>
      </w:r>
    </w:p>
    <w:p w14:paraId="720E6F6C" w14:textId="77777777" w:rsidR="002A67EE" w:rsidRPr="006A048F" w:rsidRDefault="002A67EE" w:rsidP="002A67EE">
      <w:pPr>
        <w:pStyle w:val="H1G"/>
      </w:pPr>
      <w:r w:rsidRPr="006A048F">
        <w:tab/>
      </w:r>
      <w:r w:rsidRPr="006A048F">
        <w:tab/>
        <w:t>Chapter 7.2</w:t>
      </w:r>
    </w:p>
    <w:p w14:paraId="2ED58882" w14:textId="77777777" w:rsidR="002A67EE" w:rsidRPr="006A048F" w:rsidRDefault="002A67EE" w:rsidP="002A67EE">
      <w:pPr>
        <w:pStyle w:val="SingleTxtG"/>
        <w:ind w:left="2268" w:hanging="1134"/>
        <w:rPr>
          <w:lang w:eastAsia="en-US"/>
        </w:rPr>
      </w:pPr>
      <w:r w:rsidRPr="006A048F">
        <w:rPr>
          <w:lang w:eastAsia="en-US"/>
        </w:rPr>
        <w:t>7.2.4</w:t>
      </w:r>
      <w:r w:rsidRPr="006A048F">
        <w:t xml:space="preserve">, </w:t>
      </w:r>
      <w:r w:rsidRPr="006A048F">
        <w:rPr>
          <w:lang w:eastAsia="en-US"/>
        </w:rPr>
        <w:t>V14</w:t>
      </w:r>
      <w:r w:rsidRPr="006A048F">
        <w:rPr>
          <w:lang w:eastAsia="en-US"/>
        </w:rPr>
        <w:tab/>
        <w:t>After “Aerosols”, add</w:t>
      </w:r>
      <w:r w:rsidRPr="006A048F">
        <w:t xml:space="preserve"> </w:t>
      </w:r>
      <w:r w:rsidRPr="006A048F">
        <w:rPr>
          <w:lang w:eastAsia="en-US"/>
        </w:rPr>
        <w:t>“and gas cartridges”.</w:t>
      </w:r>
    </w:p>
    <w:p w14:paraId="50E2A9E2" w14:textId="77777777" w:rsidR="002A67EE" w:rsidRPr="006A048F" w:rsidRDefault="002A67EE" w:rsidP="002A67EE">
      <w:pPr>
        <w:spacing w:after="120"/>
        <w:ind w:left="1134" w:right="1134"/>
        <w:jc w:val="both"/>
        <w:rPr>
          <w:i/>
          <w:iCs/>
        </w:rPr>
      </w:pPr>
      <w:r w:rsidRPr="006A048F">
        <w:rPr>
          <w:i/>
          <w:iCs/>
        </w:rPr>
        <w:t>(Reference document: ECE/TRANS/WP.15/AC.1/168)</w:t>
      </w:r>
    </w:p>
    <w:p w14:paraId="229C27F5" w14:textId="77777777" w:rsidR="002A67EE" w:rsidRPr="006A048F" w:rsidRDefault="002A67EE" w:rsidP="002A67EE">
      <w:pPr>
        <w:pStyle w:val="H1G"/>
      </w:pPr>
      <w:r w:rsidRPr="006A048F">
        <w:tab/>
      </w:r>
      <w:r w:rsidRPr="006A048F">
        <w:tab/>
        <w:t>Chapter 7.3</w:t>
      </w:r>
    </w:p>
    <w:p w14:paraId="5BB5A836" w14:textId="77777777" w:rsidR="002A67EE" w:rsidRPr="006A048F" w:rsidRDefault="002A67EE" w:rsidP="002A67EE">
      <w:pPr>
        <w:pStyle w:val="SingleTxtG"/>
        <w:ind w:left="2268" w:hanging="1134"/>
        <w:rPr>
          <w:lang w:eastAsia="en-US"/>
        </w:rPr>
      </w:pPr>
      <w:r w:rsidRPr="006A048F">
        <w:rPr>
          <w:lang w:eastAsia="en-US"/>
        </w:rPr>
        <w:t>7.3.3.2.7</w:t>
      </w:r>
      <w:r w:rsidRPr="006A048F">
        <w:rPr>
          <w:lang w:eastAsia="en-US"/>
        </w:rPr>
        <w:tab/>
        <w:t>Add the following new AP11:</w:t>
      </w:r>
    </w:p>
    <w:p w14:paraId="63030106" w14:textId="4C684172" w:rsidR="002A67EE" w:rsidRPr="006A048F" w:rsidRDefault="002A67EE" w:rsidP="002A67EE">
      <w:pPr>
        <w:pStyle w:val="SingleTxtG"/>
        <w:ind w:left="2268" w:hanging="1134"/>
      </w:pPr>
      <w:r w:rsidRPr="006A048F">
        <w:t>“AP11</w:t>
      </w:r>
      <w:r w:rsidR="006A048F">
        <w:tab/>
      </w:r>
      <w:r w:rsidRPr="006A048F">
        <w:tab/>
        <w:t>In accordance with VC3 in 7.3.3.1, for the purpose of carriage in bulk of molten aluminium, "standards specified by the competent authority of the country of origin" means that the following requirements shall be met.</w:t>
      </w:r>
    </w:p>
    <w:p w14:paraId="054B221E" w14:textId="77777777" w:rsidR="002A67EE" w:rsidRPr="006A048F" w:rsidRDefault="002A67EE" w:rsidP="002A67EE">
      <w:pPr>
        <w:pStyle w:val="SingleTxtG"/>
        <w:ind w:left="2835" w:hanging="567"/>
      </w:pPr>
      <w:r w:rsidRPr="006A048F">
        <w:t>1.</w:t>
      </w:r>
      <w:r w:rsidRPr="006A048F">
        <w:tab/>
        <w:t>General requirements</w:t>
      </w:r>
    </w:p>
    <w:p w14:paraId="2E6891B2" w14:textId="77777777" w:rsidR="002A67EE" w:rsidRPr="006A048F" w:rsidRDefault="002A67EE" w:rsidP="002A67EE">
      <w:pPr>
        <w:pStyle w:val="SingleTxtG"/>
        <w:ind w:left="3402" w:hanging="567"/>
      </w:pPr>
      <w:r w:rsidRPr="006A048F">
        <w:t>1.1</w:t>
      </w:r>
      <w:r w:rsidRPr="006A048F">
        <w:tab/>
      </w:r>
      <w:r w:rsidRPr="006A048F">
        <w:rPr>
          <w:i/>
          <w:iCs/>
        </w:rPr>
        <w:t>Vat</w:t>
      </w:r>
      <w:r w:rsidRPr="006A048F">
        <w:t xml:space="preserve"> means a containment intended for the carriage of molten aluminium of UN No. 3257, including its shell, refractory lining and service and structural equipment.</w:t>
      </w:r>
    </w:p>
    <w:p w14:paraId="7CAA275C" w14:textId="511D44B6" w:rsidR="002A67EE" w:rsidRPr="006A048F" w:rsidRDefault="002A67EE" w:rsidP="002A67EE">
      <w:pPr>
        <w:pStyle w:val="SingleTxtG"/>
        <w:ind w:left="3402" w:hanging="567"/>
      </w:pPr>
      <w:r w:rsidRPr="006A048F">
        <w:t>1.2</w:t>
      </w:r>
      <w:r w:rsidRPr="006A048F">
        <w:tab/>
        <w:t xml:space="preserve">Vats shall be insulated so as not to exceed a surface temperature of 130°C during carriage and shall be so positioned that the </w:t>
      </w:r>
      <w:r w:rsidRPr="006A048F">
        <w:lastRenderedPageBreak/>
        <w:t>means of containment cannot be touched by other road users under normal conditions of carriage. The surface temperature shall in no case have a detrimental effect on the functioning of the vehicle, particularly the brake pipes and electric cables.</w:t>
      </w:r>
    </w:p>
    <w:p w14:paraId="26B5027D" w14:textId="6AE1E3C4" w:rsidR="002A67EE" w:rsidRPr="006A048F" w:rsidRDefault="002A67EE" w:rsidP="002A67EE">
      <w:pPr>
        <w:pStyle w:val="SingleTxtG"/>
        <w:ind w:left="3402" w:hanging="567"/>
      </w:pPr>
      <w:r w:rsidRPr="006A048F">
        <w:t>1.3</w:t>
      </w:r>
      <w:r w:rsidRPr="006A048F">
        <w:tab/>
        <w:t>The vats shall be secured on the vehicle in accordance with the load security principles of 7.5.7.1.</w:t>
      </w:r>
    </w:p>
    <w:p w14:paraId="092D37E0" w14:textId="76EBB463" w:rsidR="002A67EE" w:rsidRPr="006A048F" w:rsidRDefault="002A67EE" w:rsidP="002A67EE">
      <w:pPr>
        <w:pStyle w:val="SingleTxtG"/>
        <w:ind w:left="3402" w:hanging="567"/>
      </w:pPr>
      <w:r w:rsidRPr="006A048F">
        <w:t>1.4</w:t>
      </w:r>
      <w:r w:rsidRPr="006A048F">
        <w:tab/>
        <w:t>Vats need not be affixed with placards and markings in accordance with chapter 5.3 if these placards and markings have been affixed to the vehicle.</w:t>
      </w:r>
    </w:p>
    <w:p w14:paraId="26C54446" w14:textId="77777777" w:rsidR="002A67EE" w:rsidRPr="006A048F" w:rsidRDefault="002A67EE" w:rsidP="002A67EE">
      <w:pPr>
        <w:pStyle w:val="SingleTxtG"/>
        <w:ind w:left="2835" w:hanging="567"/>
      </w:pPr>
      <w:r w:rsidRPr="006A048F">
        <w:t>2.</w:t>
      </w:r>
      <w:r w:rsidRPr="006A048F">
        <w:tab/>
        <w:t>Fire and explosion protection</w:t>
      </w:r>
    </w:p>
    <w:p w14:paraId="78D8F83C" w14:textId="77777777" w:rsidR="002A67EE" w:rsidRPr="006A048F" w:rsidRDefault="002A67EE" w:rsidP="002A67EE">
      <w:pPr>
        <w:pStyle w:val="SingleTxtG"/>
        <w:ind w:left="2835" w:hanging="567"/>
      </w:pPr>
      <w:r w:rsidRPr="006A048F">
        <w:tab/>
        <w:t>The risk of fire by the thermal influence of the molten aluminium on the vat, the vehicle or load security aids, and the risk of explosion resulting from escaping vapours or chemical reaction of gases that have evolved, shall be prevented (</w:t>
      </w:r>
      <w:proofErr w:type="gramStart"/>
      <w:r w:rsidRPr="006A048F">
        <w:t>e.g.</w:t>
      </w:r>
      <w:proofErr w:type="gramEnd"/>
      <w:r w:rsidRPr="006A048F">
        <w:t xml:space="preserve"> by using inert gases).</w:t>
      </w:r>
    </w:p>
    <w:p w14:paraId="36B80897" w14:textId="77777777" w:rsidR="002A67EE" w:rsidRPr="006A048F" w:rsidRDefault="002A67EE" w:rsidP="002A67EE">
      <w:pPr>
        <w:pStyle w:val="SingleTxtG"/>
        <w:ind w:left="2835" w:hanging="567"/>
      </w:pPr>
      <w:r w:rsidRPr="006A048F">
        <w:t>3.</w:t>
      </w:r>
      <w:r w:rsidRPr="006A048F">
        <w:tab/>
        <w:t>Construction of vats</w:t>
      </w:r>
    </w:p>
    <w:p w14:paraId="4D2E46D2" w14:textId="77777777" w:rsidR="002A67EE" w:rsidRPr="006A048F" w:rsidRDefault="002A67EE" w:rsidP="002A67EE">
      <w:pPr>
        <w:pStyle w:val="SingleTxtG"/>
        <w:ind w:left="2835" w:hanging="567"/>
      </w:pPr>
      <w:r w:rsidRPr="006A048F">
        <w:tab/>
        <w:t xml:space="preserve">Vats shall be made of steel. Vats shall be designed and manufactured for a test pressure of 4 bar in accordance with EN 13445-3:2014. </w:t>
      </w:r>
      <w:proofErr w:type="gramStart"/>
      <w:r w:rsidRPr="006A048F">
        <w:t>In the course of</w:t>
      </w:r>
      <w:proofErr w:type="gramEnd"/>
      <w:r w:rsidRPr="006A048F">
        <w:t xml:space="preserve"> construction, the manufacturer shall specify the weld seams that are subject to the highest stresses. The hydrostatic pressure and surge effect of the molten aluminium shall be </w:t>
      </w:r>
      <w:proofErr w:type="gramStart"/>
      <w:r w:rsidRPr="006A048F">
        <w:t>taken into account</w:t>
      </w:r>
      <w:proofErr w:type="gramEnd"/>
      <w:r w:rsidRPr="006A048F">
        <w:t xml:space="preserve"> when deciding the dimensions of the vats and their attachment to the vehicle. The forces in 6.8.2.1.2 shall be </w:t>
      </w:r>
      <w:proofErr w:type="gramStart"/>
      <w:r w:rsidRPr="006A048F">
        <w:t>taken into account</w:t>
      </w:r>
      <w:proofErr w:type="gramEnd"/>
      <w:r w:rsidRPr="006A048F">
        <w:t>.</w:t>
      </w:r>
    </w:p>
    <w:p w14:paraId="035FC873" w14:textId="77777777" w:rsidR="002A67EE" w:rsidRPr="006A048F" w:rsidRDefault="002A67EE" w:rsidP="002A67EE">
      <w:pPr>
        <w:pStyle w:val="SingleTxtG"/>
        <w:ind w:left="2835" w:hanging="567"/>
      </w:pPr>
      <w:r w:rsidRPr="006A048F">
        <w:tab/>
        <w:t>The vat closures shall be designed in accordance with EN 13445-3:2014 and shall remain leakproof if a vat with contents (lateral position and top of the vat) overturns.</w:t>
      </w:r>
    </w:p>
    <w:p w14:paraId="0C99954F" w14:textId="4B74203E" w:rsidR="002A67EE" w:rsidRPr="006A048F" w:rsidRDefault="002A67EE" w:rsidP="002A67EE">
      <w:pPr>
        <w:pStyle w:val="SingleTxtG"/>
        <w:ind w:left="2835" w:hanging="567"/>
      </w:pPr>
      <w:r w:rsidRPr="006A048F">
        <w:tab/>
        <w:t xml:space="preserve">The filling and discharge openings shall be protected by the construction of the vat, </w:t>
      </w:r>
      <w:proofErr w:type="gramStart"/>
      <w:r w:rsidRPr="006A048F">
        <w:t>e.g.</w:t>
      </w:r>
      <w:proofErr w:type="gramEnd"/>
      <w:r w:rsidRPr="006A048F">
        <w:t xml:space="preserve"> by collars, deflectors, cages or equivalent constructions.  </w:t>
      </w:r>
    </w:p>
    <w:p w14:paraId="7B01ADA5" w14:textId="4105C21D" w:rsidR="002A67EE" w:rsidRPr="006A048F" w:rsidRDefault="002A67EE" w:rsidP="002A67EE">
      <w:pPr>
        <w:pStyle w:val="SingleTxtG"/>
        <w:ind w:left="2835" w:hanging="567"/>
      </w:pPr>
      <w:r w:rsidRPr="006A048F">
        <w:tab/>
        <w:t xml:space="preserve">The protective device on the top of the vat shall be designed </w:t>
      </w:r>
      <w:proofErr w:type="gramStart"/>
      <w:r w:rsidRPr="006A048F">
        <w:t>so as to</w:t>
      </w:r>
      <w:proofErr w:type="gramEnd"/>
      <w:r w:rsidRPr="006A048F">
        <w:t xml:space="preserve"> withstand, without permanent deformation, a static load, applied vertically on the filling cover, equal to twice the maximum permissible mass of the vat (2g). </w:t>
      </w:r>
    </w:p>
    <w:p w14:paraId="0A6F8AC1" w14:textId="14F4B957" w:rsidR="002A67EE" w:rsidRPr="006A048F" w:rsidRDefault="002A67EE" w:rsidP="002A67EE">
      <w:pPr>
        <w:pStyle w:val="SingleTxtG"/>
        <w:ind w:left="2835" w:hanging="567"/>
      </w:pPr>
      <w:r w:rsidRPr="006A048F">
        <w:tab/>
        <w:t>The refractory lining shall be suitable to resist against the contents and it shall be suitable as insulation material.</w:t>
      </w:r>
    </w:p>
    <w:p w14:paraId="742AD2AB" w14:textId="77777777" w:rsidR="002A67EE" w:rsidRPr="006A048F" w:rsidRDefault="002A67EE" w:rsidP="002A67EE">
      <w:pPr>
        <w:pStyle w:val="SingleTxtG"/>
        <w:ind w:left="2835" w:hanging="567"/>
      </w:pPr>
      <w:r w:rsidRPr="006A048F">
        <w:tab/>
        <w:t xml:space="preserve">The refractory lining shall be so designed that its </w:t>
      </w:r>
      <w:proofErr w:type="spellStart"/>
      <w:r w:rsidRPr="006A048F">
        <w:t>leakproofness</w:t>
      </w:r>
      <w:proofErr w:type="spellEnd"/>
      <w:r w:rsidRPr="006A048F">
        <w:t xml:space="preserve"> remains intact, whatever the deformation liable to occur in normal conditions of carriage (see 6.8.2.1.2)</w:t>
      </w:r>
    </w:p>
    <w:p w14:paraId="29E0F20B" w14:textId="77777777" w:rsidR="002A67EE" w:rsidRPr="006A048F" w:rsidRDefault="002A67EE" w:rsidP="002A67EE">
      <w:pPr>
        <w:pStyle w:val="SingleTxtG"/>
        <w:ind w:left="2835" w:hanging="567"/>
      </w:pPr>
      <w:r w:rsidRPr="006A048F">
        <w:tab/>
        <w:t xml:space="preserve">The inspection body performing inspections in accordance with 6.8.2.4.1 or 6.8.2.4.4, shall verify and confirm the ability of the manufacturer or the maintenance or repair shop to perform welding operations and the operation of a weld quality assurance system. Welding work on the sheet metal jacket, </w:t>
      </w:r>
      <w:proofErr w:type="gramStart"/>
      <w:r w:rsidRPr="006A048F">
        <w:t>in particular on</w:t>
      </w:r>
      <w:proofErr w:type="gramEnd"/>
      <w:r w:rsidRPr="006A048F">
        <w:t xml:space="preserve"> load-bearing parts, may only be carried out by approved welding companies.</w:t>
      </w:r>
    </w:p>
    <w:p w14:paraId="35B256A8" w14:textId="0B76FA2D" w:rsidR="002A67EE" w:rsidRPr="006A048F" w:rsidRDefault="002A67EE" w:rsidP="002A67EE">
      <w:pPr>
        <w:pStyle w:val="SingleTxtG"/>
        <w:ind w:left="2835" w:hanging="567"/>
      </w:pPr>
      <w:r w:rsidRPr="006A048F">
        <w:tab/>
        <w:t xml:space="preserve">Seals on vats covers and closures shall be selected and applied so that they prevent molten aluminium from flowing out if a full vat overturns. </w:t>
      </w:r>
    </w:p>
    <w:p w14:paraId="15B32986" w14:textId="77777777" w:rsidR="002A67EE" w:rsidRPr="006A048F" w:rsidRDefault="002A67EE" w:rsidP="002A67EE">
      <w:pPr>
        <w:pStyle w:val="SingleTxtG"/>
        <w:ind w:left="2835" w:hanging="567"/>
      </w:pPr>
      <w:r w:rsidRPr="006A048F">
        <w:t>4.</w:t>
      </w:r>
      <w:r w:rsidRPr="006A048F">
        <w:tab/>
        <w:t>Inspection and tests of vats</w:t>
      </w:r>
    </w:p>
    <w:p w14:paraId="154CBFE4" w14:textId="77777777" w:rsidR="002A67EE" w:rsidRPr="006A048F" w:rsidRDefault="002A67EE" w:rsidP="002A67EE">
      <w:pPr>
        <w:pStyle w:val="SingleTxtG"/>
        <w:ind w:left="2835" w:hanging="567"/>
      </w:pPr>
      <w:r w:rsidRPr="006A048F">
        <w:tab/>
        <w:t>The inspections and tests described in 4.1 to 4.5 shall be carried out by an inspection body approved by the competent authority. The inspections and test shall be carried out in accordance with the applicable requirements of EN 12972:2018. Test reports on the results of the tests performed shall be issued.</w:t>
      </w:r>
    </w:p>
    <w:p w14:paraId="3C6A48DF" w14:textId="77777777" w:rsidR="002A67EE" w:rsidRPr="006A048F" w:rsidRDefault="002A67EE" w:rsidP="002A67EE">
      <w:pPr>
        <w:pStyle w:val="SingleTxtG"/>
        <w:ind w:left="3402" w:hanging="567"/>
      </w:pPr>
      <w:r w:rsidRPr="006A048F">
        <w:lastRenderedPageBreak/>
        <w:t>4.1</w:t>
      </w:r>
      <w:r w:rsidRPr="006A048F">
        <w:tab/>
        <w:t>Type examination of vats</w:t>
      </w:r>
    </w:p>
    <w:p w14:paraId="547A71F2" w14:textId="3351CC8E" w:rsidR="002A67EE" w:rsidRPr="006A048F" w:rsidRDefault="002A67EE" w:rsidP="002A67EE">
      <w:pPr>
        <w:pStyle w:val="SingleTxtG"/>
        <w:ind w:left="3402" w:hanging="567"/>
      </w:pPr>
      <w:r w:rsidRPr="006A048F">
        <w:tab/>
        <w:t xml:space="preserve">The construction design and workmanship shall be tested as part of a </w:t>
      </w:r>
      <w:proofErr w:type="gramStart"/>
      <w:r w:rsidRPr="006A048F">
        <w:t>type</w:t>
      </w:r>
      <w:proofErr w:type="gramEnd"/>
      <w:r w:rsidRPr="006A048F">
        <w:t xml:space="preserve"> examination procedure to ensure that the vats comply with the construction requirements of EN 13445-3:2014. The weld seams subject to the highest stresses shall be identified in the </w:t>
      </w:r>
      <w:proofErr w:type="gramStart"/>
      <w:r w:rsidRPr="006A048F">
        <w:t>type</w:t>
      </w:r>
      <w:proofErr w:type="gramEnd"/>
      <w:r w:rsidRPr="006A048F">
        <w:t xml:space="preserve"> examination report.</w:t>
      </w:r>
    </w:p>
    <w:p w14:paraId="78723012" w14:textId="77777777" w:rsidR="002A67EE" w:rsidRPr="006A048F" w:rsidRDefault="002A67EE" w:rsidP="002A67EE">
      <w:pPr>
        <w:pStyle w:val="SingleTxtG"/>
        <w:ind w:left="3402" w:hanging="567"/>
      </w:pPr>
      <w:r w:rsidRPr="006A048F">
        <w:t>4.2</w:t>
      </w:r>
      <w:r w:rsidRPr="006A048F">
        <w:tab/>
        <w:t>Initial inspection</w:t>
      </w:r>
    </w:p>
    <w:p w14:paraId="4FAB169A" w14:textId="77777777" w:rsidR="002A67EE" w:rsidRPr="006A048F" w:rsidRDefault="002A67EE" w:rsidP="002A67EE">
      <w:pPr>
        <w:pStyle w:val="SingleTxtG"/>
        <w:ind w:left="3402" w:hanging="567"/>
      </w:pPr>
      <w:r w:rsidRPr="006A048F">
        <w:tab/>
        <w:t>Vats shall be tested and inspected before they are placed in service.</w:t>
      </w:r>
    </w:p>
    <w:p w14:paraId="718EF9B8" w14:textId="77777777" w:rsidR="002A67EE" w:rsidRPr="006A048F" w:rsidRDefault="002A67EE" w:rsidP="002A67EE">
      <w:pPr>
        <w:pStyle w:val="SingleTxtG"/>
        <w:ind w:left="3402" w:hanging="567"/>
      </w:pPr>
      <w:r w:rsidRPr="006A048F">
        <w:tab/>
        <w:t>The test shall at least include:</w:t>
      </w:r>
    </w:p>
    <w:p w14:paraId="150EF7A4" w14:textId="77777777" w:rsidR="002A67EE" w:rsidRPr="006A048F" w:rsidRDefault="002A67EE" w:rsidP="002A67EE">
      <w:pPr>
        <w:pStyle w:val="SingleTxtG"/>
        <w:ind w:left="3969" w:hanging="567"/>
      </w:pPr>
      <w:r w:rsidRPr="006A048F">
        <w:t>(a)</w:t>
      </w:r>
      <w:r w:rsidRPr="006A048F">
        <w:tab/>
        <w:t xml:space="preserve">A check to ensure that the vat is in line with the </w:t>
      </w:r>
      <w:proofErr w:type="gramStart"/>
      <w:r w:rsidRPr="006A048F">
        <w:t>type</w:t>
      </w:r>
      <w:proofErr w:type="gramEnd"/>
      <w:r w:rsidRPr="006A048F">
        <w:t xml:space="preserve"> examination documents,</w:t>
      </w:r>
    </w:p>
    <w:p w14:paraId="7A3F025A" w14:textId="642133FB" w:rsidR="002A67EE" w:rsidRPr="006A048F" w:rsidRDefault="002A67EE" w:rsidP="002A67EE">
      <w:pPr>
        <w:pStyle w:val="SingleTxtG"/>
        <w:ind w:left="3969" w:hanging="567"/>
      </w:pPr>
      <w:r w:rsidRPr="006A048F">
        <w:t>(b)</w:t>
      </w:r>
      <w:r w:rsidRPr="006A048F">
        <w:tab/>
        <w:t>A check of conformity to the type,</w:t>
      </w:r>
    </w:p>
    <w:p w14:paraId="5E4A243D" w14:textId="77777777" w:rsidR="002A67EE" w:rsidRPr="006A048F" w:rsidRDefault="002A67EE" w:rsidP="002A67EE">
      <w:pPr>
        <w:pStyle w:val="SingleTxtG"/>
        <w:ind w:left="3969" w:hanging="567"/>
      </w:pPr>
      <w:r w:rsidRPr="006A048F">
        <w:t>(c)</w:t>
      </w:r>
      <w:r w:rsidRPr="006A048F">
        <w:tab/>
        <w:t>An examination of the external condition,</w:t>
      </w:r>
    </w:p>
    <w:p w14:paraId="5D5D2794" w14:textId="68D42090" w:rsidR="002A67EE" w:rsidRPr="006A048F" w:rsidRDefault="002A67EE" w:rsidP="002A67EE">
      <w:pPr>
        <w:pStyle w:val="SingleTxtG"/>
        <w:ind w:left="3969" w:hanging="567"/>
      </w:pPr>
      <w:r w:rsidRPr="006A048F">
        <w:t>(d)</w:t>
      </w:r>
      <w:r w:rsidRPr="006A048F">
        <w:tab/>
        <w:t>A hydraulic pressure test at a test pressure of 4 bar; at this stage, the vats shall not have a refractory lining,</w:t>
      </w:r>
    </w:p>
    <w:p w14:paraId="59C4366D" w14:textId="77777777" w:rsidR="002A67EE" w:rsidRPr="006A048F" w:rsidRDefault="002A67EE" w:rsidP="002A67EE">
      <w:pPr>
        <w:pStyle w:val="SingleTxtG"/>
        <w:ind w:left="3969" w:hanging="567"/>
      </w:pPr>
      <w:r w:rsidRPr="006A048F">
        <w:t>(e)</w:t>
      </w:r>
      <w:r w:rsidRPr="006A048F">
        <w:tab/>
        <w:t>An examination of the internal condition (visual inspection of the internal metal surface of the vat before the refractory lining is fitted and visual inspection of the refractory lining),</w:t>
      </w:r>
    </w:p>
    <w:p w14:paraId="5768CF62" w14:textId="77777777" w:rsidR="002A67EE" w:rsidRPr="006A048F" w:rsidRDefault="002A67EE" w:rsidP="002A67EE">
      <w:pPr>
        <w:pStyle w:val="SingleTxtG"/>
        <w:ind w:left="3969" w:hanging="567"/>
      </w:pPr>
      <w:r w:rsidRPr="006A048F">
        <w:t>(f)</w:t>
      </w:r>
      <w:r w:rsidRPr="006A048F">
        <w:tab/>
        <w:t>A check of satisfactory operation of the equipment.</w:t>
      </w:r>
    </w:p>
    <w:p w14:paraId="6AE8CFFF" w14:textId="77777777" w:rsidR="002A67EE" w:rsidRPr="006A048F" w:rsidRDefault="002A67EE" w:rsidP="002A67EE">
      <w:pPr>
        <w:pStyle w:val="SingleTxtG"/>
        <w:ind w:left="3402" w:hanging="567"/>
      </w:pPr>
      <w:r w:rsidRPr="006A048F">
        <w:tab/>
        <w:t>The hydraulic pressure test can also be carried out with an alternative seal.</w:t>
      </w:r>
    </w:p>
    <w:p w14:paraId="00804AF9" w14:textId="77777777" w:rsidR="002A67EE" w:rsidRPr="006A048F" w:rsidRDefault="002A67EE" w:rsidP="002A67EE">
      <w:pPr>
        <w:pStyle w:val="SingleTxtG"/>
        <w:ind w:left="3402" w:hanging="567"/>
      </w:pPr>
      <w:r w:rsidRPr="006A048F">
        <w:t>4.3</w:t>
      </w:r>
      <w:r w:rsidRPr="006A048F">
        <w:tab/>
        <w:t xml:space="preserve">Intermediate inspection </w:t>
      </w:r>
    </w:p>
    <w:p w14:paraId="54C8E422" w14:textId="77777777" w:rsidR="002A67EE" w:rsidRPr="006A048F" w:rsidRDefault="002A67EE" w:rsidP="002A67EE">
      <w:pPr>
        <w:pStyle w:val="SingleTxtG"/>
        <w:ind w:left="3402" w:hanging="567"/>
      </w:pPr>
      <w:r w:rsidRPr="006A048F">
        <w:tab/>
        <w:t>Vats shall undergo an intermediate inspection no later than six years after the initial inspection and each periodic inspection.</w:t>
      </w:r>
    </w:p>
    <w:p w14:paraId="39E4D69A" w14:textId="77777777" w:rsidR="002A67EE" w:rsidRPr="006A048F" w:rsidRDefault="002A67EE" w:rsidP="002A67EE">
      <w:pPr>
        <w:pStyle w:val="SingleTxtG"/>
        <w:ind w:left="3402" w:hanging="567"/>
      </w:pPr>
      <w:r w:rsidRPr="006A048F">
        <w:tab/>
        <w:t>The intermediate inspection shall at least include:</w:t>
      </w:r>
    </w:p>
    <w:p w14:paraId="1B09A69E" w14:textId="77777777" w:rsidR="002A67EE" w:rsidRPr="006A048F" w:rsidRDefault="002A67EE" w:rsidP="002A67EE">
      <w:pPr>
        <w:pStyle w:val="SingleTxtG"/>
        <w:ind w:left="3969" w:hanging="567"/>
      </w:pPr>
      <w:r w:rsidRPr="006A048F">
        <w:t>(a)</w:t>
      </w:r>
      <w:r w:rsidRPr="006A048F">
        <w:tab/>
        <w:t>An examination of the documents,</w:t>
      </w:r>
    </w:p>
    <w:p w14:paraId="5C49B89D" w14:textId="77777777" w:rsidR="002A67EE" w:rsidRPr="006A048F" w:rsidRDefault="002A67EE" w:rsidP="002A67EE">
      <w:pPr>
        <w:pStyle w:val="SingleTxtG"/>
        <w:ind w:left="3969" w:hanging="567"/>
      </w:pPr>
      <w:r w:rsidRPr="006A048F">
        <w:t>(b)</w:t>
      </w:r>
      <w:r w:rsidRPr="006A048F">
        <w:tab/>
        <w:t>An examination of the external condition, including the integrity of the flange and cover connections,</w:t>
      </w:r>
    </w:p>
    <w:p w14:paraId="133C483D" w14:textId="77777777" w:rsidR="002A67EE" w:rsidRPr="006A048F" w:rsidRDefault="002A67EE" w:rsidP="002A67EE">
      <w:pPr>
        <w:pStyle w:val="SingleTxtG"/>
        <w:ind w:left="3969" w:hanging="567"/>
      </w:pPr>
      <w:r w:rsidRPr="006A048F">
        <w:t>(c)</w:t>
      </w:r>
      <w:r w:rsidRPr="006A048F">
        <w:tab/>
        <w:t>Measurement of the wall thickness to check the required minimum wall thickness,</w:t>
      </w:r>
    </w:p>
    <w:p w14:paraId="0AAC008A" w14:textId="18244F32" w:rsidR="002A67EE" w:rsidRPr="006A048F" w:rsidRDefault="002A67EE" w:rsidP="002A67EE">
      <w:pPr>
        <w:pStyle w:val="SingleTxtG"/>
        <w:ind w:left="3969" w:hanging="567"/>
      </w:pPr>
      <w:r w:rsidRPr="006A048F">
        <w:t>(d)</w:t>
      </w:r>
      <w:r w:rsidRPr="006A048F">
        <w:tab/>
        <w:t xml:space="preserve">Non-destructive testing of weld seams that are subject to the highest stresses by magnetic particle testing, penetration testing, ultrasonic </w:t>
      </w:r>
      <w:proofErr w:type="gramStart"/>
      <w:r w:rsidRPr="006A048F">
        <w:t>testing</w:t>
      </w:r>
      <w:proofErr w:type="gramEnd"/>
      <w:r w:rsidRPr="006A048F">
        <w:t xml:space="preserve"> or radiographic testing.</w:t>
      </w:r>
    </w:p>
    <w:p w14:paraId="039D6057" w14:textId="77777777" w:rsidR="002A67EE" w:rsidRPr="006A048F" w:rsidRDefault="002A67EE" w:rsidP="002A67EE">
      <w:pPr>
        <w:pStyle w:val="SingleTxtG"/>
        <w:ind w:left="3969" w:hanging="567"/>
      </w:pPr>
      <w:r w:rsidRPr="006A048F">
        <w:t>(e)</w:t>
      </w:r>
      <w:r w:rsidRPr="006A048F">
        <w:tab/>
        <w:t>An examination of the internal condition (visual inspection of the refractory lining) by an expert under the responsibility of the operator.</w:t>
      </w:r>
    </w:p>
    <w:p w14:paraId="4785918B" w14:textId="77777777" w:rsidR="002A67EE" w:rsidRPr="006A048F" w:rsidRDefault="002A67EE" w:rsidP="002A67EE">
      <w:pPr>
        <w:pStyle w:val="SingleTxtG"/>
        <w:ind w:left="3969" w:hanging="567"/>
      </w:pPr>
      <w:r w:rsidRPr="006A048F">
        <w:t>(f)</w:t>
      </w:r>
      <w:r w:rsidRPr="006A048F">
        <w:tab/>
        <w:t>A check of satisfactory operation of the equipment.</w:t>
      </w:r>
    </w:p>
    <w:p w14:paraId="6A2D5437" w14:textId="77777777" w:rsidR="002A67EE" w:rsidRPr="006A048F" w:rsidRDefault="002A67EE" w:rsidP="002A67EE">
      <w:pPr>
        <w:pStyle w:val="SingleTxtG"/>
        <w:ind w:left="3402" w:hanging="567"/>
      </w:pPr>
      <w:r w:rsidRPr="006A048F">
        <w:tab/>
        <w:t>These intermediate inspections may be performed within three months before the specified date, without any influence on the time frame of other inspections according to 4.3 and 4.4.</w:t>
      </w:r>
    </w:p>
    <w:p w14:paraId="6804B033" w14:textId="77777777" w:rsidR="002A67EE" w:rsidRPr="006A048F" w:rsidRDefault="002A67EE" w:rsidP="002A67EE">
      <w:pPr>
        <w:pStyle w:val="SingleTxtG"/>
        <w:ind w:left="3402" w:hanging="567"/>
      </w:pPr>
      <w:r w:rsidRPr="006A048F">
        <w:t>4.4</w:t>
      </w:r>
      <w:r w:rsidRPr="006A048F">
        <w:tab/>
        <w:t xml:space="preserve">Periodic inspection </w:t>
      </w:r>
    </w:p>
    <w:p w14:paraId="16E875C9" w14:textId="43FEF0B4" w:rsidR="002A67EE" w:rsidRPr="006A048F" w:rsidRDefault="002A67EE" w:rsidP="002A67EE">
      <w:pPr>
        <w:pStyle w:val="SingleTxtG"/>
        <w:ind w:left="3402" w:hanging="567"/>
      </w:pPr>
      <w:r w:rsidRPr="006A048F">
        <w:tab/>
        <w:t>Each time the refractory lining is renewed, or no later than twelve years after the initial or most recent periodic inspection, a periodic inspection shall be carried out.</w:t>
      </w:r>
    </w:p>
    <w:p w14:paraId="6EFB7104" w14:textId="77777777" w:rsidR="002A67EE" w:rsidRPr="006A048F" w:rsidRDefault="002A67EE" w:rsidP="002A67EE">
      <w:pPr>
        <w:pStyle w:val="SingleTxtG"/>
        <w:ind w:left="3402" w:hanging="567"/>
      </w:pPr>
      <w:r w:rsidRPr="006A048F">
        <w:lastRenderedPageBreak/>
        <w:tab/>
        <w:t>The periodic inspection shall at least include:</w:t>
      </w:r>
    </w:p>
    <w:p w14:paraId="3F2B8DDB" w14:textId="77777777" w:rsidR="002A67EE" w:rsidRPr="006A048F" w:rsidRDefault="002A67EE" w:rsidP="002A67EE">
      <w:pPr>
        <w:pStyle w:val="SingleTxtG"/>
        <w:ind w:left="3969" w:hanging="567"/>
      </w:pPr>
      <w:r w:rsidRPr="006A048F">
        <w:t>(a)</w:t>
      </w:r>
      <w:r w:rsidRPr="006A048F">
        <w:tab/>
        <w:t>An examination of the documents,</w:t>
      </w:r>
    </w:p>
    <w:p w14:paraId="04EDD784" w14:textId="77777777" w:rsidR="002A67EE" w:rsidRPr="006A048F" w:rsidRDefault="002A67EE" w:rsidP="002A67EE">
      <w:pPr>
        <w:pStyle w:val="SingleTxtG"/>
        <w:ind w:left="3969" w:hanging="567"/>
      </w:pPr>
      <w:r w:rsidRPr="006A048F">
        <w:t>(b)</w:t>
      </w:r>
      <w:r w:rsidRPr="006A048F">
        <w:tab/>
        <w:t>An examination of the external condition, including the integrity of the flange and cover connections,</w:t>
      </w:r>
    </w:p>
    <w:p w14:paraId="337184F9" w14:textId="77777777" w:rsidR="002A67EE" w:rsidRPr="006A048F" w:rsidRDefault="002A67EE" w:rsidP="002A67EE">
      <w:pPr>
        <w:pStyle w:val="SingleTxtG"/>
        <w:ind w:left="3969" w:hanging="567"/>
      </w:pPr>
      <w:r w:rsidRPr="006A048F">
        <w:t>(c)</w:t>
      </w:r>
      <w:r w:rsidRPr="006A048F">
        <w:tab/>
        <w:t>An examination of the internal condition (visual inspection of the internal metal surface of the vat before the refractory lining is fitted and visual inspection of the refractory lining),</w:t>
      </w:r>
    </w:p>
    <w:p w14:paraId="250709C5" w14:textId="77777777" w:rsidR="002A67EE" w:rsidRPr="006A048F" w:rsidRDefault="002A67EE" w:rsidP="002A67EE">
      <w:pPr>
        <w:pStyle w:val="SingleTxtG"/>
        <w:ind w:left="3969" w:hanging="567"/>
      </w:pPr>
      <w:r w:rsidRPr="006A048F">
        <w:t>(d)</w:t>
      </w:r>
      <w:r w:rsidRPr="006A048F">
        <w:tab/>
        <w:t xml:space="preserve">Non-destructive testing of all weld seams that are subject to the highest stresses shall be carried out by magnetic particle testing, penetration testing, ultrasonic </w:t>
      </w:r>
      <w:proofErr w:type="gramStart"/>
      <w:r w:rsidRPr="006A048F">
        <w:t>testing</w:t>
      </w:r>
      <w:proofErr w:type="gramEnd"/>
      <w:r w:rsidRPr="006A048F">
        <w:t xml:space="preserve"> or radiographic testing.</w:t>
      </w:r>
    </w:p>
    <w:p w14:paraId="1A0E7EB8" w14:textId="77777777" w:rsidR="002A67EE" w:rsidRPr="006A048F" w:rsidRDefault="002A67EE" w:rsidP="002A67EE">
      <w:pPr>
        <w:pStyle w:val="SingleTxtG"/>
        <w:ind w:left="3969" w:hanging="567"/>
      </w:pPr>
      <w:r w:rsidRPr="006A048F">
        <w:t xml:space="preserve"> (e)</w:t>
      </w:r>
      <w:r w:rsidRPr="006A048F">
        <w:tab/>
        <w:t>Measurement of the wall thickness to check the required minimum wall thickness,</w:t>
      </w:r>
    </w:p>
    <w:p w14:paraId="39201C81" w14:textId="77777777" w:rsidR="002A67EE" w:rsidRPr="006A048F" w:rsidRDefault="002A67EE" w:rsidP="002A67EE">
      <w:pPr>
        <w:pStyle w:val="SingleTxtG"/>
        <w:ind w:left="3969" w:hanging="567"/>
      </w:pPr>
      <w:r w:rsidRPr="006A048F">
        <w:t>(f)</w:t>
      </w:r>
      <w:r w:rsidRPr="006A048F">
        <w:tab/>
        <w:t>Hydraulic pressure test at a test pressure of 4 bar, at this stage, the vats shall not have a refractory lining,</w:t>
      </w:r>
    </w:p>
    <w:p w14:paraId="1FF25B87" w14:textId="77777777" w:rsidR="002A67EE" w:rsidRPr="006A048F" w:rsidRDefault="002A67EE" w:rsidP="002A67EE">
      <w:pPr>
        <w:pStyle w:val="SingleTxtG"/>
        <w:ind w:left="3969" w:hanging="567"/>
      </w:pPr>
      <w:r w:rsidRPr="006A048F">
        <w:t>(g)</w:t>
      </w:r>
      <w:r w:rsidRPr="006A048F">
        <w:tab/>
        <w:t>A check of satisfactory operation of the equipment.</w:t>
      </w:r>
    </w:p>
    <w:p w14:paraId="2FAE1BA4" w14:textId="77777777" w:rsidR="002A67EE" w:rsidRPr="006A048F" w:rsidRDefault="002A67EE" w:rsidP="002A67EE">
      <w:pPr>
        <w:pStyle w:val="SingleTxtG"/>
        <w:ind w:left="3402" w:hanging="567"/>
      </w:pPr>
      <w:r w:rsidRPr="006A048F">
        <w:tab/>
        <w:t>The hydraulic pressure test can also be carried out with an alternative seal.</w:t>
      </w:r>
    </w:p>
    <w:p w14:paraId="45673500" w14:textId="77777777" w:rsidR="002A67EE" w:rsidRPr="006A048F" w:rsidRDefault="002A67EE" w:rsidP="002A67EE">
      <w:pPr>
        <w:pStyle w:val="SingleTxtG"/>
        <w:ind w:left="3402" w:hanging="567"/>
      </w:pPr>
      <w:r w:rsidRPr="006A048F">
        <w:t>4.5</w:t>
      </w:r>
      <w:r w:rsidRPr="006A048F">
        <w:tab/>
        <w:t>Exceptional inspection of vats</w:t>
      </w:r>
    </w:p>
    <w:p w14:paraId="23691359" w14:textId="77777777" w:rsidR="002A67EE" w:rsidRPr="006A048F" w:rsidRDefault="002A67EE" w:rsidP="002A67EE">
      <w:pPr>
        <w:pStyle w:val="SingleTxtG"/>
        <w:ind w:left="3402" w:hanging="567"/>
      </w:pPr>
      <w:r w:rsidRPr="006A048F">
        <w:tab/>
        <w:t xml:space="preserve">When the safety of the vat or of its equipment may have been impaired </w:t>
      </w:r>
      <w:proofErr w:type="gramStart"/>
      <w:r w:rsidRPr="006A048F">
        <w:t>as a result of</w:t>
      </w:r>
      <w:proofErr w:type="gramEnd"/>
      <w:r w:rsidRPr="006A048F">
        <w:t xml:space="preserve"> repairs, alterations or accident, an exceptional inspection shall be carried out on the parts affected by the repairs or alterations. If the exceptional inspection fulfilling the requirements of 4.4 has been performed, then the exceptional inspection may </w:t>
      </w:r>
      <w:proofErr w:type="gramStart"/>
      <w:r w:rsidRPr="006A048F">
        <w:t>be considered to be</w:t>
      </w:r>
      <w:proofErr w:type="gramEnd"/>
      <w:r w:rsidRPr="006A048F">
        <w:t xml:space="preserve"> a periodic inspection. If an exceptional inspection fulfilling the requirements of 4.3 has been performed, then the exceptional inspection may </w:t>
      </w:r>
      <w:proofErr w:type="gramStart"/>
      <w:r w:rsidRPr="006A048F">
        <w:t>be considered to be</w:t>
      </w:r>
      <w:proofErr w:type="gramEnd"/>
      <w:r w:rsidRPr="006A048F">
        <w:t xml:space="preserve"> an intermediate inspection. The inspection body shall decide the detailed scope of the exceptional inspection, respecting the EN 12972:2018, Table A1.</w:t>
      </w:r>
    </w:p>
    <w:p w14:paraId="111808B7" w14:textId="77777777" w:rsidR="002A67EE" w:rsidRPr="006A048F" w:rsidRDefault="002A67EE" w:rsidP="002A67EE">
      <w:pPr>
        <w:pStyle w:val="SingleTxtG"/>
        <w:ind w:left="2835" w:hanging="567"/>
      </w:pPr>
      <w:r w:rsidRPr="006A048F">
        <w:t>5.</w:t>
      </w:r>
      <w:r w:rsidRPr="006A048F">
        <w:tab/>
        <w:t>Marking of vats</w:t>
      </w:r>
    </w:p>
    <w:p w14:paraId="6212FD9D" w14:textId="2665046E" w:rsidR="002A67EE" w:rsidRPr="006A048F" w:rsidRDefault="002A67EE" w:rsidP="002A67EE">
      <w:pPr>
        <w:pStyle w:val="SingleTxtG"/>
        <w:ind w:left="2835" w:hanging="567"/>
      </w:pPr>
      <w:r w:rsidRPr="006A048F">
        <w:tab/>
        <w:t>Vats shall be marked with a plate by analogy with 6.8.2.5.1., except the approval number and external design pressure. For the tests and inspections in accordance with 4.2 and 4.4, the marking shall be followed by “P”. For the tests and inspections in accordance with 4.3, the marking shall be followed by “L”.</w:t>
      </w:r>
    </w:p>
    <w:p w14:paraId="0D986587" w14:textId="77777777" w:rsidR="002A67EE" w:rsidRPr="006A048F" w:rsidRDefault="002A67EE" w:rsidP="002A67EE">
      <w:pPr>
        <w:pStyle w:val="SingleTxtG"/>
        <w:ind w:left="2835" w:hanging="567"/>
      </w:pPr>
      <w:r w:rsidRPr="006A048F">
        <w:t>6.</w:t>
      </w:r>
      <w:r w:rsidRPr="006A048F">
        <w:tab/>
        <w:t>Requirements for the operation</w:t>
      </w:r>
    </w:p>
    <w:p w14:paraId="2A7B9854" w14:textId="0C67BE0A" w:rsidR="002A67EE" w:rsidRPr="006A048F" w:rsidRDefault="002A67EE" w:rsidP="002A67EE">
      <w:pPr>
        <w:pStyle w:val="SingleTxtG"/>
        <w:ind w:left="2835" w:hanging="567"/>
      </w:pPr>
      <w:r w:rsidRPr="006A048F">
        <w:tab/>
        <w:t xml:space="preserve">The owner or the operator shall keep a copy of the </w:t>
      </w:r>
      <w:proofErr w:type="gramStart"/>
      <w:r w:rsidRPr="006A048F">
        <w:t>type</w:t>
      </w:r>
      <w:proofErr w:type="gramEnd"/>
      <w:r w:rsidRPr="006A048F">
        <w:t xml:space="preserve"> examination report, the results of the initial tests and inspections and all subsequent tests and inspections in the vat file.</w:t>
      </w:r>
    </w:p>
    <w:p w14:paraId="628F8F67" w14:textId="77777777" w:rsidR="002A67EE" w:rsidRPr="006A048F" w:rsidRDefault="002A67EE" w:rsidP="002A67EE">
      <w:pPr>
        <w:pStyle w:val="SingleTxtG"/>
        <w:ind w:left="2835" w:hanging="567"/>
      </w:pPr>
      <w:r w:rsidRPr="006A048F">
        <w:tab/>
        <w:t>Every renewal and repair of the refractory lining shall be recorded by the operator or manufacturer.</w:t>
      </w:r>
    </w:p>
    <w:p w14:paraId="387D47CC" w14:textId="77777777" w:rsidR="002A67EE" w:rsidRPr="006A048F" w:rsidRDefault="002A67EE" w:rsidP="002A67EE">
      <w:pPr>
        <w:pStyle w:val="SingleTxtG"/>
        <w:ind w:left="2835" w:hanging="567"/>
      </w:pPr>
      <w:r w:rsidRPr="006A048F">
        <w:tab/>
        <w:t>Seals shall be checked with each filling and renewed if necessary.</w:t>
      </w:r>
    </w:p>
    <w:p w14:paraId="39382DBC" w14:textId="77777777" w:rsidR="002A67EE" w:rsidRPr="006A048F" w:rsidRDefault="002A67EE" w:rsidP="002A67EE">
      <w:pPr>
        <w:pStyle w:val="SingleTxtG"/>
        <w:ind w:left="2835" w:hanging="567"/>
      </w:pPr>
      <w:r w:rsidRPr="006A048F">
        <w:t>7.</w:t>
      </w:r>
      <w:r w:rsidRPr="006A048F">
        <w:tab/>
        <w:t xml:space="preserve">Vehicles </w:t>
      </w:r>
    </w:p>
    <w:p w14:paraId="3B3F49DB" w14:textId="77777777" w:rsidR="002A67EE" w:rsidRPr="006A048F" w:rsidRDefault="002A67EE" w:rsidP="002A67EE">
      <w:pPr>
        <w:pStyle w:val="SingleTxtG"/>
        <w:ind w:left="2835" w:hanging="567"/>
      </w:pPr>
      <w:r w:rsidRPr="006A048F">
        <w:tab/>
        <w:t>The following additional requirements apply to vehicles for carriage by road:</w:t>
      </w:r>
    </w:p>
    <w:p w14:paraId="0601381E" w14:textId="02F24374" w:rsidR="002A67EE" w:rsidRPr="006A048F" w:rsidRDefault="002A67EE" w:rsidP="002A67EE">
      <w:pPr>
        <w:pStyle w:val="SingleTxtG"/>
        <w:ind w:left="3402" w:hanging="567"/>
      </w:pPr>
      <w:r w:rsidRPr="006A048F">
        <w:t>(a)</w:t>
      </w:r>
      <w:r w:rsidRPr="006A048F">
        <w:tab/>
        <w:t>Vehicles used for carriage shall be fitted with a vehicle stability function approved in accordance with UN Regulation No. 13¹.</w:t>
      </w:r>
    </w:p>
    <w:p w14:paraId="77D29D67" w14:textId="77777777" w:rsidR="002A67EE" w:rsidRPr="006A048F" w:rsidRDefault="002A67EE" w:rsidP="002A67EE">
      <w:pPr>
        <w:pStyle w:val="SingleTxtG"/>
        <w:ind w:left="3402" w:hanging="567"/>
      </w:pPr>
      <w:r w:rsidRPr="006A048F">
        <w:lastRenderedPageBreak/>
        <w:t>(b)</w:t>
      </w:r>
      <w:r w:rsidRPr="006A048F">
        <w:tab/>
        <w:t>Vats shall be positioned on the vehicles in such a way that the discharge openings face or are opposite to the direction of travel.</w:t>
      </w:r>
    </w:p>
    <w:p w14:paraId="65ED75B2" w14:textId="77777777" w:rsidR="002A67EE" w:rsidRPr="006A048F" w:rsidRDefault="002A67EE" w:rsidP="002A67EE">
      <w:pPr>
        <w:pStyle w:val="SingleTxtG"/>
        <w:ind w:left="2835" w:hanging="567"/>
      </w:pPr>
      <w:r w:rsidRPr="006A048F">
        <w:t>8.</w:t>
      </w:r>
      <w:r w:rsidRPr="006A048F">
        <w:tab/>
        <w:t>Training of driver</w:t>
      </w:r>
    </w:p>
    <w:p w14:paraId="61C9227A" w14:textId="77777777" w:rsidR="002A67EE" w:rsidRPr="006A048F" w:rsidRDefault="002A67EE" w:rsidP="002A67EE">
      <w:pPr>
        <w:pStyle w:val="SingleTxtG"/>
        <w:ind w:left="2835" w:hanging="567"/>
      </w:pPr>
      <w:r w:rsidRPr="006A048F">
        <w:tab/>
        <w:t>In addition to the basic course in accordance with 8.2.1.2, drivers shall receive supplementary instruction from a competent person about the detailed risk of the carriage of molten aluminium in vats.</w:t>
      </w:r>
    </w:p>
    <w:p w14:paraId="7C3C82F9" w14:textId="77777777" w:rsidR="002A67EE" w:rsidRPr="006A048F" w:rsidRDefault="002A67EE" w:rsidP="002A67EE">
      <w:pPr>
        <w:pStyle w:val="SingleTxtG"/>
        <w:ind w:left="2835" w:hanging="567"/>
      </w:pPr>
      <w:r w:rsidRPr="006A048F">
        <w:tab/>
        <w:t>These shall include the following main points:</w:t>
      </w:r>
    </w:p>
    <w:p w14:paraId="387996CC" w14:textId="23126700" w:rsidR="002A67EE" w:rsidRPr="006A048F" w:rsidRDefault="002A67EE" w:rsidP="002A67EE">
      <w:pPr>
        <w:pStyle w:val="SingleTxtG"/>
        <w:ind w:left="3402" w:hanging="567"/>
      </w:pPr>
      <w:r w:rsidRPr="006A048F">
        <w:t>(a)</w:t>
      </w:r>
      <w:r w:rsidRPr="006A048F">
        <w:tab/>
        <w:t xml:space="preserve">The </w:t>
      </w:r>
      <w:proofErr w:type="gramStart"/>
      <w:r w:rsidRPr="006A048F">
        <w:t>particular handling</w:t>
      </w:r>
      <w:proofErr w:type="gramEnd"/>
      <w:r w:rsidRPr="006A048F">
        <w:t xml:space="preserve"> behaviour of vehicles carrying vats,</w:t>
      </w:r>
    </w:p>
    <w:p w14:paraId="2B9AF231" w14:textId="140624C6" w:rsidR="002A67EE" w:rsidRPr="006A048F" w:rsidRDefault="002A67EE" w:rsidP="002A67EE">
      <w:pPr>
        <w:pStyle w:val="SingleTxtG"/>
        <w:ind w:left="3402" w:hanging="567"/>
      </w:pPr>
      <w:r w:rsidRPr="006A048F">
        <w:t>(b)</w:t>
      </w:r>
      <w:r w:rsidRPr="006A048F">
        <w:tab/>
        <w:t>General driving physics (driving stability/overturning behaviour, particularly centre of gravity height, surge effects),</w:t>
      </w:r>
    </w:p>
    <w:p w14:paraId="724A12B8" w14:textId="4ABD8C22" w:rsidR="002A67EE" w:rsidRPr="006A048F" w:rsidRDefault="002A67EE" w:rsidP="002A67EE">
      <w:pPr>
        <w:pStyle w:val="SingleTxtG"/>
        <w:ind w:left="3402" w:hanging="567"/>
      </w:pPr>
      <w:r w:rsidRPr="006A048F">
        <w:t>(c)</w:t>
      </w:r>
      <w:r w:rsidRPr="006A048F">
        <w:tab/>
        <w:t>Limits of electronic stability control and</w:t>
      </w:r>
    </w:p>
    <w:p w14:paraId="1EBD23A4" w14:textId="64B5C3C6" w:rsidR="002A67EE" w:rsidRPr="006A048F" w:rsidRDefault="002A67EE" w:rsidP="002A67EE">
      <w:pPr>
        <w:pStyle w:val="SingleTxtG"/>
        <w:ind w:left="3402" w:hanging="567"/>
      </w:pPr>
      <w:r w:rsidRPr="006A048F">
        <w:t>(d)</w:t>
      </w:r>
      <w:r w:rsidRPr="006A048F">
        <w:tab/>
        <w:t>Special measures to be taken in the event of an accident.</w:t>
      </w:r>
    </w:p>
    <w:p w14:paraId="590D1BB9" w14:textId="77777777" w:rsidR="002A67EE" w:rsidRPr="006A048F" w:rsidRDefault="002A67EE" w:rsidP="002A67EE">
      <w:pPr>
        <w:pStyle w:val="SingleTxtG"/>
        <w:ind w:left="2835" w:hanging="567"/>
      </w:pPr>
      <w:r w:rsidRPr="006A048F">
        <w:tab/>
        <w:t>The carrier shall document this instruction in writing or electronically, giving the date, duration and main topics covered.”</w:t>
      </w:r>
    </w:p>
    <w:p w14:paraId="66ED7D8B" w14:textId="56A386EF" w:rsidR="002A67EE" w:rsidRPr="006A048F" w:rsidRDefault="002A67EE" w:rsidP="002A67EE">
      <w:pPr>
        <w:pStyle w:val="SingleTxtG"/>
        <w:ind w:left="2268" w:hanging="1134"/>
      </w:pPr>
      <w:r w:rsidRPr="006A048F">
        <w:tab/>
      </w:r>
      <w:r w:rsidR="006A048F">
        <w:tab/>
      </w:r>
      <w:r w:rsidRPr="006A048F">
        <w:t>Insert a footnote ¹ to read “UN Regulation No. 13 (Uniform provisions concerning the approval of vehicles of categories M, N and O with regards to braking).”.</w:t>
      </w:r>
    </w:p>
    <w:p w14:paraId="67B4803F" w14:textId="77777777" w:rsidR="002A67EE" w:rsidRPr="006A048F" w:rsidRDefault="002A67EE" w:rsidP="002A67EE">
      <w:pPr>
        <w:spacing w:after="120"/>
        <w:ind w:left="1134" w:right="1134"/>
        <w:jc w:val="both"/>
        <w:rPr>
          <w:i/>
          <w:iCs/>
        </w:rPr>
      </w:pPr>
      <w:r w:rsidRPr="006A048F">
        <w:rPr>
          <w:i/>
          <w:iCs/>
        </w:rPr>
        <w:t>(Reference document: ECE/TRANS/WP.15/AC.1/2023/14, as amended)</w:t>
      </w:r>
    </w:p>
    <w:p w14:paraId="12A8EEEB" w14:textId="77777777" w:rsidR="002A67EE" w:rsidRPr="006A048F" w:rsidRDefault="002A67EE" w:rsidP="002A67EE">
      <w:pPr>
        <w:pStyle w:val="H1G"/>
      </w:pPr>
      <w:r w:rsidRPr="006A048F">
        <w:tab/>
      </w:r>
      <w:r w:rsidRPr="006A048F">
        <w:tab/>
        <w:t>Chapter 9.2</w:t>
      </w:r>
    </w:p>
    <w:p w14:paraId="75E274C6" w14:textId="77777777" w:rsidR="002A67EE" w:rsidRPr="006A048F" w:rsidRDefault="002A67EE" w:rsidP="002A67EE">
      <w:pPr>
        <w:spacing w:after="120"/>
        <w:ind w:left="2268" w:right="1134" w:hanging="1134"/>
        <w:jc w:val="both"/>
        <w:rPr>
          <w:b/>
          <w:bCs/>
        </w:rPr>
      </w:pPr>
      <w:r w:rsidRPr="006A048F">
        <w:t>9.2.1.1</w:t>
      </w:r>
      <w:r w:rsidRPr="006A048F">
        <w:tab/>
        <w:t>In the table, for 9.2.2.8, in the second column, replace “Battery master switch” by “De-energizing electrical circuits”.</w:t>
      </w:r>
    </w:p>
    <w:p w14:paraId="0BA6D41B" w14:textId="77777777" w:rsidR="002A67EE" w:rsidRPr="00013E9B" w:rsidRDefault="002A67EE" w:rsidP="002A67EE">
      <w:pPr>
        <w:spacing w:after="120"/>
        <w:ind w:left="1134" w:right="1134"/>
        <w:jc w:val="both"/>
        <w:rPr>
          <w:i/>
          <w:iCs/>
          <w:lang w:val="fr-CH"/>
        </w:rPr>
      </w:pPr>
      <w:r w:rsidRPr="00013E9B">
        <w:rPr>
          <w:i/>
          <w:iCs/>
          <w:lang w:val="fr-CH"/>
        </w:rPr>
        <w:t xml:space="preserve">(Reference </w:t>
      </w:r>
      <w:proofErr w:type="gramStart"/>
      <w:r w:rsidRPr="00013E9B">
        <w:rPr>
          <w:i/>
          <w:iCs/>
          <w:lang w:val="fr-CH"/>
        </w:rPr>
        <w:t>document:</w:t>
      </w:r>
      <w:proofErr w:type="gramEnd"/>
      <w:r w:rsidRPr="00013E9B">
        <w:rPr>
          <w:i/>
          <w:iCs/>
          <w:lang w:val="fr-CH"/>
        </w:rPr>
        <w:t xml:space="preserve"> </w:t>
      </w:r>
      <w:proofErr w:type="spellStart"/>
      <w:r w:rsidRPr="00013E9B">
        <w:rPr>
          <w:i/>
          <w:iCs/>
          <w:lang w:val="fr-CH"/>
        </w:rPr>
        <w:t>informal</w:t>
      </w:r>
      <w:proofErr w:type="spellEnd"/>
      <w:r w:rsidRPr="00013E9B">
        <w:rPr>
          <w:i/>
          <w:iCs/>
          <w:lang w:val="fr-CH"/>
        </w:rPr>
        <w:t xml:space="preserve"> document INF.27)</w:t>
      </w:r>
    </w:p>
    <w:p w14:paraId="1A23D32C" w14:textId="6EC14AAB" w:rsidR="002A67EE" w:rsidRPr="006A048F" w:rsidRDefault="002A67EE" w:rsidP="002A67EE">
      <w:pPr>
        <w:pStyle w:val="SingleTxtG"/>
        <w:ind w:left="2268" w:hanging="1134"/>
        <w:rPr>
          <w:b/>
          <w:bCs/>
        </w:rPr>
      </w:pPr>
      <w:r w:rsidRPr="006A048F">
        <w:t>9.2.2.8</w:t>
      </w:r>
      <w:r w:rsidRPr="006A048F">
        <w:tab/>
      </w:r>
      <w:r w:rsidR="006A048F">
        <w:tab/>
      </w:r>
      <w:r w:rsidRPr="006A048F">
        <w:t xml:space="preserve">Amend to read as follows </w:t>
      </w:r>
      <w:r w:rsidRPr="006A048F">
        <w:rPr>
          <w:rStyle w:val="ui-provider"/>
        </w:rPr>
        <w:t>(including a reference to existing footnote 1)</w:t>
      </w:r>
      <w:r w:rsidRPr="006A048F">
        <w:t>:</w:t>
      </w:r>
    </w:p>
    <w:p w14:paraId="6B68FDC6" w14:textId="77777777" w:rsidR="002A67EE" w:rsidRPr="006A048F" w:rsidRDefault="002A67EE" w:rsidP="002A67EE">
      <w:pPr>
        <w:pStyle w:val="SingleTxtG"/>
        <w:ind w:left="2268" w:hanging="1134"/>
        <w:rPr>
          <w:b/>
          <w:bCs/>
        </w:rPr>
      </w:pPr>
      <w:r w:rsidRPr="006A048F">
        <w:t>“</w:t>
      </w:r>
      <w:r w:rsidRPr="006A048F">
        <w:rPr>
          <w:b/>
          <w:bCs/>
        </w:rPr>
        <w:t>9.2.2.8</w:t>
      </w:r>
      <w:r w:rsidRPr="006A048F">
        <w:rPr>
          <w:b/>
          <w:bCs/>
        </w:rPr>
        <w:tab/>
      </w:r>
      <w:r w:rsidRPr="006A048F">
        <w:rPr>
          <w:b/>
          <w:bCs/>
          <w:i/>
          <w:iCs/>
        </w:rPr>
        <w:t>De-energizing electrical circuits</w:t>
      </w:r>
    </w:p>
    <w:p w14:paraId="35DC7703" w14:textId="4ACFE0C7" w:rsidR="002A67EE" w:rsidRPr="006A048F" w:rsidRDefault="002A67EE" w:rsidP="002A67EE">
      <w:pPr>
        <w:pStyle w:val="SingleTxtG"/>
        <w:ind w:left="2268" w:hanging="1134"/>
        <w:rPr>
          <w:i/>
          <w:iCs/>
        </w:rPr>
      </w:pPr>
      <w:r w:rsidRPr="006A048F">
        <w:rPr>
          <w:b/>
          <w:bCs/>
          <w:i/>
          <w:iCs/>
        </w:rPr>
        <w:tab/>
      </w:r>
      <w:r w:rsidR="006A048F">
        <w:rPr>
          <w:b/>
          <w:bCs/>
          <w:i/>
          <w:iCs/>
        </w:rPr>
        <w:tab/>
      </w:r>
      <w:r w:rsidRPr="006A048F">
        <w:t>[</w:t>
      </w:r>
      <w:r w:rsidRPr="006A048F">
        <w:rPr>
          <w:b/>
          <w:bCs/>
          <w:i/>
          <w:iCs/>
        </w:rPr>
        <w:t xml:space="preserve">NOTE:  </w:t>
      </w:r>
      <w:r w:rsidRPr="006A048F">
        <w:rPr>
          <w:i/>
          <w:iCs/>
        </w:rPr>
        <w:t>The feature shall only be used when the vehicle is in standstill.</w:t>
      </w:r>
      <w:r w:rsidRPr="006A048F">
        <w:t>]</w:t>
      </w:r>
    </w:p>
    <w:p w14:paraId="65CE7F16" w14:textId="77777777" w:rsidR="002A67EE" w:rsidRPr="006A048F" w:rsidRDefault="002A67EE" w:rsidP="002A67EE">
      <w:pPr>
        <w:pStyle w:val="SingleTxtG"/>
        <w:ind w:left="2268" w:hanging="1134"/>
      </w:pPr>
      <w:r w:rsidRPr="006A048F">
        <w:t>9.2.2.8.1</w:t>
      </w:r>
      <w:r w:rsidRPr="006A048F">
        <w:tab/>
        <w:t>Features to enable the de-energization of the electrical circuits for all voltage levels shall be placed as close to the energy sources as practicable. In the case the feature interrupts only one lead from the energy source, it shall interrupt the supply lead.</w:t>
      </w:r>
    </w:p>
    <w:p w14:paraId="3DEE5665" w14:textId="77777777" w:rsidR="002A67EE" w:rsidRPr="006A048F" w:rsidRDefault="002A67EE" w:rsidP="002A67EE">
      <w:pPr>
        <w:pStyle w:val="SingleTxtG"/>
        <w:ind w:left="2268" w:hanging="1134"/>
      </w:pPr>
      <w:r w:rsidRPr="006A048F">
        <w:t>9.2.2.8.2</w:t>
      </w:r>
      <w:r w:rsidRPr="006A048F">
        <w:tab/>
        <w:t>A control device to facilitate the de-energizing shall be installed in the driver's cab. It shall be readily accessible to the driver and be distinctively marked. It shall be protected against inadvertent operation either by adding a protective cover, by using a dual movement control device or by other suitable means. Additional control devices may be installed provided they are distinctively marked and protected against inadvertent operation. If the control devices are electrically operated, the circuits of the control devices are subject to the requirements of 9.2.2.9.</w:t>
      </w:r>
    </w:p>
    <w:p w14:paraId="7B752DA4" w14:textId="77777777" w:rsidR="002A67EE" w:rsidRPr="006A048F" w:rsidRDefault="002A67EE" w:rsidP="002A67EE">
      <w:pPr>
        <w:pStyle w:val="SingleTxtG"/>
        <w:ind w:left="2268" w:hanging="1134"/>
      </w:pPr>
      <w:r w:rsidRPr="006A048F">
        <w:t>9.2.2.8.3</w:t>
      </w:r>
      <w:r w:rsidRPr="006A048F">
        <w:tab/>
        <w:t>The de-energization shall be completed within 30 seconds after the activation of the control device.</w:t>
      </w:r>
    </w:p>
    <w:p w14:paraId="5964DB52" w14:textId="77777777" w:rsidR="002A67EE" w:rsidRPr="006A048F" w:rsidRDefault="002A67EE" w:rsidP="002A67EE">
      <w:pPr>
        <w:pStyle w:val="SingleTxtG"/>
        <w:ind w:left="2268" w:hanging="1134"/>
      </w:pPr>
      <w:r w:rsidRPr="006A048F">
        <w:t>9.2.2.8.4</w:t>
      </w:r>
      <w:r w:rsidRPr="006A048F">
        <w:tab/>
        <w:t>The feature shall be installed in such a way that protection IP65 in accordance with IEC 60529 is complied with.</w:t>
      </w:r>
    </w:p>
    <w:p w14:paraId="0D3EC49D" w14:textId="77777777" w:rsidR="002A67EE" w:rsidRPr="006A048F" w:rsidRDefault="002A67EE" w:rsidP="002A67EE">
      <w:pPr>
        <w:pStyle w:val="SingleTxtG"/>
        <w:ind w:left="2268" w:hanging="1134"/>
        <w:rPr>
          <w:i/>
          <w:iCs/>
        </w:rPr>
      </w:pPr>
      <w:r w:rsidRPr="006A048F">
        <w:t>9.2.2.8.5</w:t>
      </w:r>
      <w:r w:rsidRPr="006A048F">
        <w:tab/>
      </w:r>
      <w:r w:rsidRPr="006A048F">
        <w:rPr>
          <w:i/>
          <w:iCs/>
        </w:rPr>
        <w:t>Cable connections on the feature</w:t>
      </w:r>
    </w:p>
    <w:p w14:paraId="3C097D1F" w14:textId="085A827A" w:rsidR="002A67EE" w:rsidRPr="006A048F" w:rsidRDefault="002A67EE" w:rsidP="002A67EE">
      <w:pPr>
        <w:pStyle w:val="SingleTxtG"/>
        <w:ind w:left="2268" w:hanging="1134"/>
      </w:pPr>
      <w:r w:rsidRPr="006A048F">
        <w:tab/>
      </w:r>
      <w:r w:rsidR="006A048F">
        <w:tab/>
      </w:r>
      <w:r w:rsidRPr="006A048F">
        <w:t>Systems with a voltage that exceed 25 V AC or 60 V DC and systems under the scope of UN Regulation No. 100¹, shall comply with the requirements of the said regulation.</w:t>
      </w:r>
    </w:p>
    <w:p w14:paraId="5311F00B" w14:textId="134C3BA5" w:rsidR="002A67EE" w:rsidRPr="006A048F" w:rsidRDefault="002A67EE" w:rsidP="002A67EE">
      <w:pPr>
        <w:pStyle w:val="SingleTxtG"/>
        <w:ind w:left="2268" w:hanging="1134"/>
      </w:pPr>
      <w:r w:rsidRPr="006A048F">
        <w:lastRenderedPageBreak/>
        <w:tab/>
      </w:r>
      <w:r w:rsidR="006A048F">
        <w:tab/>
      </w:r>
      <w:r w:rsidRPr="006A048F">
        <w:t>Systems with a voltage up to 25 V AC or 60 V DC shall have a protection degree IP 54 in accordance with IEC 60529. However, this does not apply if these connections are contained in a housing which may be the battery box. In this case, it is sufficient to insulate the connections against short circuits, for example by a rubber cap.”</w:t>
      </w:r>
    </w:p>
    <w:p w14:paraId="7232B168" w14:textId="77777777" w:rsidR="002A67EE" w:rsidRPr="006A048F" w:rsidRDefault="002A67EE" w:rsidP="002A67EE">
      <w:pPr>
        <w:pStyle w:val="SingleTxtG"/>
        <w:rPr>
          <w:i/>
          <w:iCs/>
        </w:rPr>
      </w:pPr>
      <w:r w:rsidRPr="006A048F">
        <w:rPr>
          <w:i/>
          <w:iCs/>
        </w:rPr>
        <w:t xml:space="preserve">(Reference document: ECE/TRANS/WP.15/2023/4, as amended) </w:t>
      </w:r>
    </w:p>
    <w:p w14:paraId="1DCCD3B3" w14:textId="77777777" w:rsidR="002A67EE" w:rsidRPr="006A048F" w:rsidRDefault="002A67EE" w:rsidP="002A67EE">
      <w:pPr>
        <w:spacing w:after="120"/>
        <w:ind w:left="2268" w:right="1134" w:hanging="1134"/>
        <w:jc w:val="both"/>
        <w:rPr>
          <w:b/>
          <w:bCs/>
        </w:rPr>
      </w:pPr>
      <w:r w:rsidRPr="006A048F">
        <w:t>9.2.2.9.1</w:t>
      </w:r>
      <w:r w:rsidRPr="006A048F">
        <w:tab/>
        <w:t>In (a), first sentence, replace “when the battery master switch is open” by “when the feature to de-energize the electrical circuits is activated”.</w:t>
      </w:r>
    </w:p>
    <w:p w14:paraId="55E249AD" w14:textId="77777777" w:rsidR="002A67EE" w:rsidRPr="00013E9B" w:rsidRDefault="002A67EE" w:rsidP="002A67EE">
      <w:pPr>
        <w:spacing w:after="120"/>
        <w:ind w:left="1134" w:right="1134"/>
        <w:jc w:val="both"/>
        <w:rPr>
          <w:i/>
          <w:iCs/>
          <w:lang w:val="fr-CH"/>
        </w:rPr>
      </w:pPr>
      <w:r w:rsidRPr="00013E9B">
        <w:rPr>
          <w:i/>
          <w:iCs/>
          <w:lang w:val="fr-CH"/>
        </w:rPr>
        <w:t xml:space="preserve">(Reference </w:t>
      </w:r>
      <w:proofErr w:type="gramStart"/>
      <w:r w:rsidRPr="00013E9B">
        <w:rPr>
          <w:i/>
          <w:iCs/>
          <w:lang w:val="fr-CH"/>
        </w:rPr>
        <w:t>document:</w:t>
      </w:r>
      <w:proofErr w:type="gramEnd"/>
      <w:r w:rsidRPr="00013E9B">
        <w:rPr>
          <w:i/>
          <w:iCs/>
          <w:lang w:val="fr-CH"/>
        </w:rPr>
        <w:t xml:space="preserve"> </w:t>
      </w:r>
      <w:proofErr w:type="spellStart"/>
      <w:r w:rsidRPr="00013E9B">
        <w:rPr>
          <w:i/>
          <w:iCs/>
          <w:lang w:val="fr-CH"/>
        </w:rPr>
        <w:t>informal</w:t>
      </w:r>
      <w:proofErr w:type="spellEnd"/>
      <w:r w:rsidRPr="00013E9B">
        <w:rPr>
          <w:i/>
          <w:iCs/>
          <w:lang w:val="fr-CH"/>
        </w:rPr>
        <w:t xml:space="preserve"> document INF.27)</w:t>
      </w:r>
    </w:p>
    <w:p w14:paraId="65314EE8" w14:textId="77777777" w:rsidR="002A67EE" w:rsidRPr="006A048F" w:rsidRDefault="002A67EE" w:rsidP="002A67EE">
      <w:pPr>
        <w:spacing w:after="120"/>
        <w:ind w:left="2268" w:right="1134" w:hanging="1134"/>
        <w:jc w:val="both"/>
        <w:rPr>
          <w:b/>
          <w:bCs/>
        </w:rPr>
      </w:pPr>
      <w:r w:rsidRPr="006A048F">
        <w:t>9.2.2.9.2</w:t>
      </w:r>
      <w:r w:rsidRPr="006A048F">
        <w:tab/>
        <w:t>Replace “connections to the battery master switch” by “connections to the feature to de-energize the electrical circuits”, replace “must” by “shall” and replace “when the battery master switch is open” by “when the feature is activated”.</w:t>
      </w:r>
    </w:p>
    <w:p w14:paraId="2FAD0B0D" w14:textId="77777777" w:rsidR="002A67EE" w:rsidRPr="00013E9B" w:rsidRDefault="002A67EE" w:rsidP="002A67EE">
      <w:pPr>
        <w:spacing w:after="120"/>
        <w:ind w:left="1134" w:right="1134"/>
        <w:jc w:val="both"/>
        <w:rPr>
          <w:i/>
          <w:iCs/>
          <w:lang w:val="fr-CH"/>
        </w:rPr>
      </w:pPr>
      <w:r w:rsidRPr="00013E9B">
        <w:rPr>
          <w:i/>
          <w:iCs/>
          <w:lang w:val="fr-CH"/>
        </w:rPr>
        <w:t xml:space="preserve">(Reference </w:t>
      </w:r>
      <w:proofErr w:type="gramStart"/>
      <w:r w:rsidRPr="00013E9B">
        <w:rPr>
          <w:i/>
          <w:iCs/>
          <w:lang w:val="fr-CH"/>
        </w:rPr>
        <w:t>document:</w:t>
      </w:r>
      <w:proofErr w:type="gramEnd"/>
      <w:r w:rsidRPr="00013E9B">
        <w:rPr>
          <w:i/>
          <w:iCs/>
          <w:lang w:val="fr-CH"/>
        </w:rPr>
        <w:t xml:space="preserve"> </w:t>
      </w:r>
      <w:proofErr w:type="spellStart"/>
      <w:r w:rsidRPr="00013E9B">
        <w:rPr>
          <w:i/>
          <w:iCs/>
          <w:lang w:val="fr-CH"/>
        </w:rPr>
        <w:t>informal</w:t>
      </w:r>
      <w:proofErr w:type="spellEnd"/>
      <w:r w:rsidRPr="00013E9B">
        <w:rPr>
          <w:i/>
          <w:iCs/>
          <w:lang w:val="fr-CH"/>
        </w:rPr>
        <w:t xml:space="preserve"> document INF.27)</w:t>
      </w:r>
    </w:p>
    <w:p w14:paraId="6A8D42E3" w14:textId="1762D6A0" w:rsidR="001C6663" w:rsidRPr="00013E9B" w:rsidRDefault="002A67EE" w:rsidP="002A67EE">
      <w:pPr>
        <w:spacing w:before="240"/>
        <w:jc w:val="center"/>
        <w:rPr>
          <w:u w:val="single"/>
          <w:lang w:val="fr-CH"/>
        </w:rPr>
      </w:pPr>
      <w:r w:rsidRPr="00013E9B">
        <w:rPr>
          <w:u w:val="single"/>
          <w:lang w:val="fr-CH"/>
        </w:rPr>
        <w:tab/>
      </w:r>
      <w:r w:rsidRPr="00013E9B">
        <w:rPr>
          <w:u w:val="single"/>
          <w:lang w:val="fr-CH"/>
        </w:rPr>
        <w:tab/>
      </w:r>
      <w:r w:rsidRPr="00013E9B">
        <w:rPr>
          <w:u w:val="single"/>
          <w:lang w:val="fr-CH"/>
        </w:rPr>
        <w:tab/>
      </w:r>
    </w:p>
    <w:sectPr w:rsidR="001C6663" w:rsidRPr="00013E9B" w:rsidSect="00712886">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011A" w14:textId="77777777" w:rsidR="00297510" w:rsidRDefault="00297510"/>
  </w:endnote>
  <w:endnote w:type="continuationSeparator" w:id="0">
    <w:p w14:paraId="588A292A" w14:textId="77777777" w:rsidR="00297510" w:rsidRDefault="00297510"/>
  </w:endnote>
  <w:endnote w:type="continuationNotice" w:id="1">
    <w:p w14:paraId="6419F490" w14:textId="77777777" w:rsidR="00297510" w:rsidRDefault="00297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690E" w14:textId="07CA00FE" w:rsidR="00712886" w:rsidRPr="00712886" w:rsidRDefault="00712886" w:rsidP="00712886">
    <w:pPr>
      <w:pStyle w:val="Footer"/>
      <w:tabs>
        <w:tab w:val="right" w:pos="9638"/>
      </w:tabs>
      <w:rPr>
        <w:sz w:val="18"/>
      </w:rPr>
    </w:pPr>
    <w:r w:rsidRPr="00712886">
      <w:rPr>
        <w:b/>
        <w:sz w:val="18"/>
      </w:rPr>
      <w:fldChar w:fldCharType="begin"/>
    </w:r>
    <w:r w:rsidRPr="00712886">
      <w:rPr>
        <w:b/>
        <w:sz w:val="18"/>
      </w:rPr>
      <w:instrText xml:space="preserve"> PAGE  \* MERGEFORMAT </w:instrText>
    </w:r>
    <w:r w:rsidRPr="00712886">
      <w:rPr>
        <w:b/>
        <w:sz w:val="18"/>
      </w:rPr>
      <w:fldChar w:fldCharType="separate"/>
    </w:r>
    <w:r w:rsidRPr="00712886">
      <w:rPr>
        <w:b/>
        <w:noProof/>
        <w:sz w:val="18"/>
      </w:rPr>
      <w:t>2</w:t>
    </w:r>
    <w:r w:rsidRPr="007128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A67A" w14:textId="4A69B818" w:rsidR="00712886" w:rsidRPr="00712886" w:rsidRDefault="00712886" w:rsidP="00712886">
    <w:pPr>
      <w:pStyle w:val="Footer"/>
      <w:tabs>
        <w:tab w:val="right" w:pos="9638"/>
      </w:tabs>
      <w:rPr>
        <w:b/>
        <w:sz w:val="18"/>
      </w:rPr>
    </w:pPr>
    <w:r>
      <w:tab/>
    </w:r>
    <w:r w:rsidRPr="00712886">
      <w:rPr>
        <w:b/>
        <w:sz w:val="18"/>
      </w:rPr>
      <w:fldChar w:fldCharType="begin"/>
    </w:r>
    <w:r w:rsidRPr="00712886">
      <w:rPr>
        <w:b/>
        <w:sz w:val="18"/>
      </w:rPr>
      <w:instrText xml:space="preserve"> PAGE  \* MERGEFORMAT </w:instrText>
    </w:r>
    <w:r w:rsidRPr="00712886">
      <w:rPr>
        <w:b/>
        <w:sz w:val="18"/>
      </w:rPr>
      <w:fldChar w:fldCharType="separate"/>
    </w:r>
    <w:r w:rsidRPr="00712886">
      <w:rPr>
        <w:b/>
        <w:noProof/>
        <w:sz w:val="18"/>
      </w:rPr>
      <w:t>3</w:t>
    </w:r>
    <w:r w:rsidRPr="007128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6E4A" w14:textId="196D2FA2" w:rsidR="00E357B6" w:rsidRDefault="00E357B6" w:rsidP="00E357B6">
    <w:pPr>
      <w:pStyle w:val="Footer"/>
    </w:pPr>
    <w:r w:rsidRPr="0027112F">
      <w:rPr>
        <w:noProof/>
        <w:lang w:val="en-US"/>
      </w:rPr>
      <w:drawing>
        <wp:anchor distT="0" distB="0" distL="114300" distR="114300" simplePos="0" relativeHeight="251659264" behindDoc="0" locked="1" layoutInCell="1" allowOverlap="1" wp14:anchorId="2822AF04" wp14:editId="55A0EB3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CC918F2" w14:textId="2DB330F7" w:rsidR="00E357B6" w:rsidRPr="00E357B6" w:rsidRDefault="00E357B6" w:rsidP="00E357B6">
    <w:pPr>
      <w:pStyle w:val="Footer"/>
      <w:ind w:right="1134"/>
      <w:rPr>
        <w:sz w:val="20"/>
      </w:rPr>
    </w:pPr>
    <w:r>
      <w:rPr>
        <w:sz w:val="20"/>
      </w:rPr>
      <w:t>GE.23-10594(E)</w:t>
    </w:r>
    <w:r>
      <w:rPr>
        <w:noProof/>
        <w:sz w:val="20"/>
      </w:rPr>
      <w:drawing>
        <wp:anchor distT="0" distB="0" distL="114300" distR="114300" simplePos="0" relativeHeight="251660288" behindDoc="0" locked="0" layoutInCell="1" allowOverlap="1" wp14:anchorId="287DED64" wp14:editId="38C96FDC">
          <wp:simplePos x="0" y="0"/>
          <wp:positionH relativeFrom="margin">
            <wp:posOffset>5615940</wp:posOffset>
          </wp:positionH>
          <wp:positionV relativeFrom="margin">
            <wp:posOffset>8905875</wp:posOffset>
          </wp:positionV>
          <wp:extent cx="561975" cy="5619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83AF" w14:textId="77777777" w:rsidR="00297510" w:rsidRPr="000B175B" w:rsidRDefault="00297510" w:rsidP="000B175B">
      <w:pPr>
        <w:tabs>
          <w:tab w:val="right" w:pos="2155"/>
        </w:tabs>
        <w:spacing w:after="80"/>
        <w:ind w:left="680"/>
        <w:rPr>
          <w:u w:val="single"/>
        </w:rPr>
      </w:pPr>
      <w:r>
        <w:rPr>
          <w:u w:val="single"/>
        </w:rPr>
        <w:tab/>
      </w:r>
    </w:p>
  </w:footnote>
  <w:footnote w:type="continuationSeparator" w:id="0">
    <w:p w14:paraId="5E7F7B3D" w14:textId="77777777" w:rsidR="00297510" w:rsidRPr="00FC68B7" w:rsidRDefault="00297510" w:rsidP="00FC68B7">
      <w:pPr>
        <w:tabs>
          <w:tab w:val="left" w:pos="2155"/>
        </w:tabs>
        <w:spacing w:after="80"/>
        <w:ind w:left="680"/>
        <w:rPr>
          <w:u w:val="single"/>
        </w:rPr>
      </w:pPr>
      <w:r>
        <w:rPr>
          <w:u w:val="single"/>
        </w:rPr>
        <w:tab/>
      </w:r>
    </w:p>
  </w:footnote>
  <w:footnote w:type="continuationNotice" w:id="1">
    <w:p w14:paraId="4CAA1365" w14:textId="77777777" w:rsidR="00297510" w:rsidRDefault="00297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F58D" w14:textId="5A4A966F" w:rsidR="00712886" w:rsidRPr="00712886" w:rsidRDefault="00712886">
    <w:pPr>
      <w:pStyle w:val="Header"/>
    </w:pPr>
    <w:r>
      <w:t>ECE/TRANS/WP.15/262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B53E" w14:textId="372023EA" w:rsidR="00712886" w:rsidRPr="00712886" w:rsidRDefault="00712886" w:rsidP="00712886">
    <w:pPr>
      <w:pStyle w:val="Header"/>
      <w:jc w:val="right"/>
    </w:pPr>
    <w:r>
      <w:t>ECE/TRANS/WP.15/262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63669257">
    <w:abstractNumId w:val="1"/>
  </w:num>
  <w:num w:numId="2" w16cid:durableId="174004754">
    <w:abstractNumId w:val="0"/>
  </w:num>
  <w:num w:numId="3" w16cid:durableId="1331636209">
    <w:abstractNumId w:val="2"/>
  </w:num>
  <w:num w:numId="4" w16cid:durableId="1223708850">
    <w:abstractNumId w:val="3"/>
  </w:num>
  <w:num w:numId="5" w16cid:durableId="1645309736">
    <w:abstractNumId w:val="8"/>
  </w:num>
  <w:num w:numId="6" w16cid:durableId="1958488733">
    <w:abstractNumId w:val="9"/>
  </w:num>
  <w:num w:numId="7" w16cid:durableId="1403137110">
    <w:abstractNumId w:val="7"/>
  </w:num>
  <w:num w:numId="8" w16cid:durableId="513762931">
    <w:abstractNumId w:val="6"/>
  </w:num>
  <w:num w:numId="9" w16cid:durableId="831456268">
    <w:abstractNumId w:val="5"/>
  </w:num>
  <w:num w:numId="10" w16cid:durableId="66850370">
    <w:abstractNumId w:val="4"/>
  </w:num>
  <w:num w:numId="11" w16cid:durableId="1275940370">
    <w:abstractNumId w:val="15"/>
  </w:num>
  <w:num w:numId="12" w16cid:durableId="608197301">
    <w:abstractNumId w:val="14"/>
  </w:num>
  <w:num w:numId="13" w16cid:durableId="1533810423">
    <w:abstractNumId w:val="10"/>
  </w:num>
  <w:num w:numId="14" w16cid:durableId="1299724069">
    <w:abstractNumId w:val="12"/>
  </w:num>
  <w:num w:numId="15" w16cid:durableId="1372730683">
    <w:abstractNumId w:val="16"/>
  </w:num>
  <w:num w:numId="16" w16cid:durableId="1082068876">
    <w:abstractNumId w:val="13"/>
  </w:num>
  <w:num w:numId="17" w16cid:durableId="1245870138">
    <w:abstractNumId w:val="17"/>
  </w:num>
  <w:num w:numId="18" w16cid:durableId="1035082989">
    <w:abstractNumId w:val="18"/>
  </w:num>
  <w:num w:numId="19" w16cid:durableId="1318999902">
    <w:abstractNumId w:val="11"/>
  </w:num>
  <w:num w:numId="20" w16cid:durableId="111922651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86"/>
    <w:rsid w:val="00001D5A"/>
    <w:rsid w:val="00002A7D"/>
    <w:rsid w:val="000038A8"/>
    <w:rsid w:val="00006790"/>
    <w:rsid w:val="00013E9B"/>
    <w:rsid w:val="00021D2D"/>
    <w:rsid w:val="00027624"/>
    <w:rsid w:val="00050F6B"/>
    <w:rsid w:val="000678CD"/>
    <w:rsid w:val="00072C8C"/>
    <w:rsid w:val="00081CE0"/>
    <w:rsid w:val="00084D30"/>
    <w:rsid w:val="00090320"/>
    <w:rsid w:val="000931C0"/>
    <w:rsid w:val="0009458C"/>
    <w:rsid w:val="0009732C"/>
    <w:rsid w:val="000A01F9"/>
    <w:rsid w:val="000A2E09"/>
    <w:rsid w:val="000A4219"/>
    <w:rsid w:val="000B175B"/>
    <w:rsid w:val="000B3A0F"/>
    <w:rsid w:val="000E0415"/>
    <w:rsid w:val="000F7715"/>
    <w:rsid w:val="00156740"/>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26744"/>
    <w:rsid w:val="00232575"/>
    <w:rsid w:val="00247258"/>
    <w:rsid w:val="00251835"/>
    <w:rsid w:val="00257CAC"/>
    <w:rsid w:val="0026105D"/>
    <w:rsid w:val="00264441"/>
    <w:rsid w:val="0027237A"/>
    <w:rsid w:val="002974E9"/>
    <w:rsid w:val="00297510"/>
    <w:rsid w:val="002A67EE"/>
    <w:rsid w:val="002A7F94"/>
    <w:rsid w:val="002B109A"/>
    <w:rsid w:val="002C6D45"/>
    <w:rsid w:val="002D6E53"/>
    <w:rsid w:val="002F046D"/>
    <w:rsid w:val="002F3023"/>
    <w:rsid w:val="00301764"/>
    <w:rsid w:val="003074A7"/>
    <w:rsid w:val="00316547"/>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22E17"/>
    <w:rsid w:val="00430D57"/>
    <w:rsid w:val="004325CB"/>
    <w:rsid w:val="00440A07"/>
    <w:rsid w:val="00462880"/>
    <w:rsid w:val="00476F24"/>
    <w:rsid w:val="004844C0"/>
    <w:rsid w:val="004A2C6A"/>
    <w:rsid w:val="004A37AD"/>
    <w:rsid w:val="004C55B0"/>
    <w:rsid w:val="004D4599"/>
    <w:rsid w:val="004F6BA0"/>
    <w:rsid w:val="00503BEA"/>
    <w:rsid w:val="00533616"/>
    <w:rsid w:val="00535ABA"/>
    <w:rsid w:val="0053768B"/>
    <w:rsid w:val="005420F2"/>
    <w:rsid w:val="0054285C"/>
    <w:rsid w:val="00542DA0"/>
    <w:rsid w:val="00584173"/>
    <w:rsid w:val="00595520"/>
    <w:rsid w:val="005A2533"/>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30A4"/>
    <w:rsid w:val="006940E1"/>
    <w:rsid w:val="006A048F"/>
    <w:rsid w:val="006A3C72"/>
    <w:rsid w:val="006A7392"/>
    <w:rsid w:val="006B03A1"/>
    <w:rsid w:val="006B67D9"/>
    <w:rsid w:val="006C5535"/>
    <w:rsid w:val="006D0589"/>
    <w:rsid w:val="006E564B"/>
    <w:rsid w:val="006E7154"/>
    <w:rsid w:val="007003CD"/>
    <w:rsid w:val="0070701E"/>
    <w:rsid w:val="00712886"/>
    <w:rsid w:val="007173E0"/>
    <w:rsid w:val="0072632A"/>
    <w:rsid w:val="00732427"/>
    <w:rsid w:val="007358E8"/>
    <w:rsid w:val="00736ECE"/>
    <w:rsid w:val="0074533B"/>
    <w:rsid w:val="0075367E"/>
    <w:rsid w:val="007643BC"/>
    <w:rsid w:val="00766D28"/>
    <w:rsid w:val="00776C14"/>
    <w:rsid w:val="007801C5"/>
    <w:rsid w:val="00780C68"/>
    <w:rsid w:val="00795536"/>
    <w:rsid w:val="007959FE"/>
    <w:rsid w:val="007A0CF1"/>
    <w:rsid w:val="007A478E"/>
    <w:rsid w:val="007B6BA5"/>
    <w:rsid w:val="007C3390"/>
    <w:rsid w:val="007C42D8"/>
    <w:rsid w:val="007C4F4B"/>
    <w:rsid w:val="007D1C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050DE"/>
    <w:rsid w:val="0092220B"/>
    <w:rsid w:val="00926E47"/>
    <w:rsid w:val="00947162"/>
    <w:rsid w:val="009610D0"/>
    <w:rsid w:val="0096375C"/>
    <w:rsid w:val="009662E6"/>
    <w:rsid w:val="0097095E"/>
    <w:rsid w:val="0098592B"/>
    <w:rsid w:val="00985FC4"/>
    <w:rsid w:val="00990766"/>
    <w:rsid w:val="00991261"/>
    <w:rsid w:val="00991ECE"/>
    <w:rsid w:val="009964C4"/>
    <w:rsid w:val="009A198A"/>
    <w:rsid w:val="009A7B81"/>
    <w:rsid w:val="009D01C0"/>
    <w:rsid w:val="009D6A08"/>
    <w:rsid w:val="009E0A16"/>
    <w:rsid w:val="009E26C4"/>
    <w:rsid w:val="009E6CB7"/>
    <w:rsid w:val="009E7970"/>
    <w:rsid w:val="009F2EAC"/>
    <w:rsid w:val="009F57E3"/>
    <w:rsid w:val="00A10F4F"/>
    <w:rsid w:val="00A11067"/>
    <w:rsid w:val="00A1704A"/>
    <w:rsid w:val="00A24D90"/>
    <w:rsid w:val="00A251A2"/>
    <w:rsid w:val="00A25857"/>
    <w:rsid w:val="00A3282A"/>
    <w:rsid w:val="00A42341"/>
    <w:rsid w:val="00A425EB"/>
    <w:rsid w:val="00A72F22"/>
    <w:rsid w:val="00A733BC"/>
    <w:rsid w:val="00A748A6"/>
    <w:rsid w:val="00A76A69"/>
    <w:rsid w:val="00A879A4"/>
    <w:rsid w:val="00A9412A"/>
    <w:rsid w:val="00AA0FF8"/>
    <w:rsid w:val="00AA7D1A"/>
    <w:rsid w:val="00AC0F2C"/>
    <w:rsid w:val="00AC502A"/>
    <w:rsid w:val="00AD4815"/>
    <w:rsid w:val="00AD5D19"/>
    <w:rsid w:val="00AF27D1"/>
    <w:rsid w:val="00AF58C1"/>
    <w:rsid w:val="00B032BE"/>
    <w:rsid w:val="00B04A3F"/>
    <w:rsid w:val="00B06643"/>
    <w:rsid w:val="00B15055"/>
    <w:rsid w:val="00B20551"/>
    <w:rsid w:val="00B23D55"/>
    <w:rsid w:val="00B30179"/>
    <w:rsid w:val="00B33FC7"/>
    <w:rsid w:val="00B37B15"/>
    <w:rsid w:val="00B45C02"/>
    <w:rsid w:val="00B70B63"/>
    <w:rsid w:val="00B72A1E"/>
    <w:rsid w:val="00B8006F"/>
    <w:rsid w:val="00B81E12"/>
    <w:rsid w:val="00BA339B"/>
    <w:rsid w:val="00BB23CC"/>
    <w:rsid w:val="00BC1E7E"/>
    <w:rsid w:val="00BC74E9"/>
    <w:rsid w:val="00BE36A9"/>
    <w:rsid w:val="00BE618E"/>
    <w:rsid w:val="00BE7BEC"/>
    <w:rsid w:val="00BF0A5A"/>
    <w:rsid w:val="00BF0E63"/>
    <w:rsid w:val="00BF12A3"/>
    <w:rsid w:val="00BF16D7"/>
    <w:rsid w:val="00BF2373"/>
    <w:rsid w:val="00BF24C9"/>
    <w:rsid w:val="00BF436D"/>
    <w:rsid w:val="00C0294F"/>
    <w:rsid w:val="00C044E2"/>
    <w:rsid w:val="00C048CB"/>
    <w:rsid w:val="00C066F3"/>
    <w:rsid w:val="00C11596"/>
    <w:rsid w:val="00C12D84"/>
    <w:rsid w:val="00C408B7"/>
    <w:rsid w:val="00C411EB"/>
    <w:rsid w:val="00C463DD"/>
    <w:rsid w:val="00C745C3"/>
    <w:rsid w:val="00C92E3B"/>
    <w:rsid w:val="00C978F5"/>
    <w:rsid w:val="00CA24A4"/>
    <w:rsid w:val="00CB348D"/>
    <w:rsid w:val="00CD46F5"/>
    <w:rsid w:val="00CE4A8F"/>
    <w:rsid w:val="00CE78F6"/>
    <w:rsid w:val="00CF071D"/>
    <w:rsid w:val="00D0123D"/>
    <w:rsid w:val="00D02318"/>
    <w:rsid w:val="00D15B04"/>
    <w:rsid w:val="00D2031B"/>
    <w:rsid w:val="00D25FE2"/>
    <w:rsid w:val="00D368BE"/>
    <w:rsid w:val="00D37DA9"/>
    <w:rsid w:val="00D406A7"/>
    <w:rsid w:val="00D40765"/>
    <w:rsid w:val="00D43252"/>
    <w:rsid w:val="00D44D86"/>
    <w:rsid w:val="00D45BF0"/>
    <w:rsid w:val="00D50B7D"/>
    <w:rsid w:val="00D52012"/>
    <w:rsid w:val="00D704E5"/>
    <w:rsid w:val="00D72727"/>
    <w:rsid w:val="00D978C6"/>
    <w:rsid w:val="00DA0956"/>
    <w:rsid w:val="00DA2CD7"/>
    <w:rsid w:val="00DA357F"/>
    <w:rsid w:val="00DA3E12"/>
    <w:rsid w:val="00DB3E0E"/>
    <w:rsid w:val="00DB6908"/>
    <w:rsid w:val="00DC18AD"/>
    <w:rsid w:val="00DD3666"/>
    <w:rsid w:val="00DF7CAE"/>
    <w:rsid w:val="00E174E9"/>
    <w:rsid w:val="00E2080A"/>
    <w:rsid w:val="00E357B6"/>
    <w:rsid w:val="00E423C0"/>
    <w:rsid w:val="00E4313C"/>
    <w:rsid w:val="00E6414C"/>
    <w:rsid w:val="00E66660"/>
    <w:rsid w:val="00E71632"/>
    <w:rsid w:val="00E7260F"/>
    <w:rsid w:val="00E8702D"/>
    <w:rsid w:val="00E905F4"/>
    <w:rsid w:val="00E916A9"/>
    <w:rsid w:val="00E916DE"/>
    <w:rsid w:val="00E925AD"/>
    <w:rsid w:val="00E96630"/>
    <w:rsid w:val="00ED18DC"/>
    <w:rsid w:val="00ED6201"/>
    <w:rsid w:val="00ED7A2A"/>
    <w:rsid w:val="00EE22B6"/>
    <w:rsid w:val="00EE7061"/>
    <w:rsid w:val="00EF1D7F"/>
    <w:rsid w:val="00F0137E"/>
    <w:rsid w:val="00F13DF9"/>
    <w:rsid w:val="00F21786"/>
    <w:rsid w:val="00F331BC"/>
    <w:rsid w:val="00F3742B"/>
    <w:rsid w:val="00F41FDB"/>
    <w:rsid w:val="00F50596"/>
    <w:rsid w:val="00F56D63"/>
    <w:rsid w:val="00F609A9"/>
    <w:rsid w:val="00F80C99"/>
    <w:rsid w:val="00F83129"/>
    <w:rsid w:val="00F867EC"/>
    <w:rsid w:val="00F86AEB"/>
    <w:rsid w:val="00F91B2B"/>
    <w:rsid w:val="00FC0187"/>
    <w:rsid w:val="00FC03CD"/>
    <w:rsid w:val="00FC0646"/>
    <w:rsid w:val="00FC68B7"/>
    <w:rsid w:val="00FE6985"/>
    <w:rsid w:val="00FF02F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64D94"/>
  <w15:docId w15:val="{83E45224-EB40-4FC5-B5D0-20908F2E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HChGChar">
    <w:name w:val="_ H _Ch_G Char"/>
    <w:link w:val="HChG"/>
    <w:rsid w:val="00E174E9"/>
    <w:rPr>
      <w:b/>
      <w:sz w:val="28"/>
      <w:lang w:val="en-GB"/>
    </w:rPr>
  </w:style>
  <w:style w:type="paragraph" w:styleId="Revision">
    <w:name w:val="Revision"/>
    <w:hidden/>
    <w:uiPriority w:val="99"/>
    <w:semiHidden/>
    <w:rsid w:val="00C92E3B"/>
    <w:pPr>
      <w:spacing w:line="240" w:lineRule="auto"/>
    </w:pPr>
    <w:rPr>
      <w:lang w:val="en-GB"/>
    </w:rPr>
  </w:style>
  <w:style w:type="paragraph" w:styleId="CommentText">
    <w:name w:val="annotation text"/>
    <w:basedOn w:val="Normal"/>
    <w:link w:val="CommentTextChar"/>
    <w:semiHidden/>
    <w:unhideWhenUsed/>
    <w:rsid w:val="002A67EE"/>
    <w:pPr>
      <w:suppressAutoHyphens/>
      <w:spacing w:line="240" w:lineRule="auto"/>
    </w:pPr>
  </w:style>
  <w:style w:type="character" w:customStyle="1" w:styleId="CommentTextChar">
    <w:name w:val="Comment Text Char"/>
    <w:basedOn w:val="DefaultParagraphFont"/>
    <w:link w:val="CommentText"/>
    <w:semiHidden/>
    <w:rsid w:val="002A67EE"/>
    <w:rPr>
      <w:lang w:val="en-GB"/>
    </w:rPr>
  </w:style>
  <w:style w:type="character" w:styleId="CommentReference">
    <w:name w:val="annotation reference"/>
    <w:basedOn w:val="DefaultParagraphFont"/>
    <w:semiHidden/>
    <w:unhideWhenUsed/>
    <w:rsid w:val="002A67EE"/>
    <w:rPr>
      <w:sz w:val="16"/>
      <w:szCs w:val="16"/>
    </w:rPr>
  </w:style>
  <w:style w:type="character" w:customStyle="1" w:styleId="ui-provider">
    <w:name w:val="ui-provider"/>
    <w:basedOn w:val="DefaultParagraphFont"/>
    <w:rsid w:val="002A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4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CB8F038D-EA96-4464-8279-A37272244A28}"/>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19</Pages>
  <Words>6888</Words>
  <Characters>37161</Characters>
  <Application>Microsoft Office Word</Application>
  <DocSecurity>0</DocSecurity>
  <Lines>788</Lines>
  <Paragraphs>397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ECE/TRANS/WP.15/262</dc:title>
  <dc:subject>2310594</dc:subject>
  <dc:creator>Mansion</dc:creator>
  <cp:keywords/>
  <dc:description/>
  <cp:lastModifiedBy>Don Canete Martin</cp:lastModifiedBy>
  <cp:revision>2</cp:revision>
  <cp:lastPrinted>2009-02-18T09:36:00Z</cp:lastPrinted>
  <dcterms:created xsi:type="dcterms:W3CDTF">2023-06-05T13:14:00Z</dcterms:created>
  <dcterms:modified xsi:type="dcterms:W3CDTF">2023-06-05T13:14:00Z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