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4BDE07E2" w:rsidR="00B60659" w:rsidRPr="00EC57F8"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EC57F8">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C57F8">
        <w:rPr>
          <w:rFonts w:ascii="Arial" w:eastAsia="Arial" w:hAnsi="Arial" w:cs="Arial"/>
          <w:bCs/>
          <w:szCs w:val="24"/>
          <w:lang w:eastAsia="de-DE"/>
        </w:rPr>
        <w:t>CCNR-ZKR/ADN/WP.15/AC.2/202</w:t>
      </w:r>
      <w:r w:rsidRPr="00EC57F8">
        <w:rPr>
          <w:rFonts w:ascii="Arial" w:eastAsia="Arial" w:hAnsi="Arial" w:cs="Arial"/>
          <w:bCs/>
          <w:szCs w:val="24"/>
        </w:rPr>
        <w:t>3</w:t>
      </w:r>
      <w:r w:rsidRPr="00EC57F8">
        <w:rPr>
          <w:rFonts w:ascii="Arial" w:eastAsia="Arial" w:hAnsi="Arial" w:cs="Arial"/>
          <w:bCs/>
          <w:szCs w:val="24"/>
          <w:lang w:eastAsia="de-DE"/>
        </w:rPr>
        <w:t>/</w:t>
      </w:r>
      <w:r w:rsidR="008954EE" w:rsidRPr="00EC57F8">
        <w:rPr>
          <w:rFonts w:ascii="Arial" w:eastAsia="Arial" w:hAnsi="Arial" w:cs="Arial"/>
          <w:bCs/>
          <w:szCs w:val="24"/>
          <w:lang w:eastAsia="de-DE"/>
        </w:rPr>
        <w:t>4</w:t>
      </w:r>
      <w:r w:rsidR="00960731" w:rsidRPr="00EC57F8">
        <w:rPr>
          <w:rFonts w:ascii="Arial" w:eastAsia="Arial" w:hAnsi="Arial" w:cs="Arial"/>
          <w:bCs/>
          <w:szCs w:val="24"/>
          <w:lang w:eastAsia="de-DE"/>
        </w:rPr>
        <w:t>6</w:t>
      </w:r>
    </w:p>
    <w:p w14:paraId="7C27E3DD" w14:textId="77777777" w:rsidR="00B60659" w:rsidRPr="00EC57F8"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EC57F8">
        <w:rPr>
          <w:rFonts w:ascii="Arial" w:hAnsi="Arial" w:cs="Arial"/>
          <w:sz w:val="16"/>
          <w:szCs w:val="24"/>
          <w:lang w:eastAsia="de-DE"/>
        </w:rPr>
        <w:t>Allgemeine Verteilung</w:t>
      </w:r>
    </w:p>
    <w:p w14:paraId="215D853B" w14:textId="6D1BB2E4" w:rsidR="00B60659" w:rsidRPr="00EC57F8" w:rsidRDefault="008954E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EC57F8">
        <w:rPr>
          <w:rFonts w:ascii="Arial" w:hAnsi="Arial" w:cs="Arial"/>
          <w:szCs w:val="24"/>
          <w:lang w:eastAsia="de-DE"/>
        </w:rPr>
        <w:t>8</w:t>
      </w:r>
      <w:r w:rsidR="00B665FE" w:rsidRPr="00EC57F8">
        <w:rPr>
          <w:rFonts w:ascii="Arial" w:hAnsi="Arial" w:cs="Arial"/>
          <w:szCs w:val="24"/>
          <w:lang w:eastAsia="de-DE"/>
        </w:rPr>
        <w:t>. Juni</w:t>
      </w:r>
      <w:r w:rsidR="008C5274" w:rsidRPr="00EC57F8">
        <w:rPr>
          <w:rFonts w:ascii="Arial" w:hAnsi="Arial" w:cs="Arial"/>
          <w:szCs w:val="24"/>
          <w:lang w:eastAsia="de-DE"/>
        </w:rPr>
        <w:t xml:space="preserve"> 2023</w:t>
      </w:r>
    </w:p>
    <w:p w14:paraId="1BCCEA4C" w14:textId="7C980B8F" w:rsidR="00B60659" w:rsidRPr="00EC57F8"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EC57F8">
        <w:rPr>
          <w:rFonts w:ascii="Arial" w:eastAsia="Arial" w:hAnsi="Arial" w:cs="Arial"/>
          <w:sz w:val="16"/>
          <w:szCs w:val="24"/>
          <w:lang w:eastAsia="de-DE"/>
        </w:rPr>
        <w:t>Or</w:t>
      </w:r>
      <w:proofErr w:type="spellEnd"/>
      <w:r w:rsidRPr="00EC57F8">
        <w:rPr>
          <w:rFonts w:ascii="Arial" w:eastAsia="Arial" w:hAnsi="Arial" w:cs="Arial"/>
          <w:sz w:val="16"/>
          <w:szCs w:val="24"/>
          <w:lang w:eastAsia="de-DE"/>
        </w:rPr>
        <w:t xml:space="preserve">. </w:t>
      </w:r>
      <w:r w:rsidR="00960731" w:rsidRPr="00EC57F8">
        <w:rPr>
          <w:rFonts w:ascii="Arial" w:eastAsia="Arial" w:hAnsi="Arial" w:cs="Arial"/>
          <w:sz w:val="16"/>
          <w:szCs w:val="24"/>
        </w:rPr>
        <w:t>ENGLISCH</w:t>
      </w:r>
    </w:p>
    <w:p w14:paraId="1F45327D" w14:textId="77777777" w:rsidR="00B60659" w:rsidRPr="00EC57F8"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EC57F8"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EC57F8">
        <w:rPr>
          <w:rFonts w:ascii="Arial" w:hAnsi="Arial"/>
          <w:sz w:val="16"/>
        </w:rPr>
        <w:t xml:space="preserve">GEMEINSAME EXPERTENTAGUNG FÜR DIE DEM ÜBEREINKOMMEN ÜBER DIE INTERNATIONALE BEFÖRDERUNG VON GEFÄHRLICHEN GÜTERN AUF </w:t>
      </w:r>
      <w:r w:rsidRPr="00EC57F8">
        <w:rPr>
          <w:rFonts w:ascii="Arial" w:eastAsia="Calibri" w:hAnsi="Arial"/>
          <w:sz w:val="16"/>
        </w:rPr>
        <w:t xml:space="preserve">BINNENWASSERSTRAẞEN (ADN) </w:t>
      </w:r>
      <w:r w:rsidRPr="00EC57F8">
        <w:rPr>
          <w:rFonts w:ascii="Arial" w:hAnsi="Arial"/>
          <w:sz w:val="16"/>
        </w:rPr>
        <w:t>BEIGEFÜGTE VERORDNUNG (SICHERHEITSAUSSCHUSS)</w:t>
      </w:r>
    </w:p>
    <w:p w14:paraId="1342B616" w14:textId="4E64FD32" w:rsidR="00B60659" w:rsidRPr="00EC57F8"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EC57F8">
        <w:rPr>
          <w:rFonts w:ascii="Arial" w:hAnsi="Arial"/>
          <w:sz w:val="16"/>
          <w:szCs w:val="24"/>
        </w:rPr>
        <w:t>(4</w:t>
      </w:r>
      <w:r w:rsidR="008C5274" w:rsidRPr="00EC57F8">
        <w:rPr>
          <w:rFonts w:ascii="Arial" w:hAnsi="Arial"/>
          <w:sz w:val="16"/>
          <w:szCs w:val="24"/>
        </w:rPr>
        <w:t>2</w:t>
      </w:r>
      <w:r w:rsidRPr="00EC57F8">
        <w:rPr>
          <w:rFonts w:ascii="Arial" w:hAnsi="Arial"/>
          <w:sz w:val="16"/>
          <w:szCs w:val="24"/>
        </w:rPr>
        <w:t>. Tagung, Genf, 2</w:t>
      </w:r>
      <w:r w:rsidR="008C5274" w:rsidRPr="00EC57F8">
        <w:rPr>
          <w:rFonts w:ascii="Arial" w:hAnsi="Arial"/>
          <w:sz w:val="16"/>
          <w:szCs w:val="24"/>
        </w:rPr>
        <w:t>1</w:t>
      </w:r>
      <w:r w:rsidRPr="00EC57F8">
        <w:rPr>
          <w:rFonts w:ascii="Arial" w:hAnsi="Arial"/>
          <w:sz w:val="16"/>
          <w:szCs w:val="24"/>
        </w:rPr>
        <w:t>. – 2</w:t>
      </w:r>
      <w:r w:rsidR="008C5274" w:rsidRPr="00EC57F8">
        <w:rPr>
          <w:rFonts w:ascii="Arial" w:hAnsi="Arial"/>
          <w:sz w:val="16"/>
          <w:szCs w:val="24"/>
        </w:rPr>
        <w:t>5</w:t>
      </w:r>
      <w:r w:rsidRPr="00EC57F8">
        <w:rPr>
          <w:rFonts w:ascii="Arial" w:hAnsi="Arial"/>
          <w:sz w:val="16"/>
          <w:szCs w:val="24"/>
        </w:rPr>
        <w:t>.</w:t>
      </w:r>
      <w:r w:rsidR="008C5274" w:rsidRPr="00EC57F8">
        <w:rPr>
          <w:rFonts w:ascii="Arial" w:hAnsi="Arial"/>
          <w:sz w:val="16"/>
          <w:szCs w:val="24"/>
        </w:rPr>
        <w:t xml:space="preserve"> August</w:t>
      </w:r>
      <w:r w:rsidRPr="00EC57F8">
        <w:rPr>
          <w:rFonts w:ascii="Arial" w:hAnsi="Arial"/>
          <w:sz w:val="16"/>
          <w:szCs w:val="24"/>
        </w:rPr>
        <w:t xml:space="preserve"> 2023)</w:t>
      </w:r>
    </w:p>
    <w:p w14:paraId="01501DC6" w14:textId="135237A4" w:rsidR="00B60659" w:rsidRPr="00EC57F8"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EC57F8">
        <w:rPr>
          <w:rFonts w:ascii="Arial" w:hAnsi="Arial" w:cs="Arial"/>
          <w:sz w:val="16"/>
          <w:szCs w:val="16"/>
          <w:lang w:eastAsia="en-US"/>
        </w:rPr>
        <w:t xml:space="preserve">Punkt </w:t>
      </w:r>
      <w:r w:rsidR="008C5274" w:rsidRPr="00EC57F8">
        <w:rPr>
          <w:rFonts w:ascii="Arial" w:hAnsi="Arial" w:cs="Arial"/>
          <w:sz w:val="16"/>
          <w:szCs w:val="16"/>
          <w:lang w:eastAsia="en-US"/>
        </w:rPr>
        <w:t>4 b)</w:t>
      </w:r>
      <w:r w:rsidRPr="00EC57F8">
        <w:rPr>
          <w:rFonts w:ascii="Arial" w:hAnsi="Arial" w:cs="Arial"/>
          <w:sz w:val="16"/>
          <w:szCs w:val="16"/>
          <w:lang w:eastAsia="en-US"/>
        </w:rPr>
        <w:t xml:space="preserve"> der vorläufigen Tagesordnung</w:t>
      </w:r>
    </w:p>
    <w:p w14:paraId="7992D5BF" w14:textId="77777777" w:rsidR="00B60659" w:rsidRPr="00EC57F8"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EC57F8">
        <w:rPr>
          <w:rFonts w:ascii="Arial" w:hAnsi="Arial" w:cs="Arial"/>
          <w:b/>
          <w:sz w:val="14"/>
          <w:szCs w:val="16"/>
          <w:lang w:eastAsia="en-US"/>
        </w:rPr>
        <w:t>Vorschläge für Änderungen der dem ADN beigefügten Verordnung: Weitere Änderungsvorschläge</w:t>
      </w:r>
    </w:p>
    <w:p w14:paraId="111EEFA9" w14:textId="77777777" w:rsidR="00B60659" w:rsidRPr="00EC57F8" w:rsidRDefault="00B60659" w:rsidP="00B60659">
      <w:pPr>
        <w:widowControl/>
        <w:overflowPunct/>
        <w:autoSpaceDE/>
        <w:autoSpaceDN/>
        <w:adjustRightInd/>
        <w:ind w:firstLine="0"/>
        <w:textAlignment w:val="auto"/>
        <w:rPr>
          <w:b/>
          <w:lang w:eastAsia="de-DE"/>
        </w:rPr>
      </w:pPr>
    </w:p>
    <w:p w14:paraId="0A5E2EE6" w14:textId="0A75FF11" w:rsidR="00352E31" w:rsidRPr="00EC57F8" w:rsidRDefault="00352E31" w:rsidP="00CF613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EC57F8">
        <w:rPr>
          <w:b/>
          <w:sz w:val="28"/>
        </w:rPr>
        <w:tab/>
      </w:r>
      <w:r w:rsidRPr="00EC57F8">
        <w:rPr>
          <w:b/>
          <w:sz w:val="28"/>
        </w:rPr>
        <w:tab/>
      </w:r>
      <w:r w:rsidR="00ED42D8" w:rsidRPr="00EC57F8">
        <w:rPr>
          <w:b/>
          <w:sz w:val="28"/>
        </w:rPr>
        <w:t>Definition des Begriffs</w:t>
      </w:r>
      <w:r w:rsidR="00CF6132" w:rsidRPr="00EC57F8">
        <w:rPr>
          <w:b/>
          <w:sz w:val="28"/>
        </w:rPr>
        <w:t xml:space="preserve"> „Prüfstelle“</w:t>
      </w:r>
    </w:p>
    <w:p w14:paraId="4BFD03E2" w14:textId="3C821EE3" w:rsidR="008D3DAE" w:rsidRPr="00EC57F8" w:rsidRDefault="0079361A" w:rsidP="008D3DAE">
      <w:pPr>
        <w:spacing w:after="120"/>
        <w:ind w:firstLine="0"/>
        <w:jc w:val="left"/>
        <w:rPr>
          <w:b/>
          <w:sz w:val="24"/>
        </w:rPr>
      </w:pPr>
      <w:r w:rsidRPr="00EC57F8">
        <w:rPr>
          <w:b/>
          <w:sz w:val="24"/>
        </w:rPr>
        <w:t xml:space="preserve">Eingereicht von </w:t>
      </w:r>
      <w:r w:rsidR="00960731" w:rsidRPr="00EC57F8">
        <w:rPr>
          <w:b/>
          <w:sz w:val="24"/>
        </w:rPr>
        <w:t>Deutschland, Frankreich und den Niederlanden</w:t>
      </w:r>
      <w:r w:rsidR="008D3DAE" w:rsidRPr="00EC57F8">
        <w:rPr>
          <w:b/>
          <w:sz w:val="24"/>
        </w:rPr>
        <w:footnoteReference w:customMarkFollows="1" w:id="1"/>
        <w:t xml:space="preserve">*, </w:t>
      </w:r>
      <w:r w:rsidR="008D3DAE" w:rsidRPr="00EC57F8">
        <w:rPr>
          <w:b/>
          <w:sz w:val="24"/>
        </w:rPr>
        <w:footnoteReference w:customMarkFollows="1" w:id="2"/>
        <w:t>**</w:t>
      </w:r>
    </w:p>
    <w:p w14:paraId="2B1D18D7" w14:textId="77777777" w:rsidR="00960731" w:rsidRPr="00EC57F8" w:rsidRDefault="00960731" w:rsidP="00960731">
      <w:pPr>
        <w:widowControl/>
        <w:suppressAutoHyphens/>
        <w:overflowPunct/>
        <w:autoSpaceDE/>
        <w:autoSpaceDN/>
        <w:adjustRightInd/>
        <w:spacing w:line="240" w:lineRule="atLeast"/>
        <w:ind w:left="0" w:firstLine="0"/>
        <w:jc w:val="left"/>
        <w:textAlignment w:val="auto"/>
      </w:pPr>
    </w:p>
    <w:tbl>
      <w:tblPr>
        <w:tblStyle w:val="Grilledutableau1"/>
        <w:tblW w:w="0" w:type="auto"/>
        <w:jc w:val="center"/>
        <w:tblCellMar>
          <w:left w:w="0" w:type="dxa"/>
          <w:right w:w="0" w:type="dxa"/>
        </w:tblCellMar>
        <w:tblLook w:val="05E0" w:firstRow="1" w:lastRow="1" w:firstColumn="1" w:lastColumn="1" w:noHBand="0" w:noVBand="1"/>
      </w:tblPr>
      <w:tblGrid>
        <w:gridCol w:w="2689"/>
        <w:gridCol w:w="6940"/>
      </w:tblGrid>
      <w:tr w:rsidR="00960731" w:rsidRPr="00EC57F8" w14:paraId="410FD05D" w14:textId="77777777" w:rsidTr="00511DA9">
        <w:trPr>
          <w:trHeight w:val="240"/>
          <w:jc w:val="center"/>
        </w:trPr>
        <w:tc>
          <w:tcPr>
            <w:tcW w:w="2689" w:type="dxa"/>
            <w:tcBorders>
              <w:bottom w:val="nil"/>
              <w:right w:val="nil"/>
            </w:tcBorders>
          </w:tcPr>
          <w:p w14:paraId="164EC6E0" w14:textId="090787A9" w:rsidR="00960731" w:rsidRPr="00EC57F8" w:rsidRDefault="00960731" w:rsidP="00960731">
            <w:pPr>
              <w:widowControl/>
              <w:tabs>
                <w:tab w:val="left" w:pos="255"/>
              </w:tabs>
              <w:overflowPunct/>
              <w:autoSpaceDE/>
              <w:autoSpaceDN/>
              <w:adjustRightInd/>
              <w:spacing w:before="240" w:after="120"/>
              <w:ind w:left="0" w:firstLine="0"/>
              <w:jc w:val="left"/>
              <w:textAlignment w:val="auto"/>
              <w:rPr>
                <w:sz w:val="24"/>
                <w:lang w:val="de-DE" w:eastAsia="zh-CN"/>
              </w:rPr>
            </w:pPr>
            <w:r w:rsidRPr="00EC57F8">
              <w:rPr>
                <w:lang w:val="de-DE" w:eastAsia="zh-CN"/>
              </w:rPr>
              <w:tab/>
            </w:r>
            <w:r w:rsidRPr="00EC57F8">
              <w:rPr>
                <w:i/>
                <w:sz w:val="24"/>
                <w:lang w:val="de-DE" w:eastAsia="zh-CN"/>
              </w:rPr>
              <w:t>Zusammenfassung</w:t>
            </w:r>
          </w:p>
        </w:tc>
        <w:tc>
          <w:tcPr>
            <w:tcW w:w="6940" w:type="dxa"/>
            <w:tcBorders>
              <w:left w:val="nil"/>
              <w:bottom w:val="nil"/>
            </w:tcBorders>
          </w:tcPr>
          <w:p w14:paraId="67303FE3" w14:textId="693932BA" w:rsidR="00960731" w:rsidRPr="00EC57F8" w:rsidRDefault="00ED42D8" w:rsidP="00ED42D8">
            <w:pPr>
              <w:widowControl/>
              <w:tabs>
                <w:tab w:val="left" w:pos="1701"/>
                <w:tab w:val="left" w:pos="2268"/>
              </w:tabs>
              <w:overflowPunct/>
              <w:autoSpaceDE/>
              <w:autoSpaceDN/>
              <w:adjustRightInd/>
              <w:spacing w:after="120"/>
              <w:ind w:left="0" w:right="1134" w:firstLine="0"/>
              <w:textAlignment w:val="auto"/>
              <w:rPr>
                <w:lang w:val="de-DE" w:eastAsia="zh-CN"/>
              </w:rPr>
            </w:pPr>
            <w:r w:rsidRPr="00EC57F8">
              <w:rPr>
                <w:lang w:val="de-DE" w:eastAsia="zh-CN"/>
              </w:rPr>
              <w:t>Die Verfasser schlagen Änderungen an der dem ADN beigefügten Verordnung vor, um die Definition des Begriffs „Prüfstelle“ zu klären.</w:t>
            </w:r>
          </w:p>
        </w:tc>
      </w:tr>
      <w:tr w:rsidR="00960731" w:rsidRPr="00EC57F8" w14:paraId="7CB5EAE0" w14:textId="77777777" w:rsidTr="00511DA9">
        <w:trPr>
          <w:trHeight w:val="240"/>
          <w:jc w:val="center"/>
        </w:trPr>
        <w:tc>
          <w:tcPr>
            <w:tcW w:w="2689" w:type="dxa"/>
            <w:tcBorders>
              <w:top w:val="nil"/>
              <w:bottom w:val="nil"/>
              <w:right w:val="nil"/>
            </w:tcBorders>
            <w:shd w:val="clear" w:color="auto" w:fill="auto"/>
          </w:tcPr>
          <w:p w14:paraId="16B96504" w14:textId="3100D7E3" w:rsidR="00960731" w:rsidRPr="00EC57F8" w:rsidRDefault="00BC0496" w:rsidP="00ED42D8">
            <w:pPr>
              <w:widowControl/>
              <w:tabs>
                <w:tab w:val="left" w:pos="1701"/>
                <w:tab w:val="left" w:pos="2268"/>
              </w:tabs>
              <w:overflowPunct/>
              <w:autoSpaceDE/>
              <w:autoSpaceDN/>
              <w:adjustRightInd/>
              <w:spacing w:after="120"/>
              <w:ind w:left="284" w:firstLine="0"/>
              <w:textAlignment w:val="auto"/>
              <w:rPr>
                <w:b/>
                <w:bCs/>
                <w:lang w:val="de-DE" w:eastAsia="zh-CN"/>
              </w:rPr>
            </w:pPr>
            <w:r w:rsidRPr="00EC57F8">
              <w:rPr>
                <w:b/>
                <w:bCs/>
                <w:lang w:val="de-DE" w:eastAsia="zh-CN"/>
              </w:rPr>
              <w:t xml:space="preserve">Analytische </w:t>
            </w:r>
            <w:r w:rsidR="00CF6132" w:rsidRPr="00EC57F8">
              <w:rPr>
                <w:b/>
                <w:bCs/>
                <w:lang w:val="de-DE" w:eastAsia="zh-CN"/>
              </w:rPr>
              <w:t>Zusammenfassung:</w:t>
            </w:r>
          </w:p>
        </w:tc>
        <w:tc>
          <w:tcPr>
            <w:tcW w:w="6940" w:type="dxa"/>
            <w:tcBorders>
              <w:top w:val="nil"/>
              <w:left w:val="nil"/>
              <w:bottom w:val="nil"/>
            </w:tcBorders>
            <w:shd w:val="clear" w:color="auto" w:fill="auto"/>
          </w:tcPr>
          <w:p w14:paraId="61650D23" w14:textId="28C07CD2" w:rsidR="00960731" w:rsidRPr="00EC57F8" w:rsidRDefault="00511DA9" w:rsidP="00511DA9">
            <w:pPr>
              <w:widowControl/>
              <w:tabs>
                <w:tab w:val="left" w:pos="1701"/>
                <w:tab w:val="left" w:pos="2268"/>
              </w:tabs>
              <w:overflowPunct/>
              <w:autoSpaceDE/>
              <w:autoSpaceDN/>
              <w:adjustRightInd/>
              <w:spacing w:after="120"/>
              <w:ind w:left="0" w:right="1134" w:firstLine="0"/>
              <w:textAlignment w:val="auto"/>
              <w:rPr>
                <w:lang w:val="de-DE" w:eastAsia="zh-CN"/>
              </w:rPr>
            </w:pPr>
            <w:r w:rsidRPr="00EC57F8">
              <w:rPr>
                <w:lang w:val="de-DE" w:eastAsia="zh-CN"/>
              </w:rPr>
              <w:t>Der</w:t>
            </w:r>
            <w:r w:rsidR="00975588" w:rsidRPr="00EC57F8">
              <w:rPr>
                <w:lang w:val="de-DE" w:eastAsia="zh-CN"/>
              </w:rPr>
              <w:t xml:space="preserve"> vorliegende</w:t>
            </w:r>
            <w:r w:rsidRPr="00EC57F8">
              <w:rPr>
                <w:lang w:val="de-DE" w:eastAsia="zh-CN"/>
              </w:rPr>
              <w:t xml:space="preserve"> Vorschlag zielt darauf ab, die Verwendung des Begriffs „Prüfstelle(n)“ entsprechend den Stellen, an denen er in der dem ADN beigefügten Verordnung verwendet und umgesetzt wird, zu klären und entsprechende Änderungen </w:t>
            </w:r>
            <w:r w:rsidR="00975588" w:rsidRPr="00EC57F8">
              <w:rPr>
                <w:lang w:val="de-DE" w:eastAsia="zh-CN"/>
              </w:rPr>
              <w:t>anzuregen</w:t>
            </w:r>
            <w:r w:rsidRPr="00EC57F8">
              <w:rPr>
                <w:lang w:val="de-DE" w:eastAsia="zh-CN"/>
              </w:rPr>
              <w:t>.</w:t>
            </w:r>
          </w:p>
        </w:tc>
      </w:tr>
      <w:tr w:rsidR="00960731" w:rsidRPr="00EC57F8" w14:paraId="0C3D27EA" w14:textId="77777777" w:rsidTr="00511DA9">
        <w:trPr>
          <w:jc w:val="center"/>
        </w:trPr>
        <w:tc>
          <w:tcPr>
            <w:tcW w:w="2689" w:type="dxa"/>
            <w:tcBorders>
              <w:top w:val="nil"/>
              <w:bottom w:val="nil"/>
              <w:right w:val="nil"/>
            </w:tcBorders>
            <w:shd w:val="clear" w:color="auto" w:fill="auto"/>
          </w:tcPr>
          <w:p w14:paraId="6A009A8B" w14:textId="338A1140" w:rsidR="00960731" w:rsidRPr="00EC57F8" w:rsidRDefault="00960731" w:rsidP="00960731">
            <w:pPr>
              <w:widowControl/>
              <w:tabs>
                <w:tab w:val="left" w:pos="1701"/>
                <w:tab w:val="left" w:pos="2268"/>
              </w:tabs>
              <w:overflowPunct/>
              <w:autoSpaceDE/>
              <w:autoSpaceDN/>
              <w:adjustRightInd/>
              <w:spacing w:after="120"/>
              <w:ind w:left="284" w:firstLine="0"/>
              <w:textAlignment w:val="auto"/>
              <w:rPr>
                <w:b/>
                <w:bCs/>
                <w:lang w:val="de-DE" w:eastAsia="zh-CN"/>
              </w:rPr>
            </w:pPr>
            <w:r w:rsidRPr="00EC57F8">
              <w:rPr>
                <w:b/>
                <w:bCs/>
                <w:lang w:val="de-DE" w:eastAsia="zh-CN"/>
              </w:rPr>
              <w:t>Zu ergreifende Maßnahme:</w:t>
            </w:r>
          </w:p>
        </w:tc>
        <w:tc>
          <w:tcPr>
            <w:tcW w:w="6940" w:type="dxa"/>
            <w:tcBorders>
              <w:top w:val="nil"/>
              <w:left w:val="nil"/>
              <w:bottom w:val="nil"/>
            </w:tcBorders>
            <w:shd w:val="clear" w:color="auto" w:fill="auto"/>
          </w:tcPr>
          <w:p w14:paraId="3435BA69" w14:textId="1940FF30" w:rsidR="00960731" w:rsidRPr="00EC57F8" w:rsidRDefault="00960731" w:rsidP="00960731">
            <w:pPr>
              <w:widowControl/>
              <w:tabs>
                <w:tab w:val="left" w:pos="1701"/>
                <w:tab w:val="left" w:pos="2268"/>
              </w:tabs>
              <w:overflowPunct/>
              <w:autoSpaceDE/>
              <w:autoSpaceDN/>
              <w:adjustRightInd/>
              <w:spacing w:after="120"/>
              <w:ind w:left="0" w:firstLine="0"/>
              <w:textAlignment w:val="auto"/>
              <w:rPr>
                <w:lang w:val="de-DE" w:eastAsia="zh-CN"/>
              </w:rPr>
            </w:pPr>
            <w:r w:rsidRPr="00EC57F8">
              <w:rPr>
                <w:lang w:val="de-DE" w:eastAsia="zh-CN"/>
              </w:rPr>
              <w:t>Siehe Absatz 8</w:t>
            </w:r>
          </w:p>
        </w:tc>
      </w:tr>
      <w:tr w:rsidR="00960731" w:rsidRPr="00EC57F8" w14:paraId="17665998" w14:textId="77777777" w:rsidTr="00511DA9">
        <w:trPr>
          <w:jc w:val="center"/>
        </w:trPr>
        <w:tc>
          <w:tcPr>
            <w:tcW w:w="2689" w:type="dxa"/>
            <w:tcBorders>
              <w:top w:val="nil"/>
              <w:bottom w:val="nil"/>
              <w:right w:val="nil"/>
            </w:tcBorders>
            <w:shd w:val="clear" w:color="auto" w:fill="auto"/>
          </w:tcPr>
          <w:p w14:paraId="2130E05A" w14:textId="2B75C8CA" w:rsidR="00960731" w:rsidRPr="00EC57F8" w:rsidRDefault="00960731" w:rsidP="00960731">
            <w:pPr>
              <w:widowControl/>
              <w:tabs>
                <w:tab w:val="left" w:pos="1701"/>
                <w:tab w:val="left" w:pos="2268"/>
              </w:tabs>
              <w:overflowPunct/>
              <w:autoSpaceDE/>
              <w:autoSpaceDN/>
              <w:adjustRightInd/>
              <w:spacing w:after="120"/>
              <w:ind w:left="284" w:firstLine="0"/>
              <w:textAlignment w:val="auto"/>
              <w:rPr>
                <w:b/>
                <w:bCs/>
                <w:lang w:val="de-DE" w:eastAsia="zh-CN"/>
              </w:rPr>
            </w:pPr>
            <w:r w:rsidRPr="00EC57F8">
              <w:rPr>
                <w:b/>
                <w:bCs/>
                <w:lang w:val="de-DE" w:eastAsia="zh-CN"/>
              </w:rPr>
              <w:t>Verbundene Dokumente:</w:t>
            </w:r>
          </w:p>
        </w:tc>
        <w:tc>
          <w:tcPr>
            <w:tcW w:w="6940" w:type="dxa"/>
            <w:tcBorders>
              <w:top w:val="nil"/>
              <w:left w:val="nil"/>
              <w:bottom w:val="nil"/>
            </w:tcBorders>
            <w:shd w:val="clear" w:color="auto" w:fill="auto"/>
          </w:tcPr>
          <w:p w14:paraId="6B1B93D7" w14:textId="77777777" w:rsidR="00960731" w:rsidRPr="00EC57F8" w:rsidRDefault="00960731" w:rsidP="00960731">
            <w:pPr>
              <w:widowControl/>
              <w:tabs>
                <w:tab w:val="left" w:pos="1701"/>
                <w:tab w:val="left" w:pos="2268"/>
              </w:tabs>
              <w:overflowPunct/>
              <w:autoSpaceDE/>
              <w:autoSpaceDN/>
              <w:adjustRightInd/>
              <w:ind w:left="0" w:right="130" w:firstLine="0"/>
              <w:jc w:val="left"/>
              <w:textAlignment w:val="auto"/>
              <w:rPr>
                <w:lang w:val="en-US" w:eastAsia="zh-CN"/>
              </w:rPr>
            </w:pPr>
            <w:r w:rsidRPr="00EC57F8">
              <w:rPr>
                <w:lang w:val="en-US" w:eastAsia="zh-CN"/>
              </w:rPr>
              <w:t>ECE/TRANS/WP.15/AC.2/2022/25</w:t>
            </w:r>
          </w:p>
          <w:p w14:paraId="1C039352" w14:textId="5433F670" w:rsidR="00960731" w:rsidRPr="00EC57F8" w:rsidRDefault="00960731" w:rsidP="00960731">
            <w:pPr>
              <w:widowControl/>
              <w:tabs>
                <w:tab w:val="left" w:pos="1701"/>
                <w:tab w:val="left" w:pos="2268"/>
              </w:tabs>
              <w:overflowPunct/>
              <w:autoSpaceDE/>
              <w:autoSpaceDN/>
              <w:adjustRightInd/>
              <w:ind w:left="0" w:right="130" w:firstLine="0"/>
              <w:jc w:val="left"/>
              <w:textAlignment w:val="auto"/>
              <w:rPr>
                <w:bCs/>
                <w:lang w:val="en-US" w:eastAsia="zh-CN"/>
              </w:rPr>
            </w:pPr>
            <w:r w:rsidRPr="00EC57F8">
              <w:rPr>
                <w:bCs/>
                <w:lang w:val="en-US" w:eastAsia="zh-CN"/>
              </w:rPr>
              <w:t>ECE/TRANS/WP.15/AC.2/82 (Abs. 34)</w:t>
            </w:r>
          </w:p>
          <w:p w14:paraId="50378023" w14:textId="60DE4AC4" w:rsidR="00960731" w:rsidRPr="00EC57F8" w:rsidRDefault="00960731" w:rsidP="00960731">
            <w:pPr>
              <w:widowControl/>
              <w:tabs>
                <w:tab w:val="left" w:pos="1701"/>
                <w:tab w:val="left" w:pos="2268"/>
              </w:tabs>
              <w:overflowPunct/>
              <w:autoSpaceDE/>
              <w:autoSpaceDN/>
              <w:adjustRightInd/>
              <w:ind w:left="0" w:right="130" w:firstLine="0"/>
              <w:jc w:val="left"/>
              <w:textAlignment w:val="auto"/>
              <w:rPr>
                <w:lang w:val="de-DE" w:eastAsia="zh-CN"/>
              </w:rPr>
            </w:pPr>
            <w:r w:rsidRPr="00EC57F8">
              <w:rPr>
                <w:bCs/>
                <w:lang w:val="de-DE" w:eastAsia="zh-CN"/>
              </w:rPr>
              <w:t>Informelles Dokument INF.5 der 41. Sitzung</w:t>
            </w:r>
          </w:p>
          <w:p w14:paraId="7C3BA643" w14:textId="62206DD9" w:rsidR="00960731" w:rsidRPr="00EC57F8" w:rsidRDefault="00960731" w:rsidP="00960731">
            <w:pPr>
              <w:widowControl/>
              <w:tabs>
                <w:tab w:val="left" w:pos="1701"/>
                <w:tab w:val="left" w:pos="2268"/>
              </w:tabs>
              <w:overflowPunct/>
              <w:autoSpaceDE/>
              <w:autoSpaceDN/>
              <w:adjustRightInd/>
              <w:spacing w:after="120"/>
              <w:ind w:left="0" w:right="1134" w:firstLine="0"/>
              <w:textAlignment w:val="auto"/>
              <w:rPr>
                <w:lang w:val="de-DE" w:eastAsia="zh-CN"/>
              </w:rPr>
            </w:pPr>
            <w:r w:rsidRPr="00EC57F8">
              <w:rPr>
                <w:lang w:val="de-DE" w:eastAsia="zh-CN"/>
              </w:rPr>
              <w:t>ECE/TRANS/WP.15/AC.2/84, Abs. 36 (Protokoll der 41. Sitzung)</w:t>
            </w:r>
          </w:p>
        </w:tc>
      </w:tr>
      <w:tr w:rsidR="00960731" w:rsidRPr="00EC57F8" w14:paraId="5B5D5B0B" w14:textId="77777777" w:rsidTr="00511DA9">
        <w:trPr>
          <w:jc w:val="center"/>
        </w:trPr>
        <w:tc>
          <w:tcPr>
            <w:tcW w:w="2689" w:type="dxa"/>
            <w:tcBorders>
              <w:top w:val="nil"/>
              <w:right w:val="nil"/>
            </w:tcBorders>
          </w:tcPr>
          <w:p w14:paraId="4C87DC6F" w14:textId="77777777" w:rsidR="00960731" w:rsidRPr="00EC57F8" w:rsidRDefault="00960731" w:rsidP="00960731">
            <w:pPr>
              <w:widowControl/>
              <w:overflowPunct/>
              <w:autoSpaceDE/>
              <w:autoSpaceDN/>
              <w:adjustRightInd/>
              <w:ind w:left="0" w:firstLine="0"/>
              <w:jc w:val="left"/>
              <w:textAlignment w:val="auto"/>
              <w:rPr>
                <w:lang w:val="de-DE" w:eastAsia="zh-CN"/>
              </w:rPr>
            </w:pPr>
          </w:p>
        </w:tc>
        <w:tc>
          <w:tcPr>
            <w:tcW w:w="6940" w:type="dxa"/>
            <w:tcBorders>
              <w:top w:val="nil"/>
              <w:left w:val="nil"/>
            </w:tcBorders>
          </w:tcPr>
          <w:p w14:paraId="13205B5B" w14:textId="77777777" w:rsidR="00960731" w:rsidRPr="00EC57F8" w:rsidRDefault="00960731" w:rsidP="00960731">
            <w:pPr>
              <w:widowControl/>
              <w:overflowPunct/>
              <w:autoSpaceDE/>
              <w:autoSpaceDN/>
              <w:adjustRightInd/>
              <w:ind w:left="0" w:firstLine="0"/>
              <w:jc w:val="left"/>
              <w:textAlignment w:val="auto"/>
              <w:rPr>
                <w:lang w:val="de-DE" w:eastAsia="zh-CN"/>
              </w:rPr>
            </w:pPr>
          </w:p>
        </w:tc>
      </w:tr>
    </w:tbl>
    <w:p w14:paraId="47FA9F4A" w14:textId="77777777" w:rsidR="00E10502" w:rsidRPr="00EC57F8" w:rsidRDefault="00E10502" w:rsidP="0096073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p>
    <w:p w14:paraId="2E763CEE" w14:textId="77777777" w:rsidR="00E10502" w:rsidRPr="00EC57F8" w:rsidRDefault="00E10502">
      <w:pPr>
        <w:widowControl/>
        <w:overflowPunct/>
        <w:autoSpaceDE/>
        <w:autoSpaceDN/>
        <w:adjustRightInd/>
        <w:ind w:left="0" w:firstLine="0"/>
        <w:jc w:val="left"/>
        <w:textAlignment w:val="auto"/>
        <w:rPr>
          <w:b/>
          <w:sz w:val="28"/>
        </w:rPr>
      </w:pPr>
      <w:r w:rsidRPr="00EC57F8">
        <w:rPr>
          <w:b/>
          <w:sz w:val="28"/>
        </w:rPr>
        <w:br w:type="page"/>
      </w:r>
    </w:p>
    <w:p w14:paraId="277A9C8C" w14:textId="74BDBFDB" w:rsidR="00960731" w:rsidRPr="00EC57F8" w:rsidRDefault="00960731" w:rsidP="0096073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EC57F8">
        <w:rPr>
          <w:b/>
          <w:sz w:val="28"/>
        </w:rPr>
        <w:lastRenderedPageBreak/>
        <w:tab/>
      </w:r>
      <w:r w:rsidRPr="00EC57F8">
        <w:rPr>
          <w:b/>
          <w:sz w:val="28"/>
        </w:rPr>
        <w:tab/>
      </w:r>
      <w:r w:rsidR="009D3667" w:rsidRPr="00EC57F8">
        <w:rPr>
          <w:b/>
          <w:sz w:val="28"/>
        </w:rPr>
        <w:t>Einleitung</w:t>
      </w:r>
    </w:p>
    <w:p w14:paraId="25D481C0" w14:textId="796646D5" w:rsidR="00960731" w:rsidRPr="00EC57F8" w:rsidRDefault="00960731" w:rsidP="00511DA9">
      <w:pPr>
        <w:widowControl/>
        <w:tabs>
          <w:tab w:val="left" w:pos="1701"/>
        </w:tabs>
        <w:suppressAutoHyphens/>
        <w:overflowPunct/>
        <w:autoSpaceDE/>
        <w:autoSpaceDN/>
        <w:adjustRightInd/>
        <w:spacing w:after="120" w:line="240" w:lineRule="atLeast"/>
        <w:ind w:right="1134" w:firstLine="0"/>
        <w:textAlignment w:val="auto"/>
      </w:pPr>
      <w:r w:rsidRPr="00EC57F8">
        <w:t>1.</w:t>
      </w:r>
      <w:r w:rsidRPr="00EC57F8">
        <w:tab/>
      </w:r>
      <w:r w:rsidR="00511DA9" w:rsidRPr="00EC57F8">
        <w:t>Auf der einundvierzigsten Sitzung des Sicherheitsausschusses legten Frankreich, Deutschland und die Niederlande das informelle Dokument INF.5 vor.</w:t>
      </w:r>
    </w:p>
    <w:p w14:paraId="648262E3" w14:textId="33936C64" w:rsidR="00960731" w:rsidRPr="00EC57F8" w:rsidRDefault="00960731" w:rsidP="00511DA9">
      <w:pPr>
        <w:widowControl/>
        <w:tabs>
          <w:tab w:val="left" w:pos="1701"/>
        </w:tabs>
        <w:suppressAutoHyphens/>
        <w:overflowPunct/>
        <w:autoSpaceDE/>
        <w:autoSpaceDN/>
        <w:adjustRightInd/>
        <w:spacing w:after="120" w:line="240" w:lineRule="atLeast"/>
        <w:ind w:right="1134" w:firstLine="0"/>
        <w:textAlignment w:val="auto"/>
      </w:pPr>
      <w:r w:rsidRPr="00EC57F8">
        <w:t>2.</w:t>
      </w:r>
      <w:r w:rsidRPr="00EC57F8">
        <w:tab/>
      </w:r>
      <w:r w:rsidR="00511DA9" w:rsidRPr="00EC57F8">
        <w:t>Die Ergebnisse der Diskussionen sind in Absatz 36 des Protokolls über die einundvierzigste Sitzung des Sicherheitsausschusses wiedergegeben:</w:t>
      </w:r>
    </w:p>
    <w:p w14:paraId="6CEA96F9" w14:textId="5A0C2056" w:rsidR="009D3667" w:rsidRPr="00EC57F8" w:rsidRDefault="009D3667" w:rsidP="009D3667">
      <w:pPr>
        <w:widowControl/>
        <w:tabs>
          <w:tab w:val="left" w:pos="1701"/>
        </w:tabs>
        <w:suppressAutoHyphens/>
        <w:overflowPunct/>
        <w:autoSpaceDE/>
        <w:autoSpaceDN/>
        <w:adjustRightInd/>
        <w:spacing w:after="120" w:line="240" w:lineRule="atLeast"/>
        <w:ind w:right="1134" w:firstLine="0"/>
        <w:textAlignment w:val="auto"/>
      </w:pPr>
      <w:r w:rsidRPr="00EC57F8">
        <w:t>„36.</w:t>
      </w:r>
      <w:r w:rsidRPr="00EC57F8">
        <w:tab/>
        <w:t xml:space="preserve">Der Sicherheitsausschuss stimmte darin überein, dass die </w:t>
      </w:r>
      <w:r w:rsidR="00975588" w:rsidRPr="00EC57F8">
        <w:t>Definition des Begriffs</w:t>
      </w:r>
      <w:r w:rsidRPr="00EC57F8">
        <w:t xml:space="preserve"> „</w:t>
      </w:r>
      <w:r w:rsidR="00C64236" w:rsidRPr="00EC57F8">
        <w:t>Prüfstelle</w:t>
      </w:r>
      <w:r w:rsidRPr="00EC57F8">
        <w:t>“ in der englischen Fassung des ADN klarer gefasst werden muss, was jedoch eine Änderung des Übereinkommens voraussetzen würde. Um die Einberufung einer Konferenz der Vertragsparteien und auch eine Aufforderung an die Gemeinsame RID/ADR/ADN-Tagung zur Anpassung des RID/ADR zu vermeiden, wurde empfohlen, die Frage durch die Verwendung eines leicht abweichenden Begriffs für die englische Fassung und/oder eine neue Fußnote zu lösen. Die Vertreter Frankreichs, Deutschlands und der Niederlande erklärten sich bereit, bei der nächsten Sitzung des Sicherheitsausschusses einen neuen Vorschlag zu unterbreiten.“.</w:t>
      </w:r>
    </w:p>
    <w:p w14:paraId="79188AE2" w14:textId="4553FC91" w:rsidR="00960731" w:rsidRPr="00EC57F8" w:rsidRDefault="00960731" w:rsidP="009D3667">
      <w:pPr>
        <w:widowControl/>
        <w:tabs>
          <w:tab w:val="left" w:pos="1701"/>
        </w:tabs>
        <w:suppressAutoHyphens/>
        <w:overflowPunct/>
        <w:autoSpaceDE/>
        <w:autoSpaceDN/>
        <w:adjustRightInd/>
        <w:spacing w:after="120" w:line="240" w:lineRule="atLeast"/>
        <w:ind w:right="1134" w:firstLine="0"/>
        <w:textAlignment w:val="auto"/>
        <w:rPr>
          <w:iCs/>
        </w:rPr>
      </w:pPr>
    </w:p>
    <w:p w14:paraId="3D94F9EF" w14:textId="77777777" w:rsidR="00960731" w:rsidRPr="00EC57F8" w:rsidRDefault="00960731" w:rsidP="00960731">
      <w:pPr>
        <w:widowControl/>
        <w:suppressAutoHyphens/>
        <w:overflowPunct/>
        <w:autoSpaceDE/>
        <w:autoSpaceDN/>
        <w:adjustRightInd/>
        <w:spacing w:line="240" w:lineRule="atLeast"/>
        <w:ind w:left="0" w:firstLine="0"/>
        <w:jc w:val="left"/>
        <w:textAlignment w:val="auto"/>
        <w:sectPr w:rsidR="00960731" w:rsidRPr="00EC57F8" w:rsidSect="00F909D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17452D27" w14:textId="7C746CD6" w:rsidR="00960731" w:rsidRPr="00EC57F8" w:rsidRDefault="00960731" w:rsidP="00511DA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EC57F8">
        <w:rPr>
          <w:b/>
          <w:sz w:val="28"/>
        </w:rPr>
        <w:lastRenderedPageBreak/>
        <w:tab/>
      </w:r>
      <w:r w:rsidRPr="00EC57F8">
        <w:rPr>
          <w:b/>
          <w:sz w:val="28"/>
        </w:rPr>
        <w:tab/>
      </w:r>
      <w:r w:rsidR="00511DA9" w:rsidRPr="00EC57F8">
        <w:rPr>
          <w:b/>
          <w:sz w:val="28"/>
        </w:rPr>
        <w:t>Änderungsvorschlag zu Abschnitt 1.2.1 ADN</w:t>
      </w:r>
    </w:p>
    <w:p w14:paraId="53E1F726" w14:textId="192BEA73" w:rsidR="00960731" w:rsidRPr="00EC57F8" w:rsidRDefault="00960731" w:rsidP="00894555">
      <w:pPr>
        <w:widowControl/>
        <w:tabs>
          <w:tab w:val="left" w:pos="1701"/>
        </w:tabs>
        <w:suppressAutoHyphens/>
        <w:overflowPunct/>
        <w:autoSpaceDE/>
        <w:autoSpaceDN/>
        <w:adjustRightInd/>
        <w:spacing w:after="120" w:line="240" w:lineRule="atLeast"/>
        <w:ind w:right="1134" w:firstLine="0"/>
        <w:textAlignment w:val="auto"/>
      </w:pPr>
      <w:r w:rsidRPr="00EC57F8">
        <w:t>3.</w:t>
      </w:r>
      <w:r w:rsidRPr="00EC57F8">
        <w:tab/>
      </w:r>
      <w:r w:rsidR="00511DA9" w:rsidRPr="00EC57F8">
        <w:t>Die folgende Tabelle enthält Änderungsvorschläge zu Abschnitt 1.2.1, die nur die französische Fassung betreffen.</w:t>
      </w:r>
      <w:r w:rsidRPr="00EC57F8">
        <w:t xml:space="preserve"> </w:t>
      </w:r>
      <w:r w:rsidR="00511DA9" w:rsidRPr="00EC57F8">
        <w:t>Der gestrichene Text ist durchgestrichen und der neue Text fett</w:t>
      </w:r>
      <w:r w:rsidR="00894555" w:rsidRPr="00EC57F8">
        <w:t xml:space="preserve">gedruckt </w:t>
      </w:r>
      <w:r w:rsidR="00511DA9" w:rsidRPr="00EC57F8">
        <w:t>und unterstrichen.</w:t>
      </w:r>
      <w:r w:rsidR="00641EE8" w:rsidRPr="00EC57F8">
        <w:t xml:space="preserve">   </w:t>
      </w:r>
    </w:p>
    <w:tbl>
      <w:tblPr>
        <w:tblStyle w:val="TableGrid"/>
        <w:tblW w:w="14175" w:type="dxa"/>
        <w:jc w:val="center"/>
        <w:tblLook w:val="04A0" w:firstRow="1" w:lastRow="0" w:firstColumn="1" w:lastColumn="0" w:noHBand="0" w:noVBand="1"/>
      </w:tblPr>
      <w:tblGrid>
        <w:gridCol w:w="1020"/>
        <w:gridCol w:w="4253"/>
        <w:gridCol w:w="4933"/>
        <w:gridCol w:w="3969"/>
      </w:tblGrid>
      <w:tr w:rsidR="00960731" w:rsidRPr="00EC57F8" w14:paraId="11365BA7" w14:textId="77777777" w:rsidTr="00FF5C44">
        <w:trPr>
          <w:jc w:val="center"/>
        </w:trPr>
        <w:tc>
          <w:tcPr>
            <w:tcW w:w="1021" w:type="dxa"/>
          </w:tcPr>
          <w:p w14:paraId="1ED35FAC" w14:textId="77777777" w:rsidR="00960731" w:rsidRPr="00EC57F8" w:rsidRDefault="00960731" w:rsidP="00960731">
            <w:pPr>
              <w:widowControl/>
              <w:overflowPunct/>
              <w:autoSpaceDE/>
              <w:autoSpaceDN/>
              <w:adjustRightInd/>
              <w:spacing w:after="60"/>
              <w:ind w:left="0" w:firstLine="0"/>
              <w:jc w:val="left"/>
              <w:textAlignment w:val="auto"/>
              <w:rPr>
                <w:lang w:val="de-DE"/>
              </w:rPr>
            </w:pPr>
          </w:p>
        </w:tc>
        <w:tc>
          <w:tcPr>
            <w:tcW w:w="4253" w:type="dxa"/>
          </w:tcPr>
          <w:p w14:paraId="2E0A0E6B" w14:textId="77777777" w:rsidR="00960731" w:rsidRPr="00EC57F8" w:rsidRDefault="00960731" w:rsidP="00960731">
            <w:pPr>
              <w:widowControl/>
              <w:overflowPunct/>
              <w:autoSpaceDE/>
              <w:autoSpaceDN/>
              <w:adjustRightInd/>
              <w:spacing w:after="60"/>
              <w:ind w:left="0" w:firstLine="0"/>
              <w:jc w:val="center"/>
              <w:textAlignment w:val="auto"/>
              <w:rPr>
                <w:b/>
                <w:bCs/>
                <w:lang w:val="de-DE"/>
              </w:rPr>
            </w:pPr>
            <w:r w:rsidRPr="00EC57F8">
              <w:rPr>
                <w:b/>
                <w:bCs/>
                <w:lang w:val="de-DE"/>
              </w:rPr>
              <w:t>EN</w:t>
            </w:r>
          </w:p>
        </w:tc>
        <w:tc>
          <w:tcPr>
            <w:tcW w:w="4933" w:type="dxa"/>
          </w:tcPr>
          <w:p w14:paraId="52D7FCE8" w14:textId="77777777" w:rsidR="00960731" w:rsidRPr="00EC57F8" w:rsidRDefault="00960731" w:rsidP="00960731">
            <w:pPr>
              <w:widowControl/>
              <w:overflowPunct/>
              <w:autoSpaceDE/>
              <w:autoSpaceDN/>
              <w:adjustRightInd/>
              <w:spacing w:after="60"/>
              <w:ind w:left="0" w:firstLine="0"/>
              <w:jc w:val="center"/>
              <w:textAlignment w:val="auto"/>
              <w:rPr>
                <w:b/>
                <w:bCs/>
                <w:lang w:val="de-DE"/>
              </w:rPr>
            </w:pPr>
            <w:r w:rsidRPr="00EC57F8">
              <w:rPr>
                <w:b/>
                <w:bCs/>
                <w:lang w:val="de-DE"/>
              </w:rPr>
              <w:t>FR</w:t>
            </w:r>
          </w:p>
        </w:tc>
        <w:tc>
          <w:tcPr>
            <w:tcW w:w="3969" w:type="dxa"/>
          </w:tcPr>
          <w:p w14:paraId="430E288C" w14:textId="7A63B5C1" w:rsidR="00960731" w:rsidRPr="00EC57F8" w:rsidRDefault="00C64236" w:rsidP="00960731">
            <w:pPr>
              <w:widowControl/>
              <w:overflowPunct/>
              <w:autoSpaceDE/>
              <w:autoSpaceDN/>
              <w:adjustRightInd/>
              <w:spacing w:after="60"/>
              <w:ind w:left="0" w:firstLine="0"/>
              <w:jc w:val="center"/>
              <w:textAlignment w:val="auto"/>
              <w:rPr>
                <w:b/>
                <w:bCs/>
                <w:lang w:val="de-DE"/>
              </w:rPr>
            </w:pPr>
            <w:r w:rsidRPr="00EC57F8">
              <w:rPr>
                <w:b/>
                <w:bCs/>
                <w:lang w:val="de-DE"/>
              </w:rPr>
              <w:t>D</w:t>
            </w:r>
            <w:r w:rsidR="00960731" w:rsidRPr="00EC57F8">
              <w:rPr>
                <w:b/>
                <w:bCs/>
                <w:lang w:val="de-DE"/>
              </w:rPr>
              <w:t>E</w:t>
            </w:r>
          </w:p>
        </w:tc>
      </w:tr>
      <w:tr w:rsidR="00960731" w:rsidRPr="00EC57F8" w14:paraId="79FECABB" w14:textId="77777777" w:rsidTr="00FF5C44">
        <w:trPr>
          <w:jc w:val="center"/>
        </w:trPr>
        <w:tc>
          <w:tcPr>
            <w:tcW w:w="1021" w:type="dxa"/>
          </w:tcPr>
          <w:p w14:paraId="6D66D282" w14:textId="77777777" w:rsidR="00960731" w:rsidRPr="00EC57F8" w:rsidRDefault="00960731" w:rsidP="00960731">
            <w:pPr>
              <w:widowControl/>
              <w:overflowPunct/>
              <w:autoSpaceDE/>
              <w:autoSpaceDN/>
              <w:adjustRightInd/>
              <w:spacing w:after="60"/>
              <w:ind w:left="0" w:firstLine="0"/>
              <w:jc w:val="left"/>
              <w:textAlignment w:val="auto"/>
              <w:rPr>
                <w:b/>
                <w:bCs/>
                <w:lang w:val="de-DE"/>
              </w:rPr>
            </w:pPr>
            <w:r w:rsidRPr="00EC57F8">
              <w:rPr>
                <w:b/>
                <w:bCs/>
                <w:lang w:val="de-DE"/>
              </w:rPr>
              <w:t>1.2.1</w:t>
            </w:r>
          </w:p>
        </w:tc>
        <w:tc>
          <w:tcPr>
            <w:tcW w:w="4253" w:type="dxa"/>
          </w:tcPr>
          <w:p w14:paraId="1CA6B1F3" w14:textId="77777777" w:rsidR="00960731" w:rsidRPr="00EC57F8" w:rsidRDefault="00960731" w:rsidP="00960731">
            <w:pPr>
              <w:widowControl/>
              <w:overflowPunct/>
              <w:autoSpaceDE/>
              <w:autoSpaceDN/>
              <w:adjustRightInd/>
              <w:spacing w:after="60"/>
              <w:ind w:left="0" w:firstLine="0"/>
              <w:jc w:val="left"/>
              <w:textAlignment w:val="auto"/>
              <w:rPr>
                <w:b/>
                <w:u w:val="single"/>
                <w:shd w:val="clear" w:color="auto" w:fill="C0C0C0"/>
                <w:lang w:val="en-US"/>
              </w:rPr>
            </w:pPr>
            <w:r w:rsidRPr="00EC57F8">
              <w:rPr>
                <w:lang w:val="en-US"/>
              </w:rPr>
              <w:t>Inspection body</w:t>
            </w:r>
          </w:p>
          <w:p w14:paraId="42058055" w14:textId="77777777" w:rsidR="00960731" w:rsidRPr="00EC57F8" w:rsidRDefault="00960731" w:rsidP="00960731">
            <w:pPr>
              <w:widowControl/>
              <w:overflowPunct/>
              <w:autoSpaceDE/>
              <w:autoSpaceDN/>
              <w:adjustRightInd/>
              <w:spacing w:after="60"/>
              <w:ind w:left="0" w:firstLine="0"/>
              <w:jc w:val="left"/>
              <w:textAlignment w:val="auto"/>
              <w:rPr>
                <w:lang w:val="en-US"/>
              </w:rPr>
            </w:pPr>
            <w:r w:rsidRPr="00EC57F8">
              <w:rPr>
                <w:b/>
                <w:u w:val="single"/>
                <w:shd w:val="clear" w:color="auto" w:fill="C0C0C0"/>
                <w:lang w:val="en-US"/>
              </w:rPr>
              <w:br/>
            </w:r>
            <w:r w:rsidRPr="00EC57F8">
              <w:rPr>
                <w:lang w:val="en-US"/>
              </w:rPr>
              <w:t>means an independent monitoring and verification body certified by the competent authority</w:t>
            </w:r>
          </w:p>
        </w:tc>
        <w:tc>
          <w:tcPr>
            <w:tcW w:w="4933" w:type="dxa"/>
            <w:shd w:val="clear" w:color="auto" w:fill="auto"/>
          </w:tcPr>
          <w:p w14:paraId="68191A8A" w14:textId="77777777" w:rsidR="00960731" w:rsidRPr="00EC57F8" w:rsidRDefault="00960731" w:rsidP="00960731">
            <w:pPr>
              <w:widowControl/>
              <w:overflowPunct/>
              <w:autoSpaceDE/>
              <w:autoSpaceDN/>
              <w:adjustRightInd/>
              <w:spacing w:after="60"/>
              <w:ind w:left="0" w:firstLine="0"/>
              <w:jc w:val="left"/>
              <w:textAlignment w:val="auto"/>
            </w:pPr>
            <w:r w:rsidRPr="00EC57F8">
              <w:rPr>
                <w:dstrike/>
              </w:rPr>
              <w:t>Instance d’inspection</w:t>
            </w:r>
            <w:r w:rsidRPr="00EC57F8">
              <w:t xml:space="preserve"> </w:t>
            </w:r>
            <w:r w:rsidRPr="00EC57F8">
              <w:rPr>
                <w:b/>
                <w:u w:val="single"/>
              </w:rPr>
              <w:t>Organisme de contrôle</w:t>
            </w:r>
          </w:p>
          <w:p w14:paraId="261BFBEC" w14:textId="77777777" w:rsidR="00960731" w:rsidRPr="00EC57F8" w:rsidRDefault="00960731" w:rsidP="00960731">
            <w:pPr>
              <w:widowControl/>
              <w:overflowPunct/>
              <w:autoSpaceDE/>
              <w:autoSpaceDN/>
              <w:adjustRightInd/>
              <w:spacing w:after="60"/>
              <w:ind w:left="0" w:firstLine="0"/>
              <w:jc w:val="left"/>
              <w:textAlignment w:val="auto"/>
              <w:rPr>
                <w:b/>
              </w:rPr>
            </w:pPr>
            <w:r w:rsidRPr="00EC57F8">
              <w:rPr>
                <w:b/>
                <w:u w:val="single"/>
              </w:rPr>
              <w:br/>
            </w:r>
            <w:proofErr w:type="gramStart"/>
            <w:r w:rsidRPr="00EC57F8">
              <w:rPr>
                <w:iCs/>
                <w:dstrike/>
              </w:rPr>
              <w:t>une</w:t>
            </w:r>
            <w:proofErr w:type="gramEnd"/>
            <w:r w:rsidRPr="00EC57F8">
              <w:rPr>
                <w:iCs/>
                <w:dstrike/>
              </w:rPr>
              <w:t xml:space="preserve"> instance indépendante</w:t>
            </w:r>
            <w:r w:rsidRPr="00EC57F8">
              <w:rPr>
                <w:iCs/>
              </w:rPr>
              <w:t xml:space="preserve"> </w:t>
            </w:r>
            <w:r w:rsidRPr="00EC57F8">
              <w:rPr>
                <w:b/>
                <w:iCs/>
                <w:u w:val="single"/>
              </w:rPr>
              <w:t>un organisme indépendant</w:t>
            </w:r>
            <w:r w:rsidRPr="00EC57F8">
              <w:rPr>
                <w:iCs/>
              </w:rPr>
              <w:t xml:space="preserve"> de contrôle et de vérification </w:t>
            </w:r>
            <w:r w:rsidRPr="00EC57F8">
              <w:rPr>
                <w:iCs/>
                <w:dstrike/>
              </w:rPr>
              <w:t>agréée</w:t>
            </w:r>
            <w:r w:rsidRPr="00EC57F8">
              <w:rPr>
                <w:iCs/>
              </w:rPr>
              <w:t xml:space="preserve"> </w:t>
            </w:r>
            <w:r w:rsidRPr="00EC57F8">
              <w:rPr>
                <w:b/>
                <w:iCs/>
                <w:u w:val="single"/>
              </w:rPr>
              <w:t>agréé</w:t>
            </w:r>
            <w:r w:rsidRPr="00EC57F8">
              <w:rPr>
                <w:iCs/>
              </w:rPr>
              <w:t xml:space="preserve"> par l’autorité compétente</w:t>
            </w:r>
          </w:p>
        </w:tc>
        <w:tc>
          <w:tcPr>
            <w:tcW w:w="3969" w:type="dxa"/>
          </w:tcPr>
          <w:p w14:paraId="1A9C53C5" w14:textId="77777777" w:rsidR="00960731" w:rsidRPr="00EC57F8" w:rsidRDefault="00960731" w:rsidP="00960731">
            <w:pPr>
              <w:widowControl/>
              <w:overflowPunct/>
              <w:autoSpaceDE/>
              <w:autoSpaceDN/>
              <w:adjustRightInd/>
              <w:spacing w:after="60"/>
              <w:ind w:left="0" w:firstLine="0"/>
              <w:jc w:val="left"/>
              <w:textAlignment w:val="auto"/>
              <w:rPr>
                <w:b/>
                <w:u w:val="single"/>
                <w:lang w:val="de-DE"/>
              </w:rPr>
            </w:pPr>
            <w:r w:rsidRPr="00EC57F8">
              <w:rPr>
                <w:lang w:val="de-DE"/>
              </w:rPr>
              <w:t>Prüfstelle</w:t>
            </w:r>
          </w:p>
          <w:p w14:paraId="7A466788" w14:textId="77777777" w:rsidR="00960731" w:rsidRPr="00EC57F8" w:rsidRDefault="00960731" w:rsidP="00960731">
            <w:pPr>
              <w:widowControl/>
              <w:overflowPunct/>
              <w:autoSpaceDE/>
              <w:autoSpaceDN/>
              <w:adjustRightInd/>
              <w:spacing w:after="60"/>
              <w:ind w:left="0" w:firstLine="0"/>
              <w:jc w:val="left"/>
              <w:textAlignment w:val="auto"/>
              <w:rPr>
                <w:szCs w:val="18"/>
                <w:lang w:val="de-DE"/>
              </w:rPr>
            </w:pPr>
            <w:r w:rsidRPr="00EC57F8">
              <w:rPr>
                <w:b/>
                <w:u w:val="single"/>
                <w:lang w:val="de-DE"/>
              </w:rPr>
              <w:br/>
            </w:r>
            <w:r w:rsidRPr="00EC57F8">
              <w:rPr>
                <w:szCs w:val="18"/>
                <w:lang w:val="de-DE"/>
              </w:rPr>
              <w:t>Eine von der zuständigen Behörde zugelassene unabhängige Prüfstelle</w:t>
            </w:r>
          </w:p>
        </w:tc>
      </w:tr>
    </w:tbl>
    <w:p w14:paraId="3EB471BA" w14:textId="67EB487E" w:rsidR="00960731" w:rsidRPr="00EC57F8" w:rsidRDefault="00960731" w:rsidP="003A514D">
      <w:pPr>
        <w:widowControl/>
        <w:tabs>
          <w:tab w:val="left" w:pos="1701"/>
        </w:tabs>
        <w:suppressAutoHyphens/>
        <w:overflowPunct/>
        <w:autoSpaceDE/>
        <w:autoSpaceDN/>
        <w:adjustRightInd/>
        <w:spacing w:before="120" w:after="120" w:line="240" w:lineRule="atLeast"/>
        <w:ind w:right="1134" w:firstLine="0"/>
        <w:textAlignment w:val="auto"/>
      </w:pPr>
      <w:r w:rsidRPr="00EC57F8">
        <w:t>4.</w:t>
      </w:r>
      <w:r w:rsidRPr="00EC57F8">
        <w:tab/>
      </w:r>
      <w:r w:rsidR="00AE01CD" w:rsidRPr="00EC57F8">
        <w:t>Diese Vorschläge stimmen mit dem RID/ADR überein und sind unter Berücksichtigung von Absatz 36 des Protokolls der einundvierzigsten Sitzung des Sicherheitsausschusses (siehe Absatz 2) wie folgt auf die Sondervorschrift 674 (Buchstabe d zweiter Spiegelstrich) anzuwenden:</w:t>
      </w:r>
    </w:p>
    <w:tbl>
      <w:tblPr>
        <w:tblStyle w:val="TableGrid"/>
        <w:tblW w:w="14232" w:type="dxa"/>
        <w:jc w:val="center"/>
        <w:tblLook w:val="04A0" w:firstRow="1" w:lastRow="0" w:firstColumn="1" w:lastColumn="0" w:noHBand="0" w:noVBand="1"/>
      </w:tblPr>
      <w:tblGrid>
        <w:gridCol w:w="1025"/>
        <w:gridCol w:w="4270"/>
        <w:gridCol w:w="4952"/>
        <w:gridCol w:w="3985"/>
      </w:tblGrid>
      <w:tr w:rsidR="00960731" w:rsidRPr="00EC57F8" w14:paraId="4B665CCD" w14:textId="77777777" w:rsidTr="00FF5C44">
        <w:trPr>
          <w:jc w:val="center"/>
        </w:trPr>
        <w:tc>
          <w:tcPr>
            <w:tcW w:w="1021" w:type="dxa"/>
          </w:tcPr>
          <w:p w14:paraId="2B7BC7E9" w14:textId="77777777" w:rsidR="00960731" w:rsidRPr="00EC57F8" w:rsidRDefault="00960731" w:rsidP="00960731">
            <w:pPr>
              <w:widowControl/>
              <w:overflowPunct/>
              <w:autoSpaceDE/>
              <w:autoSpaceDN/>
              <w:adjustRightInd/>
              <w:spacing w:after="120"/>
              <w:ind w:left="0" w:firstLine="0"/>
              <w:jc w:val="left"/>
              <w:textAlignment w:val="auto"/>
              <w:rPr>
                <w:lang w:val="de-DE"/>
              </w:rPr>
            </w:pPr>
          </w:p>
        </w:tc>
        <w:tc>
          <w:tcPr>
            <w:tcW w:w="4253" w:type="dxa"/>
          </w:tcPr>
          <w:p w14:paraId="46B0F93B" w14:textId="77777777" w:rsidR="00960731" w:rsidRPr="00EC57F8" w:rsidRDefault="00960731" w:rsidP="00960731">
            <w:pPr>
              <w:widowControl/>
              <w:overflowPunct/>
              <w:autoSpaceDE/>
              <w:autoSpaceDN/>
              <w:adjustRightInd/>
              <w:spacing w:after="120"/>
              <w:ind w:left="0" w:firstLine="0"/>
              <w:jc w:val="center"/>
              <w:textAlignment w:val="auto"/>
              <w:rPr>
                <w:b/>
                <w:bCs/>
                <w:lang w:val="de-DE"/>
              </w:rPr>
            </w:pPr>
            <w:r w:rsidRPr="00EC57F8">
              <w:rPr>
                <w:b/>
                <w:bCs/>
                <w:lang w:val="de-DE"/>
              </w:rPr>
              <w:t>EN</w:t>
            </w:r>
          </w:p>
        </w:tc>
        <w:tc>
          <w:tcPr>
            <w:tcW w:w="4933" w:type="dxa"/>
          </w:tcPr>
          <w:p w14:paraId="0E562022" w14:textId="77777777" w:rsidR="00960731" w:rsidRPr="00EC57F8" w:rsidRDefault="00960731" w:rsidP="00960731">
            <w:pPr>
              <w:widowControl/>
              <w:overflowPunct/>
              <w:autoSpaceDE/>
              <w:autoSpaceDN/>
              <w:adjustRightInd/>
              <w:spacing w:after="120"/>
              <w:ind w:left="0" w:firstLine="0"/>
              <w:jc w:val="center"/>
              <w:textAlignment w:val="auto"/>
              <w:rPr>
                <w:b/>
                <w:bCs/>
                <w:lang w:val="de-DE"/>
              </w:rPr>
            </w:pPr>
            <w:r w:rsidRPr="00EC57F8">
              <w:rPr>
                <w:b/>
                <w:bCs/>
                <w:lang w:val="de-DE"/>
              </w:rPr>
              <w:t>FR</w:t>
            </w:r>
          </w:p>
        </w:tc>
        <w:tc>
          <w:tcPr>
            <w:tcW w:w="3969" w:type="dxa"/>
          </w:tcPr>
          <w:p w14:paraId="191B67B5" w14:textId="12CA49A0" w:rsidR="00960731" w:rsidRPr="00EC57F8" w:rsidRDefault="00514932" w:rsidP="00960731">
            <w:pPr>
              <w:widowControl/>
              <w:overflowPunct/>
              <w:autoSpaceDE/>
              <w:autoSpaceDN/>
              <w:adjustRightInd/>
              <w:spacing w:after="120"/>
              <w:ind w:left="0" w:firstLine="0"/>
              <w:jc w:val="center"/>
              <w:textAlignment w:val="auto"/>
              <w:rPr>
                <w:b/>
                <w:bCs/>
                <w:lang w:val="de-DE"/>
              </w:rPr>
            </w:pPr>
            <w:r w:rsidRPr="00EC57F8">
              <w:rPr>
                <w:b/>
                <w:bCs/>
                <w:lang w:val="de-DE"/>
              </w:rPr>
              <w:t>D</w:t>
            </w:r>
            <w:r w:rsidR="00960731" w:rsidRPr="00EC57F8">
              <w:rPr>
                <w:b/>
                <w:bCs/>
                <w:lang w:val="de-DE"/>
              </w:rPr>
              <w:t>E</w:t>
            </w:r>
          </w:p>
        </w:tc>
      </w:tr>
      <w:tr w:rsidR="00960731" w:rsidRPr="00EC57F8" w14:paraId="1F7D1504" w14:textId="77777777" w:rsidTr="00FF5C44">
        <w:trPr>
          <w:jc w:val="center"/>
        </w:trPr>
        <w:tc>
          <w:tcPr>
            <w:tcW w:w="1021" w:type="dxa"/>
          </w:tcPr>
          <w:p w14:paraId="3102FA57" w14:textId="77777777" w:rsidR="00960731" w:rsidRPr="00EC57F8" w:rsidRDefault="00960731" w:rsidP="00960731">
            <w:pPr>
              <w:widowControl/>
              <w:overflowPunct/>
              <w:autoSpaceDE/>
              <w:autoSpaceDN/>
              <w:adjustRightInd/>
              <w:spacing w:after="120"/>
              <w:ind w:left="0" w:firstLine="0"/>
              <w:jc w:val="left"/>
              <w:textAlignment w:val="auto"/>
              <w:rPr>
                <w:b/>
                <w:bCs/>
                <w:lang w:val="de-DE"/>
              </w:rPr>
            </w:pPr>
            <w:r w:rsidRPr="00EC57F8">
              <w:rPr>
                <w:b/>
                <w:bCs/>
                <w:lang w:val="de-DE"/>
              </w:rPr>
              <w:t>SP 674 d)</w:t>
            </w:r>
          </w:p>
        </w:tc>
        <w:tc>
          <w:tcPr>
            <w:tcW w:w="4253" w:type="dxa"/>
          </w:tcPr>
          <w:p w14:paraId="5A4ABB96" w14:textId="77777777" w:rsidR="00960731" w:rsidRPr="00EC57F8" w:rsidRDefault="00960731" w:rsidP="003A514D">
            <w:pPr>
              <w:widowControl/>
              <w:overflowPunct/>
              <w:autoSpaceDE/>
              <w:autoSpaceDN/>
              <w:adjustRightInd/>
              <w:ind w:left="0" w:firstLine="0"/>
              <w:jc w:val="left"/>
              <w:textAlignment w:val="auto"/>
              <w:rPr>
                <w:bCs/>
                <w:lang w:val="en-US"/>
              </w:rPr>
            </w:pPr>
            <w:r w:rsidRPr="00EC57F8">
              <w:rPr>
                <w:bCs/>
                <w:lang w:val="en-US"/>
              </w:rPr>
              <w:t>…</w:t>
            </w:r>
          </w:p>
          <w:p w14:paraId="000B5D7C" w14:textId="77777777" w:rsidR="00960731" w:rsidRPr="00EC57F8" w:rsidRDefault="00960731" w:rsidP="00960731">
            <w:pPr>
              <w:widowControl/>
              <w:overflowPunct/>
              <w:autoSpaceDE/>
              <w:autoSpaceDN/>
              <w:adjustRightInd/>
              <w:spacing w:after="120"/>
              <w:ind w:left="0" w:firstLine="0"/>
              <w:jc w:val="left"/>
              <w:textAlignment w:val="auto"/>
              <w:rPr>
                <w:bCs/>
                <w:lang w:val="en-US"/>
              </w:rPr>
            </w:pPr>
            <w:r w:rsidRPr="00EC57F8">
              <w:rPr>
                <w:bCs/>
                <w:lang w:val="en-US"/>
              </w:rPr>
              <w:t xml:space="preserve">- Make available to inspection bodies </w:t>
            </w:r>
            <w:r w:rsidRPr="00EC57F8">
              <w:rPr>
                <w:b/>
                <w:u w:val="single"/>
                <w:lang w:val="en-US"/>
              </w:rPr>
              <w:t>(as defined in 1.2.1)</w:t>
            </w:r>
            <w:r w:rsidRPr="00EC57F8">
              <w:rPr>
                <w:bCs/>
                <w:lang w:val="en-US"/>
              </w:rPr>
              <w:t xml:space="preserve">, filling </w:t>
            </w:r>
            <w:proofErr w:type="spellStart"/>
            <w:r w:rsidRPr="00EC57F8">
              <w:rPr>
                <w:bCs/>
                <w:lang w:val="en-US"/>
              </w:rPr>
              <w:t>centres</w:t>
            </w:r>
            <w:proofErr w:type="spellEnd"/>
            <w:r w:rsidRPr="00EC57F8">
              <w:rPr>
                <w:bCs/>
                <w:lang w:val="en-US"/>
              </w:rPr>
              <w:t xml:space="preserve"> and competent authorities the specific technical characteristics of the cylinders consisting of at least the following: serial number, steel cylinder production batch, over-</w:t>
            </w:r>
            <w:proofErr w:type="spellStart"/>
            <w:r w:rsidRPr="00EC57F8">
              <w:rPr>
                <w:bCs/>
                <w:lang w:val="en-US"/>
              </w:rPr>
              <w:t>moulding</w:t>
            </w:r>
            <w:proofErr w:type="spellEnd"/>
            <w:r w:rsidRPr="00EC57F8">
              <w:rPr>
                <w:bCs/>
                <w:lang w:val="en-US"/>
              </w:rPr>
              <w:t xml:space="preserve"> production batch, date of over-</w:t>
            </w:r>
            <w:proofErr w:type="spellStart"/>
            <w:r w:rsidRPr="00EC57F8">
              <w:rPr>
                <w:bCs/>
                <w:lang w:val="en-US"/>
              </w:rPr>
              <w:t>moulding</w:t>
            </w:r>
            <w:proofErr w:type="spellEnd"/>
            <w:r w:rsidRPr="00EC57F8">
              <w:rPr>
                <w:bCs/>
                <w:lang w:val="en-US"/>
              </w:rPr>
              <w:t>;</w:t>
            </w:r>
          </w:p>
        </w:tc>
        <w:tc>
          <w:tcPr>
            <w:tcW w:w="4933" w:type="dxa"/>
          </w:tcPr>
          <w:p w14:paraId="4F0E186A" w14:textId="77777777" w:rsidR="00960731" w:rsidRPr="00EC57F8" w:rsidRDefault="00960731" w:rsidP="003A514D">
            <w:pPr>
              <w:widowControl/>
              <w:overflowPunct/>
              <w:autoSpaceDE/>
              <w:autoSpaceDN/>
              <w:adjustRightInd/>
              <w:ind w:left="0" w:firstLine="0"/>
              <w:jc w:val="left"/>
              <w:textAlignment w:val="auto"/>
              <w:rPr>
                <w:bCs/>
              </w:rPr>
            </w:pPr>
            <w:r w:rsidRPr="00EC57F8">
              <w:rPr>
                <w:bCs/>
              </w:rPr>
              <w:t>...</w:t>
            </w:r>
          </w:p>
          <w:p w14:paraId="6ACB8774" w14:textId="77777777" w:rsidR="00960731" w:rsidRPr="00EC57F8" w:rsidRDefault="00960731" w:rsidP="00960731">
            <w:pPr>
              <w:widowControl/>
              <w:overflowPunct/>
              <w:autoSpaceDE/>
              <w:autoSpaceDN/>
              <w:adjustRightInd/>
              <w:spacing w:after="120"/>
              <w:ind w:left="0" w:firstLine="0"/>
              <w:jc w:val="left"/>
              <w:textAlignment w:val="auto"/>
              <w:rPr>
                <w:b/>
                <w:u w:val="single"/>
              </w:rPr>
            </w:pPr>
            <w:r w:rsidRPr="00EC57F8">
              <w:rPr>
                <w:bCs/>
              </w:rPr>
              <w:t xml:space="preserve">- Mettre à disposition des organismes de contrôle, des centres de remplissage ou des autorités compétentes, les caractéristiques techniques spécifiques des bouteilles comprenant au moins le numéro de série, le lot de production des bouteilles en acier, le lot de production des surmoulages et la date du </w:t>
            </w:r>
            <w:proofErr w:type="gramStart"/>
            <w:r w:rsidRPr="00EC57F8">
              <w:rPr>
                <w:bCs/>
              </w:rPr>
              <w:t>surmoulage;</w:t>
            </w:r>
            <w:proofErr w:type="gramEnd"/>
          </w:p>
        </w:tc>
        <w:tc>
          <w:tcPr>
            <w:tcW w:w="3969" w:type="dxa"/>
          </w:tcPr>
          <w:p w14:paraId="1D1858AA" w14:textId="77777777" w:rsidR="00960731" w:rsidRPr="00EC57F8" w:rsidRDefault="00960731" w:rsidP="003A514D">
            <w:pPr>
              <w:widowControl/>
              <w:overflowPunct/>
              <w:autoSpaceDE/>
              <w:autoSpaceDN/>
              <w:adjustRightInd/>
              <w:ind w:left="0" w:firstLine="0"/>
              <w:jc w:val="left"/>
              <w:textAlignment w:val="auto"/>
              <w:rPr>
                <w:bCs/>
                <w:lang w:val="de-DE"/>
              </w:rPr>
            </w:pPr>
            <w:r w:rsidRPr="00EC57F8">
              <w:rPr>
                <w:bCs/>
                <w:lang w:val="de-DE"/>
              </w:rPr>
              <w:t>…</w:t>
            </w:r>
          </w:p>
          <w:p w14:paraId="4A0E3E69" w14:textId="4791C30B" w:rsidR="00960731" w:rsidRPr="00EC57F8" w:rsidRDefault="00960731" w:rsidP="003A514D">
            <w:pPr>
              <w:widowControl/>
              <w:overflowPunct/>
              <w:autoSpaceDE/>
              <w:autoSpaceDN/>
              <w:adjustRightInd/>
              <w:ind w:left="0" w:firstLine="0"/>
              <w:jc w:val="left"/>
              <w:textAlignment w:val="auto"/>
              <w:rPr>
                <w:bCs/>
                <w:color w:val="7030A0"/>
                <w:lang w:val="de-DE"/>
              </w:rPr>
            </w:pPr>
            <w:r w:rsidRPr="00EC57F8">
              <w:rPr>
                <w:bCs/>
                <w:lang w:val="de-DE"/>
              </w:rPr>
              <w:t>- die Zurverfügungstellung der spezifischen technischen Eigenschaften der Flaschen, zumindest bestehend aus Seriennummer, Produktionslos der Stahlflasche, Produktionslos der Umformung, Zeitpunkt der Umformung, für die Prüfstellen</w:t>
            </w:r>
            <w:r w:rsidR="00AE01CD" w:rsidRPr="00EC57F8">
              <w:rPr>
                <w:bCs/>
                <w:lang w:val="de-DE"/>
              </w:rPr>
              <w:t xml:space="preserve"> </w:t>
            </w:r>
            <w:r w:rsidR="00AE01CD" w:rsidRPr="003A514D">
              <w:rPr>
                <w:b/>
                <w:u w:val="single"/>
                <w:lang w:val="de-DE"/>
              </w:rPr>
              <w:t>(wie in Abschnitt 1.2.1 definiert)</w:t>
            </w:r>
            <w:r w:rsidRPr="00EC57F8">
              <w:rPr>
                <w:bCs/>
                <w:lang w:val="de-DE"/>
              </w:rPr>
              <w:t xml:space="preserve">, </w:t>
            </w:r>
            <w:proofErr w:type="spellStart"/>
            <w:r w:rsidRPr="00EC57F8">
              <w:rPr>
                <w:bCs/>
                <w:lang w:val="de-DE"/>
              </w:rPr>
              <w:t>Befüllzentren</w:t>
            </w:r>
            <w:proofErr w:type="spellEnd"/>
            <w:r w:rsidRPr="00EC57F8">
              <w:rPr>
                <w:bCs/>
                <w:lang w:val="de-DE"/>
              </w:rPr>
              <w:t xml:space="preserve"> und zuständigen Behörden;</w:t>
            </w:r>
          </w:p>
        </w:tc>
      </w:tr>
    </w:tbl>
    <w:p w14:paraId="1C9C1040" w14:textId="28B0E3FE" w:rsidR="00960731" w:rsidRPr="00EC57F8" w:rsidRDefault="00960731" w:rsidP="00325514">
      <w:pPr>
        <w:keepNext/>
        <w:keepLines/>
        <w:widowControl/>
        <w:tabs>
          <w:tab w:val="right" w:pos="851"/>
        </w:tabs>
        <w:suppressAutoHyphens/>
        <w:overflowPunct/>
        <w:autoSpaceDE/>
        <w:autoSpaceDN/>
        <w:adjustRightInd/>
        <w:spacing w:before="360" w:after="240" w:line="300" w:lineRule="exact"/>
        <w:ind w:left="0" w:right="1134" w:firstLine="0"/>
        <w:jc w:val="left"/>
        <w:textAlignment w:val="auto"/>
        <w:rPr>
          <w:b/>
          <w:sz w:val="28"/>
        </w:rPr>
      </w:pPr>
      <w:r w:rsidRPr="00EC57F8">
        <w:rPr>
          <w:b/>
          <w:sz w:val="28"/>
        </w:rPr>
        <w:tab/>
      </w:r>
      <w:r w:rsidRPr="00EC57F8">
        <w:rPr>
          <w:b/>
          <w:sz w:val="28"/>
        </w:rPr>
        <w:tab/>
      </w:r>
      <w:r w:rsidR="00325514" w:rsidRPr="00EC57F8">
        <w:rPr>
          <w:b/>
          <w:sz w:val="28"/>
        </w:rPr>
        <w:t>Definition von „Untersuchungsstelle(n)“ in anderen Teilen des ADN</w:t>
      </w:r>
    </w:p>
    <w:p w14:paraId="2A2819E7" w14:textId="6D6A44E5" w:rsidR="00960731" w:rsidRPr="00EC57F8" w:rsidRDefault="00960731" w:rsidP="00325514">
      <w:pPr>
        <w:widowControl/>
        <w:tabs>
          <w:tab w:val="left" w:pos="1701"/>
        </w:tabs>
        <w:suppressAutoHyphens/>
        <w:overflowPunct/>
        <w:autoSpaceDE/>
        <w:autoSpaceDN/>
        <w:adjustRightInd/>
        <w:spacing w:after="120" w:line="240" w:lineRule="atLeast"/>
        <w:ind w:right="1134" w:firstLine="0"/>
        <w:textAlignment w:val="auto"/>
      </w:pPr>
      <w:r w:rsidRPr="00EC57F8">
        <w:t>5.</w:t>
      </w:r>
      <w:r w:rsidRPr="00EC57F8">
        <w:tab/>
      </w:r>
      <w:r w:rsidR="00325514" w:rsidRPr="00EC57F8">
        <w:t>Die anderen Stellen, an denen die Begriffe „</w:t>
      </w:r>
      <w:proofErr w:type="spellStart"/>
      <w:r w:rsidR="00325514" w:rsidRPr="00EC57F8">
        <w:t>inspection</w:t>
      </w:r>
      <w:proofErr w:type="spellEnd"/>
      <w:r w:rsidR="00325514" w:rsidRPr="00EC57F8">
        <w:t xml:space="preserve"> </w:t>
      </w:r>
      <w:proofErr w:type="spellStart"/>
      <w:r w:rsidR="00325514" w:rsidRPr="00EC57F8">
        <w:t>body</w:t>
      </w:r>
      <w:proofErr w:type="spellEnd"/>
      <w:r w:rsidR="00325514" w:rsidRPr="00EC57F8">
        <w:t>(</w:t>
      </w:r>
      <w:proofErr w:type="spellStart"/>
      <w:r w:rsidR="00325514" w:rsidRPr="00EC57F8">
        <w:t>ies</w:t>
      </w:r>
      <w:proofErr w:type="spellEnd"/>
      <w:r w:rsidR="00325514" w:rsidRPr="00EC57F8">
        <w:t>)“ (Englisch), „</w:t>
      </w:r>
      <w:proofErr w:type="spellStart"/>
      <w:r w:rsidR="00325514" w:rsidRPr="00EC57F8">
        <w:t>organisme</w:t>
      </w:r>
      <w:proofErr w:type="spellEnd"/>
      <w:r w:rsidR="00325514" w:rsidRPr="00EC57F8">
        <w:t xml:space="preserve">(s) de </w:t>
      </w:r>
      <w:proofErr w:type="spellStart"/>
      <w:r w:rsidR="00325514" w:rsidRPr="00EC57F8">
        <w:t>visite</w:t>
      </w:r>
      <w:proofErr w:type="spellEnd"/>
      <w:r w:rsidR="00325514" w:rsidRPr="00EC57F8">
        <w:t>“ (Französisch) und „Untersuchungsstelle</w:t>
      </w:r>
      <w:r w:rsidR="005A4E01" w:rsidRPr="00EC57F8">
        <w:t>(n)</w:t>
      </w:r>
      <w:r w:rsidR="00325514" w:rsidRPr="00EC57F8">
        <w:t xml:space="preserve">“ (Deutsch) in </w:t>
      </w:r>
      <w:r w:rsidR="007549B2" w:rsidRPr="00EC57F8">
        <w:t>Kapitel</w:t>
      </w:r>
      <w:r w:rsidR="00325514" w:rsidRPr="00EC57F8">
        <w:t xml:space="preserve"> 1.16 sowie den Unterabschnitten 8.6.1.1, 8.6.1.3, 9.1.0.1 und 9.3.x.1 ADN verwendet werden, beziehen sich auf die Definition in Abschnitt 1.16.4.</w:t>
      </w:r>
    </w:p>
    <w:p w14:paraId="5F7684AA" w14:textId="15865873" w:rsidR="00960731" w:rsidRPr="00EC57F8" w:rsidRDefault="00960731" w:rsidP="00325514">
      <w:pPr>
        <w:widowControl/>
        <w:tabs>
          <w:tab w:val="left" w:pos="1701"/>
        </w:tabs>
        <w:suppressAutoHyphens/>
        <w:overflowPunct/>
        <w:autoSpaceDE/>
        <w:autoSpaceDN/>
        <w:adjustRightInd/>
        <w:spacing w:after="120" w:line="240" w:lineRule="atLeast"/>
        <w:ind w:right="1134" w:firstLine="0"/>
        <w:textAlignment w:val="auto"/>
      </w:pPr>
      <w:r w:rsidRPr="00EC57F8">
        <w:t>6.</w:t>
      </w:r>
      <w:r w:rsidRPr="00EC57F8">
        <w:tab/>
      </w:r>
      <w:r w:rsidR="00325514" w:rsidRPr="00EC57F8">
        <w:t>Es wurde auch festgestellt, dass der deutsche Wortlaut des ersten Satzes in Unterabschnitt 1.16.3.1 geringfügig redaktionell geändert werden muss, und zwar wie folgt:</w:t>
      </w:r>
    </w:p>
    <w:p w14:paraId="60CC4E1D" w14:textId="6210BBA5" w:rsidR="00960731" w:rsidRPr="00EC57F8" w:rsidRDefault="006237EB" w:rsidP="00960731">
      <w:pPr>
        <w:widowControl/>
        <w:suppressAutoHyphens/>
        <w:overflowPunct/>
        <w:autoSpaceDE/>
        <w:autoSpaceDN/>
        <w:adjustRightInd/>
        <w:spacing w:after="120" w:line="240" w:lineRule="atLeast"/>
        <w:ind w:right="1134" w:firstLine="0"/>
        <w:textAlignment w:val="auto"/>
        <w:rPr>
          <w:szCs w:val="18"/>
        </w:rPr>
      </w:pPr>
      <w:r w:rsidRPr="00EC57F8">
        <w:rPr>
          <w:b/>
        </w:rPr>
        <w:t>„</w:t>
      </w:r>
      <w:r w:rsidR="00960731" w:rsidRPr="00EC57F8">
        <w:rPr>
          <w:b/>
        </w:rPr>
        <w:t>1.16.3.1</w:t>
      </w:r>
      <w:r w:rsidR="00960731" w:rsidRPr="00EC57F8">
        <w:tab/>
      </w:r>
      <w:r w:rsidR="00960731" w:rsidRPr="00EC57F8">
        <w:rPr>
          <w:szCs w:val="18"/>
        </w:rPr>
        <w:t xml:space="preserve">Die Untersuchung des Schiffes wird unter der Aufsicht der zuständigen Behörde </w:t>
      </w:r>
      <w:r w:rsidR="00960731" w:rsidRPr="00EC57F8">
        <w:rPr>
          <w:dstrike/>
          <w:szCs w:val="18"/>
        </w:rPr>
        <w:t>einer</w:t>
      </w:r>
      <w:r w:rsidR="00960731" w:rsidRPr="00EC57F8">
        <w:rPr>
          <w:szCs w:val="18"/>
        </w:rPr>
        <w:t xml:space="preserve"> </w:t>
      </w:r>
      <w:r w:rsidR="00960731" w:rsidRPr="00EC57F8">
        <w:rPr>
          <w:b/>
          <w:szCs w:val="18"/>
          <w:u w:val="single"/>
        </w:rPr>
        <w:t>der</w:t>
      </w:r>
      <w:r w:rsidR="00960731" w:rsidRPr="00EC57F8">
        <w:rPr>
          <w:szCs w:val="18"/>
          <w:u w:val="single"/>
        </w:rPr>
        <w:t xml:space="preserve"> </w:t>
      </w:r>
      <w:r w:rsidR="00960731" w:rsidRPr="00EC57F8">
        <w:rPr>
          <w:szCs w:val="18"/>
        </w:rPr>
        <w:t>Vertragspartei durchgeführt.</w:t>
      </w:r>
      <w:r w:rsidRPr="00EC57F8">
        <w:rPr>
          <w:szCs w:val="18"/>
        </w:rPr>
        <w:t>“.</w:t>
      </w:r>
    </w:p>
    <w:p w14:paraId="0929B57E" w14:textId="264D7E7B" w:rsidR="00960731" w:rsidRPr="00EC57F8" w:rsidRDefault="00960731" w:rsidP="00325514">
      <w:pPr>
        <w:keepNext/>
        <w:keepLines/>
        <w:widowControl/>
        <w:tabs>
          <w:tab w:val="right" w:pos="851"/>
        </w:tabs>
        <w:suppressAutoHyphens/>
        <w:overflowPunct/>
        <w:autoSpaceDE/>
        <w:autoSpaceDN/>
        <w:adjustRightInd/>
        <w:spacing w:before="120" w:after="240" w:line="300" w:lineRule="exact"/>
        <w:ind w:right="1134"/>
        <w:jc w:val="left"/>
        <w:textAlignment w:val="auto"/>
        <w:rPr>
          <w:b/>
          <w:sz w:val="28"/>
        </w:rPr>
      </w:pPr>
      <w:r w:rsidRPr="00EC57F8">
        <w:rPr>
          <w:b/>
          <w:sz w:val="28"/>
        </w:rPr>
        <w:lastRenderedPageBreak/>
        <w:tab/>
      </w:r>
      <w:r w:rsidRPr="00EC57F8">
        <w:rPr>
          <w:b/>
          <w:sz w:val="28"/>
        </w:rPr>
        <w:tab/>
      </w:r>
      <w:r w:rsidR="00325514" w:rsidRPr="00EC57F8">
        <w:rPr>
          <w:b/>
          <w:sz w:val="28"/>
        </w:rPr>
        <w:t>Sonstige Fragen</w:t>
      </w:r>
    </w:p>
    <w:p w14:paraId="3A608A7E" w14:textId="1A9091A1" w:rsidR="00960731" w:rsidRPr="00EC57F8" w:rsidRDefault="00960731" w:rsidP="00675933">
      <w:pPr>
        <w:widowControl/>
        <w:tabs>
          <w:tab w:val="left" w:pos="1701"/>
        </w:tabs>
        <w:suppressAutoHyphens/>
        <w:overflowPunct/>
        <w:autoSpaceDE/>
        <w:autoSpaceDN/>
        <w:adjustRightInd/>
        <w:spacing w:after="120" w:line="240" w:lineRule="atLeast"/>
        <w:ind w:right="1134" w:firstLine="0"/>
        <w:textAlignment w:val="auto"/>
      </w:pPr>
      <w:r w:rsidRPr="00EC57F8">
        <w:t>7.</w:t>
      </w:r>
      <w:r w:rsidRPr="00EC57F8">
        <w:tab/>
      </w:r>
      <w:r w:rsidR="00CE11BB" w:rsidRPr="00EC57F8">
        <w:t>Schließlich</w:t>
      </w:r>
      <w:r w:rsidR="00325514" w:rsidRPr="00EC57F8">
        <w:t xml:space="preserve"> wurde </w:t>
      </w:r>
      <w:r w:rsidR="00DA255D" w:rsidRPr="00EC57F8">
        <w:t xml:space="preserve">noch </w:t>
      </w:r>
      <w:r w:rsidR="00CE11BB" w:rsidRPr="00EC57F8">
        <w:t>angemerkt</w:t>
      </w:r>
      <w:r w:rsidR="00325514" w:rsidRPr="00EC57F8">
        <w:t xml:space="preserve">, dass der Ausdruck </w:t>
      </w:r>
      <w:r w:rsidR="00DA255D" w:rsidRPr="00EC57F8">
        <w:t>„</w:t>
      </w:r>
      <w:proofErr w:type="spellStart"/>
      <w:r w:rsidR="00DA255D" w:rsidRPr="00EC57F8">
        <w:t>test</w:t>
      </w:r>
      <w:proofErr w:type="spellEnd"/>
      <w:r w:rsidR="00DA255D" w:rsidRPr="00EC57F8">
        <w:t xml:space="preserve"> </w:t>
      </w:r>
      <w:proofErr w:type="spellStart"/>
      <w:r w:rsidR="00DA255D" w:rsidRPr="00EC57F8">
        <w:t>body</w:t>
      </w:r>
      <w:proofErr w:type="spellEnd"/>
      <w:r w:rsidR="00A8587A" w:rsidRPr="00EC57F8">
        <w:t>“</w:t>
      </w:r>
      <w:r w:rsidR="00DA255D" w:rsidRPr="00EC57F8">
        <w:t xml:space="preserve"> </w:t>
      </w:r>
      <w:r w:rsidR="00325514" w:rsidRPr="00EC57F8">
        <w:t xml:space="preserve">/ </w:t>
      </w:r>
      <w:r w:rsidR="00A8587A" w:rsidRPr="00EC57F8">
        <w:t>„</w:t>
      </w:r>
      <w:proofErr w:type="spellStart"/>
      <w:r w:rsidR="00325514" w:rsidRPr="00EC57F8">
        <w:t>organisme</w:t>
      </w:r>
      <w:proofErr w:type="spellEnd"/>
      <w:r w:rsidR="00325514" w:rsidRPr="00EC57F8">
        <w:t xml:space="preserve"> de </w:t>
      </w:r>
      <w:proofErr w:type="spellStart"/>
      <w:r w:rsidR="00325514" w:rsidRPr="00EC57F8">
        <w:t>contrôle</w:t>
      </w:r>
      <w:proofErr w:type="spellEnd"/>
      <w:r w:rsidR="00A8587A" w:rsidRPr="00EC57F8">
        <w:t>“</w:t>
      </w:r>
      <w:r w:rsidR="00325514" w:rsidRPr="00EC57F8">
        <w:t xml:space="preserve"> / </w:t>
      </w:r>
      <w:r w:rsidR="00A8587A" w:rsidRPr="00EC57F8">
        <w:t>„</w:t>
      </w:r>
      <w:r w:rsidR="00325514" w:rsidRPr="00EC57F8">
        <w:t>Prüfstelle</w:t>
      </w:r>
      <w:r w:rsidR="00DA255D" w:rsidRPr="00EC57F8">
        <w:t>“</w:t>
      </w:r>
      <w:r w:rsidR="00325514" w:rsidRPr="00EC57F8">
        <w:t xml:space="preserve"> in </w:t>
      </w:r>
      <w:r w:rsidR="00DA255D" w:rsidRPr="00EC57F8">
        <w:t xml:space="preserve">den Unterabschnitten </w:t>
      </w:r>
      <w:r w:rsidR="00325514" w:rsidRPr="00EC57F8">
        <w:t xml:space="preserve">8.1.2.2 h) und 8.1.2.3 u) nicht klar definiert </w:t>
      </w:r>
      <w:r w:rsidR="00A8587A" w:rsidRPr="00EC57F8">
        <w:t>ist</w:t>
      </w:r>
      <w:r w:rsidR="00325514" w:rsidRPr="00EC57F8">
        <w:t>.</w:t>
      </w:r>
      <w:r w:rsidRPr="00EC57F8">
        <w:t xml:space="preserve"> </w:t>
      </w:r>
      <w:r w:rsidR="00DA255D" w:rsidRPr="00EC57F8">
        <w:t>Die Verfasser gehen davon aus, dass sich der Begriff „Prüfstelle“ auf die notifizierten Stellen bezieht, die mit der Richtlinie 2014/34/EU der Europäischen Union befasst sind.</w:t>
      </w:r>
      <w:r w:rsidRPr="00EC57F8">
        <w:t xml:space="preserve"> </w:t>
      </w:r>
      <w:r w:rsidR="00DA255D" w:rsidRPr="00EC57F8">
        <w:t>Daher werden in der nachstehenden Tabelle folgende Änderungen mit entsprechenden Fußnoten vorgeschlagen:</w:t>
      </w:r>
    </w:p>
    <w:tbl>
      <w:tblPr>
        <w:tblStyle w:val="TableGrid"/>
        <w:tblW w:w="14175" w:type="dxa"/>
        <w:jc w:val="center"/>
        <w:tblLook w:val="04A0" w:firstRow="1" w:lastRow="0" w:firstColumn="1" w:lastColumn="0" w:noHBand="0" w:noVBand="1"/>
      </w:tblPr>
      <w:tblGrid>
        <w:gridCol w:w="1014"/>
        <w:gridCol w:w="4255"/>
        <w:gridCol w:w="4932"/>
        <w:gridCol w:w="3974"/>
      </w:tblGrid>
      <w:tr w:rsidR="00960731" w:rsidRPr="00EC57F8" w14:paraId="5DAFFC0E" w14:textId="77777777" w:rsidTr="00FF5C44">
        <w:trPr>
          <w:cantSplit/>
          <w:tblHeader/>
          <w:jc w:val="center"/>
        </w:trPr>
        <w:tc>
          <w:tcPr>
            <w:tcW w:w="1014" w:type="dxa"/>
          </w:tcPr>
          <w:p w14:paraId="303282B6" w14:textId="77777777" w:rsidR="00960731" w:rsidRPr="00EC57F8" w:rsidRDefault="00960731" w:rsidP="006237EB">
            <w:pPr>
              <w:widowControl/>
              <w:overflowPunct/>
              <w:autoSpaceDE/>
              <w:autoSpaceDN/>
              <w:adjustRightInd/>
              <w:ind w:left="0" w:firstLine="0"/>
              <w:jc w:val="left"/>
              <w:textAlignment w:val="auto"/>
              <w:rPr>
                <w:lang w:val="de-DE"/>
              </w:rPr>
            </w:pPr>
          </w:p>
        </w:tc>
        <w:tc>
          <w:tcPr>
            <w:tcW w:w="4255" w:type="dxa"/>
          </w:tcPr>
          <w:p w14:paraId="1CCD5683" w14:textId="77777777" w:rsidR="00960731" w:rsidRPr="00EC57F8" w:rsidRDefault="00960731" w:rsidP="006237EB">
            <w:pPr>
              <w:widowControl/>
              <w:overflowPunct/>
              <w:autoSpaceDE/>
              <w:autoSpaceDN/>
              <w:adjustRightInd/>
              <w:ind w:left="0" w:firstLine="0"/>
              <w:jc w:val="center"/>
              <w:textAlignment w:val="auto"/>
              <w:rPr>
                <w:b/>
                <w:bCs/>
                <w:lang w:val="de-DE"/>
              </w:rPr>
            </w:pPr>
            <w:r w:rsidRPr="00EC57F8">
              <w:rPr>
                <w:b/>
                <w:bCs/>
                <w:lang w:val="de-DE"/>
              </w:rPr>
              <w:t>EN</w:t>
            </w:r>
          </w:p>
        </w:tc>
        <w:tc>
          <w:tcPr>
            <w:tcW w:w="4932" w:type="dxa"/>
          </w:tcPr>
          <w:p w14:paraId="0C7CA3A1" w14:textId="77777777" w:rsidR="00960731" w:rsidRPr="00EC57F8" w:rsidRDefault="00960731" w:rsidP="006237EB">
            <w:pPr>
              <w:widowControl/>
              <w:overflowPunct/>
              <w:autoSpaceDE/>
              <w:autoSpaceDN/>
              <w:adjustRightInd/>
              <w:ind w:left="0" w:firstLine="0"/>
              <w:jc w:val="center"/>
              <w:textAlignment w:val="auto"/>
              <w:rPr>
                <w:b/>
                <w:bCs/>
                <w:lang w:val="de-DE"/>
              </w:rPr>
            </w:pPr>
            <w:r w:rsidRPr="00EC57F8">
              <w:rPr>
                <w:b/>
                <w:bCs/>
                <w:lang w:val="de-DE"/>
              </w:rPr>
              <w:t>FR</w:t>
            </w:r>
          </w:p>
        </w:tc>
        <w:tc>
          <w:tcPr>
            <w:tcW w:w="3974" w:type="dxa"/>
          </w:tcPr>
          <w:p w14:paraId="249E0845" w14:textId="631056B4" w:rsidR="00960731" w:rsidRPr="00EC57F8" w:rsidRDefault="003F4CE2" w:rsidP="006237EB">
            <w:pPr>
              <w:widowControl/>
              <w:overflowPunct/>
              <w:autoSpaceDE/>
              <w:autoSpaceDN/>
              <w:adjustRightInd/>
              <w:ind w:left="0" w:firstLine="0"/>
              <w:jc w:val="center"/>
              <w:textAlignment w:val="auto"/>
              <w:rPr>
                <w:b/>
                <w:bCs/>
                <w:lang w:val="de-DE"/>
              </w:rPr>
            </w:pPr>
            <w:r w:rsidRPr="00EC57F8">
              <w:rPr>
                <w:b/>
                <w:bCs/>
                <w:lang w:val="de-DE"/>
              </w:rPr>
              <w:t>DE</w:t>
            </w:r>
          </w:p>
        </w:tc>
      </w:tr>
      <w:tr w:rsidR="00960731" w:rsidRPr="00EC57F8" w14:paraId="5F92C4CE" w14:textId="77777777" w:rsidTr="00FF5C44">
        <w:trPr>
          <w:cantSplit/>
          <w:tblHeader/>
          <w:jc w:val="center"/>
        </w:trPr>
        <w:tc>
          <w:tcPr>
            <w:tcW w:w="1014" w:type="dxa"/>
          </w:tcPr>
          <w:p w14:paraId="43659FBE" w14:textId="54DE7C24" w:rsidR="00960731" w:rsidRPr="00EC57F8" w:rsidRDefault="00960731" w:rsidP="006237EB">
            <w:pPr>
              <w:widowControl/>
              <w:overflowPunct/>
              <w:autoSpaceDE/>
              <w:autoSpaceDN/>
              <w:adjustRightInd/>
              <w:ind w:left="0" w:firstLine="0"/>
              <w:jc w:val="left"/>
              <w:textAlignment w:val="auto"/>
              <w:rPr>
                <w:b/>
                <w:bCs/>
                <w:lang w:val="de-DE"/>
              </w:rPr>
            </w:pPr>
            <w:r w:rsidRPr="00EC57F8">
              <w:rPr>
                <w:b/>
                <w:bCs/>
                <w:lang w:val="de-DE"/>
              </w:rPr>
              <w:t>8.1.2.2 h)</w:t>
            </w:r>
          </w:p>
        </w:tc>
        <w:tc>
          <w:tcPr>
            <w:tcW w:w="4255" w:type="dxa"/>
          </w:tcPr>
          <w:p w14:paraId="2CAE2320" w14:textId="77777777" w:rsidR="00960731" w:rsidRPr="00EC57F8" w:rsidRDefault="00960731" w:rsidP="006237EB">
            <w:pPr>
              <w:widowControl/>
              <w:overflowPunct/>
              <w:autoSpaceDE/>
              <w:autoSpaceDN/>
              <w:adjustRightInd/>
              <w:ind w:left="0" w:firstLine="0"/>
              <w:jc w:val="left"/>
              <w:textAlignment w:val="auto"/>
              <w:rPr>
                <w:lang w:val="en-US"/>
              </w:rPr>
            </w:pPr>
            <w:r w:rsidRPr="00EC57F8">
              <w:rPr>
                <w:lang w:val="en-US"/>
              </w:rPr>
              <w:t>- Installation/equipment, location, marking (explosion protection level according to IEC 60079-0, equipment category according to Directive 2014/34/EU</w:t>
            </w:r>
            <w:r w:rsidRPr="00EC57F8">
              <w:rPr>
                <w:bCs/>
                <w:vertAlign w:val="superscript"/>
                <w:lang w:val="en-US"/>
              </w:rPr>
              <w:t>1</w:t>
            </w:r>
            <w:r w:rsidRPr="00EC57F8">
              <w:rPr>
                <w:vertAlign w:val="superscript"/>
                <w:lang w:val="en-US"/>
              </w:rPr>
              <w:t xml:space="preserve"> </w:t>
            </w:r>
            <w:r w:rsidRPr="00EC57F8">
              <w:rPr>
                <w:lang w:val="en-US"/>
              </w:rPr>
              <w:t xml:space="preserve">or equivalent protection level, explosion group, temperature class, type of protection, test </w:t>
            </w:r>
            <w:proofErr w:type="gramStart"/>
            <w:r w:rsidRPr="00EC57F8">
              <w:rPr>
                <w:lang w:val="en-US"/>
              </w:rPr>
              <w:t>body</w:t>
            </w:r>
            <w:r w:rsidRPr="00EC57F8">
              <w:rPr>
                <w:rFonts w:ascii="Times New Roman Gras" w:eastAsia="Calibri" w:hAnsi="Times New Roman Gras"/>
                <w:b/>
                <w:u w:val="single"/>
                <w:vertAlign w:val="superscript"/>
                <w:lang w:val="en-US"/>
              </w:rPr>
              <w:t>(</w:t>
            </w:r>
            <w:proofErr w:type="gramEnd"/>
            <w:r w:rsidRPr="00EC57F8">
              <w:rPr>
                <w:rFonts w:ascii="Times New Roman Gras" w:eastAsia="Calibri" w:hAnsi="Times New Roman Gras"/>
                <w:b/>
                <w:u w:val="single"/>
                <w:vertAlign w:val="superscript"/>
                <w:lang w:val="en-US"/>
              </w:rPr>
              <w:t>*)</w:t>
            </w:r>
            <w:r w:rsidRPr="00EC57F8">
              <w:rPr>
                <w:lang w:val="en-US"/>
              </w:rPr>
              <w:t>) in case of electrical equipment for use in zone 1 (alternatively, a copy of the certificate of conformity according to Directive 2014/34/EU</w:t>
            </w:r>
            <w:r w:rsidRPr="00EC57F8">
              <w:rPr>
                <w:bCs/>
                <w:vertAlign w:val="superscript"/>
                <w:lang w:val="en-US"/>
              </w:rPr>
              <w:t>1</w:t>
            </w:r>
            <w:r w:rsidRPr="00EC57F8">
              <w:rPr>
                <w:lang w:val="en-US"/>
              </w:rPr>
              <w:t>);</w:t>
            </w:r>
          </w:p>
        </w:tc>
        <w:tc>
          <w:tcPr>
            <w:tcW w:w="4932" w:type="dxa"/>
          </w:tcPr>
          <w:p w14:paraId="2F865A11" w14:textId="77777777" w:rsidR="00960731" w:rsidRPr="00EC57F8" w:rsidRDefault="00960731" w:rsidP="006237EB">
            <w:pPr>
              <w:widowControl/>
              <w:overflowPunct/>
              <w:autoSpaceDE/>
              <w:autoSpaceDN/>
              <w:adjustRightInd/>
              <w:ind w:left="0" w:firstLine="0"/>
              <w:jc w:val="left"/>
              <w:textAlignment w:val="auto"/>
            </w:pPr>
            <w:r w:rsidRPr="00EC57F8">
              <w:rPr>
                <w:szCs w:val="22"/>
              </w:rPr>
              <w:t xml:space="preserve">– </w:t>
            </w:r>
            <w:r w:rsidRPr="00EC57F8">
              <w:rPr>
                <w:rFonts w:eastAsia="Calibri"/>
              </w:rPr>
              <w:t xml:space="preserve">Installation/équipement, emplacement, marquage (niveau de protection contre les explosions selon la norme CEI 60079-0, catégorie d’équipement selon la directive </w:t>
            </w:r>
            <w:r w:rsidRPr="00EC57F8">
              <w:rPr>
                <w:rFonts w:eastAsia="Calibri"/>
                <w:bCs/>
                <w:iCs/>
              </w:rPr>
              <w:t>2014/34/UE</w:t>
            </w:r>
            <w:r w:rsidRPr="00EC57F8">
              <w:rPr>
                <w:rFonts w:eastAsia="Calibri"/>
                <w:sz w:val="18"/>
                <w:vertAlign w:val="superscript"/>
              </w:rPr>
              <w:t>1</w:t>
            </w:r>
            <w:r w:rsidRPr="00EC57F8">
              <w:rPr>
                <w:rFonts w:eastAsia="Calibri"/>
              </w:rPr>
              <w:t xml:space="preserve"> ou niveau de protection équivalent, groupe d’explosion, classe de température, type de protection, organisme de </w:t>
            </w:r>
            <w:proofErr w:type="gramStart"/>
            <w:r w:rsidRPr="00EC57F8">
              <w:rPr>
                <w:rFonts w:eastAsia="Calibri"/>
              </w:rPr>
              <w:t>contrôle</w:t>
            </w:r>
            <w:r w:rsidRPr="00EC57F8">
              <w:rPr>
                <w:rFonts w:ascii="Times New Roman Gras" w:eastAsia="Calibri" w:hAnsi="Times New Roman Gras"/>
                <w:b/>
                <w:u w:val="single"/>
                <w:vertAlign w:val="superscript"/>
              </w:rPr>
              <w:t>(</w:t>
            </w:r>
            <w:proofErr w:type="gramEnd"/>
            <w:r w:rsidRPr="00EC57F8">
              <w:rPr>
                <w:rFonts w:ascii="Times New Roman Gras" w:eastAsia="Calibri" w:hAnsi="Times New Roman Gras"/>
                <w:b/>
                <w:u w:val="single"/>
                <w:vertAlign w:val="superscript"/>
              </w:rPr>
              <w:t>*)</w:t>
            </w:r>
            <w:r w:rsidRPr="00EC57F8">
              <w:rPr>
                <w:rFonts w:eastAsia="Calibri"/>
              </w:rPr>
              <w:t xml:space="preserve">) dans le cas des équipements électriques destinés à être utilisés en zone 1 (ou, en guise d’alternative, copie de la déclaration de conformité selon la directive </w:t>
            </w:r>
            <w:r w:rsidRPr="00EC57F8">
              <w:rPr>
                <w:rFonts w:eastAsia="Calibri"/>
                <w:bCs/>
                <w:iCs/>
              </w:rPr>
              <w:t>2014/34/UE</w:t>
            </w:r>
            <w:r w:rsidRPr="00EC57F8">
              <w:rPr>
                <w:rFonts w:eastAsia="Calibri"/>
                <w:bCs/>
                <w:iCs/>
                <w:vertAlign w:val="superscript"/>
              </w:rPr>
              <w:t>1</w:t>
            </w:r>
            <w:r w:rsidRPr="00EC57F8">
              <w:rPr>
                <w:rFonts w:eastAsia="Calibri"/>
              </w:rPr>
              <w:t>);</w:t>
            </w:r>
          </w:p>
        </w:tc>
        <w:tc>
          <w:tcPr>
            <w:tcW w:w="3974" w:type="dxa"/>
          </w:tcPr>
          <w:p w14:paraId="503A170A" w14:textId="77777777" w:rsidR="00960731" w:rsidRPr="00EC57F8" w:rsidRDefault="00960731" w:rsidP="006237EB">
            <w:pPr>
              <w:widowControl/>
              <w:overflowPunct/>
              <w:ind w:left="0" w:firstLine="0"/>
              <w:jc w:val="left"/>
              <w:textAlignment w:val="auto"/>
              <w:rPr>
                <w:lang w:val="de-DE"/>
              </w:rPr>
            </w:pPr>
            <w:r w:rsidRPr="00EC57F8">
              <w:rPr>
                <w:lang w:val="de-DE" w:eastAsia="en-GB"/>
              </w:rPr>
              <w:t>- Anlage/Gerät, Aufstellungsort, Kennzeichnung (Geräteschutzniveau nach IEC 60079-0 oder Gerätekategorie nach Richtlinie 2014/34/EU</w:t>
            </w:r>
            <w:r w:rsidRPr="00EC57F8">
              <w:rPr>
                <w:vertAlign w:val="superscript"/>
                <w:lang w:val="de-DE" w:eastAsia="en-GB"/>
              </w:rPr>
              <w:t>1</w:t>
            </w:r>
            <w:r w:rsidRPr="00EC57F8">
              <w:rPr>
                <w:lang w:val="de-DE" w:eastAsia="en-GB"/>
              </w:rPr>
              <w:t xml:space="preserve">) oder vergleichbares Schutzniveau, Explosionsgruppe und Temperaturklasse, Zündschutzart, </w:t>
            </w:r>
            <w:proofErr w:type="gramStart"/>
            <w:r w:rsidRPr="00EC57F8">
              <w:rPr>
                <w:lang w:val="de-DE" w:eastAsia="en-GB"/>
              </w:rPr>
              <w:t>Prüfstelle</w:t>
            </w:r>
            <w:r w:rsidRPr="00EC57F8">
              <w:rPr>
                <w:rFonts w:ascii="Times New Roman Gras" w:eastAsia="Calibri" w:hAnsi="Times New Roman Gras"/>
                <w:b/>
                <w:u w:val="single"/>
                <w:vertAlign w:val="superscript"/>
                <w:lang w:val="de-DE"/>
              </w:rPr>
              <w:t>(</w:t>
            </w:r>
            <w:proofErr w:type="gramEnd"/>
            <w:r w:rsidRPr="00EC57F8">
              <w:rPr>
                <w:rFonts w:ascii="Times New Roman Gras" w:eastAsia="Calibri" w:hAnsi="Times New Roman Gras"/>
                <w:b/>
                <w:u w:val="single"/>
                <w:vertAlign w:val="superscript"/>
                <w:lang w:val="de-DE"/>
              </w:rPr>
              <w:t>*)</w:t>
            </w:r>
            <w:r w:rsidRPr="00EC57F8">
              <w:rPr>
                <w:lang w:val="de-DE" w:eastAsia="en-GB"/>
              </w:rPr>
              <w:t>), bei elektrischen Geräten zum Einsatz in Zone 1 (alternativ Kopie z.B. Konformitätserklärung nach Richtlinie 2014/34/EU</w:t>
            </w:r>
            <w:r w:rsidRPr="00EC57F8">
              <w:rPr>
                <w:vertAlign w:val="superscript"/>
                <w:lang w:val="de-DE" w:eastAsia="en-GB"/>
              </w:rPr>
              <w:t>1</w:t>
            </w:r>
            <w:r w:rsidRPr="00EC57F8">
              <w:rPr>
                <w:lang w:val="de-DE" w:eastAsia="en-GB"/>
              </w:rPr>
              <w:t>))</w:t>
            </w:r>
          </w:p>
        </w:tc>
      </w:tr>
      <w:tr w:rsidR="00960731" w:rsidRPr="00EC57F8" w14:paraId="1F08DEA1" w14:textId="77777777" w:rsidTr="00FF5C44">
        <w:trPr>
          <w:cantSplit/>
          <w:tblHeader/>
          <w:jc w:val="center"/>
        </w:trPr>
        <w:tc>
          <w:tcPr>
            <w:tcW w:w="1014" w:type="dxa"/>
          </w:tcPr>
          <w:p w14:paraId="1C94FB70" w14:textId="764D6105" w:rsidR="00960731" w:rsidRPr="00EC57F8" w:rsidRDefault="00960731" w:rsidP="006237EB">
            <w:pPr>
              <w:widowControl/>
              <w:overflowPunct/>
              <w:autoSpaceDE/>
              <w:autoSpaceDN/>
              <w:adjustRightInd/>
              <w:ind w:left="0" w:firstLine="0"/>
              <w:jc w:val="left"/>
              <w:textAlignment w:val="auto"/>
              <w:rPr>
                <w:b/>
                <w:bCs/>
                <w:lang w:val="de-DE"/>
              </w:rPr>
            </w:pPr>
            <w:r w:rsidRPr="00EC57F8">
              <w:rPr>
                <w:b/>
                <w:bCs/>
                <w:lang w:val="de-DE"/>
              </w:rPr>
              <w:t>8.1.2.3 u)</w:t>
            </w:r>
          </w:p>
        </w:tc>
        <w:tc>
          <w:tcPr>
            <w:tcW w:w="4255" w:type="dxa"/>
          </w:tcPr>
          <w:p w14:paraId="1A7EC10B" w14:textId="77777777" w:rsidR="00960731" w:rsidRPr="00EC57F8" w:rsidRDefault="00960731" w:rsidP="006237EB">
            <w:pPr>
              <w:widowControl/>
              <w:overflowPunct/>
              <w:autoSpaceDE/>
              <w:autoSpaceDN/>
              <w:adjustRightInd/>
              <w:ind w:left="0" w:firstLine="0"/>
              <w:jc w:val="left"/>
              <w:textAlignment w:val="auto"/>
              <w:rPr>
                <w:lang w:val="en-US"/>
              </w:rPr>
            </w:pPr>
            <w:r w:rsidRPr="00EC57F8">
              <w:rPr>
                <w:lang w:val="en-US"/>
              </w:rPr>
              <w:t>– Installations/equipment, location, marking (explosion protection level according to IEC 60079-0, equipment category according to Directive 2014/34/EU</w:t>
            </w:r>
            <w:r w:rsidRPr="00EC57F8">
              <w:rPr>
                <w:b/>
                <w:bCs/>
                <w:vertAlign w:val="superscript"/>
                <w:lang w:val="en-US"/>
              </w:rPr>
              <w:t>1</w:t>
            </w:r>
            <w:r w:rsidRPr="00EC57F8">
              <w:rPr>
                <w:lang w:val="en-US"/>
              </w:rPr>
              <w:t xml:space="preserve"> or at least equivalent), including explosion group and temperature class, type of protection and test body</w:t>
            </w:r>
            <w:r w:rsidRPr="00EC57F8">
              <w:rPr>
                <w:rFonts w:ascii="Times New Roman Gras" w:eastAsia="Calibri" w:hAnsi="Times New Roman Gras"/>
                <w:b/>
                <w:u w:val="single"/>
                <w:vertAlign w:val="superscript"/>
                <w:lang w:val="en-US"/>
              </w:rPr>
              <w:t>(*)</w:t>
            </w:r>
            <w:r w:rsidRPr="00EC57F8">
              <w:rPr>
                <w:lang w:val="en-US"/>
              </w:rPr>
              <w:t>, in the case of electrical equipment for use in zone 0 or zone 1 and, in the case of non-electrical equipment for use in zone 0; (alternatively, a copy of the inspection certificate, for example the declaration of conformity under Directive 2014/34/EU</w:t>
            </w:r>
            <w:r w:rsidRPr="00EC57F8">
              <w:rPr>
                <w:bCs/>
                <w:vertAlign w:val="superscript"/>
                <w:lang w:val="en-US"/>
              </w:rPr>
              <w:t>1</w:t>
            </w:r>
            <w:r w:rsidRPr="00EC57F8">
              <w:rPr>
                <w:lang w:val="en-US"/>
              </w:rPr>
              <w:t>);</w:t>
            </w:r>
          </w:p>
        </w:tc>
        <w:tc>
          <w:tcPr>
            <w:tcW w:w="4932" w:type="dxa"/>
          </w:tcPr>
          <w:p w14:paraId="0BC0962C" w14:textId="77777777" w:rsidR="00960731" w:rsidRPr="00EC57F8" w:rsidRDefault="00960731" w:rsidP="006237EB">
            <w:pPr>
              <w:widowControl/>
              <w:overflowPunct/>
              <w:autoSpaceDE/>
              <w:autoSpaceDN/>
              <w:adjustRightInd/>
              <w:ind w:left="0" w:firstLine="0"/>
              <w:jc w:val="left"/>
              <w:textAlignment w:val="auto"/>
            </w:pPr>
            <w:r w:rsidRPr="00EC57F8">
              <w:t xml:space="preserve">– Installation/équipement, emplacement, marquage (niveau de protection contre les explosions selon la norme CEI 60079-0 ou catégorie d’équipement selon la directive </w:t>
            </w:r>
            <w:r w:rsidRPr="00EC57F8">
              <w:rPr>
                <w:rFonts w:eastAsia="Calibri"/>
                <w:bCs/>
                <w:iCs/>
              </w:rPr>
              <w:t>2014/34/UE</w:t>
            </w:r>
            <w:r w:rsidRPr="00EC57F8">
              <w:rPr>
                <w:rFonts w:eastAsia="Calibri"/>
                <w:bCs/>
                <w:iCs/>
                <w:vertAlign w:val="superscript"/>
              </w:rPr>
              <w:t>1</w:t>
            </w:r>
            <w:r w:rsidRPr="00EC57F8">
              <w:t>ou au moins équivalent), y compris le groupe d’explosion et la classe de température, le type de protection, l’organisme de contrôle</w:t>
            </w:r>
            <w:r w:rsidRPr="00EC57F8">
              <w:rPr>
                <w:rFonts w:ascii="Times New Roman Gras" w:eastAsia="Calibri" w:hAnsi="Times New Roman Gras"/>
                <w:b/>
                <w:u w:val="single"/>
                <w:vertAlign w:val="superscript"/>
              </w:rPr>
              <w:t>(*)</w:t>
            </w:r>
            <w:r w:rsidRPr="00EC57F8">
              <w:t xml:space="preserve"> dans le cas des équipements électriques destinés à être utilisés en zone 0 et en zone 1 ainsi que dans le cas des équipements non électriques destinés à être utilisés en zone 0; (ou, en guise d’alternative, copie de l’attestation de contrôle, par exemple de la déclaration de conformité selon la directive </w:t>
            </w:r>
            <w:r w:rsidRPr="00EC57F8">
              <w:rPr>
                <w:rFonts w:eastAsia="Calibri"/>
                <w:iCs/>
              </w:rPr>
              <w:t>2014/34/UE</w:t>
            </w:r>
            <w:r w:rsidRPr="00EC57F8">
              <w:rPr>
                <w:rFonts w:eastAsia="Calibri"/>
                <w:iCs/>
                <w:vertAlign w:val="superscript"/>
              </w:rPr>
              <w:t>1</w:t>
            </w:r>
            <w:r w:rsidRPr="00EC57F8">
              <w:t>);</w:t>
            </w:r>
          </w:p>
        </w:tc>
        <w:tc>
          <w:tcPr>
            <w:tcW w:w="3974" w:type="dxa"/>
          </w:tcPr>
          <w:p w14:paraId="764DBAEC" w14:textId="77777777" w:rsidR="00960731" w:rsidRPr="00EC57F8" w:rsidRDefault="00960731" w:rsidP="006237EB">
            <w:pPr>
              <w:widowControl/>
              <w:overflowPunct/>
              <w:autoSpaceDE/>
              <w:autoSpaceDN/>
              <w:adjustRightInd/>
              <w:ind w:left="0" w:firstLine="0"/>
              <w:jc w:val="left"/>
              <w:textAlignment w:val="auto"/>
              <w:rPr>
                <w:lang w:val="de-DE"/>
              </w:rPr>
            </w:pPr>
            <w:r w:rsidRPr="00EC57F8">
              <w:rPr>
                <w:lang w:val="de-DE"/>
              </w:rPr>
              <w:t>- Anlage/Gerät, Aufstellungsort, Kennzeichnung (Geräteschutzniveau nach IEC 60079-0 oder Kategorie nach Richtlinie 2014/34/EU</w:t>
            </w:r>
            <w:r w:rsidRPr="00EC57F8">
              <w:rPr>
                <w:vertAlign w:val="superscript"/>
                <w:lang w:val="de-DE"/>
              </w:rPr>
              <w:t>1</w:t>
            </w:r>
            <w:r w:rsidRPr="00EC57F8">
              <w:rPr>
                <w:lang w:val="de-DE"/>
              </w:rPr>
              <w:t xml:space="preserve">) oder mindestens gleichwertig) einschließlich Explosionsgruppe und Temperaturklasse, Zündschutzart, </w:t>
            </w:r>
            <w:proofErr w:type="gramStart"/>
            <w:r w:rsidRPr="00EC57F8">
              <w:rPr>
                <w:lang w:val="de-DE"/>
              </w:rPr>
              <w:t>Prüfstelle</w:t>
            </w:r>
            <w:r w:rsidRPr="00EC57F8">
              <w:rPr>
                <w:rFonts w:ascii="Times New Roman Gras" w:eastAsia="Calibri" w:hAnsi="Times New Roman Gras"/>
                <w:b/>
                <w:u w:val="single"/>
                <w:vertAlign w:val="superscript"/>
                <w:lang w:val="de-DE"/>
              </w:rPr>
              <w:t>(</w:t>
            </w:r>
            <w:proofErr w:type="gramEnd"/>
            <w:r w:rsidRPr="00EC57F8">
              <w:rPr>
                <w:rFonts w:ascii="Times New Roman Gras" w:eastAsia="Calibri" w:hAnsi="Times New Roman Gras"/>
                <w:b/>
                <w:u w:val="single"/>
                <w:vertAlign w:val="superscript"/>
                <w:lang w:val="de-DE"/>
              </w:rPr>
              <w:t>*)</w:t>
            </w:r>
            <w:r w:rsidRPr="00EC57F8">
              <w:rPr>
                <w:lang w:val="de-DE"/>
              </w:rPr>
              <w:t xml:space="preserve"> bei elektrischen Geräten zum Einsatz in Zone 0 und Zone 1 sowie bei nicht-elektrischen Geräten zum Einsatz in Zone 0; (alternativ Kopie der Prüfbescheinigung z.B. Konformitätserklärung nach Richtlinie 2014/34/EU</w:t>
            </w:r>
            <w:r w:rsidRPr="00EC57F8">
              <w:rPr>
                <w:vertAlign w:val="superscript"/>
                <w:lang w:val="de-DE"/>
              </w:rPr>
              <w:t>1</w:t>
            </w:r>
            <w:r w:rsidRPr="00EC57F8">
              <w:rPr>
                <w:lang w:val="de-DE"/>
              </w:rPr>
              <w:t>))</w:t>
            </w:r>
          </w:p>
        </w:tc>
      </w:tr>
    </w:tbl>
    <w:p w14:paraId="325199BC" w14:textId="77777777" w:rsidR="00960731" w:rsidRPr="00EC57F8" w:rsidRDefault="00960731" w:rsidP="009D3667">
      <w:pPr>
        <w:widowControl/>
        <w:overflowPunct/>
        <w:spacing w:before="60" w:after="60" w:line="240" w:lineRule="atLeast"/>
        <w:ind w:left="567" w:firstLine="567"/>
        <w:jc w:val="left"/>
        <w:textAlignment w:val="auto"/>
        <w:rPr>
          <w:b/>
          <w:u w:val="single"/>
          <w:lang w:val="en-US" w:eastAsia="en-GB"/>
        </w:rPr>
      </w:pPr>
      <w:r w:rsidRPr="00EC57F8">
        <w:rPr>
          <w:rFonts w:eastAsia="Calibri"/>
          <w:b/>
          <w:u w:val="single"/>
          <w:lang w:val="en-US"/>
        </w:rPr>
        <w:t xml:space="preserve">(*) </w:t>
      </w:r>
      <w:r w:rsidRPr="00EC57F8">
        <w:rPr>
          <w:rFonts w:eastAsia="Calibri"/>
          <w:b/>
          <w:u w:val="single"/>
          <w:lang w:val="en-US"/>
        </w:rPr>
        <w:tab/>
      </w:r>
      <w:r w:rsidRPr="00EC57F8">
        <w:rPr>
          <w:b/>
          <w:u w:val="single"/>
          <w:lang w:val="en-US" w:eastAsia="en-GB"/>
        </w:rPr>
        <w:t>No</w:t>
      </w:r>
      <w:r w:rsidRPr="00EC57F8">
        <w:rPr>
          <w:rFonts w:eastAsia="Calibri"/>
          <w:b/>
          <w:u w:val="single"/>
          <w:lang w:val="en-US" w:eastAsia="en-GB"/>
        </w:rPr>
        <w:t>ti</w:t>
      </w:r>
      <w:r w:rsidRPr="00EC57F8">
        <w:rPr>
          <w:b/>
          <w:u w:val="single"/>
          <w:lang w:val="en-US" w:eastAsia="en-GB"/>
        </w:rPr>
        <w:t>fied body, in the frame of Directive 2014/34/EU, or equivalent</w:t>
      </w:r>
    </w:p>
    <w:p w14:paraId="7F839391" w14:textId="77777777" w:rsidR="00960731" w:rsidRPr="00EC57F8" w:rsidRDefault="00960731" w:rsidP="009D3667">
      <w:pPr>
        <w:widowControl/>
        <w:overflowPunct/>
        <w:spacing w:before="60" w:after="60" w:line="240" w:lineRule="atLeast"/>
        <w:ind w:left="567" w:firstLine="567"/>
        <w:jc w:val="left"/>
        <w:textAlignment w:val="auto"/>
        <w:rPr>
          <w:b/>
          <w:u w:val="single"/>
          <w:lang w:val="fr-FR"/>
        </w:rPr>
      </w:pPr>
      <w:r w:rsidRPr="00EC57F8">
        <w:rPr>
          <w:rFonts w:eastAsia="Calibri"/>
          <w:b/>
          <w:u w:val="single"/>
          <w:lang w:val="fr-FR"/>
        </w:rPr>
        <w:t xml:space="preserve">(*) </w:t>
      </w:r>
      <w:r w:rsidRPr="00EC57F8">
        <w:rPr>
          <w:rFonts w:eastAsia="Calibri"/>
          <w:b/>
          <w:u w:val="single"/>
          <w:lang w:val="fr-FR"/>
        </w:rPr>
        <w:tab/>
        <w:t>Organisme notifié, dans le cadre de la Directive 2014/34/UE, ou équivalent</w:t>
      </w:r>
    </w:p>
    <w:p w14:paraId="75C10C72" w14:textId="545C4644" w:rsidR="00960731" w:rsidRPr="00EC57F8" w:rsidRDefault="00960731" w:rsidP="00B37B7B">
      <w:pPr>
        <w:widowControl/>
        <w:suppressAutoHyphens/>
        <w:overflowPunct/>
        <w:autoSpaceDE/>
        <w:autoSpaceDN/>
        <w:adjustRightInd/>
        <w:spacing w:before="60" w:after="60" w:line="240" w:lineRule="atLeast"/>
        <w:ind w:right="1134" w:firstLine="0"/>
        <w:textAlignment w:val="auto"/>
        <w:rPr>
          <w:b/>
          <w:i/>
        </w:rPr>
      </w:pPr>
      <w:r w:rsidRPr="00EC57F8">
        <w:rPr>
          <w:rFonts w:eastAsia="Calibri"/>
          <w:b/>
          <w:i/>
        </w:rPr>
        <w:t xml:space="preserve">(*) </w:t>
      </w:r>
      <w:r w:rsidRPr="00EC57F8">
        <w:rPr>
          <w:rFonts w:eastAsia="Calibri"/>
          <w:b/>
          <w:i/>
        </w:rPr>
        <w:tab/>
      </w:r>
      <w:r w:rsidR="00B37B7B" w:rsidRPr="00EC57F8">
        <w:rPr>
          <w:rFonts w:eastAsia="Calibri"/>
          <w:b/>
          <w:i/>
        </w:rPr>
        <w:t>Deutscher Wortlaut, von Deutschland oder einer anderen deutschsprachigen Delegation festzulegen</w:t>
      </w:r>
    </w:p>
    <w:p w14:paraId="0A076B7A" w14:textId="645D693D" w:rsidR="00960731" w:rsidRPr="00EC57F8" w:rsidRDefault="00960731" w:rsidP="00C4405C">
      <w:pPr>
        <w:keepNext/>
        <w:keepLines/>
        <w:widowControl/>
        <w:tabs>
          <w:tab w:val="right" w:pos="851"/>
        </w:tabs>
        <w:suppressAutoHyphens/>
        <w:overflowPunct/>
        <w:autoSpaceDE/>
        <w:autoSpaceDN/>
        <w:adjustRightInd/>
        <w:spacing w:before="120" w:after="120" w:line="300" w:lineRule="exact"/>
        <w:ind w:right="1134"/>
        <w:jc w:val="left"/>
        <w:textAlignment w:val="auto"/>
        <w:rPr>
          <w:b/>
          <w:sz w:val="28"/>
        </w:rPr>
      </w:pPr>
      <w:r w:rsidRPr="00EC57F8">
        <w:rPr>
          <w:b/>
          <w:sz w:val="28"/>
        </w:rPr>
        <w:tab/>
      </w:r>
      <w:r w:rsidRPr="00EC57F8">
        <w:rPr>
          <w:b/>
          <w:sz w:val="28"/>
        </w:rPr>
        <w:tab/>
      </w:r>
      <w:r w:rsidR="009D3667" w:rsidRPr="00EC57F8">
        <w:rPr>
          <w:b/>
          <w:sz w:val="28"/>
        </w:rPr>
        <w:t>Vorschläge</w:t>
      </w:r>
    </w:p>
    <w:p w14:paraId="2A70070D" w14:textId="77777777" w:rsidR="00C4405C" w:rsidRDefault="00960731" w:rsidP="00C4405C">
      <w:pPr>
        <w:widowControl/>
        <w:tabs>
          <w:tab w:val="left" w:pos="1701"/>
        </w:tabs>
        <w:suppressAutoHyphens/>
        <w:overflowPunct/>
        <w:autoSpaceDE/>
        <w:autoSpaceDN/>
        <w:adjustRightInd/>
        <w:spacing w:line="240" w:lineRule="atLeast"/>
        <w:ind w:right="1134" w:firstLine="0"/>
        <w:textAlignment w:val="auto"/>
      </w:pPr>
      <w:r w:rsidRPr="00EC57F8">
        <w:t>8.</w:t>
      </w:r>
      <w:r w:rsidRPr="00EC57F8">
        <w:tab/>
      </w:r>
      <w:r w:rsidR="00B37B7B" w:rsidRPr="00EC57F8">
        <w:t>Der Sicherheitsausschuss wird gebeten, die in den Absätzen 3 bis 7 enthaltenen Vorschläge zu prüfen und die aus seiner Sicht notwendigen Maßnahmen zu ergreifen.</w:t>
      </w:r>
    </w:p>
    <w:p w14:paraId="258CF0B9" w14:textId="732696B1" w:rsidR="00751575" w:rsidRPr="006237EB" w:rsidRDefault="00B60659" w:rsidP="00C4405C">
      <w:pPr>
        <w:widowControl/>
        <w:tabs>
          <w:tab w:val="left" w:pos="1701"/>
        </w:tabs>
        <w:suppressAutoHyphens/>
        <w:overflowPunct/>
        <w:autoSpaceDE/>
        <w:autoSpaceDN/>
        <w:adjustRightInd/>
        <w:spacing w:line="240" w:lineRule="atLeast"/>
        <w:ind w:right="1134" w:firstLine="0"/>
        <w:jc w:val="center"/>
        <w:textAlignment w:val="auto"/>
      </w:pPr>
      <w:r w:rsidRPr="00EC57F8">
        <w:t>***</w:t>
      </w:r>
    </w:p>
    <w:sectPr w:rsidR="00751575" w:rsidRPr="006237EB" w:rsidSect="00960731">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70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B0D7" w14:textId="77777777" w:rsidR="005C6E6C" w:rsidRDefault="005C6E6C" w:rsidP="0011702A">
      <w:r>
        <w:separator/>
      </w:r>
    </w:p>
  </w:endnote>
  <w:endnote w:type="continuationSeparator" w:id="0">
    <w:p w14:paraId="1BC5517B" w14:textId="77777777" w:rsidR="005C6E6C" w:rsidRDefault="005C6E6C"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9DD5" w14:textId="77777777" w:rsidR="00960731" w:rsidRPr="00F909D5" w:rsidRDefault="00960731" w:rsidP="00F909D5">
    <w:pPr>
      <w:pStyle w:val="Footer"/>
      <w:tabs>
        <w:tab w:val="right" w:pos="9638"/>
      </w:tabs>
      <w:rPr>
        <w:sz w:val="18"/>
      </w:rPr>
    </w:pPr>
    <w:r w:rsidRPr="00F909D5">
      <w:rPr>
        <w:b/>
        <w:sz w:val="18"/>
      </w:rPr>
      <w:fldChar w:fldCharType="begin"/>
    </w:r>
    <w:r w:rsidRPr="00F909D5">
      <w:rPr>
        <w:b/>
        <w:sz w:val="18"/>
      </w:rPr>
      <w:instrText xml:space="preserve"> PAGE  \* MERGEFORMAT </w:instrText>
    </w:r>
    <w:r w:rsidRPr="00F909D5">
      <w:rPr>
        <w:b/>
        <w:sz w:val="18"/>
      </w:rPr>
      <w:fldChar w:fldCharType="separate"/>
    </w:r>
    <w:r w:rsidRPr="00F909D5">
      <w:rPr>
        <w:b/>
        <w:noProof/>
        <w:sz w:val="18"/>
      </w:rPr>
      <w:t>2</w:t>
    </w:r>
    <w:r w:rsidRPr="00F909D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582" w14:textId="77777777" w:rsidR="00960731" w:rsidRPr="00F909D5" w:rsidRDefault="00960731" w:rsidP="00F909D5">
    <w:pPr>
      <w:pStyle w:val="Footer"/>
      <w:tabs>
        <w:tab w:val="right" w:pos="9638"/>
      </w:tabs>
      <w:rPr>
        <w:b/>
        <w:sz w:val="18"/>
      </w:rPr>
    </w:pPr>
    <w:r>
      <w:tab/>
    </w:r>
    <w:r w:rsidRPr="00F909D5">
      <w:rPr>
        <w:b/>
        <w:sz w:val="18"/>
      </w:rPr>
      <w:fldChar w:fldCharType="begin"/>
    </w:r>
    <w:r w:rsidRPr="00F909D5">
      <w:rPr>
        <w:b/>
        <w:sz w:val="18"/>
      </w:rPr>
      <w:instrText xml:space="preserve"> PAGE  \* MERGEFORMAT </w:instrText>
    </w:r>
    <w:r w:rsidRPr="00F909D5">
      <w:rPr>
        <w:b/>
        <w:sz w:val="18"/>
      </w:rPr>
      <w:fldChar w:fldCharType="separate"/>
    </w:r>
    <w:r w:rsidRPr="00F909D5">
      <w:rPr>
        <w:b/>
        <w:noProof/>
        <w:sz w:val="18"/>
      </w:rPr>
      <w:t>3</w:t>
    </w:r>
    <w:r w:rsidRPr="00F909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197854F2" w:rsidR="00915307" w:rsidRPr="008D3DAE" w:rsidRDefault="003F4CE2" w:rsidP="008D3DAE">
    <w:pPr>
      <w:suppressAutoHyphens/>
      <w:jc w:val="right"/>
      <w:rPr>
        <w:lang w:val="fr-FR"/>
      </w:rPr>
    </w:pPr>
    <w:r>
      <w:rPr>
        <w:rFonts w:ascii="Arial" w:hAnsi="Arial" w:cs="Arial"/>
        <w:noProof/>
        <w:snapToGrid w:val="0"/>
        <w:sz w:val="12"/>
        <w:lang w:val="fr-FR"/>
      </w:rPr>
      <w:t>m</w:t>
    </w:r>
    <w:r w:rsidR="008D3DAE">
      <w:rPr>
        <w:rFonts w:ascii="Arial" w:hAnsi="Arial" w:cs="Arial"/>
        <w:noProof/>
        <w:snapToGrid w:val="0"/>
        <w:sz w:val="12"/>
        <w:lang w:val="fr-FR"/>
      </w:rPr>
      <w:t>m</w:t>
    </w:r>
    <w:r w:rsidR="00B665FE">
      <w:rPr>
        <w:rFonts w:ascii="Arial" w:hAnsi="Arial" w:cs="Arial"/>
        <w:noProof/>
        <w:snapToGrid w:val="0"/>
        <w:sz w:val="12"/>
        <w:lang w:val="fr-FR"/>
      </w:rPr>
      <w:t>_</w:t>
    </w:r>
    <w:r>
      <w:rPr>
        <w:rFonts w:ascii="Arial" w:hAnsi="Arial" w:cs="Arial"/>
        <w:noProof/>
        <w:snapToGrid w:val="0"/>
        <w:sz w:val="12"/>
        <w:lang w:val="fr-FR"/>
      </w:rPr>
      <w:t>ba</w:t>
    </w:r>
    <w:r w:rsidR="008D3DAE">
      <w:rPr>
        <w:rFonts w:ascii="Arial" w:hAnsi="Arial" w:cs="Arial"/>
        <w:noProof/>
        <w:snapToGrid w:val="0"/>
        <w:sz w:val="12"/>
        <w:lang w:val="fr-FR"/>
      </w:rPr>
      <w:t>/adn_wp15_ac2_2023_</w:t>
    </w:r>
    <w:r w:rsidR="009E638E">
      <w:rPr>
        <w:rFonts w:ascii="Arial" w:hAnsi="Arial" w:cs="Arial"/>
        <w:noProof/>
        <w:snapToGrid w:val="0"/>
        <w:sz w:val="12"/>
        <w:lang w:val="fr-FR"/>
      </w:rPr>
      <w:t>4</w:t>
    </w:r>
    <w:r>
      <w:rPr>
        <w:rFonts w:ascii="Arial" w:hAnsi="Arial" w:cs="Arial"/>
        <w:noProof/>
        <w:snapToGrid w:val="0"/>
        <w:sz w:val="12"/>
        <w:lang w:val="fr-FR"/>
      </w:rPr>
      <w:t>6</w:t>
    </w:r>
    <w:r w:rsidR="008D3DAE">
      <w:rPr>
        <w:rFonts w:ascii="Arial" w:hAnsi="Arial" w:cs="Arial"/>
        <w:noProof/>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22F3BC20" w:rsidR="00455E11" w:rsidRPr="00B60659" w:rsidRDefault="006237EB" w:rsidP="00B60659">
    <w:pPr>
      <w:suppressAutoHyphens/>
      <w:jc w:val="right"/>
      <w:rPr>
        <w:rFonts w:ascii="Arial" w:hAnsi="Arial" w:cs="Arial"/>
        <w:noProof/>
        <w:snapToGrid w:val="0"/>
        <w:sz w:val="12"/>
        <w:lang w:val="fr-FR"/>
      </w:rPr>
    </w:pPr>
    <w:r>
      <w:rPr>
        <w:rFonts w:ascii="Arial" w:hAnsi="Arial" w:cs="Arial"/>
        <w:noProof/>
        <w:snapToGrid w:val="0"/>
        <w:sz w:val="12"/>
        <w:lang w:val="fr-FR"/>
      </w:rPr>
      <w:t>m</w:t>
    </w:r>
    <w:r w:rsidR="00455E11" w:rsidRPr="00B60659">
      <w:rPr>
        <w:rFonts w:ascii="Arial" w:hAnsi="Arial" w:cs="Arial"/>
        <w:noProof/>
        <w:snapToGrid w:val="0"/>
        <w:sz w:val="12"/>
        <w:lang w:val="fr-FR"/>
      </w:rPr>
      <w:t>m</w:t>
    </w:r>
    <w:r>
      <w:rPr>
        <w:rFonts w:ascii="Arial" w:hAnsi="Arial" w:cs="Arial"/>
        <w:noProof/>
        <w:snapToGrid w:val="0"/>
        <w:sz w:val="12"/>
        <w:lang w:val="fr-FR"/>
      </w:rPr>
      <w:t>_ba</w:t>
    </w:r>
    <w:r w:rsidR="00455E11" w:rsidRPr="00B60659">
      <w:rPr>
        <w:rFonts w:ascii="Arial" w:hAnsi="Arial" w:cs="Arial"/>
        <w:noProof/>
        <w:snapToGrid w:val="0"/>
        <w:sz w:val="12"/>
        <w:lang w:val="fr-FR"/>
      </w:rPr>
      <w:t>/adn_wp15_ac2_2023_</w:t>
    </w:r>
    <w:r>
      <w:rPr>
        <w:rFonts w:ascii="Arial" w:hAnsi="Arial" w:cs="Arial"/>
        <w:noProof/>
        <w:snapToGrid w:val="0"/>
        <w:sz w:val="12"/>
        <w:lang w:val="fr-FR"/>
      </w:rPr>
      <w:t>46</w:t>
    </w:r>
    <w:r w:rsidR="00455E11" w:rsidRPr="00B60659">
      <w:rPr>
        <w:rFonts w:ascii="Arial" w:hAnsi="Arial" w:cs="Arial"/>
        <w:noProof/>
        <w:snapToGrid w:val="0"/>
        <w:sz w:val="12"/>
        <w:lang w:val="fr-FR"/>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AB1B" w14:textId="7CB42D92" w:rsidR="00964112" w:rsidRPr="00964112" w:rsidRDefault="00964112" w:rsidP="00964112">
    <w:pPr>
      <w:suppressAutoHyphens/>
      <w:jc w:val="right"/>
      <w:rPr>
        <w:lang w:val="fr-FR"/>
      </w:rPr>
    </w:pPr>
    <w:r>
      <w:rPr>
        <w:rFonts w:ascii="Arial" w:hAnsi="Arial" w:cs="Arial"/>
        <w:noProof/>
        <w:snapToGrid w:val="0"/>
        <w:sz w:val="12"/>
        <w:lang w:val="fr-FR"/>
      </w:rPr>
      <w:t>mm_ba/adn_wp15_ac2_2023_4</w:t>
    </w:r>
    <w:r w:rsidR="008D6F28">
      <w:rPr>
        <w:rFonts w:ascii="Arial" w:hAnsi="Arial" w:cs="Arial"/>
        <w:noProof/>
        <w:snapToGrid w:val="0"/>
        <w:sz w:val="12"/>
        <w:lang w:val="fr-FR"/>
      </w:rPr>
      <w:t>6</w:t>
    </w:r>
    <w:r>
      <w:rPr>
        <w:rFonts w:ascii="Arial" w:hAnsi="Arial" w:cs="Arial"/>
        <w:noProof/>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CE33" w14:textId="77777777" w:rsidR="005C6E6C" w:rsidRDefault="005C6E6C" w:rsidP="0011702A">
      <w:r>
        <w:separator/>
      </w:r>
    </w:p>
  </w:footnote>
  <w:footnote w:type="continuationSeparator" w:id="0">
    <w:p w14:paraId="012BE0F6" w14:textId="77777777" w:rsidR="005C6E6C" w:rsidRDefault="005C6E6C" w:rsidP="0011702A">
      <w:r>
        <w:continuationSeparator/>
      </w:r>
    </w:p>
  </w:footnote>
  <w:footnote w:id="1">
    <w:p w14:paraId="4A90418F" w14:textId="6156C62E" w:rsidR="008D3DAE" w:rsidRPr="00B60659" w:rsidRDefault="008D3DAE" w:rsidP="008D3DAE">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sidR="008954EE">
        <w:rPr>
          <w:sz w:val="16"/>
          <w:szCs w:val="16"/>
        </w:rPr>
        <w:t>4</w:t>
      </w:r>
      <w:r w:rsidR="009D3667">
        <w:rPr>
          <w:sz w:val="16"/>
          <w:szCs w:val="16"/>
        </w:rPr>
        <w:t>6</w:t>
      </w:r>
      <w:r w:rsidRPr="00B60659">
        <w:rPr>
          <w:sz w:val="16"/>
          <w:szCs w:val="16"/>
        </w:rPr>
        <w:t>.</w:t>
      </w:r>
    </w:p>
  </w:footnote>
  <w:footnote w:id="2">
    <w:p w14:paraId="1B2FF234" w14:textId="32F4EE8C" w:rsidR="008D3DAE" w:rsidRPr="00B60659" w:rsidRDefault="008D3DAE" w:rsidP="008D3DAE">
      <w:pPr>
        <w:pStyle w:val="FootnoteText"/>
        <w:rPr>
          <w:sz w:val="16"/>
          <w:szCs w:val="16"/>
        </w:rPr>
      </w:pPr>
      <w:r w:rsidRPr="00B60659">
        <w:rPr>
          <w:rStyle w:val="FootnoteReference"/>
        </w:rPr>
        <w:tab/>
        <w:t>**</w:t>
      </w:r>
      <w:r w:rsidRPr="00B60659">
        <w:rPr>
          <w:rStyle w:val="FootnoteReference"/>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xml:space="preserv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9CF3" w14:textId="03C13FA3" w:rsidR="00960731" w:rsidRPr="00F909D5" w:rsidRDefault="00235046">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9552" w14:textId="27B2F5AF" w:rsidR="00960731" w:rsidRPr="00F909D5" w:rsidRDefault="00235046" w:rsidP="00F909D5">
    <w:pPr>
      <w:pStyle w:val="Header"/>
      <w:jc w:val="right"/>
    </w:pP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58A76DBE"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9E638E">
      <w:rPr>
        <w:rFonts w:ascii="Arial" w:hAnsi="Arial"/>
        <w:snapToGrid w:val="0"/>
        <w:sz w:val="16"/>
        <w:szCs w:val="16"/>
        <w:lang w:val="fr-FR"/>
      </w:rPr>
      <w:t>4</w:t>
    </w:r>
    <w:r w:rsidR="003F4CE2">
      <w:rPr>
        <w:rFonts w:ascii="Arial" w:hAnsi="Arial"/>
        <w:snapToGrid w:val="0"/>
        <w:sz w:val="16"/>
        <w:szCs w:val="16"/>
        <w:lang w:val="fr-FR"/>
      </w:rPr>
      <w:t>6</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197A1370"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C51B98">
      <w:rPr>
        <w:rFonts w:ascii="Arial" w:hAnsi="Arial"/>
        <w:snapToGrid w:val="0"/>
        <w:sz w:val="16"/>
        <w:szCs w:val="16"/>
        <w:lang w:val="fr-FR"/>
      </w:rPr>
      <w:t>46</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6FA0" w14:textId="57DC9F9B" w:rsidR="00964112" w:rsidRPr="00B60659" w:rsidRDefault="00964112" w:rsidP="00964112">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CCNR-ZKR/ADN/WP.15/AC.2/2023/</w:t>
    </w:r>
    <w:r>
      <w:rPr>
        <w:rFonts w:ascii="Arial" w:hAnsi="Arial"/>
        <w:snapToGrid w:val="0"/>
        <w:sz w:val="16"/>
        <w:szCs w:val="16"/>
        <w:lang w:val="fr-FR"/>
      </w:rPr>
      <w:t>4</w:t>
    </w:r>
    <w:r w:rsidR="00C51B98">
      <w:rPr>
        <w:rFonts w:ascii="Arial" w:hAnsi="Arial"/>
        <w:snapToGrid w:val="0"/>
        <w:sz w:val="16"/>
        <w:szCs w:val="16"/>
        <w:lang w:val="fr-FR"/>
      </w:rPr>
      <w:t>6</w:t>
    </w:r>
  </w:p>
  <w:p w14:paraId="79F01BB9" w14:textId="77777777" w:rsidR="00964112" w:rsidRPr="00964112" w:rsidRDefault="00964112" w:rsidP="00964112">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5</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8"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9"/>
  </w:num>
  <w:num w:numId="4" w16cid:durableId="58795070">
    <w:abstractNumId w:val="10"/>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8"/>
  </w:num>
  <w:num w:numId="11" w16cid:durableId="848760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2D01"/>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4818"/>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0964"/>
    <w:rsid w:val="001B26EA"/>
    <w:rsid w:val="001B4F22"/>
    <w:rsid w:val="001B7B3E"/>
    <w:rsid w:val="001C0E5C"/>
    <w:rsid w:val="001C1D1B"/>
    <w:rsid w:val="001C303B"/>
    <w:rsid w:val="001C4ED8"/>
    <w:rsid w:val="001D1B0A"/>
    <w:rsid w:val="001D34F6"/>
    <w:rsid w:val="001D680C"/>
    <w:rsid w:val="001E4D07"/>
    <w:rsid w:val="001E515F"/>
    <w:rsid w:val="001F482C"/>
    <w:rsid w:val="0020240A"/>
    <w:rsid w:val="00202E6D"/>
    <w:rsid w:val="0020337F"/>
    <w:rsid w:val="00205465"/>
    <w:rsid w:val="002132D2"/>
    <w:rsid w:val="00221D05"/>
    <w:rsid w:val="00223DF9"/>
    <w:rsid w:val="00231D22"/>
    <w:rsid w:val="00235046"/>
    <w:rsid w:val="00235B56"/>
    <w:rsid w:val="00240203"/>
    <w:rsid w:val="002406C8"/>
    <w:rsid w:val="0024118A"/>
    <w:rsid w:val="002421A1"/>
    <w:rsid w:val="002431F2"/>
    <w:rsid w:val="002460C4"/>
    <w:rsid w:val="00250FDB"/>
    <w:rsid w:val="00253DB1"/>
    <w:rsid w:val="002546D9"/>
    <w:rsid w:val="00255192"/>
    <w:rsid w:val="00256B18"/>
    <w:rsid w:val="0027414F"/>
    <w:rsid w:val="002748A2"/>
    <w:rsid w:val="00280779"/>
    <w:rsid w:val="00283323"/>
    <w:rsid w:val="00290B95"/>
    <w:rsid w:val="00291CB3"/>
    <w:rsid w:val="002945CA"/>
    <w:rsid w:val="002A337E"/>
    <w:rsid w:val="002A53A6"/>
    <w:rsid w:val="002B0567"/>
    <w:rsid w:val="002B0630"/>
    <w:rsid w:val="002B365C"/>
    <w:rsid w:val="002B3FEF"/>
    <w:rsid w:val="002B4C67"/>
    <w:rsid w:val="002B5AED"/>
    <w:rsid w:val="002B5AFB"/>
    <w:rsid w:val="002B6A69"/>
    <w:rsid w:val="002C0469"/>
    <w:rsid w:val="002C382E"/>
    <w:rsid w:val="002C47FF"/>
    <w:rsid w:val="002C742A"/>
    <w:rsid w:val="002D1BFB"/>
    <w:rsid w:val="002D4720"/>
    <w:rsid w:val="002D7C79"/>
    <w:rsid w:val="002E0D39"/>
    <w:rsid w:val="002E2DAD"/>
    <w:rsid w:val="002E3745"/>
    <w:rsid w:val="002E3FE8"/>
    <w:rsid w:val="002E6A16"/>
    <w:rsid w:val="002E7227"/>
    <w:rsid w:val="002F4FC6"/>
    <w:rsid w:val="00303233"/>
    <w:rsid w:val="003033DD"/>
    <w:rsid w:val="00316D5A"/>
    <w:rsid w:val="0032045B"/>
    <w:rsid w:val="00320C5F"/>
    <w:rsid w:val="003233C8"/>
    <w:rsid w:val="00325514"/>
    <w:rsid w:val="00325D76"/>
    <w:rsid w:val="00326B14"/>
    <w:rsid w:val="00337284"/>
    <w:rsid w:val="00342BA1"/>
    <w:rsid w:val="003439FC"/>
    <w:rsid w:val="00344C19"/>
    <w:rsid w:val="00351F70"/>
    <w:rsid w:val="00352E31"/>
    <w:rsid w:val="00357412"/>
    <w:rsid w:val="00361725"/>
    <w:rsid w:val="00363525"/>
    <w:rsid w:val="0036362E"/>
    <w:rsid w:val="00364E68"/>
    <w:rsid w:val="003702C7"/>
    <w:rsid w:val="00372561"/>
    <w:rsid w:val="0037328B"/>
    <w:rsid w:val="003838C7"/>
    <w:rsid w:val="0038428F"/>
    <w:rsid w:val="003866B8"/>
    <w:rsid w:val="00386A42"/>
    <w:rsid w:val="00387545"/>
    <w:rsid w:val="00394763"/>
    <w:rsid w:val="00395742"/>
    <w:rsid w:val="00396530"/>
    <w:rsid w:val="00397E52"/>
    <w:rsid w:val="003A2337"/>
    <w:rsid w:val="003A514D"/>
    <w:rsid w:val="003B23DA"/>
    <w:rsid w:val="003C0CEA"/>
    <w:rsid w:val="003C61C4"/>
    <w:rsid w:val="003D3605"/>
    <w:rsid w:val="003D5B9B"/>
    <w:rsid w:val="003D7BD0"/>
    <w:rsid w:val="003E328C"/>
    <w:rsid w:val="003E6E61"/>
    <w:rsid w:val="003F334D"/>
    <w:rsid w:val="003F4CE2"/>
    <w:rsid w:val="00400ADD"/>
    <w:rsid w:val="00401179"/>
    <w:rsid w:val="0040118C"/>
    <w:rsid w:val="0040293E"/>
    <w:rsid w:val="00405327"/>
    <w:rsid w:val="00406965"/>
    <w:rsid w:val="00410285"/>
    <w:rsid w:val="00411B22"/>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92FA6"/>
    <w:rsid w:val="00494624"/>
    <w:rsid w:val="004960EA"/>
    <w:rsid w:val="0049785E"/>
    <w:rsid w:val="004A0752"/>
    <w:rsid w:val="004A3FE7"/>
    <w:rsid w:val="004A46B8"/>
    <w:rsid w:val="004A4944"/>
    <w:rsid w:val="004B0D93"/>
    <w:rsid w:val="004B25CA"/>
    <w:rsid w:val="004B6F71"/>
    <w:rsid w:val="004B702C"/>
    <w:rsid w:val="004B7EA6"/>
    <w:rsid w:val="004C18DE"/>
    <w:rsid w:val="004D23FB"/>
    <w:rsid w:val="004D2ECF"/>
    <w:rsid w:val="004D323E"/>
    <w:rsid w:val="004E622A"/>
    <w:rsid w:val="004F2E32"/>
    <w:rsid w:val="004F3B7F"/>
    <w:rsid w:val="004F4DE3"/>
    <w:rsid w:val="004F5608"/>
    <w:rsid w:val="004F7A39"/>
    <w:rsid w:val="005009E5"/>
    <w:rsid w:val="005030D3"/>
    <w:rsid w:val="0051114B"/>
    <w:rsid w:val="00511DA9"/>
    <w:rsid w:val="0051476B"/>
    <w:rsid w:val="00514932"/>
    <w:rsid w:val="00514AB7"/>
    <w:rsid w:val="0051535A"/>
    <w:rsid w:val="00534340"/>
    <w:rsid w:val="00540161"/>
    <w:rsid w:val="00540683"/>
    <w:rsid w:val="00546B1B"/>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4E01"/>
    <w:rsid w:val="005A5B6A"/>
    <w:rsid w:val="005B6280"/>
    <w:rsid w:val="005C2ECA"/>
    <w:rsid w:val="005C558D"/>
    <w:rsid w:val="005C6E6C"/>
    <w:rsid w:val="005C7246"/>
    <w:rsid w:val="005E1804"/>
    <w:rsid w:val="005E2196"/>
    <w:rsid w:val="005E5EF7"/>
    <w:rsid w:val="005F26AD"/>
    <w:rsid w:val="005F3476"/>
    <w:rsid w:val="005F58DF"/>
    <w:rsid w:val="0060269E"/>
    <w:rsid w:val="00602860"/>
    <w:rsid w:val="006047AC"/>
    <w:rsid w:val="00607B11"/>
    <w:rsid w:val="006105FE"/>
    <w:rsid w:val="00611C20"/>
    <w:rsid w:val="006157A9"/>
    <w:rsid w:val="00616CDB"/>
    <w:rsid w:val="00617A1E"/>
    <w:rsid w:val="00620049"/>
    <w:rsid w:val="00620982"/>
    <w:rsid w:val="00622293"/>
    <w:rsid w:val="006237EB"/>
    <w:rsid w:val="006256AF"/>
    <w:rsid w:val="00626C86"/>
    <w:rsid w:val="006275F9"/>
    <w:rsid w:val="00630422"/>
    <w:rsid w:val="00635F4A"/>
    <w:rsid w:val="00641EE8"/>
    <w:rsid w:val="00642215"/>
    <w:rsid w:val="00643AEA"/>
    <w:rsid w:val="00651386"/>
    <w:rsid w:val="00651558"/>
    <w:rsid w:val="0066312D"/>
    <w:rsid w:val="00663395"/>
    <w:rsid w:val="006639F3"/>
    <w:rsid w:val="00666284"/>
    <w:rsid w:val="00670028"/>
    <w:rsid w:val="006702A6"/>
    <w:rsid w:val="00672E12"/>
    <w:rsid w:val="006739C8"/>
    <w:rsid w:val="00675933"/>
    <w:rsid w:val="00687752"/>
    <w:rsid w:val="0069164E"/>
    <w:rsid w:val="006920A8"/>
    <w:rsid w:val="006924C5"/>
    <w:rsid w:val="00693A58"/>
    <w:rsid w:val="006970A1"/>
    <w:rsid w:val="006A0959"/>
    <w:rsid w:val="006A1747"/>
    <w:rsid w:val="006A507B"/>
    <w:rsid w:val="006A73AD"/>
    <w:rsid w:val="006A7F94"/>
    <w:rsid w:val="006B2A78"/>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326C6"/>
    <w:rsid w:val="00741D8D"/>
    <w:rsid w:val="00742BD3"/>
    <w:rsid w:val="00742E01"/>
    <w:rsid w:val="00751575"/>
    <w:rsid w:val="00751FC4"/>
    <w:rsid w:val="00754516"/>
    <w:rsid w:val="007549B2"/>
    <w:rsid w:val="00760FB2"/>
    <w:rsid w:val="007705CB"/>
    <w:rsid w:val="00773B7E"/>
    <w:rsid w:val="0079124E"/>
    <w:rsid w:val="00792E94"/>
    <w:rsid w:val="0079361A"/>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0D9"/>
    <w:rsid w:val="00826787"/>
    <w:rsid w:val="00830EC1"/>
    <w:rsid w:val="00834438"/>
    <w:rsid w:val="00835551"/>
    <w:rsid w:val="00836749"/>
    <w:rsid w:val="00837FB8"/>
    <w:rsid w:val="00841328"/>
    <w:rsid w:val="00854209"/>
    <w:rsid w:val="0086266B"/>
    <w:rsid w:val="0086477D"/>
    <w:rsid w:val="008650FC"/>
    <w:rsid w:val="008677BA"/>
    <w:rsid w:val="0087179D"/>
    <w:rsid w:val="0087551D"/>
    <w:rsid w:val="00876F50"/>
    <w:rsid w:val="00882EBF"/>
    <w:rsid w:val="00894221"/>
    <w:rsid w:val="00894555"/>
    <w:rsid w:val="008954EE"/>
    <w:rsid w:val="00896081"/>
    <w:rsid w:val="008967B7"/>
    <w:rsid w:val="008A42A5"/>
    <w:rsid w:val="008A6928"/>
    <w:rsid w:val="008A6D40"/>
    <w:rsid w:val="008B3106"/>
    <w:rsid w:val="008B56D1"/>
    <w:rsid w:val="008B6668"/>
    <w:rsid w:val="008B7C4B"/>
    <w:rsid w:val="008C42D5"/>
    <w:rsid w:val="008C5274"/>
    <w:rsid w:val="008D3CEC"/>
    <w:rsid w:val="008D3DAE"/>
    <w:rsid w:val="008D6F28"/>
    <w:rsid w:val="008F283A"/>
    <w:rsid w:val="008F4B57"/>
    <w:rsid w:val="00901FC4"/>
    <w:rsid w:val="00903D48"/>
    <w:rsid w:val="0090748A"/>
    <w:rsid w:val="00912A46"/>
    <w:rsid w:val="00915307"/>
    <w:rsid w:val="00934830"/>
    <w:rsid w:val="009411AB"/>
    <w:rsid w:val="009422FA"/>
    <w:rsid w:val="0094594F"/>
    <w:rsid w:val="00946D8A"/>
    <w:rsid w:val="00953866"/>
    <w:rsid w:val="00960731"/>
    <w:rsid w:val="009629E6"/>
    <w:rsid w:val="00962E31"/>
    <w:rsid w:val="00964112"/>
    <w:rsid w:val="00965DC5"/>
    <w:rsid w:val="00966CE6"/>
    <w:rsid w:val="00975588"/>
    <w:rsid w:val="00975B09"/>
    <w:rsid w:val="009767E1"/>
    <w:rsid w:val="009771C0"/>
    <w:rsid w:val="009777E8"/>
    <w:rsid w:val="00981397"/>
    <w:rsid w:val="0098158C"/>
    <w:rsid w:val="00987D27"/>
    <w:rsid w:val="0099031A"/>
    <w:rsid w:val="00991BA0"/>
    <w:rsid w:val="00992A56"/>
    <w:rsid w:val="009A4FC8"/>
    <w:rsid w:val="009B3B1B"/>
    <w:rsid w:val="009C228D"/>
    <w:rsid w:val="009C79C4"/>
    <w:rsid w:val="009D3667"/>
    <w:rsid w:val="009E0ED9"/>
    <w:rsid w:val="009E281C"/>
    <w:rsid w:val="009E3EBD"/>
    <w:rsid w:val="009E638E"/>
    <w:rsid w:val="009E795B"/>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8587A"/>
    <w:rsid w:val="00A917C1"/>
    <w:rsid w:val="00A94B80"/>
    <w:rsid w:val="00A952F9"/>
    <w:rsid w:val="00AB0162"/>
    <w:rsid w:val="00AB23F2"/>
    <w:rsid w:val="00AB6055"/>
    <w:rsid w:val="00AB6CAD"/>
    <w:rsid w:val="00AC1577"/>
    <w:rsid w:val="00AC3059"/>
    <w:rsid w:val="00AC79AA"/>
    <w:rsid w:val="00AD1D10"/>
    <w:rsid w:val="00AD68F2"/>
    <w:rsid w:val="00AD69C2"/>
    <w:rsid w:val="00AD6ABA"/>
    <w:rsid w:val="00AE01CD"/>
    <w:rsid w:val="00AE50D2"/>
    <w:rsid w:val="00AE73A7"/>
    <w:rsid w:val="00AE7E9E"/>
    <w:rsid w:val="00AF6E21"/>
    <w:rsid w:val="00B02145"/>
    <w:rsid w:val="00B041A6"/>
    <w:rsid w:val="00B11AE6"/>
    <w:rsid w:val="00B152A7"/>
    <w:rsid w:val="00B15BAA"/>
    <w:rsid w:val="00B17A75"/>
    <w:rsid w:val="00B2269A"/>
    <w:rsid w:val="00B26810"/>
    <w:rsid w:val="00B30626"/>
    <w:rsid w:val="00B37B7B"/>
    <w:rsid w:val="00B40836"/>
    <w:rsid w:val="00B41BB5"/>
    <w:rsid w:val="00B45122"/>
    <w:rsid w:val="00B4533C"/>
    <w:rsid w:val="00B47F6F"/>
    <w:rsid w:val="00B51966"/>
    <w:rsid w:val="00B60659"/>
    <w:rsid w:val="00B665FE"/>
    <w:rsid w:val="00B71545"/>
    <w:rsid w:val="00B737F6"/>
    <w:rsid w:val="00B7461E"/>
    <w:rsid w:val="00B76631"/>
    <w:rsid w:val="00B800CC"/>
    <w:rsid w:val="00B80DBC"/>
    <w:rsid w:val="00B81581"/>
    <w:rsid w:val="00B81860"/>
    <w:rsid w:val="00B827ED"/>
    <w:rsid w:val="00B87AB9"/>
    <w:rsid w:val="00B91D33"/>
    <w:rsid w:val="00B92BF7"/>
    <w:rsid w:val="00B9368D"/>
    <w:rsid w:val="00B940F8"/>
    <w:rsid w:val="00BA2F7E"/>
    <w:rsid w:val="00BA358B"/>
    <w:rsid w:val="00BA3F1F"/>
    <w:rsid w:val="00BA6693"/>
    <w:rsid w:val="00BB165F"/>
    <w:rsid w:val="00BB2346"/>
    <w:rsid w:val="00BC00D3"/>
    <w:rsid w:val="00BC0496"/>
    <w:rsid w:val="00BC0C56"/>
    <w:rsid w:val="00BC224B"/>
    <w:rsid w:val="00BC453B"/>
    <w:rsid w:val="00BC4EC9"/>
    <w:rsid w:val="00BD6076"/>
    <w:rsid w:val="00BD77CE"/>
    <w:rsid w:val="00BE5C4D"/>
    <w:rsid w:val="00BE6EB5"/>
    <w:rsid w:val="00BF2066"/>
    <w:rsid w:val="00BF414C"/>
    <w:rsid w:val="00BF6A72"/>
    <w:rsid w:val="00BF7D16"/>
    <w:rsid w:val="00C01D3D"/>
    <w:rsid w:val="00C05BE8"/>
    <w:rsid w:val="00C05CED"/>
    <w:rsid w:val="00C1252B"/>
    <w:rsid w:val="00C161A1"/>
    <w:rsid w:val="00C16233"/>
    <w:rsid w:val="00C24FA8"/>
    <w:rsid w:val="00C27690"/>
    <w:rsid w:val="00C321B7"/>
    <w:rsid w:val="00C3512B"/>
    <w:rsid w:val="00C42401"/>
    <w:rsid w:val="00C4405C"/>
    <w:rsid w:val="00C4703A"/>
    <w:rsid w:val="00C47775"/>
    <w:rsid w:val="00C509C1"/>
    <w:rsid w:val="00C51B98"/>
    <w:rsid w:val="00C532C5"/>
    <w:rsid w:val="00C64236"/>
    <w:rsid w:val="00C64A71"/>
    <w:rsid w:val="00C7003A"/>
    <w:rsid w:val="00C7159B"/>
    <w:rsid w:val="00C7193B"/>
    <w:rsid w:val="00C72A39"/>
    <w:rsid w:val="00C731D7"/>
    <w:rsid w:val="00C75520"/>
    <w:rsid w:val="00C801B5"/>
    <w:rsid w:val="00C82985"/>
    <w:rsid w:val="00C90787"/>
    <w:rsid w:val="00C93A09"/>
    <w:rsid w:val="00C942C1"/>
    <w:rsid w:val="00C945EC"/>
    <w:rsid w:val="00C95218"/>
    <w:rsid w:val="00C96029"/>
    <w:rsid w:val="00CA2B03"/>
    <w:rsid w:val="00CA3E92"/>
    <w:rsid w:val="00CA71CC"/>
    <w:rsid w:val="00CB17EE"/>
    <w:rsid w:val="00CB257D"/>
    <w:rsid w:val="00CC62F9"/>
    <w:rsid w:val="00CC7E35"/>
    <w:rsid w:val="00CD1C39"/>
    <w:rsid w:val="00CD7A4F"/>
    <w:rsid w:val="00CE11BB"/>
    <w:rsid w:val="00CE1F32"/>
    <w:rsid w:val="00CE293A"/>
    <w:rsid w:val="00CE77BC"/>
    <w:rsid w:val="00CF2359"/>
    <w:rsid w:val="00CF3B37"/>
    <w:rsid w:val="00CF3E33"/>
    <w:rsid w:val="00CF6132"/>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729A3"/>
    <w:rsid w:val="00D80CB1"/>
    <w:rsid w:val="00D8467E"/>
    <w:rsid w:val="00D85731"/>
    <w:rsid w:val="00D9039B"/>
    <w:rsid w:val="00D92E0F"/>
    <w:rsid w:val="00D97C9F"/>
    <w:rsid w:val="00DA0AF9"/>
    <w:rsid w:val="00DA1F54"/>
    <w:rsid w:val="00DA255D"/>
    <w:rsid w:val="00DA28E2"/>
    <w:rsid w:val="00DA312C"/>
    <w:rsid w:val="00DA3AF6"/>
    <w:rsid w:val="00DA541A"/>
    <w:rsid w:val="00DB2F25"/>
    <w:rsid w:val="00DB3B11"/>
    <w:rsid w:val="00DB57E7"/>
    <w:rsid w:val="00DC66D9"/>
    <w:rsid w:val="00DD2ED1"/>
    <w:rsid w:val="00DE103A"/>
    <w:rsid w:val="00DE554A"/>
    <w:rsid w:val="00DF426C"/>
    <w:rsid w:val="00DF7632"/>
    <w:rsid w:val="00E0097F"/>
    <w:rsid w:val="00E040C4"/>
    <w:rsid w:val="00E10502"/>
    <w:rsid w:val="00E1103A"/>
    <w:rsid w:val="00E13946"/>
    <w:rsid w:val="00E14568"/>
    <w:rsid w:val="00E14631"/>
    <w:rsid w:val="00E15BFC"/>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C57F8"/>
    <w:rsid w:val="00ED1827"/>
    <w:rsid w:val="00ED42D8"/>
    <w:rsid w:val="00ED49D7"/>
    <w:rsid w:val="00ED557F"/>
    <w:rsid w:val="00ED5B0F"/>
    <w:rsid w:val="00EE4226"/>
    <w:rsid w:val="00EE457F"/>
    <w:rsid w:val="00EE5CAB"/>
    <w:rsid w:val="00EF00ED"/>
    <w:rsid w:val="00EF022A"/>
    <w:rsid w:val="00EF6C77"/>
    <w:rsid w:val="00EF7231"/>
    <w:rsid w:val="00F07812"/>
    <w:rsid w:val="00F10D47"/>
    <w:rsid w:val="00F12E99"/>
    <w:rsid w:val="00F205EE"/>
    <w:rsid w:val="00F24CA4"/>
    <w:rsid w:val="00F26C2C"/>
    <w:rsid w:val="00F31FEF"/>
    <w:rsid w:val="00F330E1"/>
    <w:rsid w:val="00F40DB6"/>
    <w:rsid w:val="00F42DC0"/>
    <w:rsid w:val="00F448A7"/>
    <w:rsid w:val="00F44B21"/>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271B"/>
    <w:rsid w:val="00F8608C"/>
    <w:rsid w:val="00F87B83"/>
    <w:rsid w:val="00F92BF9"/>
    <w:rsid w:val="00F93402"/>
    <w:rsid w:val="00F97455"/>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 w:type="table" w:customStyle="1" w:styleId="Grilledutableau1">
    <w:name w:val="Grille du tableau1"/>
    <w:basedOn w:val="TableNormal"/>
    <w:next w:val="TableGrid"/>
    <w:rsid w:val="0096073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6FF81A75-FD90-4DAF-9496-D326D50697C6}">
  <ds:schemaRefs>
    <ds:schemaRef ds:uri="http://schemas.microsoft.com/office/2006/metadata/propertie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7D8B4BC4-A814-4693-B2E7-FB00F5ED0E63}">
  <ds:schemaRefs>
    <ds:schemaRef ds:uri="http://schemas.microsoft.com/sharepoint/v3/contenttype/forms"/>
  </ds:schemaRefs>
</ds:datastoreItem>
</file>

<file path=customXml/itemProps4.xml><?xml version="1.0" encoding="utf-8"?>
<ds:datastoreItem xmlns:ds="http://schemas.openxmlformats.org/officeDocument/2006/customXml" ds:itemID="{ADFCD950-CDEE-40BC-BEFD-92D2A5C1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7274</Characters>
  <Application>Microsoft Office Word</Application>
  <DocSecurity>0</DocSecurity>
  <Lines>60</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Nadiya Dzyubynska</cp:lastModifiedBy>
  <cp:revision>3</cp:revision>
  <cp:lastPrinted>2023-07-03T13:23:00Z</cp:lastPrinted>
  <dcterms:created xsi:type="dcterms:W3CDTF">2023-06-30T13:24:00Z</dcterms:created>
  <dcterms:modified xsi:type="dcterms:W3CDTF">2023-07-03T13:23:00Z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