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28ACCFC7" w:rsidR="00157609" w:rsidRPr="00170046" w:rsidRDefault="00157609" w:rsidP="00C31681">
            <w:pPr>
              <w:jc w:val="right"/>
              <w:rPr>
                <w:b/>
                <w:bCs/>
                <w:lang w:val="en-US"/>
              </w:rPr>
            </w:pPr>
            <w:r w:rsidRPr="00DA5948">
              <w:rPr>
                <w:b/>
                <w:bCs/>
                <w:sz w:val="40"/>
              </w:rPr>
              <w:t>INF.</w:t>
            </w:r>
            <w:r w:rsidR="009C54DC">
              <w:rPr>
                <w:b/>
                <w:bCs/>
                <w:sz w:val="40"/>
              </w:rPr>
              <w:t>11</w:t>
            </w:r>
          </w:p>
        </w:tc>
      </w:tr>
      <w:tr w:rsidR="00157609" w14:paraId="24ABEA35" w14:textId="77777777" w:rsidTr="00964EC3">
        <w:trPr>
          <w:cantSplit/>
          <w:trHeight w:hRule="exact" w:val="3977"/>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77777777" w:rsidR="007228D3" w:rsidRPr="003134DF" w:rsidRDefault="007228D3" w:rsidP="007228D3">
            <w:pPr>
              <w:spacing w:before="120"/>
              <w:rPr>
                <w:b/>
              </w:rPr>
            </w:pPr>
            <w:r>
              <w:rPr>
                <w:b/>
              </w:rPr>
              <w:t xml:space="preserve">Forty-second </w:t>
            </w:r>
            <w:r w:rsidRPr="003134DF">
              <w:rPr>
                <w:b/>
              </w:rPr>
              <w:t>session</w:t>
            </w:r>
          </w:p>
          <w:p w14:paraId="1781F4EF" w14:textId="77777777" w:rsidR="007228D3" w:rsidRDefault="007228D3" w:rsidP="007228D3">
            <w:r w:rsidRPr="003134DF">
              <w:t xml:space="preserve">Geneva, </w:t>
            </w:r>
            <w:r>
              <w:t>21-25 August 2023</w:t>
            </w:r>
          </w:p>
          <w:p w14:paraId="6F9E2AD8" w14:textId="3CA5A1DE" w:rsidR="007228D3" w:rsidRPr="003134DF" w:rsidRDefault="007228D3" w:rsidP="007228D3">
            <w:r>
              <w:t xml:space="preserve">Item </w:t>
            </w:r>
            <w:r w:rsidR="008D3354">
              <w:t>4 (b)</w:t>
            </w:r>
            <w:r>
              <w:t xml:space="preserve"> </w:t>
            </w:r>
            <w:r w:rsidRPr="003134DF">
              <w:t>of the provisional agenda</w:t>
            </w:r>
          </w:p>
          <w:p w14:paraId="579DE10B" w14:textId="77777777" w:rsidR="00AA7F14" w:rsidRDefault="00AA7F14" w:rsidP="008D3354">
            <w:r w:rsidRPr="00AA7F14">
              <w:rPr>
                <w:b/>
                <w:bCs/>
              </w:rPr>
              <w:t>Proposals for amendments to the Regulations</w:t>
            </w:r>
            <w:r w:rsidRPr="00AA7F14">
              <w:rPr>
                <w:b/>
                <w:bCs/>
                <w:sz w:val="40"/>
                <w:szCs w:val="40"/>
              </w:rPr>
              <w:t xml:space="preserve"> </w:t>
            </w:r>
            <w:r w:rsidRPr="00AA7F14">
              <w:rPr>
                <w:b/>
                <w:bCs/>
              </w:rPr>
              <w:t>annexed to ADN:</w:t>
            </w:r>
            <w:r w:rsidRPr="00AA7F14">
              <w:t xml:space="preserve"> </w:t>
            </w:r>
          </w:p>
          <w:p w14:paraId="3287016F" w14:textId="6FBD22E6" w:rsidR="00E277FB" w:rsidRDefault="00964EC3" w:rsidP="008D3354">
            <w:pPr>
              <w:rPr>
                <w:b/>
                <w:bCs/>
              </w:rPr>
            </w:pPr>
            <w:r>
              <w:rPr>
                <w:b/>
                <w:bCs/>
              </w:rPr>
              <w:t>o</w:t>
            </w:r>
            <w:r w:rsidR="00AA7F14" w:rsidRPr="00AA7F14">
              <w:rPr>
                <w:b/>
                <w:bCs/>
              </w:rPr>
              <w:t>ther</w:t>
            </w:r>
            <w:r w:rsidR="00AA7F14" w:rsidRPr="00AA7F14">
              <w:rPr>
                <w:b/>
                <w:bCs/>
                <w:sz w:val="40"/>
                <w:szCs w:val="40"/>
              </w:rPr>
              <w:t xml:space="preserve"> </w:t>
            </w:r>
            <w:r w:rsidR="00AA7F14" w:rsidRPr="00AA7F14">
              <w:rPr>
                <w:b/>
                <w:bCs/>
              </w:rPr>
              <w:t>proposals</w:t>
            </w:r>
          </w:p>
          <w:p w14:paraId="333197FE" w14:textId="54ED66A1" w:rsidR="00964EC3" w:rsidRPr="00AA7F14" w:rsidRDefault="00964EC3" w:rsidP="008D3354">
            <w:pPr>
              <w:rPr>
                <w:b/>
                <w:bCs/>
                <w:sz w:val="40"/>
                <w:szCs w:val="40"/>
              </w:rPr>
            </w:pP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4FF52A0B" w:rsidR="00157609" w:rsidRDefault="005C4EB2" w:rsidP="00C31681">
            <w:pPr>
              <w:spacing w:line="240" w:lineRule="exact"/>
            </w:pPr>
            <w:r>
              <w:t>7</w:t>
            </w:r>
            <w:r w:rsidR="00157609">
              <w:t xml:space="preserve"> </w:t>
            </w:r>
            <w:r w:rsidR="00AE3443">
              <w:t>Ju</w:t>
            </w:r>
            <w:r>
              <w:t>ly</w:t>
            </w:r>
            <w:r w:rsidR="00157609">
              <w:t xml:space="preserve"> 2023</w:t>
            </w:r>
          </w:p>
          <w:p w14:paraId="1C6A09C9" w14:textId="77777777" w:rsidR="00157609" w:rsidRDefault="00157609" w:rsidP="00C31681">
            <w:pPr>
              <w:spacing w:line="240" w:lineRule="exact"/>
            </w:pPr>
          </w:p>
          <w:p w14:paraId="2B061DA4" w14:textId="7AA03D39" w:rsidR="00157609" w:rsidRDefault="00157609" w:rsidP="00C31681">
            <w:pPr>
              <w:spacing w:line="240" w:lineRule="exact"/>
            </w:pPr>
            <w:r>
              <w:t xml:space="preserve">Original: </w:t>
            </w:r>
            <w:r w:rsidR="00B45943">
              <w:t>English</w:t>
            </w:r>
          </w:p>
        </w:tc>
      </w:tr>
    </w:tbl>
    <w:p w14:paraId="07B5A313" w14:textId="77777777" w:rsidR="000E4C89" w:rsidRPr="0019219E" w:rsidRDefault="000E4C89" w:rsidP="0043780C">
      <w:pPr>
        <w:pStyle w:val="HChG"/>
      </w:pPr>
      <w:r w:rsidRPr="0019219E">
        <w:tab/>
      </w:r>
      <w:r w:rsidRPr="0019219E">
        <w:tab/>
        <w:t>Degree of filling and filling ratio</w:t>
      </w:r>
    </w:p>
    <w:p w14:paraId="5E3DC71F" w14:textId="77777777" w:rsidR="000E4C89" w:rsidRPr="0019219E" w:rsidRDefault="000E4C89" w:rsidP="0043780C">
      <w:pPr>
        <w:pStyle w:val="H1G"/>
      </w:pPr>
      <w:r w:rsidRPr="0019219E">
        <w:rPr>
          <w:lang w:eastAsia="en-US"/>
        </w:rPr>
        <w:tab/>
      </w:r>
      <w:r w:rsidRPr="0019219E">
        <w:rPr>
          <w:lang w:eastAsia="en-US"/>
        </w:rPr>
        <w:tab/>
      </w:r>
      <w:r w:rsidRPr="0019219E">
        <w:rPr>
          <w:lang w:val="en-US" w:eastAsia="en-US"/>
        </w:rPr>
        <w:t xml:space="preserve">Transmitted by the Central Commission </w:t>
      </w:r>
      <w:r w:rsidRPr="0019219E">
        <w:rPr>
          <w:lang w:eastAsia="en-US"/>
        </w:rPr>
        <w:t>for</w:t>
      </w:r>
      <w:r w:rsidRPr="0019219E">
        <w:rPr>
          <w:lang w:val="en-US" w:eastAsia="en-US"/>
        </w:rPr>
        <w:t xml:space="preserve"> the Navigation of the Rhine</w:t>
      </w:r>
    </w:p>
    <w:p w14:paraId="030CEB73" w14:textId="5FAA1439" w:rsidR="000E4C89" w:rsidRPr="0019219E" w:rsidRDefault="0043780C" w:rsidP="0043780C">
      <w:pPr>
        <w:pStyle w:val="HChG"/>
      </w:pPr>
      <w:r>
        <w:tab/>
      </w:r>
      <w:r>
        <w:tab/>
      </w:r>
      <w:r w:rsidR="000E4C89" w:rsidRPr="0019219E">
        <w:tab/>
        <w:t>Introduction</w:t>
      </w:r>
    </w:p>
    <w:p w14:paraId="27E07EA3" w14:textId="77777777" w:rsidR="000E4C89" w:rsidRPr="0019219E" w:rsidRDefault="000E4C89" w:rsidP="0043780C">
      <w:pPr>
        <w:pStyle w:val="SingleTxtG"/>
        <w:rPr>
          <w:rFonts w:eastAsia="Calibri"/>
        </w:rPr>
      </w:pPr>
      <w:r w:rsidRPr="0019219E">
        <w:t>1.</w:t>
      </w:r>
      <w:r w:rsidRPr="0019219E">
        <w:tab/>
        <w:t>Changes to the regulations as regards the term degree of filling were proposed at the meeting of the Ad Hoc Working Group on the Harmonization of RID/ADR/ADN with the United Nations Recommendations on the Transport of Dangerous Goods from 26 to 27</w:t>
      </w:r>
      <w:r>
        <w:t> </w:t>
      </w:r>
      <w:r w:rsidRPr="0019219E">
        <w:t>April</w:t>
      </w:r>
      <w:r>
        <w:t> </w:t>
      </w:r>
      <w:r w:rsidRPr="0019219E">
        <w:t>2023. These are expected to be adopted at the Joint Meeting in autumn 2023.</w:t>
      </w:r>
    </w:p>
    <w:p w14:paraId="0C5E9B6E" w14:textId="516C6B6E" w:rsidR="000E4C89" w:rsidRPr="0019219E" w:rsidRDefault="0043780C" w:rsidP="0043780C">
      <w:pPr>
        <w:pStyle w:val="HChG"/>
      </w:pPr>
      <w:r>
        <w:tab/>
      </w:r>
      <w:r>
        <w:tab/>
      </w:r>
      <w:r w:rsidR="000E4C89" w:rsidRPr="0019219E">
        <w:tab/>
        <w:t>Explanation</w:t>
      </w:r>
    </w:p>
    <w:p w14:paraId="7B6017C4" w14:textId="5461825A" w:rsidR="000E4C89" w:rsidRPr="0019219E" w:rsidRDefault="000E4C89" w:rsidP="0043780C">
      <w:pPr>
        <w:pStyle w:val="SingleTxtG"/>
        <w:rPr>
          <w:rFonts w:eastAsia="Calibri"/>
        </w:rPr>
      </w:pPr>
      <w:r w:rsidRPr="0019219E">
        <w:t>2.</w:t>
      </w:r>
      <w:r w:rsidRPr="0019219E">
        <w:tab/>
        <w:t xml:space="preserve">The proposal provides for the addition of a new definition of </w:t>
      </w:r>
      <w:r w:rsidR="003B4424">
        <w:t>"</w:t>
      </w:r>
      <w:r w:rsidRPr="0019219E">
        <w:t>Degree of Filling</w:t>
      </w:r>
      <w:r w:rsidR="003B4424">
        <w:t>"</w:t>
      </w:r>
      <w:r w:rsidRPr="0019219E">
        <w:t xml:space="preserve"> to the English language version. For the German version of the RID and ADR, the definition of </w:t>
      </w:r>
      <w:r w:rsidR="003B4424">
        <w:t>"</w:t>
      </w:r>
      <w:proofErr w:type="spellStart"/>
      <w:r w:rsidRPr="003B4424">
        <w:rPr>
          <w:i/>
          <w:iCs/>
        </w:rPr>
        <w:t>Füllungsgrad</w:t>
      </w:r>
      <w:proofErr w:type="spellEnd"/>
      <w:r w:rsidR="003B4424">
        <w:t>"</w:t>
      </w:r>
      <w:r w:rsidRPr="0019219E">
        <w:t xml:space="preserve"> (degree of filling) becomes the definition of </w:t>
      </w:r>
      <w:r w:rsidR="003B4424">
        <w:t>"</w:t>
      </w:r>
      <w:proofErr w:type="spellStart"/>
      <w:r w:rsidRPr="003B4424">
        <w:rPr>
          <w:i/>
          <w:iCs/>
        </w:rPr>
        <w:t>Füllfaktor</w:t>
      </w:r>
      <w:proofErr w:type="spellEnd"/>
      <w:r w:rsidR="003B4424">
        <w:t>"</w:t>
      </w:r>
      <w:r w:rsidRPr="0019219E">
        <w:t xml:space="preserve"> (filling ratio), which only applies to gases. A new definition of </w:t>
      </w:r>
      <w:r w:rsidR="00DB5AEA">
        <w:t>"</w:t>
      </w:r>
      <w:r w:rsidRPr="0019219E">
        <w:t>degree of filling</w:t>
      </w:r>
      <w:r w:rsidR="00DB5AEA">
        <w:t>"</w:t>
      </w:r>
      <w:r w:rsidRPr="0019219E">
        <w:t xml:space="preserve"> is introduced, applicable to liquids and solids. (See also document OTIF/RID/RC/HAR/2023/1.)</w:t>
      </w:r>
    </w:p>
    <w:p w14:paraId="38C37F16" w14:textId="0DC9366D" w:rsidR="000E4C89" w:rsidRPr="0019219E" w:rsidRDefault="000E4C89" w:rsidP="0043780C">
      <w:pPr>
        <w:pStyle w:val="SingleTxtG"/>
        <w:rPr>
          <w:rFonts w:eastAsia="Calibri"/>
        </w:rPr>
      </w:pPr>
      <w:r w:rsidRPr="0019219E">
        <w:t>3.</w:t>
      </w:r>
      <w:r w:rsidRPr="0019219E">
        <w:tab/>
        <w:t xml:space="preserve">In addition, however, to the definition of </w:t>
      </w:r>
      <w:r w:rsidR="003B4424">
        <w:t>"</w:t>
      </w:r>
      <w:r w:rsidRPr="0019219E">
        <w:t>degree of filling</w:t>
      </w:r>
      <w:r w:rsidR="003B4424">
        <w:t>"</w:t>
      </w:r>
      <w:r w:rsidRPr="0019219E">
        <w:t xml:space="preserve"> the ADN also contains a definition of </w:t>
      </w:r>
      <w:r w:rsidR="00DB5AEA">
        <w:t>"</w:t>
      </w:r>
      <w:r w:rsidRPr="0019219E">
        <w:t>degree of filling</w:t>
      </w:r>
      <w:r w:rsidR="00DB5AEA">
        <w:t>"</w:t>
      </w:r>
      <w:r w:rsidRPr="0019219E">
        <w:t xml:space="preserve"> (cargo tank). The wording in brackets </w:t>
      </w:r>
      <w:r w:rsidR="00DB5AEA">
        <w:t>"</w:t>
      </w:r>
      <w:r w:rsidRPr="0019219E">
        <w:t>(cargo tank)</w:t>
      </w:r>
      <w:r w:rsidR="00DB5AEA">
        <w:t>"</w:t>
      </w:r>
      <w:r w:rsidRPr="0019219E">
        <w:t xml:space="preserve"> is however not subsequently used in the text of the regulation. In order therefore correctly to transpose the required amendments into the ADN, it is first necessary to analyse and differentiate the two definitions.</w:t>
      </w:r>
    </w:p>
    <w:p w14:paraId="7E36F49F" w14:textId="53838589" w:rsidR="000E4C89" w:rsidRPr="0019219E" w:rsidRDefault="000E4C89" w:rsidP="0043780C">
      <w:pPr>
        <w:pStyle w:val="SingleTxtG"/>
        <w:rPr>
          <w:rFonts w:eastAsia="Calibri"/>
        </w:rPr>
      </w:pPr>
      <w:r w:rsidRPr="0019219E">
        <w:t>4.</w:t>
      </w:r>
      <w:r w:rsidRPr="0019219E">
        <w:tab/>
        <w:t xml:space="preserve">The CCNR Secretariat attaches herewith as an annex a list of places where these terms occur in the German version of the ADN. All terms relating to </w:t>
      </w:r>
      <w:r w:rsidR="00DB5AEA">
        <w:t>"</w:t>
      </w:r>
      <w:r w:rsidRPr="0019219E">
        <w:t>degree of filling</w:t>
      </w:r>
      <w:r w:rsidR="00DB5AEA">
        <w:t>"</w:t>
      </w:r>
      <w:r w:rsidRPr="0019219E">
        <w:t xml:space="preserve"> (cargo tank) are highlighted blue, all other occurrences are highlighted yellow.</w:t>
      </w:r>
    </w:p>
    <w:p w14:paraId="282AD983" w14:textId="70D0A857" w:rsidR="000E4C89" w:rsidRPr="0019219E" w:rsidRDefault="000E4C89" w:rsidP="0043780C">
      <w:pPr>
        <w:pStyle w:val="SingleTxtG"/>
        <w:rPr>
          <w:rFonts w:eastAsia="Calibri"/>
        </w:rPr>
      </w:pPr>
      <w:r w:rsidRPr="0019219E">
        <w:t>5.</w:t>
      </w:r>
      <w:r w:rsidRPr="0019219E">
        <w:tab/>
        <w:t xml:space="preserve">An initial approach could be to assign the occurrences in the harmonised parts of the ADN to the definition of </w:t>
      </w:r>
      <w:r w:rsidR="00DB5AEA">
        <w:t>"</w:t>
      </w:r>
      <w:r w:rsidRPr="0019219E">
        <w:t>degree of filling</w:t>
      </w:r>
      <w:r w:rsidR="00DB5AEA">
        <w:t>"</w:t>
      </w:r>
      <w:r w:rsidRPr="0019219E">
        <w:t xml:space="preserve">. This could be based on the relevant proposed OTIF amendments. Under this approach, the occurrences in parts 7 to 9 specific to navigation could be assigned to the term </w:t>
      </w:r>
      <w:r w:rsidR="00DB5AEA">
        <w:t>"</w:t>
      </w:r>
      <w:r w:rsidRPr="0019219E">
        <w:t>degree of filling</w:t>
      </w:r>
      <w:r w:rsidR="00DB5AEA">
        <w:t>"</w:t>
      </w:r>
      <w:r w:rsidRPr="0019219E">
        <w:t xml:space="preserve"> (cargo tank). It cannot however be ruled out that there are regulations in parts 7 to 9 of the ADN that refer to the definition of </w:t>
      </w:r>
      <w:r w:rsidR="00DB5AEA">
        <w:t>"</w:t>
      </w:r>
      <w:r w:rsidRPr="0019219E">
        <w:t>degree of filling</w:t>
      </w:r>
      <w:r w:rsidR="00DB5AEA">
        <w:t>"</w:t>
      </w:r>
      <w:r w:rsidRPr="0019219E">
        <w:t xml:space="preserve"> and therefore need to be amended to </w:t>
      </w:r>
      <w:r w:rsidR="00DB5AEA">
        <w:t>"</w:t>
      </w:r>
      <w:r w:rsidRPr="0019219E">
        <w:t>filling ratio</w:t>
      </w:r>
      <w:r w:rsidR="00DB5AEA">
        <w:t>"</w:t>
      </w:r>
      <w:r w:rsidRPr="0019219E">
        <w:t>. Other regulations and standards such as the ES-TRIN could also be affected.</w:t>
      </w:r>
    </w:p>
    <w:p w14:paraId="3289D7E2" w14:textId="3B8BE6FC" w:rsidR="0043780C" w:rsidRPr="0019219E" w:rsidRDefault="0043780C" w:rsidP="0043780C">
      <w:pPr>
        <w:pStyle w:val="HChG"/>
        <w:rPr>
          <w:rFonts w:eastAsia="Calibri"/>
          <w:lang w:eastAsia="en-US"/>
        </w:rPr>
      </w:pPr>
      <w:r>
        <w:lastRenderedPageBreak/>
        <w:tab/>
      </w:r>
      <w:r w:rsidRPr="0019219E">
        <w:tab/>
        <w:t>Proposals</w:t>
      </w:r>
    </w:p>
    <w:p w14:paraId="6D2BD1E4" w14:textId="2983C4F8" w:rsidR="0043780C" w:rsidRPr="0019219E" w:rsidRDefault="0043780C" w:rsidP="0043780C">
      <w:pPr>
        <w:pStyle w:val="SingleTxtG"/>
        <w:rPr>
          <w:rFonts w:eastAsia="Calibri"/>
        </w:rPr>
      </w:pPr>
      <w:r w:rsidRPr="0019219E">
        <w:t>6.</w:t>
      </w:r>
      <w:r w:rsidRPr="0019219E">
        <w:tab/>
        <w:t xml:space="preserve">The CCNR Secretariat therefore proposes that once the Joint Meeting has adopted the changes in the autumn a correspondence group comprising German-speaking experts examine the places where these terms occur and decide whether to change them from </w:t>
      </w:r>
      <w:r w:rsidR="00DB5AEA">
        <w:t>"</w:t>
      </w:r>
      <w:r w:rsidRPr="0019219E">
        <w:t>degree of filling</w:t>
      </w:r>
      <w:r w:rsidR="00DB5AEA">
        <w:t>"</w:t>
      </w:r>
      <w:r w:rsidRPr="0019219E">
        <w:t xml:space="preserve"> to </w:t>
      </w:r>
      <w:r w:rsidR="00DB5AEA">
        <w:t>"</w:t>
      </w:r>
      <w:r w:rsidRPr="0019219E">
        <w:t>filling ratio</w:t>
      </w:r>
      <w:r w:rsidR="00DB5AEA">
        <w:t>"</w:t>
      </w:r>
      <w:r w:rsidRPr="0019219E">
        <w:t>.</w:t>
      </w:r>
    </w:p>
    <w:p w14:paraId="76EE4EA0" w14:textId="77777777" w:rsidR="0043780C" w:rsidRDefault="0043780C" w:rsidP="0043780C">
      <w:pPr>
        <w:pStyle w:val="SingleTxtG"/>
      </w:pPr>
      <w:r w:rsidRPr="0019219E">
        <w:t>7.</w:t>
      </w:r>
      <w:r w:rsidRPr="0019219E">
        <w:tab/>
        <w:t>The CCNR Secretariat also proposes furnishing occurrences in 9.3.x.40.2.10 to 9.3.x.40.2.13 with a footnote to the effect that this is the definition according to ES-TRIN.</w:t>
      </w:r>
    </w:p>
    <w:p w14:paraId="7F4BB91C" w14:textId="0C370D74" w:rsidR="003B7FAE" w:rsidRDefault="003B7FAE" w:rsidP="0043780C">
      <w:pPr>
        <w:pStyle w:val="SingleTxtG"/>
        <w:rPr>
          <w:rFonts w:eastAsia="Calibri"/>
        </w:rPr>
      </w:pPr>
      <w:r>
        <w:rPr>
          <w:rFonts w:eastAsia="Calibri"/>
        </w:rPr>
        <w:br w:type="page"/>
      </w:r>
    </w:p>
    <w:p w14:paraId="370BCF24" w14:textId="073619C7" w:rsidR="0043780C" w:rsidRDefault="003B7FAE" w:rsidP="003B7FAE">
      <w:pPr>
        <w:pStyle w:val="HChG"/>
        <w:rPr>
          <w:rFonts w:eastAsia="Calibri"/>
        </w:rPr>
      </w:pPr>
      <w:r>
        <w:rPr>
          <w:rFonts w:eastAsia="Calibri"/>
        </w:rPr>
        <w:lastRenderedPageBreak/>
        <w:t>Annex</w:t>
      </w:r>
    </w:p>
    <w:p w14:paraId="23C3C602" w14:textId="76B9C6FD" w:rsidR="00BE398D" w:rsidRPr="008A52B4" w:rsidRDefault="00BE398D" w:rsidP="00BE398D">
      <w:pPr>
        <w:pStyle w:val="HChG"/>
        <w:rPr>
          <w:rFonts w:eastAsia="Calibri"/>
        </w:rPr>
      </w:pPr>
      <w:r>
        <w:rPr>
          <w:lang w:eastAsia="en-US"/>
        </w:rPr>
        <w:tab/>
      </w:r>
      <w:r>
        <w:rPr>
          <w:lang w:eastAsia="en-US"/>
        </w:rPr>
        <w:tab/>
      </w:r>
      <w:proofErr w:type="spellStart"/>
      <w:r w:rsidRPr="008A52B4">
        <w:rPr>
          <w:lang w:eastAsia="en-US"/>
        </w:rPr>
        <w:t>Fundstellen</w:t>
      </w:r>
      <w:proofErr w:type="spellEnd"/>
      <w:r w:rsidRPr="008A52B4">
        <w:rPr>
          <w:lang w:eastAsia="en-US"/>
        </w:rPr>
        <w:t xml:space="preserve"> </w:t>
      </w:r>
      <w:proofErr w:type="spellStart"/>
      <w:r w:rsidRPr="008A52B4">
        <w:rPr>
          <w:lang w:eastAsia="en-US"/>
        </w:rPr>
        <w:t>zu</w:t>
      </w:r>
      <w:proofErr w:type="spellEnd"/>
      <w:r w:rsidRPr="008A52B4">
        <w:rPr>
          <w:lang w:eastAsia="en-US"/>
        </w:rPr>
        <w:t xml:space="preserve"> „</w:t>
      </w:r>
      <w:proofErr w:type="spellStart"/>
      <w:proofErr w:type="gramStart"/>
      <w:r w:rsidRPr="008A52B4">
        <w:rPr>
          <w:lang w:eastAsia="en-US"/>
        </w:rPr>
        <w:t>Füllungsgrad</w:t>
      </w:r>
      <w:proofErr w:type="spellEnd"/>
      <w:r w:rsidRPr="008A52B4">
        <w:rPr>
          <w:lang w:eastAsia="en-US"/>
        </w:rPr>
        <w:t>“</w:t>
      </w:r>
      <w:proofErr w:type="gramEnd"/>
    </w:p>
    <w:tbl>
      <w:tblPr>
        <w:tblStyle w:val="Grilledutableau3"/>
        <w:tblW w:w="9501" w:type="dxa"/>
        <w:tblLayout w:type="fixed"/>
        <w:tblLook w:val="04A0" w:firstRow="1" w:lastRow="0" w:firstColumn="1" w:lastColumn="0" w:noHBand="0" w:noVBand="1"/>
      </w:tblPr>
      <w:tblGrid>
        <w:gridCol w:w="1366"/>
        <w:gridCol w:w="3890"/>
        <w:gridCol w:w="835"/>
        <w:gridCol w:w="3410"/>
      </w:tblGrid>
      <w:tr w:rsidR="004920B2" w:rsidRPr="00F8008A" w14:paraId="3F975B07" w14:textId="77777777" w:rsidTr="00B75344">
        <w:trPr>
          <w:cantSplit/>
          <w:tblHeader/>
        </w:trPr>
        <w:tc>
          <w:tcPr>
            <w:tcW w:w="1366" w:type="dxa"/>
          </w:tcPr>
          <w:p w14:paraId="61293FFA" w14:textId="77777777" w:rsidR="004920B2" w:rsidRPr="008A52B4" w:rsidRDefault="004920B2" w:rsidP="00B75344">
            <w:pPr>
              <w:jc w:val="center"/>
              <w:rPr>
                <w:rFonts w:ascii="Times New Roman" w:hAnsi="Times New Roman"/>
              </w:rPr>
            </w:pPr>
            <w:proofErr w:type="spellStart"/>
            <w:r w:rsidRPr="008A52B4">
              <w:rPr>
                <w:rFonts w:ascii="Times New Roman" w:hAnsi="Times New Roman"/>
                <w:lang w:eastAsia="en-US"/>
              </w:rPr>
              <w:t>Nummer</w:t>
            </w:r>
            <w:proofErr w:type="spellEnd"/>
          </w:p>
        </w:tc>
        <w:tc>
          <w:tcPr>
            <w:tcW w:w="3890" w:type="dxa"/>
          </w:tcPr>
          <w:p w14:paraId="0688474B" w14:textId="77777777" w:rsidR="004920B2" w:rsidRPr="008A52B4" w:rsidRDefault="004920B2" w:rsidP="00B75344">
            <w:pPr>
              <w:jc w:val="center"/>
              <w:rPr>
                <w:rFonts w:ascii="Times New Roman" w:hAnsi="Times New Roman"/>
              </w:rPr>
            </w:pPr>
            <w:r w:rsidRPr="008A52B4">
              <w:rPr>
                <w:rFonts w:ascii="Times New Roman" w:hAnsi="Times New Roman"/>
                <w:lang w:eastAsia="en-US"/>
              </w:rPr>
              <w:t>Text</w:t>
            </w:r>
          </w:p>
        </w:tc>
        <w:tc>
          <w:tcPr>
            <w:tcW w:w="835" w:type="dxa"/>
          </w:tcPr>
          <w:p w14:paraId="3523CA2F" w14:textId="77777777" w:rsidR="004920B2" w:rsidRPr="008A52B4" w:rsidRDefault="004920B2" w:rsidP="00B75344">
            <w:pPr>
              <w:jc w:val="center"/>
              <w:rPr>
                <w:rFonts w:ascii="Times New Roman" w:hAnsi="Times New Roman"/>
              </w:rPr>
            </w:pPr>
            <w:r w:rsidRPr="008A52B4">
              <w:rPr>
                <w:rFonts w:ascii="Times New Roman" w:hAnsi="Times New Roman"/>
                <w:lang w:eastAsia="en-US"/>
              </w:rPr>
              <w:t>Regel-</w:t>
            </w:r>
            <w:proofErr w:type="spellStart"/>
            <w:r w:rsidRPr="008A52B4">
              <w:rPr>
                <w:rFonts w:ascii="Times New Roman" w:hAnsi="Times New Roman"/>
                <w:lang w:eastAsia="en-US"/>
              </w:rPr>
              <w:t>werk</w:t>
            </w:r>
            <w:proofErr w:type="spellEnd"/>
          </w:p>
        </w:tc>
        <w:tc>
          <w:tcPr>
            <w:tcW w:w="3410" w:type="dxa"/>
          </w:tcPr>
          <w:p w14:paraId="391040EB" w14:textId="77777777" w:rsidR="004920B2" w:rsidRPr="0019219E" w:rsidRDefault="004920B2" w:rsidP="00B75344">
            <w:pPr>
              <w:jc w:val="center"/>
              <w:rPr>
                <w:rFonts w:ascii="Times New Roman" w:hAnsi="Times New Roman"/>
                <w:lang w:val="de-DE"/>
              </w:rPr>
            </w:pPr>
            <w:r w:rsidRPr="008A52B4">
              <w:rPr>
                <w:rFonts w:ascii="Times New Roman" w:hAnsi="Times New Roman"/>
                <w:lang w:val="de-DE" w:eastAsia="en-US"/>
              </w:rPr>
              <w:t>Hinweise zu den vorgeschlagenen Änderungen für die englische bzw. die deutsche Fassung</w:t>
            </w:r>
          </w:p>
        </w:tc>
      </w:tr>
      <w:tr w:rsidR="004920B2" w:rsidRPr="008A52B4" w14:paraId="511E08E4" w14:textId="77777777" w:rsidTr="00B75344">
        <w:trPr>
          <w:cantSplit/>
        </w:trPr>
        <w:tc>
          <w:tcPr>
            <w:tcW w:w="1366" w:type="dxa"/>
          </w:tcPr>
          <w:p w14:paraId="2C8BE559" w14:textId="77777777" w:rsidR="004920B2" w:rsidRPr="008A52B4" w:rsidRDefault="004920B2" w:rsidP="00B75344">
            <w:pPr>
              <w:rPr>
                <w:rFonts w:ascii="Times New Roman" w:hAnsi="Times New Roman"/>
              </w:rPr>
            </w:pPr>
            <w:r w:rsidRPr="008A52B4">
              <w:rPr>
                <w:rFonts w:ascii="Times New Roman" w:hAnsi="Times New Roman"/>
                <w:lang w:eastAsia="en-US"/>
              </w:rPr>
              <w:t>1.2.1</w:t>
            </w:r>
          </w:p>
        </w:tc>
        <w:tc>
          <w:tcPr>
            <w:tcW w:w="3890" w:type="dxa"/>
          </w:tcPr>
          <w:p w14:paraId="0DEA5DF4" w14:textId="77777777" w:rsidR="004920B2" w:rsidRPr="0019219E" w:rsidRDefault="004920B2" w:rsidP="00B75344">
            <w:pPr>
              <w:rPr>
                <w:rFonts w:ascii="Times New Roman" w:hAnsi="Times New Roman"/>
                <w:lang w:val="de-DE"/>
              </w:rPr>
            </w:pPr>
            <w:r w:rsidRPr="008A52B4">
              <w:rPr>
                <w:rFonts w:ascii="Times New Roman" w:hAnsi="Times New Roman"/>
                <w:u w:val="single"/>
                <w:lang w:val="de-DE" w:eastAsia="en-US"/>
              </w:rPr>
              <w:t>Fassungsraum eines Tankkörpers oder eines Tankkörperabteils für Tanks</w:t>
            </w:r>
            <w:r w:rsidRPr="008A52B4">
              <w:rPr>
                <w:rFonts w:ascii="Times New Roman" w:hAnsi="Times New Roman"/>
                <w:lang w:val="de-DE" w:eastAsia="en-US"/>
              </w:rPr>
              <w:t xml:space="preserve">: Das gesamte Innenvolumen des Tankkörpers oder des Tankkörperabteils in Liter oder Kubikmeter. Wenn es nicht möglich ist, den Tankkörper oder das Tankkörperabteil wegen seiner Form oder seines Baus vollständig zu befüllen, ist dieser geringere Fassungsraum für die Bestimmung des </w:t>
            </w:r>
            <w:r w:rsidRPr="0019219E">
              <w:rPr>
                <w:rFonts w:ascii="Times New Roman" w:hAnsi="Times New Roman"/>
                <w:highlight w:val="yellow"/>
                <w:lang w:val="de-DE"/>
              </w:rPr>
              <w:t>Füllungsgrades</w:t>
            </w:r>
            <w:r w:rsidRPr="008A52B4">
              <w:rPr>
                <w:rFonts w:ascii="Times New Roman" w:hAnsi="Times New Roman"/>
                <w:lang w:val="de-DE" w:eastAsia="en-US"/>
              </w:rPr>
              <w:t xml:space="preserve"> und die Kennzeichnung des Tanks zu verwenden.</w:t>
            </w:r>
          </w:p>
        </w:tc>
        <w:tc>
          <w:tcPr>
            <w:tcW w:w="835" w:type="dxa"/>
          </w:tcPr>
          <w:p w14:paraId="73230C37" w14:textId="77777777" w:rsidR="004920B2" w:rsidRPr="008A52B4" w:rsidRDefault="004920B2" w:rsidP="00B75344">
            <w:pPr>
              <w:rPr>
                <w:rFonts w:ascii="Times New Roman" w:hAnsi="Times New Roman"/>
              </w:rPr>
            </w:pPr>
            <w:r w:rsidRPr="008A52B4">
              <w:rPr>
                <w:rFonts w:ascii="Times New Roman" w:hAnsi="Times New Roman"/>
                <w:lang w:eastAsia="en-US"/>
              </w:rPr>
              <w:t>RID/ ADR/ ADN</w:t>
            </w:r>
          </w:p>
        </w:tc>
        <w:tc>
          <w:tcPr>
            <w:tcW w:w="3410" w:type="dxa"/>
          </w:tcPr>
          <w:p w14:paraId="22988B20" w14:textId="77777777" w:rsidR="004920B2" w:rsidRPr="008A52B4" w:rsidRDefault="004920B2" w:rsidP="00B75344">
            <w:pPr>
              <w:rPr>
                <w:rFonts w:ascii="Times New Roman" w:hAnsi="Times New Roman"/>
              </w:rPr>
            </w:pPr>
            <w:proofErr w:type="spellStart"/>
            <w:r w:rsidRPr="008A52B4">
              <w:rPr>
                <w:rFonts w:ascii="Times New Roman" w:hAnsi="Times New Roman"/>
                <w:lang w:eastAsia="en-US"/>
              </w:rPr>
              <w:t>Keine</w:t>
            </w:r>
            <w:proofErr w:type="spellEnd"/>
            <w:r w:rsidRPr="008A52B4">
              <w:rPr>
                <w:rFonts w:ascii="Times New Roman" w:hAnsi="Times New Roman"/>
                <w:lang w:eastAsia="en-US"/>
              </w:rPr>
              <w:t xml:space="preserve"> </w:t>
            </w:r>
            <w:proofErr w:type="spellStart"/>
            <w:r w:rsidRPr="008A52B4">
              <w:rPr>
                <w:rFonts w:ascii="Times New Roman" w:hAnsi="Times New Roman"/>
                <w:lang w:eastAsia="en-US"/>
              </w:rPr>
              <w:t>Änderung</w:t>
            </w:r>
            <w:proofErr w:type="spellEnd"/>
            <w:r w:rsidRPr="008A52B4">
              <w:rPr>
                <w:rFonts w:ascii="Times New Roman" w:hAnsi="Times New Roman"/>
                <w:lang w:eastAsia="en-US"/>
              </w:rPr>
              <w:t xml:space="preserve"> </w:t>
            </w:r>
            <w:proofErr w:type="spellStart"/>
            <w:r w:rsidRPr="008A52B4">
              <w:rPr>
                <w:rFonts w:ascii="Times New Roman" w:hAnsi="Times New Roman"/>
                <w:lang w:eastAsia="en-US"/>
              </w:rPr>
              <w:t>erforderlich</w:t>
            </w:r>
            <w:proofErr w:type="spellEnd"/>
            <w:r w:rsidRPr="008A52B4">
              <w:rPr>
                <w:rFonts w:ascii="Times New Roman" w:hAnsi="Times New Roman"/>
                <w:lang w:eastAsia="en-US"/>
              </w:rPr>
              <w:t>.</w:t>
            </w:r>
          </w:p>
        </w:tc>
      </w:tr>
      <w:tr w:rsidR="004920B2" w:rsidRPr="00F8008A" w14:paraId="32A15077" w14:textId="77777777" w:rsidTr="00B75344">
        <w:trPr>
          <w:cantSplit/>
        </w:trPr>
        <w:tc>
          <w:tcPr>
            <w:tcW w:w="1366" w:type="dxa"/>
          </w:tcPr>
          <w:p w14:paraId="0847EA7F" w14:textId="77777777" w:rsidR="004920B2" w:rsidRPr="008A52B4" w:rsidRDefault="004920B2" w:rsidP="00B75344">
            <w:pPr>
              <w:rPr>
                <w:lang w:eastAsia="en-US"/>
              </w:rPr>
            </w:pPr>
          </w:p>
        </w:tc>
        <w:tc>
          <w:tcPr>
            <w:tcW w:w="3890" w:type="dxa"/>
          </w:tcPr>
          <w:p w14:paraId="49FBD18B" w14:textId="77777777" w:rsidR="004920B2" w:rsidRPr="008A52B4" w:rsidRDefault="004920B2" w:rsidP="00B75344">
            <w:pPr>
              <w:rPr>
                <w:highlight w:val="magenta"/>
                <w:lang w:eastAsia="en-US"/>
              </w:rPr>
            </w:pPr>
          </w:p>
        </w:tc>
        <w:tc>
          <w:tcPr>
            <w:tcW w:w="835" w:type="dxa"/>
          </w:tcPr>
          <w:p w14:paraId="5CA29F4E" w14:textId="77777777" w:rsidR="004920B2" w:rsidRPr="008A52B4" w:rsidRDefault="004920B2" w:rsidP="00B75344">
            <w:r w:rsidRPr="008A52B4">
              <w:rPr>
                <w:rFonts w:ascii="Times New Roman" w:hAnsi="Times New Roman"/>
                <w:lang w:eastAsia="en-US"/>
              </w:rPr>
              <w:t>RID/ ADR/ ADN</w:t>
            </w:r>
          </w:p>
        </w:tc>
        <w:tc>
          <w:tcPr>
            <w:tcW w:w="3410" w:type="dxa"/>
          </w:tcPr>
          <w:p w14:paraId="65C65D0F"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Folgende Begriffsbestimmung hinzufügen:</w:t>
            </w:r>
          </w:p>
          <w:p w14:paraId="05ECED9B"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„Füllungsgrad: Das Verhältnis zwischen dem Volumen des bei 15 °C in das Umschließungsmittel eingebrachten flüssigen oder festen Stoffes und dem Volumen des gebrauchsfertigen Umschließungsmittels, ausgedrückt in %.“</w:t>
            </w:r>
          </w:p>
          <w:p w14:paraId="6D640F06" w14:textId="77777777" w:rsidR="004920B2" w:rsidRPr="008A52B4" w:rsidRDefault="004920B2" w:rsidP="00B75344">
            <w:pPr>
              <w:rPr>
                <w:lang w:val="de-DE" w:eastAsia="en-US"/>
              </w:rPr>
            </w:pPr>
          </w:p>
        </w:tc>
      </w:tr>
      <w:tr w:rsidR="004920B2" w:rsidRPr="008A52B4" w14:paraId="11FF66A6" w14:textId="77777777" w:rsidTr="00B75344">
        <w:trPr>
          <w:cantSplit/>
        </w:trPr>
        <w:tc>
          <w:tcPr>
            <w:tcW w:w="1366" w:type="dxa"/>
          </w:tcPr>
          <w:p w14:paraId="7198C5A9" w14:textId="77777777" w:rsidR="004920B2" w:rsidRPr="008A52B4" w:rsidRDefault="004920B2" w:rsidP="00B75344">
            <w:pPr>
              <w:rPr>
                <w:rFonts w:ascii="Times New Roman" w:hAnsi="Times New Roman"/>
                <w:lang w:val="de-DE" w:eastAsia="en-US"/>
              </w:rPr>
            </w:pPr>
          </w:p>
        </w:tc>
        <w:tc>
          <w:tcPr>
            <w:tcW w:w="3890" w:type="dxa"/>
          </w:tcPr>
          <w:p w14:paraId="0CE3DBD5" w14:textId="77777777" w:rsidR="004920B2" w:rsidRPr="00084679" w:rsidRDefault="004920B2" w:rsidP="00B75344">
            <w:pPr>
              <w:rPr>
                <w:rFonts w:ascii="Times New Roman" w:hAnsi="Times New Roman"/>
                <w:lang w:val="de-DE"/>
              </w:rPr>
            </w:pPr>
            <w:r w:rsidRPr="00084679">
              <w:rPr>
                <w:rFonts w:ascii="Times New Roman" w:hAnsi="Times New Roman"/>
                <w:highlight w:val="yellow"/>
                <w:u w:val="single"/>
                <w:lang w:val="de-DE"/>
              </w:rPr>
              <w:t>Füllungsgrad:</w:t>
            </w:r>
            <w:r w:rsidRPr="008A52B4">
              <w:rPr>
                <w:rFonts w:ascii="Times New Roman" w:hAnsi="Times New Roman"/>
                <w:lang w:val="de-DE" w:eastAsia="en-US"/>
              </w:rPr>
              <w:t xml:space="preserve"> Das Verhältnis zwischen der Masse an Gas und der Masse an Wasser bei 15 °C, die ein für die Verwendung vorbereitetes Druckgefäß vollständig ausfüllen würde.</w:t>
            </w:r>
          </w:p>
        </w:tc>
        <w:tc>
          <w:tcPr>
            <w:tcW w:w="835" w:type="dxa"/>
          </w:tcPr>
          <w:p w14:paraId="1C75428A" w14:textId="77777777" w:rsidR="004920B2" w:rsidRPr="008A52B4" w:rsidRDefault="004920B2" w:rsidP="00B75344">
            <w:pPr>
              <w:rPr>
                <w:rFonts w:ascii="Times New Roman" w:hAnsi="Times New Roman"/>
              </w:rPr>
            </w:pPr>
            <w:r w:rsidRPr="008A52B4">
              <w:rPr>
                <w:rFonts w:ascii="Times New Roman" w:hAnsi="Times New Roman"/>
                <w:lang w:eastAsia="en-US"/>
              </w:rPr>
              <w:t>RID/ ADR/ ADN</w:t>
            </w:r>
          </w:p>
        </w:tc>
        <w:tc>
          <w:tcPr>
            <w:tcW w:w="3410" w:type="dxa"/>
          </w:tcPr>
          <w:p w14:paraId="59865889" w14:textId="77777777" w:rsidR="004920B2" w:rsidRPr="008A52B4" w:rsidRDefault="004920B2" w:rsidP="00B75344">
            <w:pPr>
              <w:rPr>
                <w:rFonts w:ascii="Times New Roman" w:hAnsi="Times New Roman"/>
              </w:rPr>
            </w:pPr>
            <w:r w:rsidRPr="008A52B4">
              <w:rPr>
                <w:rFonts w:ascii="Times New Roman" w:hAnsi="Times New Roman"/>
                <w:lang w:val="de-DE" w:eastAsia="en-US"/>
              </w:rPr>
              <w:t>„Füllungsgrad“ ändern in „Füllfaktor“</w:t>
            </w:r>
          </w:p>
        </w:tc>
      </w:tr>
      <w:tr w:rsidR="004920B2" w:rsidRPr="00F8008A" w14:paraId="6CB8235A" w14:textId="77777777" w:rsidTr="00B75344">
        <w:trPr>
          <w:cantSplit/>
        </w:trPr>
        <w:tc>
          <w:tcPr>
            <w:tcW w:w="1366" w:type="dxa"/>
          </w:tcPr>
          <w:p w14:paraId="0E11B0D8" w14:textId="77777777" w:rsidR="004920B2" w:rsidRPr="008A52B4" w:rsidRDefault="004920B2" w:rsidP="00B75344">
            <w:pPr>
              <w:rPr>
                <w:rFonts w:ascii="Times New Roman" w:hAnsi="Times New Roman"/>
                <w:lang w:val="de-DE" w:eastAsia="en-US"/>
              </w:rPr>
            </w:pPr>
          </w:p>
        </w:tc>
        <w:tc>
          <w:tcPr>
            <w:tcW w:w="3890" w:type="dxa"/>
          </w:tcPr>
          <w:p w14:paraId="57BA0D55" w14:textId="77777777" w:rsidR="004920B2" w:rsidRPr="0019219E" w:rsidRDefault="004920B2" w:rsidP="00B75344">
            <w:pPr>
              <w:rPr>
                <w:rFonts w:ascii="Times New Roman" w:hAnsi="Times New Roman"/>
                <w:lang w:val="de-DE"/>
              </w:rPr>
            </w:pPr>
            <w:r w:rsidRPr="008A52B4">
              <w:rPr>
                <w:rFonts w:ascii="Times New Roman" w:hAnsi="Times New Roman"/>
                <w:highlight w:val="cyan"/>
                <w:u w:val="single"/>
                <w:lang w:val="de-DE" w:eastAsia="en-US"/>
              </w:rPr>
              <w:t>Füllungsgrad (Ladetanks)</w:t>
            </w:r>
            <w:r w:rsidRPr="008A52B4">
              <w:rPr>
                <w:rFonts w:ascii="Times New Roman" w:hAnsi="Times New Roman"/>
                <w:lang w:val="de-DE" w:eastAsia="en-US"/>
              </w:rPr>
              <w:t>: Wird für Ladetanks ein Füllungsgrad angegeben, bezeichnet dieser den Prozentsatz des Ladetankvolumens, der beim Laden mit Flüssigkeit gefüllt werden darf.</w:t>
            </w:r>
          </w:p>
        </w:tc>
        <w:tc>
          <w:tcPr>
            <w:tcW w:w="835" w:type="dxa"/>
          </w:tcPr>
          <w:p w14:paraId="179E5EEE"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31AC9D43"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Da im RID/ADR/ADN nun zwischen Füllfaktor und Füllungsgrad unterschieden und für Füllungsgrad eine neue Begriffsbestimmung eingeführt wird, ist im ADN eine Begriffsbestimmung von „Füllungsgrad (Ladetanks)“ nicht mehr erforderlich, da sich auch diese nur auf die Beförderung von flüssigen Stoffen bezieht. </w:t>
            </w:r>
          </w:p>
          <w:p w14:paraId="4619F426"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Der einzige Unterschied zwischen der allgemeinen Begriffsbestimmung von „Füllungsgrad“ und der ADN-Begriffsbestimmung von „Füllungsgrad (Ladetanks)“ besteht darin, dass in der neuen Begriffsbestimmung von „Füllungsgrad“ auf die Temperatur Bezug genommen wird. Die Temperatur stellt ein wichtiges Kriterium für die Bestimmung des richtigen Füllungsgrades dar und müsste auch im Falle von Ladetanks berücksichtigt werden.</w:t>
            </w:r>
          </w:p>
        </w:tc>
      </w:tr>
      <w:tr w:rsidR="004920B2" w:rsidRPr="008A52B4" w14:paraId="215F6A67" w14:textId="77777777" w:rsidTr="00B75344">
        <w:trPr>
          <w:cantSplit/>
        </w:trPr>
        <w:tc>
          <w:tcPr>
            <w:tcW w:w="1366" w:type="dxa"/>
          </w:tcPr>
          <w:p w14:paraId="6F3133D2" w14:textId="77777777" w:rsidR="004920B2" w:rsidRPr="008A52B4" w:rsidRDefault="004920B2" w:rsidP="00B75344">
            <w:pPr>
              <w:rPr>
                <w:rFonts w:ascii="Times New Roman" w:hAnsi="Times New Roman"/>
                <w:lang w:val="de-DE" w:eastAsia="en-US"/>
              </w:rPr>
            </w:pPr>
          </w:p>
        </w:tc>
        <w:tc>
          <w:tcPr>
            <w:tcW w:w="3890" w:type="dxa"/>
          </w:tcPr>
          <w:p w14:paraId="4D9DF081" w14:textId="77777777" w:rsidR="004920B2" w:rsidRPr="0019219E" w:rsidRDefault="004920B2" w:rsidP="00B75344">
            <w:pPr>
              <w:rPr>
                <w:rFonts w:ascii="Times New Roman" w:hAnsi="Times New Roman"/>
                <w:lang w:val="de-DE"/>
              </w:rPr>
            </w:pPr>
            <w:r w:rsidRPr="008A52B4">
              <w:rPr>
                <w:rFonts w:ascii="Times New Roman" w:hAnsi="Times New Roman"/>
                <w:u w:val="single"/>
                <w:lang w:val="de-DE" w:eastAsia="en-US"/>
              </w:rPr>
              <w:t>Peilöffnung</w:t>
            </w:r>
            <w:r w:rsidRPr="008A52B4">
              <w:rPr>
                <w:rFonts w:ascii="Times New Roman" w:hAnsi="Times New Roman"/>
                <w:lang w:val="de-DE" w:eastAsia="en-US"/>
              </w:rPr>
              <w:t xml:space="preserve">: Eine verschließbare Öffnung des Restetanks mit einem Durchmesser von höchstens 0,10 m. Die Peilöffnung muss so beschaffen sein, dass der </w:t>
            </w:r>
            <w:r w:rsidRPr="008A52B4">
              <w:rPr>
                <w:rFonts w:ascii="Times New Roman" w:hAnsi="Times New Roman"/>
                <w:highlight w:val="cyan"/>
                <w:lang w:val="de-DE" w:eastAsia="en-US"/>
              </w:rPr>
              <w:t>Füllungsgrad</w:t>
            </w:r>
            <w:r w:rsidRPr="008A52B4">
              <w:rPr>
                <w:rFonts w:ascii="Times New Roman" w:hAnsi="Times New Roman"/>
                <w:lang w:val="de-DE" w:eastAsia="en-US"/>
              </w:rPr>
              <w:t xml:space="preserve"> mit einem Peilstab gemessen werden kann.</w:t>
            </w:r>
          </w:p>
        </w:tc>
        <w:tc>
          <w:tcPr>
            <w:tcW w:w="835" w:type="dxa"/>
          </w:tcPr>
          <w:p w14:paraId="3F207063"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5A84528A" w14:textId="77777777" w:rsidR="004920B2" w:rsidRPr="008A52B4" w:rsidRDefault="004920B2" w:rsidP="00B75344">
            <w:pPr>
              <w:rPr>
                <w:rFonts w:ascii="Times New Roman" w:hAnsi="Times New Roman"/>
                <w:lang w:eastAsia="en-US"/>
              </w:rPr>
            </w:pPr>
          </w:p>
        </w:tc>
      </w:tr>
      <w:tr w:rsidR="004920B2" w:rsidRPr="008A52B4" w14:paraId="6544E806" w14:textId="77777777" w:rsidTr="00B75344">
        <w:trPr>
          <w:cantSplit/>
        </w:trPr>
        <w:tc>
          <w:tcPr>
            <w:tcW w:w="1366" w:type="dxa"/>
          </w:tcPr>
          <w:p w14:paraId="6481A4F7" w14:textId="77777777" w:rsidR="004920B2" w:rsidRPr="008A52B4" w:rsidRDefault="004920B2" w:rsidP="00B75344">
            <w:pPr>
              <w:rPr>
                <w:rFonts w:ascii="Times New Roman" w:hAnsi="Times New Roman"/>
              </w:rPr>
            </w:pPr>
            <w:r w:rsidRPr="008A52B4">
              <w:rPr>
                <w:rFonts w:ascii="Times New Roman" w:hAnsi="Times New Roman"/>
                <w:lang w:eastAsia="en-US"/>
              </w:rPr>
              <w:lastRenderedPageBreak/>
              <w:t>1.2.2.4</w:t>
            </w:r>
          </w:p>
        </w:tc>
        <w:tc>
          <w:tcPr>
            <w:tcW w:w="3890" w:type="dxa"/>
          </w:tcPr>
          <w:p w14:paraId="5CA296BC"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Sieht das ADN einen </w:t>
            </w:r>
            <w:r w:rsidRPr="0019219E">
              <w:rPr>
                <w:rFonts w:ascii="Times New Roman" w:hAnsi="Times New Roman"/>
                <w:highlight w:val="yellow"/>
                <w:lang w:val="de-DE"/>
              </w:rPr>
              <w:t>Füllungsgrad</w:t>
            </w:r>
            <w:r w:rsidRPr="008A52B4">
              <w:rPr>
                <w:rFonts w:ascii="Times New Roman" w:hAnsi="Times New Roman"/>
                <w:lang w:val="de-DE" w:eastAsia="en-US"/>
              </w:rPr>
              <w:t xml:space="preserve"> für Gefäße vor, so bezieht sich dieser auf eine Temperatur des Stoffes von 15 ºC, sofern nicht eine andere Temperatur genannt ist.</w:t>
            </w:r>
          </w:p>
        </w:tc>
        <w:tc>
          <w:tcPr>
            <w:tcW w:w="835" w:type="dxa"/>
          </w:tcPr>
          <w:p w14:paraId="647D7F90" w14:textId="77777777" w:rsidR="004920B2" w:rsidRPr="008A52B4" w:rsidRDefault="004920B2" w:rsidP="00B75344">
            <w:pPr>
              <w:rPr>
                <w:rFonts w:ascii="Times New Roman" w:hAnsi="Times New Roman"/>
              </w:rPr>
            </w:pPr>
            <w:r w:rsidRPr="008A52B4">
              <w:rPr>
                <w:rFonts w:ascii="Times New Roman" w:hAnsi="Times New Roman"/>
                <w:lang w:val="de-DE" w:eastAsia="en-US"/>
              </w:rPr>
              <w:t>ADN</w:t>
            </w:r>
          </w:p>
        </w:tc>
        <w:tc>
          <w:tcPr>
            <w:tcW w:w="3410" w:type="dxa"/>
          </w:tcPr>
          <w:p w14:paraId="3D93AC47" w14:textId="77777777" w:rsidR="004920B2" w:rsidRPr="008A52B4" w:rsidRDefault="004920B2" w:rsidP="00B75344">
            <w:pPr>
              <w:rPr>
                <w:rFonts w:ascii="Times New Roman" w:hAnsi="Times New Roman"/>
              </w:rPr>
            </w:pPr>
            <w:r w:rsidRPr="008A52B4">
              <w:rPr>
                <w:rFonts w:ascii="Times New Roman" w:hAnsi="Times New Roman"/>
                <w:lang w:val="de-DE" w:eastAsia="en-US"/>
              </w:rPr>
              <w:t>Keine Änderung erforderlich.</w:t>
            </w:r>
          </w:p>
        </w:tc>
      </w:tr>
      <w:tr w:rsidR="004920B2" w:rsidRPr="00F8008A" w14:paraId="1DC97CD7" w14:textId="77777777" w:rsidTr="00B75344">
        <w:trPr>
          <w:cantSplit/>
        </w:trPr>
        <w:tc>
          <w:tcPr>
            <w:tcW w:w="1366" w:type="dxa"/>
          </w:tcPr>
          <w:p w14:paraId="1F860BEB" w14:textId="77777777" w:rsidR="004920B2" w:rsidRPr="008A52B4" w:rsidRDefault="004920B2" w:rsidP="00B75344">
            <w:pPr>
              <w:rPr>
                <w:rFonts w:ascii="Times New Roman" w:hAnsi="Times New Roman"/>
              </w:rPr>
            </w:pPr>
            <w:r w:rsidRPr="008A52B4">
              <w:rPr>
                <w:rFonts w:ascii="Times New Roman" w:hAnsi="Times New Roman"/>
                <w:lang w:eastAsia="en-US"/>
              </w:rPr>
              <w:t>1.4.3.3</w:t>
            </w:r>
          </w:p>
        </w:tc>
        <w:tc>
          <w:tcPr>
            <w:tcW w:w="3890" w:type="dxa"/>
          </w:tcPr>
          <w:p w14:paraId="7483F2C3"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e)</w:t>
            </w:r>
            <w:r w:rsidRPr="008A52B4">
              <w:rPr>
                <w:rFonts w:ascii="Times New Roman" w:hAnsi="Times New Roman"/>
                <w:lang w:val="de-DE" w:eastAsia="en-US"/>
              </w:rPr>
              <w:tab/>
              <w:t xml:space="preserve">hat beim Befüllen des Tanks den zulässigen </w:t>
            </w:r>
            <w:r w:rsidRPr="0019219E">
              <w:rPr>
                <w:rFonts w:ascii="Times New Roman" w:hAnsi="Times New Roman"/>
                <w:highlight w:val="yellow"/>
                <w:lang w:val="de-DE"/>
              </w:rPr>
              <w:t>Füllungsgrad</w:t>
            </w:r>
            <w:r w:rsidRPr="008A52B4">
              <w:rPr>
                <w:rFonts w:ascii="Times New Roman" w:hAnsi="Times New Roman"/>
                <w:lang w:val="de-DE" w:eastAsia="en-US"/>
              </w:rPr>
              <w:t xml:space="preserve"> oder die zulässige Masse der Füllung je Liter Fassungsraum für das Füllgut einzuhalten;</w:t>
            </w:r>
          </w:p>
        </w:tc>
        <w:tc>
          <w:tcPr>
            <w:tcW w:w="835" w:type="dxa"/>
          </w:tcPr>
          <w:p w14:paraId="05050C1E" w14:textId="77777777" w:rsidR="004920B2" w:rsidRPr="008A52B4" w:rsidRDefault="004920B2" w:rsidP="00B75344">
            <w:pPr>
              <w:rPr>
                <w:rFonts w:ascii="Times New Roman" w:hAnsi="Times New Roman"/>
              </w:rPr>
            </w:pPr>
            <w:r w:rsidRPr="008A52B4">
              <w:rPr>
                <w:rFonts w:ascii="Times New Roman" w:hAnsi="Times New Roman"/>
                <w:lang w:eastAsia="en-US"/>
              </w:rPr>
              <w:t>RID/ ADR/ ADN</w:t>
            </w:r>
          </w:p>
        </w:tc>
        <w:tc>
          <w:tcPr>
            <w:tcW w:w="3410" w:type="dxa"/>
          </w:tcPr>
          <w:p w14:paraId="2DAE9651"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“hat beim Befüllen des Tanks den zulässigen Füllungsgrad oder die zulässige Masse der Füllung je Liter Fassungsraum für das Füllgut einzuhalten;” durch “</w:t>
            </w:r>
            <w:r w:rsidRPr="008A52B4">
              <w:rPr>
                <w:lang w:val="de-DE"/>
              </w:rPr>
              <w:t xml:space="preserve"> </w:t>
            </w:r>
            <w:r w:rsidRPr="008A52B4">
              <w:rPr>
                <w:rFonts w:ascii="Times New Roman" w:hAnsi="Times New Roman"/>
                <w:lang w:val="de-DE" w:eastAsia="en-US"/>
              </w:rPr>
              <w:t xml:space="preserve">hat beim Befüllen des Tanks den zulässigen Füllungsgrad, </w:t>
            </w:r>
            <w:r w:rsidRPr="008A52B4">
              <w:rPr>
                <w:rFonts w:ascii="Times New Roman" w:hAnsi="Times New Roman"/>
                <w:i/>
                <w:iCs/>
                <w:u w:val="single"/>
                <w:lang w:val="de-DE" w:eastAsia="en-US"/>
              </w:rPr>
              <w:t>den zulässigen Füllfaktor</w:t>
            </w:r>
            <w:r w:rsidRPr="008A52B4">
              <w:rPr>
                <w:rFonts w:ascii="Times New Roman" w:hAnsi="Times New Roman"/>
                <w:lang w:val="de-DE" w:eastAsia="en-US"/>
              </w:rPr>
              <w:t xml:space="preserve"> bzw. die zulässige Masse der Füllung je Liter Fassungsraum für das Füllgut einzuhalten;”.</w:t>
            </w:r>
          </w:p>
        </w:tc>
      </w:tr>
      <w:tr w:rsidR="004920B2" w:rsidRPr="008A52B4" w14:paraId="64047FFE" w14:textId="77777777" w:rsidTr="00B75344">
        <w:trPr>
          <w:cantSplit/>
        </w:trPr>
        <w:tc>
          <w:tcPr>
            <w:tcW w:w="1366" w:type="dxa"/>
          </w:tcPr>
          <w:p w14:paraId="55C70EA8" w14:textId="77777777" w:rsidR="004920B2" w:rsidRPr="008A52B4" w:rsidRDefault="004920B2" w:rsidP="00B75344">
            <w:pPr>
              <w:rPr>
                <w:rFonts w:ascii="Times New Roman" w:hAnsi="Times New Roman"/>
              </w:rPr>
            </w:pPr>
            <w:r w:rsidRPr="008A52B4">
              <w:rPr>
                <w:lang w:eastAsia="en-US"/>
              </w:rPr>
              <w:t>1.6.7.2.2.2</w:t>
            </w:r>
          </w:p>
        </w:tc>
        <w:tc>
          <w:tcPr>
            <w:tcW w:w="3890" w:type="dxa"/>
          </w:tcPr>
          <w:p w14:paraId="508A38F8"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9.3.3.21.1 b) […] so beschaffen sein, dass mit einem Peilstab der </w:t>
            </w:r>
            <w:r w:rsidRPr="008A52B4">
              <w:rPr>
                <w:rFonts w:ascii="Times New Roman" w:hAnsi="Times New Roman"/>
                <w:highlight w:val="cyan"/>
                <w:lang w:val="de-DE" w:eastAsia="en-US"/>
              </w:rPr>
              <w:t>Füllungsgrad</w:t>
            </w:r>
            <w:r w:rsidRPr="008A52B4">
              <w:rPr>
                <w:rFonts w:ascii="Times New Roman" w:hAnsi="Times New Roman"/>
                <w:lang w:val="de-DE" w:eastAsia="en-US"/>
              </w:rPr>
              <w:t xml:space="preserve"> gemessen werden kann,</w:t>
            </w:r>
          </w:p>
        </w:tc>
        <w:tc>
          <w:tcPr>
            <w:tcW w:w="835" w:type="dxa"/>
          </w:tcPr>
          <w:p w14:paraId="61B8582F" w14:textId="77777777" w:rsidR="004920B2" w:rsidRPr="008A52B4" w:rsidRDefault="004920B2" w:rsidP="00B75344">
            <w:pPr>
              <w:rPr>
                <w:rFonts w:ascii="Times New Roman" w:hAnsi="Times New Roman"/>
              </w:rPr>
            </w:pPr>
            <w:r w:rsidRPr="008A52B4">
              <w:rPr>
                <w:lang w:eastAsia="en-US"/>
              </w:rPr>
              <w:t>ADN</w:t>
            </w:r>
          </w:p>
        </w:tc>
        <w:tc>
          <w:tcPr>
            <w:tcW w:w="3410" w:type="dxa"/>
          </w:tcPr>
          <w:p w14:paraId="781BF7F6" w14:textId="77777777" w:rsidR="004920B2" w:rsidRPr="008A52B4" w:rsidRDefault="004920B2" w:rsidP="00B75344">
            <w:pPr>
              <w:rPr>
                <w:rFonts w:ascii="Times New Roman" w:hAnsi="Times New Roman"/>
                <w:lang w:val="de-DE" w:eastAsia="en-US"/>
              </w:rPr>
            </w:pPr>
          </w:p>
        </w:tc>
      </w:tr>
      <w:tr w:rsidR="004920B2" w:rsidRPr="00F8008A" w14:paraId="5E7F8A39" w14:textId="77777777" w:rsidTr="00B75344">
        <w:trPr>
          <w:cantSplit/>
        </w:trPr>
        <w:tc>
          <w:tcPr>
            <w:tcW w:w="1366" w:type="dxa"/>
          </w:tcPr>
          <w:p w14:paraId="1BAF1535" w14:textId="77777777" w:rsidR="004920B2" w:rsidRPr="008A52B4" w:rsidRDefault="004920B2" w:rsidP="00B75344">
            <w:pPr>
              <w:rPr>
                <w:rFonts w:ascii="Times New Roman" w:hAnsi="Times New Roman"/>
              </w:rPr>
            </w:pPr>
            <w:r w:rsidRPr="008A52B4">
              <w:rPr>
                <w:lang w:eastAsia="en-US"/>
              </w:rPr>
              <w:t>1.8.3</w:t>
            </w:r>
            <w:r w:rsidRPr="008A52B4">
              <w:rPr>
                <w:rFonts w:ascii="Times New Roman" w:hAnsi="Times New Roman"/>
                <w:lang w:eastAsia="en-US"/>
              </w:rPr>
              <w:t>.11</w:t>
            </w:r>
          </w:p>
        </w:tc>
        <w:tc>
          <w:tcPr>
            <w:tcW w:w="3890" w:type="dxa"/>
          </w:tcPr>
          <w:p w14:paraId="26CD553E"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 Handhabung und Sicherung der Ladung (Verpacken, Befüllen, Be- und Entladen – </w:t>
            </w:r>
            <w:r w:rsidRPr="0019219E">
              <w:rPr>
                <w:rFonts w:ascii="Times New Roman" w:hAnsi="Times New Roman"/>
                <w:highlight w:val="yellow"/>
                <w:lang w:val="de-DE"/>
              </w:rPr>
              <w:t>Füllungsgrad</w:t>
            </w:r>
            <w:r w:rsidRPr="008A52B4">
              <w:rPr>
                <w:rFonts w:ascii="Times New Roman" w:hAnsi="Times New Roman"/>
                <w:lang w:val="de-DE" w:eastAsia="en-US"/>
              </w:rPr>
              <w:t>, Stauen und Trennen);</w:t>
            </w:r>
          </w:p>
        </w:tc>
        <w:tc>
          <w:tcPr>
            <w:tcW w:w="835" w:type="dxa"/>
          </w:tcPr>
          <w:p w14:paraId="2E4BEDD6" w14:textId="77777777" w:rsidR="004920B2" w:rsidRPr="008A52B4" w:rsidRDefault="004920B2" w:rsidP="00B75344">
            <w:pPr>
              <w:rPr>
                <w:rFonts w:ascii="Times New Roman" w:hAnsi="Times New Roman"/>
              </w:rPr>
            </w:pPr>
            <w:r w:rsidRPr="008A52B4">
              <w:rPr>
                <w:rFonts w:ascii="Times New Roman" w:hAnsi="Times New Roman"/>
                <w:lang w:eastAsia="en-US"/>
              </w:rPr>
              <w:t>RID/ ADR/ ADN</w:t>
            </w:r>
          </w:p>
        </w:tc>
        <w:tc>
          <w:tcPr>
            <w:tcW w:w="3410" w:type="dxa"/>
          </w:tcPr>
          <w:p w14:paraId="31EFFB11"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Nach dem Begriff "Füllungsgrad" wird eingefügt: "bzw. Füllfaktor".</w:t>
            </w:r>
          </w:p>
        </w:tc>
      </w:tr>
      <w:tr w:rsidR="004920B2" w:rsidRPr="00F8008A" w14:paraId="1E1A372F" w14:textId="77777777" w:rsidTr="00B75344">
        <w:trPr>
          <w:cantSplit/>
        </w:trPr>
        <w:tc>
          <w:tcPr>
            <w:tcW w:w="1366" w:type="dxa"/>
          </w:tcPr>
          <w:p w14:paraId="5DE69EBF" w14:textId="77777777" w:rsidR="004920B2" w:rsidRPr="008A52B4" w:rsidRDefault="004920B2" w:rsidP="00B75344">
            <w:pPr>
              <w:rPr>
                <w:rFonts w:ascii="Times New Roman" w:hAnsi="Times New Roman"/>
                <w:lang w:val="de-DE" w:eastAsia="en-US"/>
              </w:rPr>
            </w:pPr>
          </w:p>
        </w:tc>
        <w:tc>
          <w:tcPr>
            <w:tcW w:w="3890" w:type="dxa"/>
          </w:tcPr>
          <w:p w14:paraId="7364F0C2" w14:textId="77777777" w:rsidR="004920B2" w:rsidRPr="008A52B4" w:rsidRDefault="004920B2" w:rsidP="00B75344">
            <w:pPr>
              <w:rPr>
                <w:rFonts w:ascii="Times New Roman" w:hAnsi="Times New Roman"/>
                <w:lang w:val="de-DE" w:eastAsia="en-US"/>
              </w:rPr>
            </w:pPr>
          </w:p>
        </w:tc>
        <w:tc>
          <w:tcPr>
            <w:tcW w:w="835" w:type="dxa"/>
          </w:tcPr>
          <w:p w14:paraId="0275277C" w14:textId="77777777" w:rsidR="004920B2" w:rsidRPr="008A52B4" w:rsidRDefault="004920B2" w:rsidP="00B75344">
            <w:pPr>
              <w:rPr>
                <w:rFonts w:ascii="Times New Roman" w:hAnsi="Times New Roman"/>
                <w:lang w:val="de-DE" w:eastAsia="en-US"/>
              </w:rPr>
            </w:pPr>
          </w:p>
        </w:tc>
        <w:tc>
          <w:tcPr>
            <w:tcW w:w="3410" w:type="dxa"/>
          </w:tcPr>
          <w:p w14:paraId="63786DD4" w14:textId="77777777" w:rsidR="004920B2" w:rsidRPr="008A52B4" w:rsidRDefault="004920B2" w:rsidP="00B75344">
            <w:pPr>
              <w:rPr>
                <w:rFonts w:ascii="Times New Roman" w:hAnsi="Times New Roman"/>
                <w:lang w:val="de-DE" w:eastAsia="en-US"/>
              </w:rPr>
            </w:pPr>
          </w:p>
        </w:tc>
      </w:tr>
      <w:tr w:rsidR="004920B2" w:rsidRPr="00F8008A" w14:paraId="6410D4C3" w14:textId="77777777" w:rsidTr="00B75344">
        <w:trPr>
          <w:cantSplit/>
        </w:trPr>
        <w:tc>
          <w:tcPr>
            <w:tcW w:w="1366" w:type="dxa"/>
          </w:tcPr>
          <w:p w14:paraId="6EC3D665" w14:textId="77777777" w:rsidR="004920B2" w:rsidRPr="008A52B4" w:rsidRDefault="004920B2" w:rsidP="00B75344">
            <w:pPr>
              <w:rPr>
                <w:rFonts w:ascii="Times New Roman" w:hAnsi="Times New Roman"/>
              </w:rPr>
            </w:pPr>
            <w:r w:rsidRPr="008A52B4">
              <w:rPr>
                <w:lang w:eastAsia="en-US"/>
              </w:rPr>
              <w:t>2.2.2.1.1</w:t>
            </w:r>
          </w:p>
        </w:tc>
        <w:tc>
          <w:tcPr>
            <w:tcW w:w="3890" w:type="dxa"/>
          </w:tcPr>
          <w:p w14:paraId="6A04D61A"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Bem.</w:t>
            </w:r>
            <w:r w:rsidRPr="008A52B4">
              <w:rPr>
                <w:rFonts w:ascii="Times New Roman" w:hAnsi="Times New Roman"/>
                <w:lang w:val="de-DE" w:eastAsia="en-US"/>
              </w:rPr>
              <w:tab/>
              <w:t>2.</w:t>
            </w:r>
            <w:r w:rsidRPr="008A52B4">
              <w:rPr>
                <w:rFonts w:ascii="Times New Roman" w:hAnsi="Times New Roman"/>
                <w:lang w:val="de-DE" w:eastAsia="en-US"/>
              </w:rPr>
              <w:tab/>
              <w:t xml:space="preserve">Ein reines Gas darf andere Bestandteile enthalten, die vom Produktionsprozess her-rühren oder die hinzugefügt werden, um die Stabilität des Produkts aufrechtzuerhalten, vorausgesetzt, die Konzentration dieser Bestandteile verändert nicht die Klassifizierung oder die Beförderungsvorschriften wie </w:t>
            </w:r>
            <w:r w:rsidRPr="0019219E">
              <w:rPr>
                <w:rFonts w:ascii="Times New Roman" w:hAnsi="Times New Roman"/>
                <w:highlight w:val="yellow"/>
                <w:lang w:val="de-DE"/>
              </w:rPr>
              <w:t>Füllungsgrad</w:t>
            </w:r>
            <w:r w:rsidRPr="008A52B4">
              <w:rPr>
                <w:rFonts w:ascii="Times New Roman" w:hAnsi="Times New Roman"/>
                <w:lang w:val="de-DE" w:eastAsia="en-US"/>
              </w:rPr>
              <w:t>, Fülldruck oder Prüfdruck.</w:t>
            </w:r>
          </w:p>
        </w:tc>
        <w:tc>
          <w:tcPr>
            <w:tcW w:w="835" w:type="dxa"/>
          </w:tcPr>
          <w:p w14:paraId="5696958F" w14:textId="77777777" w:rsidR="004920B2" w:rsidRPr="008A52B4" w:rsidRDefault="004920B2" w:rsidP="00B75344">
            <w:pPr>
              <w:rPr>
                <w:rFonts w:ascii="Times New Roman" w:hAnsi="Times New Roman"/>
              </w:rPr>
            </w:pPr>
            <w:r w:rsidRPr="008A52B4">
              <w:rPr>
                <w:rFonts w:ascii="Times New Roman" w:hAnsi="Times New Roman"/>
                <w:lang w:eastAsia="en-US"/>
              </w:rPr>
              <w:t>RID/ ADR/ ADN</w:t>
            </w:r>
          </w:p>
        </w:tc>
        <w:tc>
          <w:tcPr>
            <w:tcW w:w="3410" w:type="dxa"/>
          </w:tcPr>
          <w:p w14:paraId="69F4814A"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"Füllungsgrad" wird in "Füllfaktor" geändert.</w:t>
            </w:r>
          </w:p>
        </w:tc>
      </w:tr>
      <w:tr w:rsidR="004920B2" w:rsidRPr="00F8008A" w14:paraId="288F405F" w14:textId="77777777" w:rsidTr="00B75344">
        <w:trPr>
          <w:cantSplit/>
        </w:trPr>
        <w:tc>
          <w:tcPr>
            <w:tcW w:w="1366" w:type="dxa"/>
          </w:tcPr>
          <w:p w14:paraId="74BF37B8" w14:textId="77777777" w:rsidR="004920B2" w:rsidRPr="008A52B4" w:rsidRDefault="004920B2" w:rsidP="00B75344">
            <w:pPr>
              <w:rPr>
                <w:rFonts w:ascii="Times New Roman" w:hAnsi="Times New Roman"/>
                <w:lang w:val="de-DE" w:eastAsia="en-US"/>
              </w:rPr>
            </w:pPr>
          </w:p>
        </w:tc>
        <w:tc>
          <w:tcPr>
            <w:tcW w:w="3890" w:type="dxa"/>
          </w:tcPr>
          <w:p w14:paraId="66C989D9" w14:textId="77777777" w:rsidR="004920B2" w:rsidRPr="008A52B4" w:rsidRDefault="004920B2" w:rsidP="00B75344">
            <w:pPr>
              <w:rPr>
                <w:rFonts w:ascii="Times New Roman" w:hAnsi="Times New Roman"/>
                <w:lang w:val="de-DE" w:eastAsia="en-US"/>
              </w:rPr>
            </w:pPr>
          </w:p>
        </w:tc>
        <w:tc>
          <w:tcPr>
            <w:tcW w:w="835" w:type="dxa"/>
          </w:tcPr>
          <w:p w14:paraId="5CBA3B59" w14:textId="77777777" w:rsidR="004920B2" w:rsidRPr="008A52B4" w:rsidRDefault="004920B2" w:rsidP="00B75344">
            <w:pPr>
              <w:rPr>
                <w:rFonts w:ascii="Times New Roman" w:hAnsi="Times New Roman"/>
                <w:lang w:val="de-DE" w:eastAsia="en-US"/>
              </w:rPr>
            </w:pPr>
          </w:p>
        </w:tc>
        <w:tc>
          <w:tcPr>
            <w:tcW w:w="3410" w:type="dxa"/>
          </w:tcPr>
          <w:p w14:paraId="6F83A649" w14:textId="77777777" w:rsidR="004920B2" w:rsidRPr="008A52B4" w:rsidRDefault="004920B2" w:rsidP="00B75344">
            <w:pPr>
              <w:rPr>
                <w:rFonts w:ascii="Times New Roman" w:hAnsi="Times New Roman"/>
                <w:lang w:val="de-DE" w:eastAsia="en-US"/>
              </w:rPr>
            </w:pPr>
          </w:p>
        </w:tc>
      </w:tr>
      <w:tr w:rsidR="004920B2" w:rsidRPr="008A52B4" w14:paraId="63123E9E" w14:textId="77777777" w:rsidTr="00B75344">
        <w:trPr>
          <w:cantSplit/>
        </w:trPr>
        <w:tc>
          <w:tcPr>
            <w:tcW w:w="1366" w:type="dxa"/>
          </w:tcPr>
          <w:p w14:paraId="1AA54E1C" w14:textId="77777777" w:rsidR="004920B2" w:rsidRPr="008A52B4" w:rsidRDefault="004920B2" w:rsidP="00B75344">
            <w:pPr>
              <w:rPr>
                <w:rFonts w:ascii="Times New Roman" w:hAnsi="Times New Roman"/>
              </w:rPr>
            </w:pPr>
            <w:r w:rsidRPr="008A52B4">
              <w:rPr>
                <w:rFonts w:ascii="Times New Roman" w:hAnsi="Times New Roman"/>
                <w:lang w:eastAsia="en-US"/>
              </w:rPr>
              <w:t>3.2.3.1</w:t>
            </w:r>
          </w:p>
        </w:tc>
        <w:tc>
          <w:tcPr>
            <w:tcW w:w="3890" w:type="dxa"/>
          </w:tcPr>
          <w:p w14:paraId="52B25A98"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Spalte (11)</w:t>
            </w:r>
            <w:r w:rsidRPr="008A52B4">
              <w:rPr>
                <w:rFonts w:ascii="Times New Roman" w:hAnsi="Times New Roman"/>
                <w:lang w:val="de-DE" w:eastAsia="en-US"/>
              </w:rPr>
              <w:tab/>
              <w:t xml:space="preserve">Maximal zulässiger </w:t>
            </w:r>
            <w:r w:rsidRPr="008A52B4">
              <w:rPr>
                <w:rFonts w:ascii="Times New Roman" w:hAnsi="Times New Roman"/>
                <w:highlight w:val="cyan"/>
                <w:lang w:val="de-DE" w:eastAsia="en-US"/>
              </w:rPr>
              <w:t>Füllungsgrad</w:t>
            </w:r>
            <w:r w:rsidRPr="008A52B4">
              <w:rPr>
                <w:rFonts w:ascii="Times New Roman" w:hAnsi="Times New Roman"/>
                <w:lang w:val="de-DE" w:eastAsia="en-US"/>
              </w:rPr>
              <w:t xml:space="preserve"> in %</w:t>
            </w:r>
          </w:p>
          <w:p w14:paraId="1F4A4B91"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Diese Spalte enthält Angaben über den maximal zulässigen </w:t>
            </w:r>
            <w:r w:rsidRPr="008A52B4">
              <w:rPr>
                <w:rFonts w:ascii="Times New Roman" w:hAnsi="Times New Roman"/>
                <w:highlight w:val="cyan"/>
                <w:lang w:val="de-DE" w:eastAsia="en-US"/>
              </w:rPr>
              <w:t>Füllungsgrad</w:t>
            </w:r>
            <w:r w:rsidRPr="008A52B4">
              <w:rPr>
                <w:rFonts w:ascii="Times New Roman" w:hAnsi="Times New Roman"/>
                <w:lang w:val="de-DE" w:eastAsia="en-US"/>
              </w:rPr>
              <w:t xml:space="preserve"> des Ladetanks in %.</w:t>
            </w:r>
          </w:p>
        </w:tc>
        <w:tc>
          <w:tcPr>
            <w:tcW w:w="835" w:type="dxa"/>
          </w:tcPr>
          <w:p w14:paraId="0041C50F"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76317995" w14:textId="77777777" w:rsidR="004920B2" w:rsidRPr="008A52B4" w:rsidRDefault="004920B2" w:rsidP="00B75344">
            <w:pPr>
              <w:rPr>
                <w:rFonts w:ascii="Times New Roman" w:hAnsi="Times New Roman"/>
                <w:lang w:eastAsia="en-US"/>
              </w:rPr>
            </w:pPr>
          </w:p>
        </w:tc>
      </w:tr>
      <w:tr w:rsidR="004920B2" w:rsidRPr="008A52B4" w14:paraId="776C6BEB" w14:textId="77777777" w:rsidTr="00B75344">
        <w:trPr>
          <w:cantSplit/>
        </w:trPr>
        <w:tc>
          <w:tcPr>
            <w:tcW w:w="1366" w:type="dxa"/>
          </w:tcPr>
          <w:p w14:paraId="4DF9146E" w14:textId="77777777" w:rsidR="004920B2" w:rsidRPr="008A52B4" w:rsidRDefault="004920B2" w:rsidP="00B75344">
            <w:pPr>
              <w:rPr>
                <w:rFonts w:ascii="Times New Roman" w:hAnsi="Times New Roman"/>
                <w:lang w:eastAsia="en-US"/>
              </w:rPr>
            </w:pPr>
          </w:p>
        </w:tc>
        <w:tc>
          <w:tcPr>
            <w:tcW w:w="3890" w:type="dxa"/>
          </w:tcPr>
          <w:p w14:paraId="6791A26A"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Spalte (20</w:t>
            </w:r>
            <w:proofErr w:type="gramStart"/>
            <w:r w:rsidRPr="008A52B4">
              <w:rPr>
                <w:rFonts w:ascii="Times New Roman" w:hAnsi="Times New Roman"/>
                <w:lang w:val="de-DE" w:eastAsia="en-US"/>
              </w:rPr>
              <w:t>)  42.</w:t>
            </w:r>
            <w:proofErr w:type="gramEnd"/>
            <w:r w:rsidRPr="008A52B4">
              <w:rPr>
                <w:rFonts w:ascii="Times New Roman" w:hAnsi="Times New Roman"/>
                <w:lang w:val="de-DE" w:eastAsia="en-US"/>
              </w:rPr>
              <w:tab/>
              <w:t xml:space="preserve">Tiefgekühlt verflüssigte Gase sind so zu verladen, dass gewährleistet ist, dass in den Ladetanks, Rohrleitungen und Zubehörteilen keine ungünstigen </w:t>
            </w:r>
            <w:proofErr w:type="spellStart"/>
            <w:r w:rsidRPr="008A52B4">
              <w:rPr>
                <w:rFonts w:ascii="Times New Roman" w:hAnsi="Times New Roman"/>
                <w:lang w:val="de-DE" w:eastAsia="en-US"/>
              </w:rPr>
              <w:t>Tem-peraturgradienten</w:t>
            </w:r>
            <w:proofErr w:type="spellEnd"/>
            <w:r w:rsidRPr="008A52B4">
              <w:rPr>
                <w:rFonts w:ascii="Times New Roman" w:hAnsi="Times New Roman"/>
                <w:lang w:val="de-DE" w:eastAsia="en-US"/>
              </w:rPr>
              <w:t xml:space="preserve"> entstehen. Bei der (in Absatz 7.2.4.16.17 beschriebenen) Berechnung der Haltezeit muss sichergestellt sein, dass der </w:t>
            </w:r>
            <w:r w:rsidRPr="008A52B4">
              <w:rPr>
                <w:rFonts w:ascii="Times New Roman" w:hAnsi="Times New Roman"/>
                <w:highlight w:val="cyan"/>
                <w:lang w:val="de-DE" w:eastAsia="en-US"/>
              </w:rPr>
              <w:t>Füllungsgrad</w:t>
            </w:r>
            <w:r w:rsidRPr="008A52B4">
              <w:rPr>
                <w:rFonts w:ascii="Times New Roman" w:hAnsi="Times New Roman"/>
                <w:lang w:val="de-DE" w:eastAsia="en-US"/>
              </w:rPr>
              <w:t xml:space="preserve"> 98 % nicht überschreitet,</w:t>
            </w:r>
          </w:p>
        </w:tc>
        <w:tc>
          <w:tcPr>
            <w:tcW w:w="835" w:type="dxa"/>
          </w:tcPr>
          <w:p w14:paraId="5910B045"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70473941" w14:textId="77777777" w:rsidR="004920B2" w:rsidRPr="008A52B4" w:rsidRDefault="004920B2" w:rsidP="00B75344">
            <w:pPr>
              <w:rPr>
                <w:rFonts w:ascii="Times New Roman" w:hAnsi="Times New Roman"/>
                <w:lang w:eastAsia="en-US"/>
              </w:rPr>
            </w:pPr>
          </w:p>
        </w:tc>
      </w:tr>
      <w:tr w:rsidR="004920B2" w:rsidRPr="008A52B4" w14:paraId="314ED8AC" w14:textId="77777777" w:rsidTr="00B75344">
        <w:trPr>
          <w:cantSplit/>
        </w:trPr>
        <w:tc>
          <w:tcPr>
            <w:tcW w:w="1366" w:type="dxa"/>
          </w:tcPr>
          <w:p w14:paraId="15751993" w14:textId="77777777" w:rsidR="004920B2" w:rsidRPr="008A52B4" w:rsidRDefault="004920B2" w:rsidP="00B75344">
            <w:pPr>
              <w:rPr>
                <w:rFonts w:ascii="Times New Roman" w:hAnsi="Times New Roman"/>
              </w:rPr>
            </w:pPr>
            <w:r w:rsidRPr="008A52B4">
              <w:rPr>
                <w:rFonts w:ascii="Times New Roman" w:hAnsi="Times New Roman"/>
                <w:lang w:eastAsia="en-US"/>
              </w:rPr>
              <w:t>3.2.3.3</w:t>
            </w:r>
          </w:p>
        </w:tc>
        <w:tc>
          <w:tcPr>
            <w:tcW w:w="3890" w:type="dxa"/>
          </w:tcPr>
          <w:p w14:paraId="4862D1FA"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Schema C Spalte (11):</w:t>
            </w:r>
            <w:r w:rsidRPr="008A52B4">
              <w:rPr>
                <w:rFonts w:ascii="Times New Roman" w:hAnsi="Times New Roman"/>
                <w:lang w:val="de-DE" w:eastAsia="en-US"/>
              </w:rPr>
              <w:tab/>
              <w:t xml:space="preserve">Bestimmung des höchsten zulässigen </w:t>
            </w:r>
            <w:r w:rsidRPr="008A52B4">
              <w:rPr>
                <w:rFonts w:ascii="Times New Roman" w:hAnsi="Times New Roman"/>
                <w:highlight w:val="cyan"/>
                <w:lang w:val="de-DE" w:eastAsia="en-US"/>
              </w:rPr>
              <w:t>Füllungsgrads</w:t>
            </w:r>
            <w:r w:rsidRPr="008A52B4">
              <w:rPr>
                <w:rFonts w:ascii="Times New Roman" w:hAnsi="Times New Roman"/>
                <w:lang w:val="de-DE" w:eastAsia="en-US"/>
              </w:rPr>
              <w:t xml:space="preserve"> der Ladetanks</w:t>
            </w:r>
          </w:p>
        </w:tc>
        <w:tc>
          <w:tcPr>
            <w:tcW w:w="835" w:type="dxa"/>
          </w:tcPr>
          <w:p w14:paraId="121E38CB"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2C757679" w14:textId="77777777" w:rsidR="004920B2" w:rsidRPr="008A52B4" w:rsidRDefault="004920B2" w:rsidP="00B75344">
            <w:pPr>
              <w:rPr>
                <w:rFonts w:ascii="Times New Roman" w:hAnsi="Times New Roman"/>
                <w:lang w:eastAsia="en-US"/>
              </w:rPr>
            </w:pPr>
          </w:p>
        </w:tc>
      </w:tr>
      <w:tr w:rsidR="004920B2" w:rsidRPr="008A52B4" w14:paraId="01F77B46" w14:textId="77777777" w:rsidTr="00B75344">
        <w:trPr>
          <w:cantSplit/>
        </w:trPr>
        <w:tc>
          <w:tcPr>
            <w:tcW w:w="1366" w:type="dxa"/>
          </w:tcPr>
          <w:p w14:paraId="38DB1AB9" w14:textId="77777777" w:rsidR="004920B2" w:rsidRPr="008A52B4" w:rsidRDefault="004920B2" w:rsidP="00B75344">
            <w:pPr>
              <w:rPr>
                <w:rFonts w:ascii="Times New Roman" w:hAnsi="Times New Roman"/>
              </w:rPr>
            </w:pPr>
            <w:r w:rsidRPr="008A52B4">
              <w:rPr>
                <w:rFonts w:ascii="Times New Roman" w:hAnsi="Times New Roman"/>
                <w:lang w:eastAsia="en-US"/>
              </w:rPr>
              <w:t>3.2.4.3</w:t>
            </w:r>
          </w:p>
        </w:tc>
        <w:tc>
          <w:tcPr>
            <w:tcW w:w="3890" w:type="dxa"/>
          </w:tcPr>
          <w:p w14:paraId="489CF5B0"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D.</w:t>
            </w:r>
            <w:r w:rsidRPr="008A52B4">
              <w:rPr>
                <w:rFonts w:ascii="Times New Roman" w:hAnsi="Times New Roman"/>
                <w:lang w:val="de-DE" w:eastAsia="en-US"/>
              </w:rPr>
              <w:tab/>
              <w:t xml:space="preserve">Spalte (11): Bestimmung des höchsten </w:t>
            </w:r>
            <w:r w:rsidRPr="008A52B4">
              <w:rPr>
                <w:rFonts w:ascii="Times New Roman" w:hAnsi="Times New Roman"/>
                <w:highlight w:val="cyan"/>
                <w:lang w:val="de-DE" w:eastAsia="en-US"/>
              </w:rPr>
              <w:t>Füllungsgrads</w:t>
            </w:r>
            <w:r w:rsidRPr="008A52B4">
              <w:rPr>
                <w:rFonts w:ascii="Times New Roman" w:hAnsi="Times New Roman"/>
                <w:lang w:val="de-DE" w:eastAsia="en-US"/>
              </w:rPr>
              <w:t xml:space="preserve"> der Ladetanks</w:t>
            </w:r>
          </w:p>
        </w:tc>
        <w:tc>
          <w:tcPr>
            <w:tcW w:w="835" w:type="dxa"/>
          </w:tcPr>
          <w:p w14:paraId="488A298B"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776893B5" w14:textId="77777777" w:rsidR="004920B2" w:rsidRPr="008A52B4" w:rsidRDefault="004920B2" w:rsidP="00B75344">
            <w:pPr>
              <w:rPr>
                <w:rFonts w:ascii="Times New Roman" w:hAnsi="Times New Roman"/>
                <w:lang w:eastAsia="en-US"/>
              </w:rPr>
            </w:pPr>
          </w:p>
        </w:tc>
      </w:tr>
      <w:tr w:rsidR="004920B2" w:rsidRPr="00F8008A" w14:paraId="0CE6E039" w14:textId="77777777" w:rsidTr="00B75344">
        <w:trPr>
          <w:cantSplit/>
        </w:trPr>
        <w:tc>
          <w:tcPr>
            <w:tcW w:w="1366" w:type="dxa"/>
          </w:tcPr>
          <w:p w14:paraId="0E40CAEE" w14:textId="77777777" w:rsidR="004920B2" w:rsidRPr="008A52B4" w:rsidRDefault="004920B2" w:rsidP="00B75344">
            <w:pPr>
              <w:rPr>
                <w:rFonts w:ascii="Times New Roman" w:hAnsi="Times New Roman"/>
              </w:rPr>
            </w:pPr>
            <w:r w:rsidRPr="008A52B4">
              <w:rPr>
                <w:rFonts w:ascii="Times New Roman" w:hAnsi="Times New Roman"/>
                <w:lang w:eastAsia="en-US"/>
              </w:rPr>
              <w:lastRenderedPageBreak/>
              <w:t>SV 392</w:t>
            </w:r>
          </w:p>
        </w:tc>
        <w:tc>
          <w:tcPr>
            <w:tcW w:w="3890" w:type="dxa"/>
          </w:tcPr>
          <w:p w14:paraId="66B5BD2A"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f)</w:t>
            </w:r>
            <w:r w:rsidRPr="008A52B4">
              <w:rPr>
                <w:rFonts w:ascii="Times New Roman" w:hAnsi="Times New Roman"/>
                <w:lang w:val="de-DE" w:eastAsia="en-US"/>
              </w:rPr>
              <w:tab/>
              <w:t xml:space="preserve">Die Gasspeichersysteme, ausgenommen solche, die zur Entsorgung, zum Recycling, zur Reparatur, zur Prüfung oder zur Wartung ausgebaut wurden, sind nicht zu mehr als 20 % ihres nominalen </w:t>
            </w:r>
            <w:r w:rsidRPr="0019219E">
              <w:rPr>
                <w:rFonts w:ascii="Times New Roman" w:hAnsi="Times New Roman"/>
                <w:highlight w:val="yellow"/>
                <w:lang w:val="de-DE"/>
              </w:rPr>
              <w:t>Füllungsgrades</w:t>
            </w:r>
            <w:r w:rsidRPr="008A52B4">
              <w:rPr>
                <w:rFonts w:ascii="Times New Roman" w:hAnsi="Times New Roman"/>
                <w:lang w:val="de-DE" w:eastAsia="en-US"/>
              </w:rPr>
              <w:t xml:space="preserve"> bzw. ihres nominalen Betriebsdrucks befüllt.</w:t>
            </w:r>
          </w:p>
        </w:tc>
        <w:tc>
          <w:tcPr>
            <w:tcW w:w="835" w:type="dxa"/>
          </w:tcPr>
          <w:p w14:paraId="6526E7A5" w14:textId="77777777" w:rsidR="004920B2" w:rsidRPr="008A52B4" w:rsidRDefault="004920B2" w:rsidP="00B75344">
            <w:pPr>
              <w:rPr>
                <w:rFonts w:ascii="Times New Roman" w:hAnsi="Times New Roman"/>
              </w:rPr>
            </w:pPr>
            <w:r w:rsidRPr="008A52B4">
              <w:rPr>
                <w:rFonts w:ascii="Times New Roman" w:hAnsi="Times New Roman"/>
                <w:lang w:eastAsia="en-US"/>
              </w:rPr>
              <w:t>RID/ ADR/ ADN</w:t>
            </w:r>
          </w:p>
        </w:tc>
        <w:tc>
          <w:tcPr>
            <w:tcW w:w="3410" w:type="dxa"/>
          </w:tcPr>
          <w:p w14:paraId="20919AA8" w14:textId="77777777" w:rsidR="004920B2" w:rsidRPr="0019219E" w:rsidRDefault="004920B2" w:rsidP="00B75344">
            <w:pPr>
              <w:rPr>
                <w:rFonts w:ascii="Times New Roman" w:hAnsi="Times New Roman"/>
                <w:lang w:val="de-DE"/>
              </w:rPr>
            </w:pPr>
            <w:r w:rsidRPr="008A52B4">
              <w:rPr>
                <w:lang w:val="de-DE" w:eastAsia="en-US"/>
              </w:rPr>
              <w:t>"Füllungsgrades" wird in "Füllfaktor</w:t>
            </w:r>
            <w:r w:rsidRPr="008A52B4">
              <w:rPr>
                <w:rFonts w:ascii="Times New Roman" w:hAnsi="Times New Roman"/>
                <w:lang w:val="de-DE" w:eastAsia="en-US"/>
              </w:rPr>
              <w:t>s</w:t>
            </w:r>
            <w:r w:rsidRPr="008A52B4">
              <w:rPr>
                <w:lang w:val="de-DE" w:eastAsia="en-US"/>
              </w:rPr>
              <w:t>" geändert.</w:t>
            </w:r>
          </w:p>
        </w:tc>
      </w:tr>
      <w:tr w:rsidR="004920B2" w:rsidRPr="00F8008A" w14:paraId="291A233D" w14:textId="77777777" w:rsidTr="00B75344">
        <w:trPr>
          <w:cantSplit/>
        </w:trPr>
        <w:tc>
          <w:tcPr>
            <w:tcW w:w="1366" w:type="dxa"/>
          </w:tcPr>
          <w:p w14:paraId="10349F3C" w14:textId="77777777" w:rsidR="004920B2" w:rsidRPr="008A52B4" w:rsidRDefault="004920B2" w:rsidP="00B75344">
            <w:pPr>
              <w:rPr>
                <w:rFonts w:ascii="Times New Roman" w:hAnsi="Times New Roman"/>
                <w:lang w:val="de-DE" w:eastAsia="en-US"/>
              </w:rPr>
            </w:pPr>
          </w:p>
        </w:tc>
        <w:tc>
          <w:tcPr>
            <w:tcW w:w="3890" w:type="dxa"/>
          </w:tcPr>
          <w:p w14:paraId="4DCD80EF" w14:textId="77777777" w:rsidR="004920B2" w:rsidRPr="008A52B4" w:rsidRDefault="004920B2" w:rsidP="00B75344">
            <w:pPr>
              <w:rPr>
                <w:rFonts w:ascii="Times New Roman" w:hAnsi="Times New Roman"/>
                <w:lang w:val="de-DE" w:eastAsia="en-US"/>
              </w:rPr>
            </w:pPr>
          </w:p>
        </w:tc>
        <w:tc>
          <w:tcPr>
            <w:tcW w:w="835" w:type="dxa"/>
          </w:tcPr>
          <w:p w14:paraId="5FD83D3E" w14:textId="77777777" w:rsidR="004920B2" w:rsidRPr="008A52B4" w:rsidRDefault="004920B2" w:rsidP="00B75344">
            <w:pPr>
              <w:rPr>
                <w:rFonts w:ascii="Times New Roman" w:hAnsi="Times New Roman"/>
                <w:lang w:val="de-DE" w:eastAsia="en-US"/>
              </w:rPr>
            </w:pPr>
          </w:p>
        </w:tc>
        <w:tc>
          <w:tcPr>
            <w:tcW w:w="3410" w:type="dxa"/>
          </w:tcPr>
          <w:p w14:paraId="05B26D5C" w14:textId="77777777" w:rsidR="004920B2" w:rsidRPr="008A52B4" w:rsidRDefault="004920B2" w:rsidP="00B75344">
            <w:pPr>
              <w:rPr>
                <w:rFonts w:ascii="Times New Roman" w:hAnsi="Times New Roman"/>
                <w:lang w:val="de-DE" w:eastAsia="en-US"/>
              </w:rPr>
            </w:pPr>
          </w:p>
        </w:tc>
      </w:tr>
      <w:tr w:rsidR="004920B2" w:rsidRPr="008A52B4" w14:paraId="204C122C" w14:textId="77777777" w:rsidTr="00B75344">
        <w:trPr>
          <w:cantSplit/>
        </w:trPr>
        <w:tc>
          <w:tcPr>
            <w:tcW w:w="1366" w:type="dxa"/>
          </w:tcPr>
          <w:p w14:paraId="6AC69334" w14:textId="77777777" w:rsidR="004920B2" w:rsidRPr="008A52B4" w:rsidRDefault="004920B2" w:rsidP="00B75344">
            <w:pPr>
              <w:rPr>
                <w:rFonts w:ascii="Times New Roman" w:hAnsi="Times New Roman"/>
              </w:rPr>
            </w:pPr>
            <w:r w:rsidRPr="008A52B4">
              <w:rPr>
                <w:rFonts w:ascii="Times New Roman" w:hAnsi="Times New Roman"/>
                <w:lang w:eastAsia="en-US"/>
              </w:rPr>
              <w:t>5.4.1.1.3.2</w:t>
            </w:r>
          </w:p>
        </w:tc>
        <w:tc>
          <w:tcPr>
            <w:tcW w:w="3890" w:type="dxa"/>
          </w:tcPr>
          <w:p w14:paraId="5F0A2CFF"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b)</w:t>
            </w:r>
            <w:r w:rsidRPr="008A52B4">
              <w:rPr>
                <w:rFonts w:ascii="Times New Roman" w:hAnsi="Times New Roman"/>
                <w:lang w:val="de-DE" w:eastAsia="en-US"/>
              </w:rPr>
              <w:tab/>
              <w:t xml:space="preserve">für Container erfolgt die Schätzung auf der Grundlage ihres Nennvolumens und anderer verfügbarer Informationen (z. B. Art des Abfalls, durchschnittliche Dichte, </w:t>
            </w:r>
            <w:r w:rsidRPr="0019219E">
              <w:rPr>
                <w:rFonts w:ascii="Times New Roman" w:hAnsi="Times New Roman"/>
                <w:highlight w:val="yellow"/>
                <w:lang w:val="de-DE"/>
              </w:rPr>
              <w:t>Füllungsgrad</w:t>
            </w:r>
            <w:r w:rsidRPr="008A52B4">
              <w:rPr>
                <w:rFonts w:ascii="Times New Roman" w:hAnsi="Times New Roman"/>
                <w:lang w:val="de-DE" w:eastAsia="en-US"/>
              </w:rPr>
              <w:t>);</w:t>
            </w:r>
          </w:p>
        </w:tc>
        <w:tc>
          <w:tcPr>
            <w:tcW w:w="835" w:type="dxa"/>
          </w:tcPr>
          <w:p w14:paraId="246D1D43" w14:textId="77777777" w:rsidR="004920B2" w:rsidRPr="008A52B4" w:rsidRDefault="004920B2" w:rsidP="00B75344">
            <w:pPr>
              <w:rPr>
                <w:rFonts w:ascii="Times New Roman" w:hAnsi="Times New Roman"/>
              </w:rPr>
            </w:pPr>
            <w:r w:rsidRPr="008A52B4">
              <w:rPr>
                <w:rFonts w:ascii="Times New Roman" w:hAnsi="Times New Roman"/>
                <w:lang w:eastAsia="en-US"/>
              </w:rPr>
              <w:t>RID/ ADR/ ADN</w:t>
            </w:r>
          </w:p>
        </w:tc>
        <w:tc>
          <w:tcPr>
            <w:tcW w:w="3410" w:type="dxa"/>
          </w:tcPr>
          <w:p w14:paraId="09085907" w14:textId="77777777" w:rsidR="004920B2" w:rsidRPr="008A52B4" w:rsidRDefault="004920B2" w:rsidP="00B75344">
            <w:pPr>
              <w:rPr>
                <w:rFonts w:ascii="Times New Roman" w:hAnsi="Times New Roman"/>
              </w:rPr>
            </w:pPr>
            <w:proofErr w:type="spellStart"/>
            <w:r w:rsidRPr="008A52B4">
              <w:rPr>
                <w:rFonts w:ascii="Times New Roman" w:hAnsi="Times New Roman"/>
                <w:lang w:eastAsia="en-US"/>
              </w:rPr>
              <w:t>Keine</w:t>
            </w:r>
            <w:proofErr w:type="spellEnd"/>
            <w:r w:rsidRPr="008A52B4">
              <w:rPr>
                <w:rFonts w:ascii="Times New Roman" w:hAnsi="Times New Roman"/>
                <w:lang w:eastAsia="en-US"/>
              </w:rPr>
              <w:t xml:space="preserve"> </w:t>
            </w:r>
            <w:proofErr w:type="spellStart"/>
            <w:r w:rsidRPr="008A52B4">
              <w:rPr>
                <w:rFonts w:ascii="Times New Roman" w:hAnsi="Times New Roman"/>
                <w:lang w:eastAsia="en-US"/>
              </w:rPr>
              <w:t>Änderung</w:t>
            </w:r>
            <w:proofErr w:type="spellEnd"/>
            <w:r w:rsidRPr="008A52B4">
              <w:rPr>
                <w:rFonts w:ascii="Times New Roman" w:hAnsi="Times New Roman"/>
                <w:lang w:eastAsia="en-US"/>
              </w:rPr>
              <w:t xml:space="preserve"> </w:t>
            </w:r>
            <w:proofErr w:type="spellStart"/>
            <w:r w:rsidRPr="008A52B4">
              <w:rPr>
                <w:rFonts w:ascii="Times New Roman" w:hAnsi="Times New Roman"/>
                <w:lang w:eastAsia="en-US"/>
              </w:rPr>
              <w:t>erforderlich</w:t>
            </w:r>
            <w:proofErr w:type="spellEnd"/>
            <w:r w:rsidRPr="008A52B4">
              <w:rPr>
                <w:rFonts w:ascii="Times New Roman" w:hAnsi="Times New Roman"/>
                <w:lang w:eastAsia="en-US"/>
              </w:rPr>
              <w:t>.</w:t>
            </w:r>
          </w:p>
        </w:tc>
      </w:tr>
      <w:tr w:rsidR="004920B2" w:rsidRPr="008A52B4" w14:paraId="72732843" w14:textId="77777777" w:rsidTr="00B75344">
        <w:trPr>
          <w:cantSplit/>
        </w:trPr>
        <w:tc>
          <w:tcPr>
            <w:tcW w:w="1366" w:type="dxa"/>
          </w:tcPr>
          <w:p w14:paraId="2161F768" w14:textId="77777777" w:rsidR="004920B2" w:rsidRPr="008A52B4" w:rsidRDefault="004920B2" w:rsidP="00B75344">
            <w:pPr>
              <w:rPr>
                <w:rFonts w:ascii="Times New Roman" w:hAnsi="Times New Roman"/>
                <w:lang w:eastAsia="en-US"/>
              </w:rPr>
            </w:pPr>
          </w:p>
        </w:tc>
        <w:tc>
          <w:tcPr>
            <w:tcW w:w="3890" w:type="dxa"/>
          </w:tcPr>
          <w:p w14:paraId="465D06F4" w14:textId="77777777" w:rsidR="004920B2" w:rsidRPr="008A52B4" w:rsidRDefault="004920B2" w:rsidP="00B75344">
            <w:pPr>
              <w:rPr>
                <w:rFonts w:ascii="Times New Roman" w:hAnsi="Times New Roman"/>
                <w:lang w:eastAsia="en-US"/>
              </w:rPr>
            </w:pPr>
          </w:p>
        </w:tc>
        <w:tc>
          <w:tcPr>
            <w:tcW w:w="835" w:type="dxa"/>
          </w:tcPr>
          <w:p w14:paraId="79E0A4FD" w14:textId="77777777" w:rsidR="004920B2" w:rsidRPr="008A52B4" w:rsidRDefault="004920B2" w:rsidP="00B75344">
            <w:pPr>
              <w:rPr>
                <w:rFonts w:ascii="Times New Roman" w:hAnsi="Times New Roman"/>
                <w:lang w:eastAsia="en-US"/>
              </w:rPr>
            </w:pPr>
          </w:p>
        </w:tc>
        <w:tc>
          <w:tcPr>
            <w:tcW w:w="3410" w:type="dxa"/>
          </w:tcPr>
          <w:p w14:paraId="3A2682C2" w14:textId="77777777" w:rsidR="004920B2" w:rsidRPr="008A52B4" w:rsidRDefault="004920B2" w:rsidP="00B75344">
            <w:pPr>
              <w:rPr>
                <w:rFonts w:ascii="Times New Roman" w:hAnsi="Times New Roman"/>
                <w:lang w:eastAsia="en-US"/>
              </w:rPr>
            </w:pPr>
          </w:p>
        </w:tc>
      </w:tr>
      <w:tr w:rsidR="004920B2" w:rsidRPr="008A52B4" w14:paraId="588AB58F" w14:textId="77777777" w:rsidTr="00B75344">
        <w:trPr>
          <w:cantSplit/>
        </w:trPr>
        <w:tc>
          <w:tcPr>
            <w:tcW w:w="1366" w:type="dxa"/>
          </w:tcPr>
          <w:p w14:paraId="46DC7FBC" w14:textId="77777777" w:rsidR="004920B2" w:rsidRPr="008A52B4" w:rsidRDefault="004920B2" w:rsidP="00B75344">
            <w:pPr>
              <w:rPr>
                <w:rFonts w:ascii="Times New Roman" w:hAnsi="Times New Roman"/>
              </w:rPr>
            </w:pPr>
            <w:r w:rsidRPr="008A52B4">
              <w:rPr>
                <w:rFonts w:ascii="Times New Roman" w:hAnsi="Times New Roman"/>
                <w:lang w:eastAsia="en-US"/>
              </w:rPr>
              <w:t>7.2.4.16.17</w:t>
            </w:r>
          </w:p>
        </w:tc>
        <w:tc>
          <w:tcPr>
            <w:tcW w:w="3890" w:type="dxa"/>
          </w:tcPr>
          <w:p w14:paraId="141D30A2"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Ursprüngliche Füllbedingungen (Temperatur der Ladung während des Ladens und </w:t>
            </w:r>
            <w:r w:rsidRPr="008A52B4">
              <w:rPr>
                <w:rFonts w:ascii="Times New Roman" w:hAnsi="Times New Roman"/>
                <w:highlight w:val="cyan"/>
                <w:lang w:val="de-DE" w:eastAsia="en-US"/>
              </w:rPr>
              <w:t>Füllungsgrad</w:t>
            </w:r>
            <w:r w:rsidRPr="008A52B4">
              <w:rPr>
                <w:rFonts w:ascii="Times New Roman" w:hAnsi="Times New Roman"/>
                <w:lang w:val="de-DE" w:eastAsia="en-US"/>
              </w:rPr>
              <w:t>);</w:t>
            </w:r>
          </w:p>
        </w:tc>
        <w:tc>
          <w:tcPr>
            <w:tcW w:w="835" w:type="dxa"/>
          </w:tcPr>
          <w:p w14:paraId="3EDF6874"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1BB70D6C" w14:textId="77777777" w:rsidR="004920B2" w:rsidRPr="008A52B4" w:rsidRDefault="004920B2" w:rsidP="00B75344">
            <w:pPr>
              <w:rPr>
                <w:rFonts w:ascii="Times New Roman" w:hAnsi="Times New Roman"/>
                <w:lang w:eastAsia="en-US"/>
              </w:rPr>
            </w:pPr>
          </w:p>
        </w:tc>
      </w:tr>
      <w:tr w:rsidR="004920B2" w:rsidRPr="008A52B4" w14:paraId="3D8BEF38" w14:textId="77777777" w:rsidTr="00B75344">
        <w:trPr>
          <w:cantSplit/>
        </w:trPr>
        <w:tc>
          <w:tcPr>
            <w:tcW w:w="1366" w:type="dxa"/>
          </w:tcPr>
          <w:p w14:paraId="5C641A2C" w14:textId="77777777" w:rsidR="004920B2" w:rsidRPr="008A52B4" w:rsidRDefault="004920B2" w:rsidP="00B75344">
            <w:pPr>
              <w:rPr>
                <w:rFonts w:ascii="Times New Roman" w:hAnsi="Times New Roman"/>
              </w:rPr>
            </w:pPr>
            <w:r w:rsidRPr="008A52B4">
              <w:rPr>
                <w:rFonts w:ascii="Times New Roman" w:hAnsi="Times New Roman"/>
                <w:lang w:eastAsia="en-US"/>
              </w:rPr>
              <w:t>7.2.4.21.1</w:t>
            </w:r>
          </w:p>
        </w:tc>
        <w:tc>
          <w:tcPr>
            <w:tcW w:w="3890" w:type="dxa"/>
          </w:tcPr>
          <w:p w14:paraId="074CE10E"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Der in Kapitel 3.2 Tabelle C Spalte (11) aufgeführte oder nach 7.2.4.21.3 umgerechnete </w:t>
            </w:r>
            <w:r w:rsidRPr="008A52B4">
              <w:rPr>
                <w:rFonts w:ascii="Times New Roman" w:hAnsi="Times New Roman"/>
                <w:highlight w:val="cyan"/>
                <w:lang w:val="de-DE" w:eastAsia="en-US"/>
              </w:rPr>
              <w:t>Füllungsgrad</w:t>
            </w:r>
            <w:r w:rsidRPr="008A52B4">
              <w:rPr>
                <w:rFonts w:ascii="Times New Roman" w:hAnsi="Times New Roman"/>
                <w:lang w:val="de-DE" w:eastAsia="en-US"/>
              </w:rPr>
              <w:t xml:space="preserve"> für den einzelnen </w:t>
            </w:r>
            <w:proofErr w:type="spellStart"/>
            <w:r w:rsidRPr="008A52B4">
              <w:rPr>
                <w:rFonts w:ascii="Times New Roman" w:hAnsi="Times New Roman"/>
                <w:lang w:val="de-DE" w:eastAsia="en-US"/>
              </w:rPr>
              <w:t>Ladetank</w:t>
            </w:r>
            <w:proofErr w:type="spellEnd"/>
            <w:r w:rsidRPr="008A52B4">
              <w:rPr>
                <w:rFonts w:ascii="Times New Roman" w:hAnsi="Times New Roman"/>
                <w:lang w:val="de-DE" w:eastAsia="en-US"/>
              </w:rPr>
              <w:t xml:space="preserve"> darf nicht überschritten werden.</w:t>
            </w:r>
          </w:p>
        </w:tc>
        <w:tc>
          <w:tcPr>
            <w:tcW w:w="835" w:type="dxa"/>
          </w:tcPr>
          <w:p w14:paraId="2B628C1C"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7EA5E695" w14:textId="77777777" w:rsidR="004920B2" w:rsidRPr="008A52B4" w:rsidRDefault="004920B2" w:rsidP="00B75344">
            <w:pPr>
              <w:rPr>
                <w:rFonts w:ascii="Times New Roman" w:hAnsi="Times New Roman"/>
                <w:lang w:eastAsia="en-US"/>
              </w:rPr>
            </w:pPr>
          </w:p>
        </w:tc>
      </w:tr>
      <w:tr w:rsidR="004920B2" w:rsidRPr="008A52B4" w14:paraId="282EB4FA" w14:textId="77777777" w:rsidTr="00B75344">
        <w:trPr>
          <w:cantSplit/>
        </w:trPr>
        <w:tc>
          <w:tcPr>
            <w:tcW w:w="1366" w:type="dxa"/>
          </w:tcPr>
          <w:p w14:paraId="3C651262" w14:textId="77777777" w:rsidR="004920B2" w:rsidRPr="008A52B4" w:rsidRDefault="004920B2" w:rsidP="00B75344">
            <w:pPr>
              <w:rPr>
                <w:rFonts w:ascii="Times New Roman" w:hAnsi="Times New Roman"/>
              </w:rPr>
            </w:pPr>
            <w:r w:rsidRPr="008A52B4">
              <w:rPr>
                <w:rFonts w:ascii="Times New Roman" w:hAnsi="Times New Roman"/>
                <w:lang w:eastAsia="en-US"/>
              </w:rPr>
              <w:t>7.2.4.21.2</w:t>
            </w:r>
          </w:p>
        </w:tc>
        <w:tc>
          <w:tcPr>
            <w:tcW w:w="3890" w:type="dxa"/>
          </w:tcPr>
          <w:p w14:paraId="0C7F07AE"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Die Vorschriften des Absatzes 7.2.4.21.1 gelten nicht für Ladetanks, deren Inhalt während der Beförderung durch eine Heizeinrichtung auf der Einfülltemperatur gehalten wird. In diesem Fall muss der </w:t>
            </w:r>
            <w:r w:rsidRPr="008A52B4">
              <w:rPr>
                <w:rFonts w:ascii="Times New Roman" w:hAnsi="Times New Roman"/>
                <w:highlight w:val="cyan"/>
                <w:lang w:val="de-DE" w:eastAsia="en-US"/>
              </w:rPr>
              <w:t>Füllungsgrad</w:t>
            </w:r>
            <w:r w:rsidRPr="008A52B4">
              <w:rPr>
                <w:rFonts w:ascii="Times New Roman" w:hAnsi="Times New Roman"/>
                <w:lang w:val="de-DE" w:eastAsia="en-US"/>
              </w:rPr>
              <w:t xml:space="preserve"> bei Transportbeginn so bemessen sein und die Temperatur so geregelt werden, dass der höchstzulässige </w:t>
            </w:r>
            <w:r w:rsidRPr="008A52B4">
              <w:rPr>
                <w:rFonts w:ascii="Times New Roman" w:hAnsi="Times New Roman"/>
                <w:highlight w:val="cyan"/>
                <w:lang w:val="de-DE" w:eastAsia="en-US"/>
              </w:rPr>
              <w:t>Füllungsgrad</w:t>
            </w:r>
            <w:r w:rsidRPr="008A52B4">
              <w:rPr>
                <w:rFonts w:ascii="Times New Roman" w:hAnsi="Times New Roman"/>
                <w:lang w:val="de-DE" w:eastAsia="en-US"/>
              </w:rPr>
              <w:t xml:space="preserve"> nicht überschritten wird.</w:t>
            </w:r>
          </w:p>
        </w:tc>
        <w:tc>
          <w:tcPr>
            <w:tcW w:w="835" w:type="dxa"/>
          </w:tcPr>
          <w:p w14:paraId="00565C08"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0C154CC4" w14:textId="77777777" w:rsidR="004920B2" w:rsidRPr="008A52B4" w:rsidRDefault="004920B2" w:rsidP="00B75344">
            <w:pPr>
              <w:rPr>
                <w:rFonts w:ascii="Times New Roman" w:hAnsi="Times New Roman"/>
                <w:lang w:eastAsia="en-US"/>
              </w:rPr>
            </w:pPr>
          </w:p>
        </w:tc>
      </w:tr>
      <w:tr w:rsidR="004920B2" w:rsidRPr="008A52B4" w14:paraId="277CAEE2" w14:textId="77777777" w:rsidTr="00B75344">
        <w:trPr>
          <w:cantSplit/>
        </w:trPr>
        <w:tc>
          <w:tcPr>
            <w:tcW w:w="1366" w:type="dxa"/>
          </w:tcPr>
          <w:p w14:paraId="22E19E66" w14:textId="77777777" w:rsidR="004920B2" w:rsidRPr="008A52B4" w:rsidRDefault="004920B2" w:rsidP="00B75344">
            <w:pPr>
              <w:rPr>
                <w:rFonts w:ascii="Times New Roman" w:hAnsi="Times New Roman"/>
              </w:rPr>
            </w:pPr>
            <w:r w:rsidRPr="008A52B4">
              <w:rPr>
                <w:rFonts w:ascii="Times New Roman" w:hAnsi="Times New Roman"/>
                <w:lang w:eastAsia="en-US"/>
              </w:rPr>
              <w:t>7.2.4.21.3</w:t>
            </w:r>
          </w:p>
        </w:tc>
        <w:tc>
          <w:tcPr>
            <w:tcW w:w="3890" w:type="dxa"/>
          </w:tcPr>
          <w:p w14:paraId="44867380" w14:textId="77777777" w:rsidR="004920B2" w:rsidRPr="00084679" w:rsidRDefault="004920B2" w:rsidP="00B75344">
            <w:pPr>
              <w:rPr>
                <w:rFonts w:ascii="Times New Roman" w:hAnsi="Times New Roman"/>
                <w:lang w:val="de-DE"/>
              </w:rPr>
            </w:pPr>
            <w:r w:rsidRPr="008A52B4">
              <w:rPr>
                <w:rFonts w:ascii="Times New Roman" w:hAnsi="Times New Roman"/>
                <w:lang w:val="de-DE" w:eastAsia="en-US"/>
              </w:rPr>
              <w:t xml:space="preserve">Bei der Beförderung von Stoffen mit einer höheren als der im Zulassungszeugnis berücksichtigten relativen Dichte </w:t>
            </w:r>
            <w:proofErr w:type="gramStart"/>
            <w:r w:rsidRPr="008A52B4">
              <w:rPr>
                <w:rFonts w:ascii="Times New Roman" w:hAnsi="Times New Roman"/>
                <w:lang w:val="de-DE" w:eastAsia="en-US"/>
              </w:rPr>
              <w:t>wird</w:t>
            </w:r>
            <w:proofErr w:type="gramEnd"/>
            <w:r w:rsidRPr="008A52B4">
              <w:rPr>
                <w:rFonts w:ascii="Times New Roman" w:hAnsi="Times New Roman"/>
                <w:lang w:val="de-DE" w:eastAsia="en-US"/>
              </w:rPr>
              <w:t xml:space="preserve"> der maximal zulässige </w:t>
            </w:r>
            <w:r w:rsidRPr="008A52B4">
              <w:rPr>
                <w:rFonts w:ascii="Times New Roman" w:hAnsi="Times New Roman"/>
                <w:highlight w:val="cyan"/>
                <w:lang w:val="de-DE" w:eastAsia="en-US"/>
              </w:rPr>
              <w:t>Füllungsgrad</w:t>
            </w:r>
            <w:r w:rsidRPr="008A52B4">
              <w:rPr>
                <w:rFonts w:ascii="Times New Roman" w:hAnsi="Times New Roman"/>
                <w:lang w:val="de-DE" w:eastAsia="en-US"/>
              </w:rPr>
              <w:t xml:space="preserve"> der Ladetanks mit nachstehender Formel bestimmt:</w:t>
            </w:r>
          </w:p>
          <w:p w14:paraId="7509DFC8"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maximal zulässiger </w:t>
            </w:r>
            <w:r w:rsidRPr="008A52B4">
              <w:rPr>
                <w:rFonts w:ascii="Times New Roman" w:hAnsi="Times New Roman"/>
                <w:highlight w:val="cyan"/>
                <w:lang w:val="de-DE" w:eastAsia="en-US"/>
              </w:rPr>
              <w:t>Füllungsgrad</w:t>
            </w:r>
            <w:r w:rsidRPr="008A52B4">
              <w:rPr>
                <w:rFonts w:ascii="Times New Roman" w:hAnsi="Times New Roman"/>
                <w:lang w:val="de-DE" w:eastAsia="en-US"/>
              </w:rPr>
              <w:t xml:space="preserve"> (%) =</w:t>
            </w:r>
            <w:r w:rsidRPr="008A52B4">
              <w:rPr>
                <w:rFonts w:ascii="Times New Roman" w:hAnsi="Times New Roman"/>
                <w:lang w:val="de-DE" w:eastAsia="en-US"/>
              </w:rPr>
              <w:tab/>
              <w:t xml:space="preserve"> a * 100/b</w:t>
            </w:r>
          </w:p>
          <w:p w14:paraId="16DB01EE"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a = relative Dichte laut Zulassungszeugnis;</w:t>
            </w:r>
          </w:p>
          <w:p w14:paraId="6AE5CE1E"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b = relative Dichte des Stoffes.</w:t>
            </w:r>
          </w:p>
          <w:p w14:paraId="0D2139C1"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Der in Kapitel 3.2 Tabelle C Spalte (11) genannte </w:t>
            </w:r>
            <w:r w:rsidRPr="008A52B4">
              <w:rPr>
                <w:rFonts w:ascii="Times New Roman" w:hAnsi="Times New Roman"/>
                <w:highlight w:val="cyan"/>
                <w:lang w:val="de-DE" w:eastAsia="en-US"/>
              </w:rPr>
              <w:t>Füllungsgrad</w:t>
            </w:r>
            <w:r w:rsidRPr="008A52B4">
              <w:rPr>
                <w:rFonts w:ascii="Times New Roman" w:hAnsi="Times New Roman"/>
                <w:lang w:val="de-DE" w:eastAsia="en-US"/>
              </w:rPr>
              <w:t xml:space="preserve"> darf jedoch nicht überschritten werden.</w:t>
            </w:r>
          </w:p>
        </w:tc>
        <w:tc>
          <w:tcPr>
            <w:tcW w:w="835" w:type="dxa"/>
          </w:tcPr>
          <w:p w14:paraId="4EB16778"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06DB55F1" w14:textId="77777777" w:rsidR="004920B2" w:rsidRPr="008A52B4" w:rsidRDefault="004920B2" w:rsidP="00B75344">
            <w:pPr>
              <w:rPr>
                <w:rFonts w:ascii="Times New Roman" w:hAnsi="Times New Roman"/>
                <w:lang w:eastAsia="en-US"/>
              </w:rPr>
            </w:pPr>
          </w:p>
        </w:tc>
      </w:tr>
      <w:tr w:rsidR="004920B2" w:rsidRPr="008A52B4" w14:paraId="53CB594E" w14:textId="77777777" w:rsidTr="00B75344">
        <w:trPr>
          <w:cantSplit/>
        </w:trPr>
        <w:tc>
          <w:tcPr>
            <w:tcW w:w="1366" w:type="dxa"/>
          </w:tcPr>
          <w:p w14:paraId="754DCDA5" w14:textId="77777777" w:rsidR="004920B2" w:rsidRPr="008A52B4" w:rsidRDefault="004920B2" w:rsidP="00B75344">
            <w:pPr>
              <w:rPr>
                <w:rFonts w:ascii="Times New Roman" w:hAnsi="Times New Roman"/>
              </w:rPr>
            </w:pPr>
            <w:r w:rsidRPr="008A52B4">
              <w:rPr>
                <w:rFonts w:ascii="Times New Roman" w:hAnsi="Times New Roman"/>
                <w:lang w:eastAsia="en-US"/>
              </w:rPr>
              <w:t>7.2.4.21.4</w:t>
            </w:r>
          </w:p>
        </w:tc>
        <w:tc>
          <w:tcPr>
            <w:tcW w:w="3890" w:type="dxa"/>
          </w:tcPr>
          <w:p w14:paraId="44D71FF6"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Bei einer Überschreitung des </w:t>
            </w:r>
            <w:r w:rsidRPr="008A52B4">
              <w:rPr>
                <w:rFonts w:ascii="Times New Roman" w:hAnsi="Times New Roman"/>
                <w:highlight w:val="cyan"/>
                <w:lang w:val="de-DE" w:eastAsia="en-US"/>
              </w:rPr>
              <w:t>Füllungsgrades</w:t>
            </w:r>
            <w:r w:rsidRPr="008A52B4">
              <w:rPr>
                <w:rFonts w:ascii="Times New Roman" w:hAnsi="Times New Roman"/>
                <w:lang w:val="de-DE" w:eastAsia="en-US"/>
              </w:rPr>
              <w:t xml:space="preserve"> von 97,5 % darf durch eine technische Einrichtung das Abpumpen der Überfüllung ermöglicht werden. Während dieses Vorganges muss automatisch ein optischer Alarm an Deck ausgelöst werden.</w:t>
            </w:r>
          </w:p>
        </w:tc>
        <w:tc>
          <w:tcPr>
            <w:tcW w:w="835" w:type="dxa"/>
          </w:tcPr>
          <w:p w14:paraId="0BF2054D"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5EC201C9" w14:textId="77777777" w:rsidR="004920B2" w:rsidRPr="008A52B4" w:rsidRDefault="004920B2" w:rsidP="00B75344">
            <w:pPr>
              <w:rPr>
                <w:rFonts w:ascii="Times New Roman" w:hAnsi="Times New Roman"/>
                <w:lang w:eastAsia="en-US"/>
              </w:rPr>
            </w:pPr>
          </w:p>
        </w:tc>
      </w:tr>
      <w:tr w:rsidR="004920B2" w:rsidRPr="008A52B4" w14:paraId="7D90075F" w14:textId="77777777" w:rsidTr="00B75344">
        <w:trPr>
          <w:cantSplit/>
        </w:trPr>
        <w:tc>
          <w:tcPr>
            <w:tcW w:w="1366" w:type="dxa"/>
          </w:tcPr>
          <w:p w14:paraId="3B2DE4A5" w14:textId="77777777" w:rsidR="004920B2" w:rsidRPr="008A52B4" w:rsidRDefault="004920B2" w:rsidP="00B75344">
            <w:pPr>
              <w:rPr>
                <w:rFonts w:ascii="Times New Roman" w:hAnsi="Times New Roman"/>
                <w:lang w:eastAsia="en-US"/>
              </w:rPr>
            </w:pPr>
          </w:p>
        </w:tc>
        <w:tc>
          <w:tcPr>
            <w:tcW w:w="3890" w:type="dxa"/>
          </w:tcPr>
          <w:p w14:paraId="6AA96994" w14:textId="77777777" w:rsidR="004920B2" w:rsidRPr="008A52B4" w:rsidRDefault="004920B2" w:rsidP="00B75344">
            <w:pPr>
              <w:rPr>
                <w:rFonts w:ascii="Times New Roman" w:hAnsi="Times New Roman"/>
                <w:lang w:eastAsia="en-US"/>
              </w:rPr>
            </w:pPr>
          </w:p>
        </w:tc>
        <w:tc>
          <w:tcPr>
            <w:tcW w:w="835" w:type="dxa"/>
          </w:tcPr>
          <w:p w14:paraId="0044323A" w14:textId="77777777" w:rsidR="004920B2" w:rsidRPr="008A52B4" w:rsidRDefault="004920B2" w:rsidP="00B75344">
            <w:pPr>
              <w:rPr>
                <w:rFonts w:ascii="Times New Roman" w:hAnsi="Times New Roman"/>
                <w:lang w:eastAsia="en-US"/>
              </w:rPr>
            </w:pPr>
          </w:p>
        </w:tc>
        <w:tc>
          <w:tcPr>
            <w:tcW w:w="3410" w:type="dxa"/>
          </w:tcPr>
          <w:p w14:paraId="53479E48" w14:textId="77777777" w:rsidR="004920B2" w:rsidRPr="008A52B4" w:rsidRDefault="004920B2" w:rsidP="00B75344">
            <w:pPr>
              <w:rPr>
                <w:rFonts w:ascii="Times New Roman" w:hAnsi="Times New Roman"/>
                <w:lang w:eastAsia="en-US"/>
              </w:rPr>
            </w:pPr>
          </w:p>
        </w:tc>
      </w:tr>
      <w:tr w:rsidR="004920B2" w:rsidRPr="008A52B4" w14:paraId="45286C94" w14:textId="77777777" w:rsidTr="00B75344">
        <w:trPr>
          <w:cantSplit/>
        </w:trPr>
        <w:tc>
          <w:tcPr>
            <w:tcW w:w="1366" w:type="dxa"/>
          </w:tcPr>
          <w:p w14:paraId="1977C039" w14:textId="77777777" w:rsidR="004920B2" w:rsidRPr="008A52B4" w:rsidRDefault="004920B2" w:rsidP="00B75344">
            <w:pPr>
              <w:tabs>
                <w:tab w:val="left" w:pos="580"/>
              </w:tabs>
              <w:rPr>
                <w:rFonts w:ascii="Times New Roman" w:hAnsi="Times New Roman"/>
              </w:rPr>
            </w:pPr>
            <w:r w:rsidRPr="008A52B4">
              <w:rPr>
                <w:rFonts w:ascii="Times New Roman" w:hAnsi="Times New Roman"/>
                <w:lang w:eastAsia="en-US"/>
              </w:rPr>
              <w:lastRenderedPageBreak/>
              <w:t>8.2.2.3.3.1</w:t>
            </w:r>
          </w:p>
        </w:tc>
        <w:tc>
          <w:tcPr>
            <w:tcW w:w="3890" w:type="dxa"/>
          </w:tcPr>
          <w:p w14:paraId="22161629"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Dichte / relative Dichte und Flüssigkeitsvolumen, wie z. B. Dichte / relative Dichte, Volumen bei Temperaturanstieg und maximaler </w:t>
            </w:r>
            <w:r w:rsidRPr="008A52B4">
              <w:rPr>
                <w:rFonts w:ascii="Times New Roman" w:hAnsi="Times New Roman"/>
                <w:highlight w:val="cyan"/>
                <w:lang w:val="de-DE" w:eastAsia="en-US"/>
              </w:rPr>
              <w:t>Füllungsgrad</w:t>
            </w:r>
          </w:p>
          <w:p w14:paraId="445CF95D" w14:textId="77777777" w:rsidR="004920B2" w:rsidRPr="008A52B4" w:rsidRDefault="004920B2" w:rsidP="00B75344">
            <w:pPr>
              <w:rPr>
                <w:rFonts w:ascii="Times New Roman" w:hAnsi="Times New Roman"/>
                <w:lang w:val="de-DE" w:eastAsia="en-US"/>
              </w:rPr>
            </w:pPr>
          </w:p>
          <w:p w14:paraId="3DD72FCA" w14:textId="77777777" w:rsidR="004920B2" w:rsidRPr="008A52B4" w:rsidRDefault="004920B2" w:rsidP="00B75344">
            <w:pPr>
              <w:rPr>
                <w:rFonts w:ascii="Times New Roman" w:hAnsi="Times New Roman"/>
              </w:rPr>
            </w:pPr>
            <w:proofErr w:type="spellStart"/>
            <w:r w:rsidRPr="008A52B4">
              <w:rPr>
                <w:rFonts w:ascii="Times New Roman" w:hAnsi="Times New Roman"/>
                <w:highlight w:val="cyan"/>
                <w:lang w:eastAsia="en-US"/>
              </w:rPr>
              <w:t>Füllungsgrad</w:t>
            </w:r>
            <w:proofErr w:type="spellEnd"/>
            <w:r w:rsidRPr="008A52B4">
              <w:rPr>
                <w:rFonts w:ascii="Times New Roman" w:hAnsi="Times New Roman"/>
                <w:lang w:eastAsia="en-US"/>
              </w:rPr>
              <w:t xml:space="preserve"> und </w:t>
            </w:r>
            <w:proofErr w:type="spellStart"/>
            <w:r w:rsidRPr="008A52B4">
              <w:rPr>
                <w:rFonts w:ascii="Times New Roman" w:hAnsi="Times New Roman"/>
                <w:lang w:eastAsia="en-US"/>
              </w:rPr>
              <w:t>Überfüllung</w:t>
            </w:r>
            <w:proofErr w:type="spellEnd"/>
          </w:p>
        </w:tc>
        <w:tc>
          <w:tcPr>
            <w:tcW w:w="835" w:type="dxa"/>
          </w:tcPr>
          <w:p w14:paraId="03512B68"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5BFAF225" w14:textId="77777777" w:rsidR="004920B2" w:rsidRPr="008A52B4" w:rsidRDefault="004920B2" w:rsidP="00B75344">
            <w:pPr>
              <w:rPr>
                <w:rFonts w:ascii="Times New Roman" w:hAnsi="Times New Roman"/>
                <w:lang w:eastAsia="en-US"/>
              </w:rPr>
            </w:pPr>
          </w:p>
        </w:tc>
      </w:tr>
      <w:tr w:rsidR="004920B2" w:rsidRPr="008A52B4" w14:paraId="618972A9" w14:textId="77777777" w:rsidTr="00B75344">
        <w:trPr>
          <w:cantSplit/>
        </w:trPr>
        <w:tc>
          <w:tcPr>
            <w:tcW w:w="1366" w:type="dxa"/>
          </w:tcPr>
          <w:p w14:paraId="3ADA5344" w14:textId="77777777" w:rsidR="004920B2" w:rsidRPr="008A52B4" w:rsidRDefault="004920B2" w:rsidP="00B75344">
            <w:pPr>
              <w:rPr>
                <w:rFonts w:ascii="Times New Roman" w:hAnsi="Times New Roman"/>
              </w:rPr>
            </w:pPr>
            <w:r w:rsidRPr="008A52B4">
              <w:rPr>
                <w:rFonts w:ascii="Times New Roman" w:hAnsi="Times New Roman"/>
                <w:lang w:eastAsia="en-US"/>
              </w:rPr>
              <w:t>8.2.2.3.3.2</w:t>
            </w:r>
          </w:p>
        </w:tc>
        <w:tc>
          <w:tcPr>
            <w:tcW w:w="3890" w:type="dxa"/>
          </w:tcPr>
          <w:p w14:paraId="64B927F3"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Dichte / relative Dichte, Druck und Flüssigkeitsvolumen, wie z. B. Dichte / relative Dichte, Volumen und Druck bei Temperaturanstieg und maximale </w:t>
            </w:r>
            <w:r w:rsidRPr="008A52B4">
              <w:rPr>
                <w:rFonts w:ascii="Times New Roman" w:hAnsi="Times New Roman"/>
                <w:highlight w:val="cyan"/>
                <w:lang w:val="de-DE" w:eastAsia="en-US"/>
              </w:rPr>
              <w:t>Füllungsgrade</w:t>
            </w:r>
          </w:p>
          <w:p w14:paraId="2E3E83B9" w14:textId="77777777" w:rsidR="004920B2" w:rsidRPr="008A52B4" w:rsidRDefault="004920B2" w:rsidP="00B75344">
            <w:pPr>
              <w:rPr>
                <w:rFonts w:ascii="Times New Roman" w:hAnsi="Times New Roman"/>
                <w:lang w:val="de-DE" w:eastAsia="en-US"/>
              </w:rPr>
            </w:pPr>
          </w:p>
          <w:p w14:paraId="2F502002" w14:textId="77777777" w:rsidR="004920B2" w:rsidRPr="008A52B4" w:rsidRDefault="004920B2" w:rsidP="00B75344">
            <w:pPr>
              <w:rPr>
                <w:rFonts w:ascii="Times New Roman" w:hAnsi="Times New Roman"/>
              </w:rPr>
            </w:pPr>
            <w:proofErr w:type="spellStart"/>
            <w:r w:rsidRPr="008A52B4">
              <w:rPr>
                <w:rFonts w:ascii="Times New Roman" w:hAnsi="Times New Roman"/>
                <w:highlight w:val="cyan"/>
                <w:lang w:eastAsia="en-US"/>
              </w:rPr>
              <w:t>Füllungsgrad</w:t>
            </w:r>
            <w:proofErr w:type="spellEnd"/>
            <w:r w:rsidRPr="008A52B4">
              <w:rPr>
                <w:rFonts w:ascii="Times New Roman" w:hAnsi="Times New Roman"/>
                <w:lang w:eastAsia="en-US"/>
              </w:rPr>
              <w:t xml:space="preserve"> und </w:t>
            </w:r>
            <w:proofErr w:type="spellStart"/>
            <w:r w:rsidRPr="008A52B4">
              <w:rPr>
                <w:rFonts w:ascii="Times New Roman" w:hAnsi="Times New Roman"/>
                <w:lang w:eastAsia="en-US"/>
              </w:rPr>
              <w:t>Überfüllung</w:t>
            </w:r>
            <w:proofErr w:type="spellEnd"/>
          </w:p>
        </w:tc>
        <w:tc>
          <w:tcPr>
            <w:tcW w:w="835" w:type="dxa"/>
          </w:tcPr>
          <w:p w14:paraId="2FE8B15D"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0CE8FEF3" w14:textId="77777777" w:rsidR="004920B2" w:rsidRPr="008A52B4" w:rsidRDefault="004920B2" w:rsidP="00B75344">
            <w:pPr>
              <w:rPr>
                <w:rFonts w:ascii="Times New Roman" w:hAnsi="Times New Roman"/>
                <w:lang w:eastAsia="en-US"/>
              </w:rPr>
            </w:pPr>
          </w:p>
        </w:tc>
      </w:tr>
      <w:tr w:rsidR="004920B2" w:rsidRPr="008A52B4" w14:paraId="247B0D10" w14:textId="77777777" w:rsidTr="00B75344">
        <w:trPr>
          <w:cantSplit/>
        </w:trPr>
        <w:tc>
          <w:tcPr>
            <w:tcW w:w="1366" w:type="dxa"/>
          </w:tcPr>
          <w:p w14:paraId="7100BB0C" w14:textId="77777777" w:rsidR="004920B2" w:rsidRPr="008A52B4" w:rsidRDefault="004920B2" w:rsidP="00B75344">
            <w:pPr>
              <w:rPr>
                <w:rFonts w:ascii="Times New Roman" w:hAnsi="Times New Roman"/>
                <w:lang w:eastAsia="en-US"/>
              </w:rPr>
            </w:pPr>
          </w:p>
        </w:tc>
        <w:tc>
          <w:tcPr>
            <w:tcW w:w="3890" w:type="dxa"/>
          </w:tcPr>
          <w:p w14:paraId="4414ACA7" w14:textId="77777777" w:rsidR="004920B2" w:rsidRPr="008A52B4" w:rsidRDefault="004920B2" w:rsidP="00B75344">
            <w:pPr>
              <w:rPr>
                <w:rFonts w:ascii="Times New Roman" w:hAnsi="Times New Roman"/>
                <w:lang w:eastAsia="en-US"/>
              </w:rPr>
            </w:pPr>
          </w:p>
        </w:tc>
        <w:tc>
          <w:tcPr>
            <w:tcW w:w="835" w:type="dxa"/>
          </w:tcPr>
          <w:p w14:paraId="68304EB8" w14:textId="77777777" w:rsidR="004920B2" w:rsidRPr="008A52B4" w:rsidRDefault="004920B2" w:rsidP="00B75344">
            <w:pPr>
              <w:rPr>
                <w:rFonts w:ascii="Times New Roman" w:hAnsi="Times New Roman"/>
                <w:lang w:eastAsia="en-US"/>
              </w:rPr>
            </w:pPr>
          </w:p>
        </w:tc>
        <w:tc>
          <w:tcPr>
            <w:tcW w:w="3410" w:type="dxa"/>
          </w:tcPr>
          <w:p w14:paraId="2048D0B2" w14:textId="77777777" w:rsidR="004920B2" w:rsidRPr="008A52B4" w:rsidRDefault="004920B2" w:rsidP="00B75344">
            <w:pPr>
              <w:rPr>
                <w:rFonts w:ascii="Times New Roman" w:hAnsi="Times New Roman"/>
                <w:lang w:eastAsia="en-US"/>
              </w:rPr>
            </w:pPr>
          </w:p>
        </w:tc>
      </w:tr>
      <w:tr w:rsidR="004920B2" w:rsidRPr="00F8008A" w14:paraId="722F9837" w14:textId="77777777" w:rsidTr="00B75344">
        <w:trPr>
          <w:cantSplit/>
        </w:trPr>
        <w:tc>
          <w:tcPr>
            <w:tcW w:w="1366" w:type="dxa"/>
          </w:tcPr>
          <w:p w14:paraId="1FB0F4D5" w14:textId="77777777" w:rsidR="004920B2" w:rsidRPr="008A52B4" w:rsidRDefault="004920B2" w:rsidP="00B75344">
            <w:pPr>
              <w:rPr>
                <w:rFonts w:ascii="Times New Roman" w:hAnsi="Times New Roman"/>
              </w:rPr>
            </w:pPr>
            <w:r w:rsidRPr="008A52B4">
              <w:rPr>
                <w:rFonts w:ascii="Times New Roman" w:hAnsi="Times New Roman"/>
                <w:lang w:eastAsia="en-US"/>
              </w:rPr>
              <w:t>9.1.0.40.2.10</w:t>
            </w:r>
          </w:p>
        </w:tc>
        <w:tc>
          <w:tcPr>
            <w:tcW w:w="3890" w:type="dxa"/>
          </w:tcPr>
          <w:p w14:paraId="62AD56EF"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c)</w:t>
            </w:r>
            <w:r w:rsidRPr="008A52B4">
              <w:rPr>
                <w:rFonts w:ascii="Times New Roman" w:hAnsi="Times New Roman"/>
                <w:lang w:val="de-DE" w:eastAsia="en-US"/>
              </w:rPr>
              <w:tab/>
              <w:t xml:space="preserve">Der </w:t>
            </w:r>
            <w:r w:rsidRPr="0019219E">
              <w:rPr>
                <w:rFonts w:ascii="Times New Roman" w:hAnsi="Times New Roman"/>
                <w:highlight w:val="yellow"/>
                <w:lang w:val="de-DE"/>
              </w:rPr>
              <w:t>Füllungsgrad</w:t>
            </w:r>
            <w:r w:rsidRPr="008A52B4">
              <w:rPr>
                <w:rFonts w:ascii="Times New Roman" w:hAnsi="Times New Roman"/>
                <w:lang w:val="de-DE" w:eastAsia="en-US"/>
              </w:rPr>
              <w:t xml:space="preserve"> der Behälter mit CO2 darf 0,75 kg/l nicht überschreiten. Für das spezifische Volumen des entspannten CO2-Gases sind 0,56 m³/kg zu Grunde zu legen.</w:t>
            </w:r>
          </w:p>
        </w:tc>
        <w:tc>
          <w:tcPr>
            <w:tcW w:w="835" w:type="dxa"/>
          </w:tcPr>
          <w:p w14:paraId="2EECFA93"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54559485"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Text mit Verbindung zum ES-TRIN</w:t>
            </w:r>
          </w:p>
        </w:tc>
      </w:tr>
      <w:tr w:rsidR="004920B2" w:rsidRPr="00F8008A" w14:paraId="751A7A2C" w14:textId="77777777" w:rsidTr="00B75344">
        <w:trPr>
          <w:cantSplit/>
        </w:trPr>
        <w:tc>
          <w:tcPr>
            <w:tcW w:w="1366" w:type="dxa"/>
          </w:tcPr>
          <w:p w14:paraId="26EF7762" w14:textId="77777777" w:rsidR="004920B2" w:rsidRPr="008A52B4" w:rsidRDefault="004920B2" w:rsidP="00B75344">
            <w:pPr>
              <w:rPr>
                <w:rFonts w:ascii="Times New Roman" w:hAnsi="Times New Roman"/>
              </w:rPr>
            </w:pPr>
            <w:r w:rsidRPr="008A52B4">
              <w:rPr>
                <w:rFonts w:ascii="Times New Roman" w:hAnsi="Times New Roman"/>
                <w:lang w:eastAsia="en-US"/>
              </w:rPr>
              <w:t>9.1.0.40.2.11</w:t>
            </w:r>
          </w:p>
        </w:tc>
        <w:tc>
          <w:tcPr>
            <w:tcW w:w="3890" w:type="dxa"/>
          </w:tcPr>
          <w:p w14:paraId="4BC3B8C0"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d)</w:t>
            </w:r>
            <w:r w:rsidRPr="008A52B4">
              <w:rPr>
                <w:rFonts w:ascii="Times New Roman" w:hAnsi="Times New Roman"/>
                <w:lang w:val="de-DE" w:eastAsia="en-US"/>
              </w:rPr>
              <w:tab/>
              <w:t xml:space="preserve">Der </w:t>
            </w:r>
            <w:r w:rsidRPr="0019219E">
              <w:rPr>
                <w:rFonts w:ascii="Times New Roman" w:hAnsi="Times New Roman"/>
                <w:highlight w:val="yellow"/>
                <w:lang w:val="de-DE"/>
              </w:rPr>
              <w:t>Füllungsgrad</w:t>
            </w:r>
            <w:r w:rsidRPr="008A52B4">
              <w:rPr>
                <w:rFonts w:ascii="Times New Roman" w:hAnsi="Times New Roman"/>
                <w:lang w:val="de-DE" w:eastAsia="en-US"/>
              </w:rPr>
              <w:t xml:space="preserve"> der Behälter darf 1,15 kg/l nicht überschreiten. Für das spezifische Volumen des entspannten HFC-227ea sind 0,1374 m³/kg zu Grunde zu legen.</w:t>
            </w:r>
          </w:p>
        </w:tc>
        <w:tc>
          <w:tcPr>
            <w:tcW w:w="835" w:type="dxa"/>
          </w:tcPr>
          <w:p w14:paraId="2E9388E6"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6CF7AFA7"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Text mit Verbindung zum ES-TRIN</w:t>
            </w:r>
          </w:p>
        </w:tc>
      </w:tr>
      <w:tr w:rsidR="004920B2" w:rsidRPr="00F8008A" w14:paraId="66E1EF3B" w14:textId="77777777" w:rsidTr="00B75344">
        <w:trPr>
          <w:cantSplit/>
        </w:trPr>
        <w:tc>
          <w:tcPr>
            <w:tcW w:w="1366" w:type="dxa"/>
          </w:tcPr>
          <w:p w14:paraId="13CDE864" w14:textId="77777777" w:rsidR="004920B2" w:rsidRPr="008A52B4" w:rsidRDefault="004920B2" w:rsidP="00B75344">
            <w:pPr>
              <w:rPr>
                <w:rFonts w:ascii="Times New Roman" w:hAnsi="Times New Roman"/>
              </w:rPr>
            </w:pPr>
            <w:r w:rsidRPr="008A52B4">
              <w:rPr>
                <w:rFonts w:ascii="Times New Roman" w:hAnsi="Times New Roman"/>
                <w:lang w:eastAsia="en-US"/>
              </w:rPr>
              <w:t>9.1.0.40.2.13</w:t>
            </w:r>
          </w:p>
        </w:tc>
        <w:tc>
          <w:tcPr>
            <w:tcW w:w="3890" w:type="dxa"/>
          </w:tcPr>
          <w:p w14:paraId="5D590849"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Der </w:t>
            </w:r>
            <w:r w:rsidRPr="0019219E">
              <w:rPr>
                <w:rFonts w:ascii="Times New Roman" w:hAnsi="Times New Roman"/>
                <w:highlight w:val="yellow"/>
                <w:lang w:val="de-DE"/>
              </w:rPr>
              <w:t>Füllungsgrad</w:t>
            </w:r>
            <w:r w:rsidRPr="008A52B4">
              <w:rPr>
                <w:rFonts w:ascii="Times New Roman" w:hAnsi="Times New Roman"/>
                <w:lang w:val="de-DE" w:eastAsia="en-US"/>
              </w:rPr>
              <w:t xml:space="preserve"> der Behälter darf 1,00 kg/l nicht überschreiten. Für das spezifische Volumen des entspannten FK-5-1-12 sind 0,0719 m³/kg zu Grunde zu legen.</w:t>
            </w:r>
          </w:p>
        </w:tc>
        <w:tc>
          <w:tcPr>
            <w:tcW w:w="835" w:type="dxa"/>
          </w:tcPr>
          <w:p w14:paraId="3B9FCF0F"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7CD7338F"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Text mit Verbindung zum ES-TRIN</w:t>
            </w:r>
          </w:p>
        </w:tc>
      </w:tr>
      <w:tr w:rsidR="004920B2" w:rsidRPr="008A52B4" w14:paraId="3C87E880" w14:textId="77777777" w:rsidTr="00B75344">
        <w:trPr>
          <w:cantSplit/>
        </w:trPr>
        <w:tc>
          <w:tcPr>
            <w:tcW w:w="1366" w:type="dxa"/>
          </w:tcPr>
          <w:p w14:paraId="04A3950F" w14:textId="77777777" w:rsidR="004920B2" w:rsidRPr="008A52B4" w:rsidRDefault="004920B2" w:rsidP="00B75344">
            <w:pPr>
              <w:rPr>
                <w:rFonts w:ascii="Times New Roman" w:hAnsi="Times New Roman"/>
              </w:rPr>
            </w:pPr>
            <w:r w:rsidRPr="008A52B4">
              <w:rPr>
                <w:rFonts w:ascii="Times New Roman" w:hAnsi="Times New Roman"/>
                <w:lang w:eastAsia="en-US"/>
              </w:rPr>
              <w:t>9.3.1.21.2</w:t>
            </w:r>
          </w:p>
        </w:tc>
        <w:tc>
          <w:tcPr>
            <w:tcW w:w="3890" w:type="dxa"/>
          </w:tcPr>
          <w:p w14:paraId="129A2623"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Der </w:t>
            </w:r>
            <w:r w:rsidRPr="008A52B4">
              <w:rPr>
                <w:rFonts w:ascii="Times New Roman" w:hAnsi="Times New Roman"/>
                <w:highlight w:val="cyan"/>
                <w:lang w:val="de-DE" w:eastAsia="en-US"/>
              </w:rPr>
              <w:t>Füllungsgrad</w:t>
            </w:r>
            <w:r w:rsidRPr="008A52B4">
              <w:rPr>
                <w:rFonts w:ascii="Times New Roman" w:hAnsi="Times New Roman"/>
                <w:lang w:val="de-DE" w:eastAsia="en-US"/>
              </w:rPr>
              <w:t xml:space="preserve"> (in %) muss mit einem Fehler von höchstens 0,5 % ermittelt werden können. Er wird bezogen auf den Gesamtinhalt des Ladetanks einschließlich des Ausdehnungsschachtes.</w:t>
            </w:r>
          </w:p>
        </w:tc>
        <w:tc>
          <w:tcPr>
            <w:tcW w:w="835" w:type="dxa"/>
          </w:tcPr>
          <w:p w14:paraId="3EB5BD58"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5D2DAE63" w14:textId="77777777" w:rsidR="004920B2" w:rsidRPr="008A52B4" w:rsidRDefault="004920B2" w:rsidP="00B75344">
            <w:pPr>
              <w:rPr>
                <w:rFonts w:ascii="Times New Roman" w:hAnsi="Times New Roman"/>
                <w:lang w:val="de-DE" w:eastAsia="en-US"/>
              </w:rPr>
            </w:pPr>
          </w:p>
        </w:tc>
      </w:tr>
      <w:tr w:rsidR="004920B2" w:rsidRPr="00F8008A" w14:paraId="62546558" w14:textId="77777777" w:rsidTr="00B75344">
        <w:trPr>
          <w:cantSplit/>
        </w:trPr>
        <w:tc>
          <w:tcPr>
            <w:tcW w:w="1366" w:type="dxa"/>
          </w:tcPr>
          <w:p w14:paraId="44EF5CDA" w14:textId="77777777" w:rsidR="004920B2" w:rsidRPr="008A52B4" w:rsidRDefault="004920B2" w:rsidP="00B75344">
            <w:pPr>
              <w:rPr>
                <w:rFonts w:ascii="Times New Roman" w:hAnsi="Times New Roman"/>
              </w:rPr>
            </w:pPr>
            <w:r w:rsidRPr="008A52B4">
              <w:rPr>
                <w:rFonts w:ascii="Times New Roman" w:hAnsi="Times New Roman"/>
                <w:lang w:eastAsia="en-US"/>
              </w:rPr>
              <w:t>9.3.1.40.2.10</w:t>
            </w:r>
          </w:p>
        </w:tc>
        <w:tc>
          <w:tcPr>
            <w:tcW w:w="3890" w:type="dxa"/>
          </w:tcPr>
          <w:p w14:paraId="2DC9F5AE"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c)</w:t>
            </w:r>
            <w:r w:rsidRPr="008A52B4">
              <w:rPr>
                <w:rFonts w:ascii="Times New Roman" w:hAnsi="Times New Roman"/>
                <w:lang w:val="de-DE" w:eastAsia="en-US"/>
              </w:rPr>
              <w:tab/>
              <w:t xml:space="preserve">Der </w:t>
            </w:r>
            <w:r w:rsidRPr="0019219E">
              <w:rPr>
                <w:rFonts w:ascii="Times New Roman" w:hAnsi="Times New Roman"/>
                <w:highlight w:val="yellow"/>
                <w:lang w:val="de-DE"/>
              </w:rPr>
              <w:t>Füllungsgrad</w:t>
            </w:r>
            <w:r w:rsidRPr="008A52B4">
              <w:rPr>
                <w:rFonts w:ascii="Times New Roman" w:hAnsi="Times New Roman"/>
                <w:lang w:val="de-DE" w:eastAsia="en-US"/>
              </w:rPr>
              <w:t xml:space="preserve"> der Behälter mit CO2 darf 0,75 kg/l nicht überschreiten. Für das spezifische Volumen des entspannten CO2-Gases sind 0,56 m³/kg zu Grunde zu legen.</w:t>
            </w:r>
          </w:p>
        </w:tc>
        <w:tc>
          <w:tcPr>
            <w:tcW w:w="835" w:type="dxa"/>
          </w:tcPr>
          <w:p w14:paraId="37E2EFED"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181B172A"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Text mit Verbindung zum ES-TRIN</w:t>
            </w:r>
          </w:p>
        </w:tc>
      </w:tr>
      <w:tr w:rsidR="004920B2" w:rsidRPr="00F8008A" w14:paraId="670B9AB3" w14:textId="77777777" w:rsidTr="00B75344">
        <w:trPr>
          <w:cantSplit/>
        </w:trPr>
        <w:tc>
          <w:tcPr>
            <w:tcW w:w="1366" w:type="dxa"/>
          </w:tcPr>
          <w:p w14:paraId="5AC0DEEC" w14:textId="77777777" w:rsidR="004920B2" w:rsidRPr="008A52B4" w:rsidRDefault="004920B2" w:rsidP="00B75344">
            <w:pPr>
              <w:rPr>
                <w:rFonts w:ascii="Times New Roman" w:hAnsi="Times New Roman"/>
              </w:rPr>
            </w:pPr>
            <w:r w:rsidRPr="008A52B4">
              <w:rPr>
                <w:rFonts w:ascii="Times New Roman" w:hAnsi="Times New Roman"/>
                <w:lang w:eastAsia="en-US"/>
              </w:rPr>
              <w:t>9.3.1.40.2.11</w:t>
            </w:r>
          </w:p>
        </w:tc>
        <w:tc>
          <w:tcPr>
            <w:tcW w:w="3890" w:type="dxa"/>
          </w:tcPr>
          <w:p w14:paraId="3434EA89"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d)</w:t>
            </w:r>
            <w:r w:rsidRPr="008A52B4">
              <w:rPr>
                <w:rFonts w:ascii="Times New Roman" w:hAnsi="Times New Roman"/>
                <w:lang w:val="de-DE" w:eastAsia="en-US"/>
              </w:rPr>
              <w:tab/>
              <w:t xml:space="preserve">Der </w:t>
            </w:r>
            <w:r w:rsidRPr="0019219E">
              <w:rPr>
                <w:rFonts w:ascii="Times New Roman" w:hAnsi="Times New Roman"/>
                <w:highlight w:val="yellow"/>
                <w:lang w:val="de-DE"/>
              </w:rPr>
              <w:t>Füllungsgrad</w:t>
            </w:r>
            <w:r w:rsidRPr="008A52B4">
              <w:rPr>
                <w:rFonts w:ascii="Times New Roman" w:hAnsi="Times New Roman"/>
                <w:lang w:val="de-DE" w:eastAsia="en-US"/>
              </w:rPr>
              <w:t xml:space="preserve"> der Behälter darf 1,15 kg/l nicht überschreiten. Für das spezifische Volumen des entspannten HFC-227ea sind 0,1374 m³/kg zu Grunde zu legen.</w:t>
            </w:r>
          </w:p>
        </w:tc>
        <w:tc>
          <w:tcPr>
            <w:tcW w:w="835" w:type="dxa"/>
          </w:tcPr>
          <w:p w14:paraId="6D166BB3"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102E9B61"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Text mit Verbindung zum ES-TRIN</w:t>
            </w:r>
          </w:p>
        </w:tc>
      </w:tr>
      <w:tr w:rsidR="004920B2" w:rsidRPr="00F8008A" w14:paraId="3AECF6B6" w14:textId="77777777" w:rsidTr="00B75344">
        <w:trPr>
          <w:cantSplit/>
        </w:trPr>
        <w:tc>
          <w:tcPr>
            <w:tcW w:w="1366" w:type="dxa"/>
          </w:tcPr>
          <w:p w14:paraId="433AA34A" w14:textId="77777777" w:rsidR="004920B2" w:rsidRPr="008A52B4" w:rsidRDefault="004920B2" w:rsidP="00B75344">
            <w:pPr>
              <w:rPr>
                <w:rFonts w:ascii="Times New Roman" w:hAnsi="Times New Roman"/>
              </w:rPr>
            </w:pPr>
            <w:r w:rsidRPr="008A52B4">
              <w:rPr>
                <w:rFonts w:ascii="Times New Roman" w:hAnsi="Times New Roman"/>
                <w:lang w:eastAsia="en-US"/>
              </w:rPr>
              <w:t>9.3.1.40.2.13</w:t>
            </w:r>
          </w:p>
        </w:tc>
        <w:tc>
          <w:tcPr>
            <w:tcW w:w="3890" w:type="dxa"/>
          </w:tcPr>
          <w:p w14:paraId="3B9714B1"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Der </w:t>
            </w:r>
            <w:r w:rsidRPr="0019219E">
              <w:rPr>
                <w:rFonts w:ascii="Times New Roman" w:hAnsi="Times New Roman"/>
                <w:highlight w:val="yellow"/>
                <w:lang w:val="de-DE"/>
              </w:rPr>
              <w:t>Füllungsgrad</w:t>
            </w:r>
            <w:r w:rsidRPr="008A52B4">
              <w:rPr>
                <w:rFonts w:ascii="Times New Roman" w:hAnsi="Times New Roman"/>
                <w:lang w:val="de-DE" w:eastAsia="en-US"/>
              </w:rPr>
              <w:t xml:space="preserve"> der Behälter darf 1,00 kg/l nicht überschreiten. Für das spezifische Volumen des entspannten FK-5-1-12 sind 0,0719 m³/kg zu Grunde zu legen.</w:t>
            </w:r>
          </w:p>
        </w:tc>
        <w:tc>
          <w:tcPr>
            <w:tcW w:w="835" w:type="dxa"/>
          </w:tcPr>
          <w:p w14:paraId="2E0196BB"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0E0041E7"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Text mit Verbindung zum ES-TRIN</w:t>
            </w:r>
          </w:p>
        </w:tc>
      </w:tr>
      <w:tr w:rsidR="004920B2" w:rsidRPr="008A52B4" w14:paraId="7BC3D71F" w14:textId="77777777" w:rsidTr="00B75344">
        <w:trPr>
          <w:cantSplit/>
        </w:trPr>
        <w:tc>
          <w:tcPr>
            <w:tcW w:w="1366" w:type="dxa"/>
          </w:tcPr>
          <w:p w14:paraId="2FC17C02" w14:textId="77777777" w:rsidR="004920B2" w:rsidRPr="008A52B4" w:rsidRDefault="004920B2" w:rsidP="00B75344">
            <w:pPr>
              <w:rPr>
                <w:rFonts w:ascii="Times New Roman" w:hAnsi="Times New Roman"/>
              </w:rPr>
            </w:pPr>
            <w:r w:rsidRPr="008A52B4">
              <w:rPr>
                <w:rFonts w:ascii="Times New Roman" w:hAnsi="Times New Roman"/>
                <w:lang w:eastAsia="en-US"/>
              </w:rPr>
              <w:t>9.3.2.21.1</w:t>
            </w:r>
          </w:p>
        </w:tc>
        <w:tc>
          <w:tcPr>
            <w:tcW w:w="3890" w:type="dxa"/>
          </w:tcPr>
          <w:p w14:paraId="2CBF350A"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a)</w:t>
            </w:r>
            <w:r w:rsidRPr="008A52B4">
              <w:rPr>
                <w:rFonts w:ascii="Times New Roman" w:hAnsi="Times New Roman"/>
                <w:lang w:val="de-DE" w:eastAsia="en-US"/>
              </w:rPr>
              <w:tab/>
              <w:t xml:space="preserve">einer Innenmarkierung für den </w:t>
            </w:r>
            <w:r w:rsidRPr="008A52B4">
              <w:rPr>
                <w:rFonts w:ascii="Times New Roman" w:hAnsi="Times New Roman"/>
                <w:highlight w:val="cyan"/>
                <w:lang w:val="de-DE" w:eastAsia="en-US"/>
              </w:rPr>
              <w:t>Füllungsgrad</w:t>
            </w:r>
            <w:r w:rsidRPr="008A52B4">
              <w:rPr>
                <w:rFonts w:ascii="Times New Roman" w:hAnsi="Times New Roman"/>
                <w:lang w:val="de-DE" w:eastAsia="en-US"/>
              </w:rPr>
              <w:t xml:space="preserve"> von 95 %;</w:t>
            </w:r>
          </w:p>
        </w:tc>
        <w:tc>
          <w:tcPr>
            <w:tcW w:w="835" w:type="dxa"/>
          </w:tcPr>
          <w:p w14:paraId="3E629215"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668AF41D" w14:textId="77777777" w:rsidR="004920B2" w:rsidRPr="008A52B4" w:rsidRDefault="004920B2" w:rsidP="00B75344">
            <w:pPr>
              <w:rPr>
                <w:rFonts w:ascii="Times New Roman" w:hAnsi="Times New Roman"/>
                <w:lang w:val="de-DE" w:eastAsia="en-US"/>
              </w:rPr>
            </w:pPr>
          </w:p>
        </w:tc>
      </w:tr>
      <w:tr w:rsidR="004920B2" w:rsidRPr="008A52B4" w14:paraId="2C5688F2" w14:textId="77777777" w:rsidTr="00B75344">
        <w:trPr>
          <w:cantSplit/>
        </w:trPr>
        <w:tc>
          <w:tcPr>
            <w:tcW w:w="1366" w:type="dxa"/>
          </w:tcPr>
          <w:p w14:paraId="2320B141" w14:textId="77777777" w:rsidR="004920B2" w:rsidRPr="008A52B4" w:rsidRDefault="004920B2" w:rsidP="00B75344">
            <w:pPr>
              <w:rPr>
                <w:rFonts w:ascii="Times New Roman" w:hAnsi="Times New Roman"/>
              </w:rPr>
            </w:pPr>
            <w:r w:rsidRPr="008A52B4">
              <w:rPr>
                <w:rFonts w:ascii="Times New Roman" w:hAnsi="Times New Roman"/>
                <w:lang w:eastAsia="en-US"/>
              </w:rPr>
              <w:t>9.3.2.21.2</w:t>
            </w:r>
          </w:p>
        </w:tc>
        <w:tc>
          <w:tcPr>
            <w:tcW w:w="3890" w:type="dxa"/>
          </w:tcPr>
          <w:p w14:paraId="383CE128"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Der </w:t>
            </w:r>
            <w:r w:rsidRPr="008A52B4">
              <w:rPr>
                <w:rFonts w:ascii="Times New Roman" w:hAnsi="Times New Roman"/>
                <w:highlight w:val="cyan"/>
                <w:lang w:val="de-DE" w:eastAsia="en-US"/>
              </w:rPr>
              <w:t>Füllungsgrad</w:t>
            </w:r>
            <w:r w:rsidRPr="008A52B4">
              <w:rPr>
                <w:rFonts w:ascii="Times New Roman" w:hAnsi="Times New Roman"/>
                <w:lang w:val="de-DE" w:eastAsia="en-US"/>
              </w:rPr>
              <w:t xml:space="preserve"> in % muss mit einem Fehler von höchstens 0,5 % ermittelt werden können. Er wird bezogen auf den Gesamtinhalt des Ladetanks einschließlich des Ausdehnungsschachtes.</w:t>
            </w:r>
          </w:p>
        </w:tc>
        <w:tc>
          <w:tcPr>
            <w:tcW w:w="835" w:type="dxa"/>
          </w:tcPr>
          <w:p w14:paraId="12968D82"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34BF5CC4" w14:textId="77777777" w:rsidR="004920B2" w:rsidRPr="008A52B4" w:rsidRDefault="004920B2" w:rsidP="00B75344">
            <w:pPr>
              <w:rPr>
                <w:rFonts w:ascii="Times New Roman" w:hAnsi="Times New Roman"/>
                <w:lang w:eastAsia="en-US"/>
              </w:rPr>
            </w:pPr>
          </w:p>
        </w:tc>
      </w:tr>
      <w:tr w:rsidR="004920B2" w:rsidRPr="00F8008A" w14:paraId="7577B224" w14:textId="77777777" w:rsidTr="00B75344">
        <w:trPr>
          <w:cantSplit/>
        </w:trPr>
        <w:tc>
          <w:tcPr>
            <w:tcW w:w="1366" w:type="dxa"/>
          </w:tcPr>
          <w:p w14:paraId="0ED0792B" w14:textId="77777777" w:rsidR="004920B2" w:rsidRPr="008A52B4" w:rsidRDefault="004920B2" w:rsidP="00B75344">
            <w:pPr>
              <w:rPr>
                <w:rFonts w:ascii="Times New Roman" w:hAnsi="Times New Roman"/>
              </w:rPr>
            </w:pPr>
            <w:r w:rsidRPr="008A52B4">
              <w:rPr>
                <w:rFonts w:ascii="Times New Roman" w:hAnsi="Times New Roman"/>
                <w:lang w:eastAsia="en-US"/>
              </w:rPr>
              <w:lastRenderedPageBreak/>
              <w:t>9.3.2.40.2.10</w:t>
            </w:r>
          </w:p>
        </w:tc>
        <w:tc>
          <w:tcPr>
            <w:tcW w:w="3890" w:type="dxa"/>
          </w:tcPr>
          <w:p w14:paraId="6EC52482"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c)</w:t>
            </w:r>
            <w:r w:rsidRPr="008A52B4">
              <w:rPr>
                <w:rFonts w:ascii="Times New Roman" w:hAnsi="Times New Roman"/>
                <w:lang w:val="de-DE" w:eastAsia="en-US"/>
              </w:rPr>
              <w:tab/>
              <w:t xml:space="preserve">Der </w:t>
            </w:r>
            <w:r w:rsidRPr="0019219E">
              <w:rPr>
                <w:rFonts w:ascii="Times New Roman" w:hAnsi="Times New Roman"/>
                <w:highlight w:val="yellow"/>
                <w:lang w:val="de-DE"/>
              </w:rPr>
              <w:t>Füllungsgrad</w:t>
            </w:r>
            <w:r w:rsidRPr="008A52B4">
              <w:rPr>
                <w:rFonts w:ascii="Times New Roman" w:hAnsi="Times New Roman"/>
                <w:lang w:val="de-DE" w:eastAsia="en-US"/>
              </w:rPr>
              <w:t xml:space="preserve"> der Behälter mit CO2 darf 0,75 kg/l nicht überschreiten. Für das spezifische Volumen des entspannten CO2-Gases sind 0,56 m³/kg zu Grunde zu legen.</w:t>
            </w:r>
          </w:p>
        </w:tc>
        <w:tc>
          <w:tcPr>
            <w:tcW w:w="835" w:type="dxa"/>
          </w:tcPr>
          <w:p w14:paraId="1C1690C8"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28BCFE62"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Text mit Verbindung zum ES-TRIN</w:t>
            </w:r>
          </w:p>
        </w:tc>
      </w:tr>
      <w:tr w:rsidR="004920B2" w:rsidRPr="00F8008A" w14:paraId="38881C7A" w14:textId="77777777" w:rsidTr="00B75344">
        <w:trPr>
          <w:cantSplit/>
        </w:trPr>
        <w:tc>
          <w:tcPr>
            <w:tcW w:w="1366" w:type="dxa"/>
          </w:tcPr>
          <w:p w14:paraId="0BFA064B" w14:textId="77777777" w:rsidR="004920B2" w:rsidRPr="008A52B4" w:rsidRDefault="004920B2" w:rsidP="00B75344">
            <w:pPr>
              <w:rPr>
                <w:rFonts w:ascii="Times New Roman" w:hAnsi="Times New Roman"/>
              </w:rPr>
            </w:pPr>
            <w:r w:rsidRPr="008A52B4">
              <w:rPr>
                <w:rFonts w:ascii="Times New Roman" w:hAnsi="Times New Roman"/>
                <w:lang w:eastAsia="en-US"/>
              </w:rPr>
              <w:t>9.3.2.40.2.11</w:t>
            </w:r>
          </w:p>
        </w:tc>
        <w:tc>
          <w:tcPr>
            <w:tcW w:w="3890" w:type="dxa"/>
          </w:tcPr>
          <w:p w14:paraId="11D01E6D"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d)</w:t>
            </w:r>
            <w:r w:rsidRPr="008A52B4">
              <w:rPr>
                <w:rFonts w:ascii="Times New Roman" w:hAnsi="Times New Roman"/>
                <w:lang w:val="de-DE" w:eastAsia="en-US"/>
              </w:rPr>
              <w:tab/>
              <w:t xml:space="preserve">Der </w:t>
            </w:r>
            <w:r w:rsidRPr="0019219E">
              <w:rPr>
                <w:rFonts w:ascii="Times New Roman" w:hAnsi="Times New Roman"/>
                <w:highlight w:val="yellow"/>
                <w:lang w:val="de-DE"/>
              </w:rPr>
              <w:t>Füllungsgrad</w:t>
            </w:r>
            <w:r w:rsidRPr="008A52B4">
              <w:rPr>
                <w:rFonts w:ascii="Times New Roman" w:hAnsi="Times New Roman"/>
                <w:lang w:val="de-DE" w:eastAsia="en-US"/>
              </w:rPr>
              <w:t xml:space="preserve"> der Behälter darf 1,15 kg/l nicht überschreiten. Für das spezifische Volumen des entspannten HFC-227ea sind 0,1374 m³/kg zu Grunde zu legen.</w:t>
            </w:r>
          </w:p>
        </w:tc>
        <w:tc>
          <w:tcPr>
            <w:tcW w:w="835" w:type="dxa"/>
          </w:tcPr>
          <w:p w14:paraId="782BF165"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48D89991"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Text mit Verbindung zum ES-TRIN</w:t>
            </w:r>
          </w:p>
        </w:tc>
      </w:tr>
      <w:tr w:rsidR="004920B2" w:rsidRPr="00F8008A" w14:paraId="381DDA90" w14:textId="77777777" w:rsidTr="00B75344">
        <w:trPr>
          <w:cantSplit/>
        </w:trPr>
        <w:tc>
          <w:tcPr>
            <w:tcW w:w="1366" w:type="dxa"/>
          </w:tcPr>
          <w:p w14:paraId="58B95520" w14:textId="77777777" w:rsidR="004920B2" w:rsidRPr="008A52B4" w:rsidRDefault="004920B2" w:rsidP="00B75344">
            <w:pPr>
              <w:rPr>
                <w:rFonts w:ascii="Times New Roman" w:hAnsi="Times New Roman"/>
              </w:rPr>
            </w:pPr>
            <w:r w:rsidRPr="008A52B4">
              <w:rPr>
                <w:rFonts w:ascii="Times New Roman" w:hAnsi="Times New Roman"/>
                <w:lang w:eastAsia="en-US"/>
              </w:rPr>
              <w:t>9.3.2.40.2.13</w:t>
            </w:r>
          </w:p>
        </w:tc>
        <w:tc>
          <w:tcPr>
            <w:tcW w:w="3890" w:type="dxa"/>
          </w:tcPr>
          <w:p w14:paraId="5903A08A"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Der </w:t>
            </w:r>
            <w:r w:rsidRPr="0019219E">
              <w:rPr>
                <w:rFonts w:ascii="Times New Roman" w:hAnsi="Times New Roman"/>
                <w:highlight w:val="yellow"/>
                <w:lang w:val="de-DE"/>
              </w:rPr>
              <w:t>Füllungsgrad</w:t>
            </w:r>
            <w:r w:rsidRPr="008A52B4">
              <w:rPr>
                <w:rFonts w:ascii="Times New Roman" w:hAnsi="Times New Roman"/>
                <w:lang w:val="de-DE" w:eastAsia="en-US"/>
              </w:rPr>
              <w:t xml:space="preserve"> der Behälter darf 1,00 kg/l nicht überschreiten. Für das spezifische Volumen des entspannten FK-5-1-12 sind 0,0719 m³/kg zu Grunde zu legen.</w:t>
            </w:r>
          </w:p>
        </w:tc>
        <w:tc>
          <w:tcPr>
            <w:tcW w:w="835" w:type="dxa"/>
          </w:tcPr>
          <w:p w14:paraId="7B32A7E5"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615FED42"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Text mit Verbindung zum ES-TRIN</w:t>
            </w:r>
          </w:p>
        </w:tc>
      </w:tr>
      <w:tr w:rsidR="004920B2" w:rsidRPr="008A52B4" w14:paraId="600ACBB4" w14:textId="77777777" w:rsidTr="00B75344">
        <w:trPr>
          <w:cantSplit/>
        </w:trPr>
        <w:tc>
          <w:tcPr>
            <w:tcW w:w="1366" w:type="dxa"/>
          </w:tcPr>
          <w:p w14:paraId="6C569B21" w14:textId="77777777" w:rsidR="004920B2" w:rsidRPr="008A52B4" w:rsidRDefault="004920B2" w:rsidP="00B75344">
            <w:pPr>
              <w:rPr>
                <w:rFonts w:ascii="Times New Roman" w:hAnsi="Times New Roman"/>
              </w:rPr>
            </w:pPr>
            <w:r w:rsidRPr="008A52B4">
              <w:rPr>
                <w:rFonts w:ascii="Times New Roman" w:hAnsi="Times New Roman"/>
                <w:lang w:eastAsia="en-US"/>
              </w:rPr>
              <w:t>9.3.3.21.1</w:t>
            </w:r>
          </w:p>
        </w:tc>
        <w:tc>
          <w:tcPr>
            <w:tcW w:w="3890" w:type="dxa"/>
          </w:tcPr>
          <w:p w14:paraId="518A3281"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a)</w:t>
            </w:r>
            <w:r w:rsidRPr="008A52B4">
              <w:rPr>
                <w:rFonts w:ascii="Times New Roman" w:hAnsi="Times New Roman"/>
                <w:lang w:val="de-DE" w:eastAsia="en-US"/>
              </w:rPr>
              <w:tab/>
              <w:t xml:space="preserve">einer Innenmarkierung für den </w:t>
            </w:r>
            <w:r w:rsidRPr="008A52B4">
              <w:rPr>
                <w:rFonts w:ascii="Times New Roman" w:hAnsi="Times New Roman"/>
                <w:highlight w:val="cyan"/>
                <w:lang w:val="de-DE" w:eastAsia="en-US"/>
              </w:rPr>
              <w:t>Füllungsgrad</w:t>
            </w:r>
            <w:r w:rsidRPr="008A52B4">
              <w:rPr>
                <w:rFonts w:ascii="Times New Roman" w:hAnsi="Times New Roman"/>
                <w:lang w:val="de-DE" w:eastAsia="en-US"/>
              </w:rPr>
              <w:t xml:space="preserve"> von 97 %;</w:t>
            </w:r>
          </w:p>
        </w:tc>
        <w:tc>
          <w:tcPr>
            <w:tcW w:w="835" w:type="dxa"/>
          </w:tcPr>
          <w:p w14:paraId="3DC05FE5"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182BB6A6" w14:textId="77777777" w:rsidR="004920B2" w:rsidRPr="008A52B4" w:rsidRDefault="004920B2" w:rsidP="00B75344">
            <w:pPr>
              <w:rPr>
                <w:rFonts w:ascii="Times New Roman" w:hAnsi="Times New Roman"/>
                <w:lang w:eastAsia="en-US"/>
              </w:rPr>
            </w:pPr>
          </w:p>
        </w:tc>
      </w:tr>
      <w:tr w:rsidR="004920B2" w:rsidRPr="008A52B4" w14:paraId="19F7D8DE" w14:textId="77777777" w:rsidTr="00B75344">
        <w:trPr>
          <w:cantSplit/>
        </w:trPr>
        <w:tc>
          <w:tcPr>
            <w:tcW w:w="1366" w:type="dxa"/>
          </w:tcPr>
          <w:p w14:paraId="1935AA96" w14:textId="77777777" w:rsidR="004920B2" w:rsidRPr="008A52B4" w:rsidRDefault="004920B2" w:rsidP="00B75344">
            <w:pPr>
              <w:rPr>
                <w:rFonts w:ascii="Times New Roman" w:hAnsi="Times New Roman"/>
              </w:rPr>
            </w:pPr>
            <w:r w:rsidRPr="008A52B4">
              <w:rPr>
                <w:rFonts w:ascii="Times New Roman" w:hAnsi="Times New Roman"/>
                <w:lang w:eastAsia="en-US"/>
              </w:rPr>
              <w:t>9.3.3.21.2</w:t>
            </w:r>
          </w:p>
        </w:tc>
        <w:tc>
          <w:tcPr>
            <w:tcW w:w="3890" w:type="dxa"/>
          </w:tcPr>
          <w:p w14:paraId="3ADDE913"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Der </w:t>
            </w:r>
            <w:r w:rsidRPr="008A52B4">
              <w:rPr>
                <w:rFonts w:ascii="Times New Roman" w:hAnsi="Times New Roman"/>
                <w:highlight w:val="cyan"/>
                <w:lang w:val="de-DE" w:eastAsia="en-US"/>
              </w:rPr>
              <w:t>Füllungsgrad</w:t>
            </w:r>
            <w:r w:rsidRPr="008A52B4">
              <w:rPr>
                <w:rFonts w:ascii="Times New Roman" w:hAnsi="Times New Roman"/>
                <w:lang w:val="de-DE" w:eastAsia="en-US"/>
              </w:rPr>
              <w:t xml:space="preserve"> in % muss mit einem Fehler von höchstens 0,5 % ermittelt werden können. Er wird bezogen auf den Gesamtinhalt des Ladetanks einschließlich des Ausdehnungsschachtes.</w:t>
            </w:r>
          </w:p>
        </w:tc>
        <w:tc>
          <w:tcPr>
            <w:tcW w:w="835" w:type="dxa"/>
          </w:tcPr>
          <w:p w14:paraId="6E435AA9"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28FA00A7" w14:textId="77777777" w:rsidR="004920B2" w:rsidRPr="008A52B4" w:rsidRDefault="004920B2" w:rsidP="00B75344">
            <w:pPr>
              <w:rPr>
                <w:rFonts w:ascii="Times New Roman" w:hAnsi="Times New Roman"/>
                <w:lang w:eastAsia="en-US"/>
              </w:rPr>
            </w:pPr>
          </w:p>
        </w:tc>
      </w:tr>
      <w:tr w:rsidR="004920B2" w:rsidRPr="00F8008A" w14:paraId="32539CE7" w14:textId="77777777" w:rsidTr="00B75344">
        <w:trPr>
          <w:cantSplit/>
        </w:trPr>
        <w:tc>
          <w:tcPr>
            <w:tcW w:w="1366" w:type="dxa"/>
          </w:tcPr>
          <w:p w14:paraId="54477A17" w14:textId="77777777" w:rsidR="004920B2" w:rsidRPr="008A52B4" w:rsidRDefault="004920B2" w:rsidP="00B75344">
            <w:pPr>
              <w:rPr>
                <w:rFonts w:ascii="Times New Roman" w:hAnsi="Times New Roman"/>
              </w:rPr>
            </w:pPr>
            <w:r w:rsidRPr="008A52B4">
              <w:rPr>
                <w:rFonts w:ascii="Times New Roman" w:hAnsi="Times New Roman"/>
                <w:lang w:eastAsia="en-US"/>
              </w:rPr>
              <w:t>9.3.3.40.2.10</w:t>
            </w:r>
          </w:p>
        </w:tc>
        <w:tc>
          <w:tcPr>
            <w:tcW w:w="3890" w:type="dxa"/>
          </w:tcPr>
          <w:p w14:paraId="55239C18"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c)</w:t>
            </w:r>
            <w:r w:rsidRPr="008A52B4">
              <w:rPr>
                <w:rFonts w:ascii="Times New Roman" w:hAnsi="Times New Roman"/>
                <w:lang w:val="de-DE" w:eastAsia="en-US"/>
              </w:rPr>
              <w:tab/>
              <w:t xml:space="preserve">Der </w:t>
            </w:r>
            <w:r w:rsidRPr="0019219E">
              <w:rPr>
                <w:rFonts w:ascii="Times New Roman" w:hAnsi="Times New Roman"/>
                <w:highlight w:val="yellow"/>
                <w:lang w:val="de-DE"/>
              </w:rPr>
              <w:t>Füllungsgrad</w:t>
            </w:r>
            <w:r w:rsidRPr="008A52B4">
              <w:rPr>
                <w:rFonts w:ascii="Times New Roman" w:hAnsi="Times New Roman"/>
                <w:lang w:val="de-DE" w:eastAsia="en-US"/>
              </w:rPr>
              <w:t xml:space="preserve"> der Behälter mit CO2 darf 0,75 kg/l nicht überschreiten. Für das spezifische Volumen des entspannten CO2-Gases sind 0,56 m³/kg zu Grunde zu legen.</w:t>
            </w:r>
          </w:p>
        </w:tc>
        <w:tc>
          <w:tcPr>
            <w:tcW w:w="835" w:type="dxa"/>
          </w:tcPr>
          <w:p w14:paraId="52283975"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6C311731"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Text mit Verbindung zum ES-TRIN</w:t>
            </w:r>
          </w:p>
        </w:tc>
      </w:tr>
      <w:tr w:rsidR="004920B2" w:rsidRPr="00F8008A" w14:paraId="6A244F87" w14:textId="77777777" w:rsidTr="00B75344">
        <w:trPr>
          <w:cantSplit/>
        </w:trPr>
        <w:tc>
          <w:tcPr>
            <w:tcW w:w="1366" w:type="dxa"/>
          </w:tcPr>
          <w:p w14:paraId="4CB70530" w14:textId="77777777" w:rsidR="004920B2" w:rsidRPr="008A52B4" w:rsidRDefault="004920B2" w:rsidP="00B75344">
            <w:pPr>
              <w:rPr>
                <w:rFonts w:ascii="Times New Roman" w:hAnsi="Times New Roman"/>
              </w:rPr>
            </w:pPr>
            <w:r w:rsidRPr="008A52B4">
              <w:rPr>
                <w:rFonts w:ascii="Times New Roman" w:hAnsi="Times New Roman"/>
                <w:lang w:eastAsia="en-US"/>
              </w:rPr>
              <w:t>9.3.3.40.2.11</w:t>
            </w:r>
          </w:p>
        </w:tc>
        <w:tc>
          <w:tcPr>
            <w:tcW w:w="3890" w:type="dxa"/>
          </w:tcPr>
          <w:p w14:paraId="244ECFEA"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d)</w:t>
            </w:r>
            <w:r w:rsidRPr="008A52B4">
              <w:rPr>
                <w:rFonts w:ascii="Times New Roman" w:hAnsi="Times New Roman"/>
                <w:lang w:val="de-DE" w:eastAsia="en-US"/>
              </w:rPr>
              <w:tab/>
              <w:t xml:space="preserve">Der </w:t>
            </w:r>
            <w:r w:rsidRPr="0019219E">
              <w:rPr>
                <w:rFonts w:ascii="Times New Roman" w:hAnsi="Times New Roman"/>
                <w:highlight w:val="yellow"/>
                <w:lang w:val="de-DE"/>
              </w:rPr>
              <w:t>Füllungsgrad</w:t>
            </w:r>
            <w:r w:rsidRPr="008A52B4">
              <w:rPr>
                <w:rFonts w:ascii="Times New Roman" w:hAnsi="Times New Roman"/>
                <w:lang w:val="de-DE" w:eastAsia="en-US"/>
              </w:rPr>
              <w:t xml:space="preserve"> der Behälter darf 1,15 kg/l nicht überschreiten. Für das spezifische Volumen des entspannten HFC-227ea sind 0,1374 m³/kg zu Grunde zu legen.</w:t>
            </w:r>
          </w:p>
        </w:tc>
        <w:tc>
          <w:tcPr>
            <w:tcW w:w="835" w:type="dxa"/>
          </w:tcPr>
          <w:p w14:paraId="7E8B16CD"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38F6ABA9"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Text mit Verbindung zum ES-TRIN</w:t>
            </w:r>
          </w:p>
        </w:tc>
      </w:tr>
      <w:tr w:rsidR="004920B2" w:rsidRPr="00F8008A" w14:paraId="474E1882" w14:textId="77777777" w:rsidTr="00B75344">
        <w:trPr>
          <w:cantSplit/>
        </w:trPr>
        <w:tc>
          <w:tcPr>
            <w:tcW w:w="1366" w:type="dxa"/>
          </w:tcPr>
          <w:p w14:paraId="0E0BE5C8" w14:textId="77777777" w:rsidR="004920B2" w:rsidRPr="008A52B4" w:rsidRDefault="004920B2" w:rsidP="00B75344">
            <w:pPr>
              <w:rPr>
                <w:rFonts w:ascii="Times New Roman" w:hAnsi="Times New Roman"/>
              </w:rPr>
            </w:pPr>
            <w:r w:rsidRPr="008A52B4">
              <w:rPr>
                <w:rFonts w:ascii="Times New Roman" w:hAnsi="Times New Roman"/>
                <w:lang w:eastAsia="en-US"/>
              </w:rPr>
              <w:t>9.3.3.40.2.13</w:t>
            </w:r>
          </w:p>
        </w:tc>
        <w:tc>
          <w:tcPr>
            <w:tcW w:w="3890" w:type="dxa"/>
          </w:tcPr>
          <w:p w14:paraId="797AE72B"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 xml:space="preserve">Der </w:t>
            </w:r>
            <w:r w:rsidRPr="0019219E">
              <w:rPr>
                <w:rFonts w:ascii="Times New Roman" w:hAnsi="Times New Roman"/>
                <w:highlight w:val="yellow"/>
                <w:lang w:val="de-DE"/>
              </w:rPr>
              <w:t>Füllungsgrad</w:t>
            </w:r>
            <w:r w:rsidRPr="008A52B4">
              <w:rPr>
                <w:rFonts w:ascii="Times New Roman" w:hAnsi="Times New Roman"/>
                <w:lang w:val="de-DE" w:eastAsia="en-US"/>
              </w:rPr>
              <w:t xml:space="preserve"> der Behälter darf 1,00 kg/l nicht überschreiten. Für das spezifische Volumen des entspannten FK-5-1-12 sind 0,0719 m³/kg zu Grunde zu legen.</w:t>
            </w:r>
          </w:p>
        </w:tc>
        <w:tc>
          <w:tcPr>
            <w:tcW w:w="835" w:type="dxa"/>
          </w:tcPr>
          <w:p w14:paraId="7B0361B1" w14:textId="77777777" w:rsidR="004920B2" w:rsidRPr="008A52B4" w:rsidRDefault="004920B2" w:rsidP="00B75344">
            <w:pPr>
              <w:rPr>
                <w:rFonts w:ascii="Times New Roman" w:hAnsi="Times New Roman"/>
              </w:rPr>
            </w:pPr>
            <w:r w:rsidRPr="008A52B4">
              <w:rPr>
                <w:rFonts w:ascii="Times New Roman" w:hAnsi="Times New Roman"/>
                <w:lang w:eastAsia="en-US"/>
              </w:rPr>
              <w:t>ADN</w:t>
            </w:r>
          </w:p>
        </w:tc>
        <w:tc>
          <w:tcPr>
            <w:tcW w:w="3410" w:type="dxa"/>
          </w:tcPr>
          <w:p w14:paraId="4BC7B3EB" w14:textId="77777777" w:rsidR="004920B2" w:rsidRPr="0019219E" w:rsidRDefault="004920B2" w:rsidP="00B75344">
            <w:pPr>
              <w:rPr>
                <w:rFonts w:ascii="Times New Roman" w:hAnsi="Times New Roman"/>
                <w:lang w:val="de-DE"/>
              </w:rPr>
            </w:pPr>
            <w:r w:rsidRPr="008A52B4">
              <w:rPr>
                <w:rFonts w:ascii="Times New Roman" w:hAnsi="Times New Roman"/>
                <w:lang w:val="de-DE" w:eastAsia="en-US"/>
              </w:rPr>
              <w:t>Text mit Verbindung zum ES-TRIN</w:t>
            </w:r>
          </w:p>
        </w:tc>
      </w:tr>
    </w:tbl>
    <w:p w14:paraId="289002CF" w14:textId="77777777" w:rsidR="00BE398D" w:rsidRPr="008A52B4" w:rsidRDefault="00BE398D" w:rsidP="00BE398D">
      <w:pPr>
        <w:rPr>
          <w:rFonts w:eastAsia="Calibri"/>
          <w:lang w:eastAsia="en-US"/>
        </w:rPr>
      </w:pPr>
    </w:p>
    <w:p w14:paraId="21F43F51" w14:textId="4E50F0D9" w:rsidR="003B7FAE" w:rsidRPr="00F85574" w:rsidRDefault="00F85574" w:rsidP="00F85574">
      <w:pPr>
        <w:spacing w:before="240"/>
        <w:jc w:val="center"/>
        <w:rPr>
          <w:rFonts w:eastAsia="Calibri"/>
          <w:u w:val="single"/>
        </w:rPr>
      </w:pPr>
      <w:r>
        <w:rPr>
          <w:rFonts w:eastAsia="Calibri"/>
          <w:u w:val="single"/>
        </w:rPr>
        <w:tab/>
      </w:r>
      <w:r>
        <w:rPr>
          <w:rFonts w:eastAsia="Calibri"/>
          <w:u w:val="single"/>
        </w:rPr>
        <w:tab/>
      </w:r>
      <w:r>
        <w:rPr>
          <w:rFonts w:eastAsia="Calibri"/>
          <w:u w:val="single"/>
        </w:rPr>
        <w:tab/>
      </w:r>
    </w:p>
    <w:sectPr w:rsidR="003B7FAE" w:rsidRPr="00F85574"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90357" w14:textId="77777777" w:rsidR="006018E8" w:rsidRDefault="006018E8"/>
  </w:endnote>
  <w:endnote w:type="continuationSeparator" w:id="0">
    <w:p w14:paraId="1DA9E6B9" w14:textId="77777777" w:rsidR="006018E8" w:rsidRDefault="006018E8"/>
  </w:endnote>
  <w:endnote w:type="continuationNotice" w:id="1">
    <w:p w14:paraId="504AAC9E" w14:textId="77777777" w:rsidR="006018E8" w:rsidRDefault="00601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297F" w14:textId="77777777" w:rsidR="006018E8" w:rsidRPr="000B175B" w:rsidRDefault="006018E8" w:rsidP="000B175B">
      <w:pPr>
        <w:tabs>
          <w:tab w:val="right" w:pos="2155"/>
        </w:tabs>
        <w:spacing w:after="80"/>
        <w:ind w:left="680"/>
        <w:rPr>
          <w:u w:val="single"/>
        </w:rPr>
      </w:pPr>
      <w:r>
        <w:rPr>
          <w:u w:val="single"/>
        </w:rPr>
        <w:tab/>
      </w:r>
    </w:p>
  </w:footnote>
  <w:footnote w:type="continuationSeparator" w:id="0">
    <w:p w14:paraId="447C8848" w14:textId="77777777" w:rsidR="006018E8" w:rsidRPr="00FC68B7" w:rsidRDefault="006018E8" w:rsidP="00FC68B7">
      <w:pPr>
        <w:tabs>
          <w:tab w:val="left" w:pos="2155"/>
        </w:tabs>
        <w:spacing w:after="80"/>
        <w:ind w:left="680"/>
        <w:rPr>
          <w:u w:val="single"/>
        </w:rPr>
      </w:pPr>
      <w:r>
        <w:rPr>
          <w:u w:val="single"/>
        </w:rPr>
        <w:tab/>
      </w:r>
    </w:p>
  </w:footnote>
  <w:footnote w:type="continuationNotice" w:id="1">
    <w:p w14:paraId="2526D06B" w14:textId="77777777" w:rsidR="006018E8" w:rsidRDefault="00601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09B1CDAB" w:rsidR="00335B02" w:rsidRPr="00F54205" w:rsidRDefault="00236A03" w:rsidP="00F54205">
    <w:pPr>
      <w:pStyle w:val="Header"/>
    </w:pPr>
    <w:r>
      <w:t>INF.</w:t>
    </w:r>
    <w:r w:rsidR="0043780C">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06D8370E" w:rsidR="00335B02" w:rsidRPr="00EA42C1" w:rsidRDefault="00B5117E" w:rsidP="00EA42C1">
    <w:pPr>
      <w:pStyle w:val="Header"/>
      <w:jc w:val="right"/>
    </w:pPr>
    <w:r>
      <w:t>INF.</w:t>
    </w:r>
    <w:r w:rsidR="00F85574">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4F229B"/>
    <w:multiLevelType w:val="hybridMultilevel"/>
    <w:tmpl w:val="5D8299F8"/>
    <w:lvl w:ilvl="0" w:tplc="0809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8"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AEE5123"/>
    <w:multiLevelType w:val="hybridMultilevel"/>
    <w:tmpl w:val="D702079A"/>
    <w:lvl w:ilvl="0" w:tplc="2AFEC362">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3" w15:restartNumberingAfterBreak="0">
    <w:nsid w:val="57F17C22"/>
    <w:multiLevelType w:val="multilevel"/>
    <w:tmpl w:val="8E76ECF8"/>
    <w:name w:val="OJ_CR"/>
    <w:lvl w:ilvl="0">
      <w:start w:val="1"/>
      <w:numFmt w:val="decimal"/>
      <w:lvlText w:val="%1."/>
      <w:lvlJc w:val="left"/>
      <w:pPr>
        <w:ind w:left="567" w:hanging="567"/>
      </w:pPr>
      <w:rPr>
        <w:rFonts w:ascii="Arial Gras" w:hAnsi="Arial Gras" w:hint="default"/>
        <w:b/>
        <w:bCs/>
        <w:i w:val="0"/>
        <w:iCs w:val="0"/>
        <w:caps w:val="0"/>
        <w:strike w:val="0"/>
        <w:dstrike w:val="0"/>
        <w:outline w:val="0"/>
        <w:shadow w:val="0"/>
        <w:emboss w:val="0"/>
        <w:imprint w:val="0"/>
        <w:vanish w:val="0"/>
        <w:spacing w:val="0"/>
        <w:kern w:val="0"/>
        <w:position w:val="0"/>
        <w:sz w:val="20"/>
        <w:szCs w:val="22"/>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ascii="Arial Gras" w:hAnsi="Arial Gras" w:hint="default"/>
        <w:b/>
        <w:i w:val="0"/>
        <w:sz w:val="20"/>
      </w:rPr>
    </w:lvl>
    <w:lvl w:ilvl="2">
      <w:start w:val="1"/>
      <w:numFmt w:val="decimal"/>
      <w:lvlText w:val="%1.%2.%3"/>
      <w:lvlJc w:val="left"/>
      <w:pPr>
        <w:ind w:left="567" w:hanging="567"/>
      </w:pPr>
      <w:rPr>
        <w:rFonts w:ascii="Arial Gras" w:hAnsi="Arial Gras" w:hint="default"/>
        <w:b/>
        <w:i w:val="0"/>
        <w:sz w:val="20"/>
      </w:rPr>
    </w:lvl>
    <w:lvl w:ilvl="3">
      <w:start w:val="1"/>
      <w:numFmt w:val="lowerLetter"/>
      <w:lvlRestart w:val="1"/>
      <w:lvlText w:val="%4)"/>
      <w:lvlJc w:val="left"/>
      <w:pPr>
        <w:tabs>
          <w:tab w:val="num" w:pos="992"/>
        </w:tabs>
        <w:ind w:left="992" w:hanging="425"/>
      </w:pPr>
      <w:rPr>
        <w:rFonts w:ascii="Arial Gras" w:hAnsi="Arial Gras" w:hint="default"/>
        <w:b/>
        <w:i w:val="0"/>
        <w:sz w:val="20"/>
      </w:rPr>
    </w:lvl>
    <w:lvl w:ilvl="4">
      <w:start w:val="1"/>
      <w:numFmt w:val="bullet"/>
      <w:lvlText w:val="­"/>
      <w:lvlJc w:val="left"/>
      <w:pPr>
        <w:ind w:left="992" w:hanging="425"/>
      </w:pPr>
      <w:rPr>
        <w:rFonts w:ascii="Arial" w:hAnsi="Arial" w:hint="default"/>
        <w:color w:val="auto"/>
      </w:rPr>
    </w:lvl>
    <w:lvl w:ilvl="5">
      <w:start w:val="1"/>
      <w:numFmt w:val="bullet"/>
      <w:lvlText w:val="●"/>
      <w:lvlJc w:val="left"/>
      <w:pPr>
        <w:ind w:left="1418" w:hanging="426"/>
      </w:pPr>
      <w:rPr>
        <w:rFonts w:ascii="Calibri" w:hAnsi="Calibri" w:hint="default"/>
        <w:color w:val="auto"/>
      </w:rPr>
    </w:lvl>
    <w:lvl w:ilvl="6">
      <w:start w:val="1"/>
      <w:numFmt w:val="bullet"/>
      <w:lvlText w:val="­"/>
      <w:lvlJc w:val="left"/>
      <w:pPr>
        <w:ind w:left="1418" w:hanging="426"/>
      </w:pPr>
      <w:rPr>
        <w:rFonts w:ascii="Arial" w:hAnsi="Arial" w:hint="default"/>
        <w:color w:val="auto"/>
      </w:rPr>
    </w:lvl>
    <w:lvl w:ilvl="7">
      <w:start w:val="1"/>
      <w:numFmt w:val="bullet"/>
      <w:lvlText w:val="●"/>
      <w:lvlJc w:val="left"/>
      <w:pPr>
        <w:ind w:left="1843" w:hanging="425"/>
      </w:pPr>
      <w:rPr>
        <w:rFonts w:ascii="Calibri" w:hAnsi="Calibri" w:hint="default"/>
        <w:color w:val="auto"/>
      </w:rPr>
    </w:lvl>
    <w:lvl w:ilvl="8">
      <w:start w:val="1"/>
      <w:numFmt w:val="none"/>
      <w:lvlText w:val="%1.%2.%3.%4.%5.%6.%7.%8.%9."/>
      <w:lvlJc w:val="left"/>
      <w:pPr>
        <w:ind w:left="4320" w:hanging="1440"/>
      </w:pPr>
      <w:rPr>
        <w:rFonts w:hint="default"/>
      </w:rPr>
    </w:lvl>
  </w:abstractNum>
  <w:abstractNum w:abstractNumId="24" w15:restartNumberingAfterBreak="0">
    <w:nsid w:val="5B1205D5"/>
    <w:multiLevelType w:val="multilevel"/>
    <w:tmpl w:val="487A0430"/>
    <w:name w:val="num_gauche"/>
    <w:lvl w:ilvl="0">
      <w:start w:val="1"/>
      <w:numFmt w:val="decimal"/>
      <w:pStyle w:val="Retrait1cmchiffrenongras"/>
      <w:lvlText w:val="%1."/>
      <w:lvlJc w:val="left"/>
      <w:pPr>
        <w:ind w:left="567" w:hanging="567"/>
      </w:pPr>
      <w:rPr>
        <w:rFonts w:ascii="Arial" w:hAnsi="Arial" w:hint="default"/>
        <w:b w:val="0"/>
        <w:i w:val="0"/>
        <w:caps w:val="0"/>
        <w:strike w:val="0"/>
        <w:dstrike w:val="0"/>
        <w:vanish w:val="0"/>
        <w:sz w:val="20"/>
        <w:u w:val="none"/>
        <w:vertAlign w:val="baseline"/>
      </w:rPr>
    </w:lvl>
    <w:lvl w:ilvl="1">
      <w:start w:val="1"/>
      <w:numFmt w:val="lowerLetter"/>
      <w:pStyle w:val="Retrait1cmlettrenongras"/>
      <w:lvlText w:val="%2)"/>
      <w:lvlJc w:val="left"/>
      <w:pPr>
        <w:ind w:left="992" w:hanging="425"/>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184FC6"/>
    <w:multiLevelType w:val="hybridMultilevel"/>
    <w:tmpl w:val="4E466900"/>
    <w:lvl w:ilvl="0" w:tplc="2AFEC36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19"/>
  </w:num>
  <w:num w:numId="12" w16cid:durableId="138766385">
    <w:abstractNumId w:val="15"/>
  </w:num>
  <w:num w:numId="13" w16cid:durableId="2105681482">
    <w:abstractNumId w:val="11"/>
  </w:num>
  <w:num w:numId="14" w16cid:durableId="1465004137">
    <w:abstractNumId w:val="13"/>
  </w:num>
  <w:num w:numId="15" w16cid:durableId="411239685">
    <w:abstractNumId w:val="20"/>
  </w:num>
  <w:num w:numId="16" w16cid:durableId="1736125182">
    <w:abstractNumId w:val="14"/>
  </w:num>
  <w:num w:numId="17" w16cid:durableId="711076582">
    <w:abstractNumId w:val="26"/>
  </w:num>
  <w:num w:numId="18" w16cid:durableId="50083596">
    <w:abstractNumId w:val="28"/>
  </w:num>
  <w:num w:numId="19" w16cid:durableId="1413114354">
    <w:abstractNumId w:val="12"/>
  </w:num>
  <w:num w:numId="20" w16cid:durableId="1881743150">
    <w:abstractNumId w:val="12"/>
  </w:num>
  <w:num w:numId="21" w16cid:durableId="1947106276">
    <w:abstractNumId w:val="16"/>
  </w:num>
  <w:num w:numId="22" w16cid:durableId="1861047719">
    <w:abstractNumId w:val="27"/>
  </w:num>
  <w:num w:numId="23" w16cid:durableId="1115830556">
    <w:abstractNumId w:val="10"/>
  </w:num>
  <w:num w:numId="24" w16cid:durableId="1156650093">
    <w:abstractNumId w:val="18"/>
  </w:num>
  <w:num w:numId="25" w16cid:durableId="1750227226">
    <w:abstractNumId w:val="21"/>
  </w:num>
  <w:num w:numId="26" w16cid:durableId="702292337">
    <w:abstractNumId w:val="24"/>
  </w:num>
  <w:num w:numId="27" w16cid:durableId="544562602">
    <w:abstractNumId w:val="23"/>
  </w:num>
  <w:num w:numId="28" w16cid:durableId="1734738215">
    <w:abstractNumId w:val="25"/>
  </w:num>
  <w:num w:numId="29" w16cid:durableId="1986474118">
    <w:abstractNumId w:val="22"/>
  </w:num>
  <w:num w:numId="30" w16cid:durableId="101110135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2E96"/>
    <w:rsid w:val="000038A8"/>
    <w:rsid w:val="00004B68"/>
    <w:rsid w:val="00006790"/>
    <w:rsid w:val="000211BF"/>
    <w:rsid w:val="000249BA"/>
    <w:rsid w:val="00025A12"/>
    <w:rsid w:val="00026887"/>
    <w:rsid w:val="000274F8"/>
    <w:rsid w:val="00027624"/>
    <w:rsid w:val="000320C2"/>
    <w:rsid w:val="0003293F"/>
    <w:rsid w:val="00033166"/>
    <w:rsid w:val="00036612"/>
    <w:rsid w:val="00047CD6"/>
    <w:rsid w:val="00047E5C"/>
    <w:rsid w:val="00050F6B"/>
    <w:rsid w:val="00062927"/>
    <w:rsid w:val="000678CD"/>
    <w:rsid w:val="00072C8C"/>
    <w:rsid w:val="00081CE0"/>
    <w:rsid w:val="00084D30"/>
    <w:rsid w:val="00090320"/>
    <w:rsid w:val="000931C0"/>
    <w:rsid w:val="000A2E09"/>
    <w:rsid w:val="000B175B"/>
    <w:rsid w:val="000B3A0F"/>
    <w:rsid w:val="000B3E8E"/>
    <w:rsid w:val="000B617F"/>
    <w:rsid w:val="000C12CF"/>
    <w:rsid w:val="000C5900"/>
    <w:rsid w:val="000E0415"/>
    <w:rsid w:val="000E28B2"/>
    <w:rsid w:val="000E499D"/>
    <w:rsid w:val="000E4C89"/>
    <w:rsid w:val="000F4B19"/>
    <w:rsid w:val="000F60D4"/>
    <w:rsid w:val="000F65A3"/>
    <w:rsid w:val="000F7715"/>
    <w:rsid w:val="00100C96"/>
    <w:rsid w:val="001127E0"/>
    <w:rsid w:val="00116E26"/>
    <w:rsid w:val="00122FF4"/>
    <w:rsid w:val="00123411"/>
    <w:rsid w:val="0014281B"/>
    <w:rsid w:val="00144D01"/>
    <w:rsid w:val="00144F82"/>
    <w:rsid w:val="00153C15"/>
    <w:rsid w:val="00156B99"/>
    <w:rsid w:val="00157490"/>
    <w:rsid w:val="00157609"/>
    <w:rsid w:val="00160268"/>
    <w:rsid w:val="001602A0"/>
    <w:rsid w:val="0016371C"/>
    <w:rsid w:val="00166124"/>
    <w:rsid w:val="00170046"/>
    <w:rsid w:val="00172B38"/>
    <w:rsid w:val="0017670E"/>
    <w:rsid w:val="00180D1D"/>
    <w:rsid w:val="00180FF3"/>
    <w:rsid w:val="001832E3"/>
    <w:rsid w:val="00184DDA"/>
    <w:rsid w:val="001900CD"/>
    <w:rsid w:val="001936CA"/>
    <w:rsid w:val="00195529"/>
    <w:rsid w:val="001A0452"/>
    <w:rsid w:val="001A3F08"/>
    <w:rsid w:val="001A7197"/>
    <w:rsid w:val="001B4B04"/>
    <w:rsid w:val="001B5875"/>
    <w:rsid w:val="001C4B9C"/>
    <w:rsid w:val="001C6663"/>
    <w:rsid w:val="001C7895"/>
    <w:rsid w:val="001D1368"/>
    <w:rsid w:val="001D25F0"/>
    <w:rsid w:val="001D26DF"/>
    <w:rsid w:val="001D39B7"/>
    <w:rsid w:val="001D73EE"/>
    <w:rsid w:val="001E04E7"/>
    <w:rsid w:val="001E0A73"/>
    <w:rsid w:val="001E6299"/>
    <w:rsid w:val="001E70A8"/>
    <w:rsid w:val="001E7CEE"/>
    <w:rsid w:val="001F1599"/>
    <w:rsid w:val="001F19C4"/>
    <w:rsid w:val="001F6555"/>
    <w:rsid w:val="002021E0"/>
    <w:rsid w:val="002043F0"/>
    <w:rsid w:val="00204C1D"/>
    <w:rsid w:val="00206274"/>
    <w:rsid w:val="00211E0B"/>
    <w:rsid w:val="00221784"/>
    <w:rsid w:val="00226596"/>
    <w:rsid w:val="002267FF"/>
    <w:rsid w:val="00232575"/>
    <w:rsid w:val="00236A03"/>
    <w:rsid w:val="00241642"/>
    <w:rsid w:val="00244196"/>
    <w:rsid w:val="00244787"/>
    <w:rsid w:val="0024654B"/>
    <w:rsid w:val="00247258"/>
    <w:rsid w:val="00256B8A"/>
    <w:rsid w:val="00257CAC"/>
    <w:rsid w:val="0027074D"/>
    <w:rsid w:val="0027162D"/>
    <w:rsid w:val="0027237A"/>
    <w:rsid w:val="00275DB0"/>
    <w:rsid w:val="00280B61"/>
    <w:rsid w:val="002867D5"/>
    <w:rsid w:val="002920CD"/>
    <w:rsid w:val="002974E9"/>
    <w:rsid w:val="002A192D"/>
    <w:rsid w:val="002A6386"/>
    <w:rsid w:val="002A7F94"/>
    <w:rsid w:val="002B109A"/>
    <w:rsid w:val="002B1BA0"/>
    <w:rsid w:val="002B2B93"/>
    <w:rsid w:val="002B50FE"/>
    <w:rsid w:val="002B7E70"/>
    <w:rsid w:val="002C1005"/>
    <w:rsid w:val="002C6D45"/>
    <w:rsid w:val="002D1ACD"/>
    <w:rsid w:val="002D2369"/>
    <w:rsid w:val="002D6E53"/>
    <w:rsid w:val="002E6905"/>
    <w:rsid w:val="002F046D"/>
    <w:rsid w:val="002F19D6"/>
    <w:rsid w:val="002F2238"/>
    <w:rsid w:val="002F3023"/>
    <w:rsid w:val="002F7BDD"/>
    <w:rsid w:val="00301764"/>
    <w:rsid w:val="00316FFE"/>
    <w:rsid w:val="00321CB3"/>
    <w:rsid w:val="003229D8"/>
    <w:rsid w:val="00335B02"/>
    <w:rsid w:val="00336C97"/>
    <w:rsid w:val="00337D1B"/>
    <w:rsid w:val="00337F88"/>
    <w:rsid w:val="003422FC"/>
    <w:rsid w:val="00342432"/>
    <w:rsid w:val="00347826"/>
    <w:rsid w:val="0035223F"/>
    <w:rsid w:val="00352D4B"/>
    <w:rsid w:val="0035638C"/>
    <w:rsid w:val="003614A1"/>
    <w:rsid w:val="0036440D"/>
    <w:rsid w:val="00374D51"/>
    <w:rsid w:val="00377B40"/>
    <w:rsid w:val="00383FF3"/>
    <w:rsid w:val="003958E2"/>
    <w:rsid w:val="00395BAD"/>
    <w:rsid w:val="003A46BB"/>
    <w:rsid w:val="003A4EC7"/>
    <w:rsid w:val="003A6F00"/>
    <w:rsid w:val="003A7295"/>
    <w:rsid w:val="003B1F60"/>
    <w:rsid w:val="003B4424"/>
    <w:rsid w:val="003B7FAE"/>
    <w:rsid w:val="003C2CC4"/>
    <w:rsid w:val="003C74FF"/>
    <w:rsid w:val="003D11AD"/>
    <w:rsid w:val="003D4B23"/>
    <w:rsid w:val="003E0C40"/>
    <w:rsid w:val="003E1458"/>
    <w:rsid w:val="003E278A"/>
    <w:rsid w:val="003F34BD"/>
    <w:rsid w:val="00400FD1"/>
    <w:rsid w:val="00401B28"/>
    <w:rsid w:val="004031CB"/>
    <w:rsid w:val="00413520"/>
    <w:rsid w:val="0041770D"/>
    <w:rsid w:val="00422024"/>
    <w:rsid w:val="00430635"/>
    <w:rsid w:val="004325CB"/>
    <w:rsid w:val="0043780C"/>
    <w:rsid w:val="00440A07"/>
    <w:rsid w:val="004453FE"/>
    <w:rsid w:val="00454D39"/>
    <w:rsid w:val="00456428"/>
    <w:rsid w:val="00457057"/>
    <w:rsid w:val="0045733B"/>
    <w:rsid w:val="00462880"/>
    <w:rsid w:val="00476F24"/>
    <w:rsid w:val="0048768E"/>
    <w:rsid w:val="004920B2"/>
    <w:rsid w:val="00494255"/>
    <w:rsid w:val="00497194"/>
    <w:rsid w:val="004A0AA2"/>
    <w:rsid w:val="004A575C"/>
    <w:rsid w:val="004A6C9B"/>
    <w:rsid w:val="004B09B0"/>
    <w:rsid w:val="004B6706"/>
    <w:rsid w:val="004C1217"/>
    <w:rsid w:val="004C1CAC"/>
    <w:rsid w:val="004C55B0"/>
    <w:rsid w:val="004C7379"/>
    <w:rsid w:val="004C75CD"/>
    <w:rsid w:val="004E25B3"/>
    <w:rsid w:val="004E55EF"/>
    <w:rsid w:val="004F6BA0"/>
    <w:rsid w:val="00500315"/>
    <w:rsid w:val="00502435"/>
    <w:rsid w:val="00503BEA"/>
    <w:rsid w:val="00506F46"/>
    <w:rsid w:val="00513E2B"/>
    <w:rsid w:val="00524C4C"/>
    <w:rsid w:val="00526B0F"/>
    <w:rsid w:val="00527651"/>
    <w:rsid w:val="00533616"/>
    <w:rsid w:val="00535150"/>
    <w:rsid w:val="00535ABA"/>
    <w:rsid w:val="0053768B"/>
    <w:rsid w:val="005420F2"/>
    <w:rsid w:val="0054285C"/>
    <w:rsid w:val="00545601"/>
    <w:rsid w:val="00547E92"/>
    <w:rsid w:val="00555562"/>
    <w:rsid w:val="00560D24"/>
    <w:rsid w:val="005633BD"/>
    <w:rsid w:val="00566C91"/>
    <w:rsid w:val="00566E24"/>
    <w:rsid w:val="00570C67"/>
    <w:rsid w:val="00584173"/>
    <w:rsid w:val="0058591E"/>
    <w:rsid w:val="0059233A"/>
    <w:rsid w:val="00595520"/>
    <w:rsid w:val="005A0B96"/>
    <w:rsid w:val="005A1C7B"/>
    <w:rsid w:val="005A44B9"/>
    <w:rsid w:val="005A67BC"/>
    <w:rsid w:val="005B1BA0"/>
    <w:rsid w:val="005B34D8"/>
    <w:rsid w:val="005B3DB3"/>
    <w:rsid w:val="005B55AF"/>
    <w:rsid w:val="005C01B0"/>
    <w:rsid w:val="005C13E8"/>
    <w:rsid w:val="005C3FB0"/>
    <w:rsid w:val="005C4EB2"/>
    <w:rsid w:val="005C566D"/>
    <w:rsid w:val="005D15CA"/>
    <w:rsid w:val="005D6A31"/>
    <w:rsid w:val="005D7583"/>
    <w:rsid w:val="005E016F"/>
    <w:rsid w:val="005E0B2E"/>
    <w:rsid w:val="005F08DF"/>
    <w:rsid w:val="005F3066"/>
    <w:rsid w:val="005F3E61"/>
    <w:rsid w:val="005F4D30"/>
    <w:rsid w:val="006018E8"/>
    <w:rsid w:val="00603E67"/>
    <w:rsid w:val="00604DDD"/>
    <w:rsid w:val="00610969"/>
    <w:rsid w:val="006115CC"/>
    <w:rsid w:val="006116E6"/>
    <w:rsid w:val="00611FC4"/>
    <w:rsid w:val="00613B39"/>
    <w:rsid w:val="006169FB"/>
    <w:rsid w:val="006176FB"/>
    <w:rsid w:val="00620A3C"/>
    <w:rsid w:val="00624904"/>
    <w:rsid w:val="00630FCB"/>
    <w:rsid w:val="00636B88"/>
    <w:rsid w:val="00640B26"/>
    <w:rsid w:val="00643883"/>
    <w:rsid w:val="0065766B"/>
    <w:rsid w:val="00660948"/>
    <w:rsid w:val="00662346"/>
    <w:rsid w:val="00667E19"/>
    <w:rsid w:val="006770B2"/>
    <w:rsid w:val="00677B3E"/>
    <w:rsid w:val="00683A13"/>
    <w:rsid w:val="00686A48"/>
    <w:rsid w:val="006940E1"/>
    <w:rsid w:val="00694920"/>
    <w:rsid w:val="006A02BA"/>
    <w:rsid w:val="006A1D61"/>
    <w:rsid w:val="006A3C72"/>
    <w:rsid w:val="006A7392"/>
    <w:rsid w:val="006B03A1"/>
    <w:rsid w:val="006B1351"/>
    <w:rsid w:val="006B13CA"/>
    <w:rsid w:val="006B5FD9"/>
    <w:rsid w:val="006B611E"/>
    <w:rsid w:val="006B67D9"/>
    <w:rsid w:val="006C0216"/>
    <w:rsid w:val="006C5535"/>
    <w:rsid w:val="006D0589"/>
    <w:rsid w:val="006D2C42"/>
    <w:rsid w:val="006D6E7B"/>
    <w:rsid w:val="006E13F9"/>
    <w:rsid w:val="006E564B"/>
    <w:rsid w:val="006E59B4"/>
    <w:rsid w:val="006E7154"/>
    <w:rsid w:val="006F23F0"/>
    <w:rsid w:val="006F38FE"/>
    <w:rsid w:val="006F4047"/>
    <w:rsid w:val="007003CD"/>
    <w:rsid w:val="0070701E"/>
    <w:rsid w:val="00720B38"/>
    <w:rsid w:val="007228D3"/>
    <w:rsid w:val="0072632A"/>
    <w:rsid w:val="0073010F"/>
    <w:rsid w:val="007358E8"/>
    <w:rsid w:val="00736ECE"/>
    <w:rsid w:val="00737DC9"/>
    <w:rsid w:val="00744B37"/>
    <w:rsid w:val="0074533B"/>
    <w:rsid w:val="00751746"/>
    <w:rsid w:val="007643BC"/>
    <w:rsid w:val="00765F4B"/>
    <w:rsid w:val="007661F5"/>
    <w:rsid w:val="007741F9"/>
    <w:rsid w:val="00774DE3"/>
    <w:rsid w:val="00775F97"/>
    <w:rsid w:val="00780C68"/>
    <w:rsid w:val="00786D5E"/>
    <w:rsid w:val="007959FE"/>
    <w:rsid w:val="00795B02"/>
    <w:rsid w:val="007A0CF1"/>
    <w:rsid w:val="007A18C1"/>
    <w:rsid w:val="007A7910"/>
    <w:rsid w:val="007A7FA0"/>
    <w:rsid w:val="007B4319"/>
    <w:rsid w:val="007B6BA5"/>
    <w:rsid w:val="007B7140"/>
    <w:rsid w:val="007C1AFA"/>
    <w:rsid w:val="007C3390"/>
    <w:rsid w:val="007C42D8"/>
    <w:rsid w:val="007C4F4B"/>
    <w:rsid w:val="007D7362"/>
    <w:rsid w:val="007D769F"/>
    <w:rsid w:val="007E48F3"/>
    <w:rsid w:val="007E6254"/>
    <w:rsid w:val="007F235D"/>
    <w:rsid w:val="007F2B38"/>
    <w:rsid w:val="007F5CE2"/>
    <w:rsid w:val="007F6611"/>
    <w:rsid w:val="00800D33"/>
    <w:rsid w:val="0080216F"/>
    <w:rsid w:val="00805FE3"/>
    <w:rsid w:val="0081067A"/>
    <w:rsid w:val="00810BAC"/>
    <w:rsid w:val="008175E9"/>
    <w:rsid w:val="00821DA8"/>
    <w:rsid w:val="008242D7"/>
    <w:rsid w:val="0082577B"/>
    <w:rsid w:val="0082692B"/>
    <w:rsid w:val="00830CCA"/>
    <w:rsid w:val="008535FF"/>
    <w:rsid w:val="00862995"/>
    <w:rsid w:val="00865A74"/>
    <w:rsid w:val="00866893"/>
    <w:rsid w:val="00866F02"/>
    <w:rsid w:val="00867D18"/>
    <w:rsid w:val="00871F9A"/>
    <w:rsid w:val="00871FD5"/>
    <w:rsid w:val="0088172E"/>
    <w:rsid w:val="00881EFA"/>
    <w:rsid w:val="008879CB"/>
    <w:rsid w:val="00891A4B"/>
    <w:rsid w:val="008950ED"/>
    <w:rsid w:val="008951C8"/>
    <w:rsid w:val="008974AA"/>
    <w:rsid w:val="008979B1"/>
    <w:rsid w:val="008A0100"/>
    <w:rsid w:val="008A105B"/>
    <w:rsid w:val="008A1CDC"/>
    <w:rsid w:val="008A310E"/>
    <w:rsid w:val="008A6635"/>
    <w:rsid w:val="008A6B25"/>
    <w:rsid w:val="008A6C4F"/>
    <w:rsid w:val="008A76C4"/>
    <w:rsid w:val="008B389E"/>
    <w:rsid w:val="008B5973"/>
    <w:rsid w:val="008B6E42"/>
    <w:rsid w:val="008C4835"/>
    <w:rsid w:val="008D045E"/>
    <w:rsid w:val="008D3354"/>
    <w:rsid w:val="008D3F25"/>
    <w:rsid w:val="008D4D82"/>
    <w:rsid w:val="008E0E46"/>
    <w:rsid w:val="008E4DD5"/>
    <w:rsid w:val="008E7116"/>
    <w:rsid w:val="008F143B"/>
    <w:rsid w:val="008F3882"/>
    <w:rsid w:val="008F4499"/>
    <w:rsid w:val="008F4B7C"/>
    <w:rsid w:val="008F7AD9"/>
    <w:rsid w:val="00900D30"/>
    <w:rsid w:val="00906A76"/>
    <w:rsid w:val="009109FD"/>
    <w:rsid w:val="00911006"/>
    <w:rsid w:val="00916A87"/>
    <w:rsid w:val="00920C93"/>
    <w:rsid w:val="00925D29"/>
    <w:rsid w:val="00925DB2"/>
    <w:rsid w:val="009268D2"/>
    <w:rsid w:val="00926E47"/>
    <w:rsid w:val="00933C6E"/>
    <w:rsid w:val="00933D68"/>
    <w:rsid w:val="009368B4"/>
    <w:rsid w:val="00941162"/>
    <w:rsid w:val="00946C28"/>
    <w:rsid w:val="00947162"/>
    <w:rsid w:val="00947777"/>
    <w:rsid w:val="00952E43"/>
    <w:rsid w:val="009603A5"/>
    <w:rsid w:val="009610D0"/>
    <w:rsid w:val="0096375C"/>
    <w:rsid w:val="00964EC3"/>
    <w:rsid w:val="009662E6"/>
    <w:rsid w:val="0096777C"/>
    <w:rsid w:val="0097095E"/>
    <w:rsid w:val="00970D73"/>
    <w:rsid w:val="00974C03"/>
    <w:rsid w:val="00977484"/>
    <w:rsid w:val="00980239"/>
    <w:rsid w:val="0098141B"/>
    <w:rsid w:val="009822AC"/>
    <w:rsid w:val="0098592B"/>
    <w:rsid w:val="00985FC4"/>
    <w:rsid w:val="00987197"/>
    <w:rsid w:val="00990766"/>
    <w:rsid w:val="00991261"/>
    <w:rsid w:val="009912B5"/>
    <w:rsid w:val="0099551A"/>
    <w:rsid w:val="00995F45"/>
    <w:rsid w:val="009964C4"/>
    <w:rsid w:val="009A2E32"/>
    <w:rsid w:val="009A7B81"/>
    <w:rsid w:val="009B1F85"/>
    <w:rsid w:val="009B480C"/>
    <w:rsid w:val="009B6F8B"/>
    <w:rsid w:val="009C22D9"/>
    <w:rsid w:val="009C245D"/>
    <w:rsid w:val="009C3B36"/>
    <w:rsid w:val="009C54DC"/>
    <w:rsid w:val="009D01C0"/>
    <w:rsid w:val="009D42E8"/>
    <w:rsid w:val="009D6A08"/>
    <w:rsid w:val="009D72CA"/>
    <w:rsid w:val="009E0A16"/>
    <w:rsid w:val="009E6CB7"/>
    <w:rsid w:val="009E7970"/>
    <w:rsid w:val="009F215A"/>
    <w:rsid w:val="009F2EAC"/>
    <w:rsid w:val="009F57E3"/>
    <w:rsid w:val="00A05149"/>
    <w:rsid w:val="00A10F4F"/>
    <w:rsid w:val="00A11067"/>
    <w:rsid w:val="00A1704A"/>
    <w:rsid w:val="00A33F67"/>
    <w:rsid w:val="00A375EC"/>
    <w:rsid w:val="00A37B39"/>
    <w:rsid w:val="00A425EB"/>
    <w:rsid w:val="00A50DC5"/>
    <w:rsid w:val="00A51820"/>
    <w:rsid w:val="00A66932"/>
    <w:rsid w:val="00A66E77"/>
    <w:rsid w:val="00A715B6"/>
    <w:rsid w:val="00A725BF"/>
    <w:rsid w:val="00A72F22"/>
    <w:rsid w:val="00A733BC"/>
    <w:rsid w:val="00A748A6"/>
    <w:rsid w:val="00A76A69"/>
    <w:rsid w:val="00A80A27"/>
    <w:rsid w:val="00A879A4"/>
    <w:rsid w:val="00A9769E"/>
    <w:rsid w:val="00AA0FF8"/>
    <w:rsid w:val="00AA63BF"/>
    <w:rsid w:val="00AA7F14"/>
    <w:rsid w:val="00AB134D"/>
    <w:rsid w:val="00AC0F2C"/>
    <w:rsid w:val="00AC502A"/>
    <w:rsid w:val="00AC7516"/>
    <w:rsid w:val="00AC75B7"/>
    <w:rsid w:val="00AC776A"/>
    <w:rsid w:val="00AD1E81"/>
    <w:rsid w:val="00AD5224"/>
    <w:rsid w:val="00AD68E0"/>
    <w:rsid w:val="00AE3044"/>
    <w:rsid w:val="00AE3443"/>
    <w:rsid w:val="00AE67A8"/>
    <w:rsid w:val="00AF58C1"/>
    <w:rsid w:val="00B0152A"/>
    <w:rsid w:val="00B04A3F"/>
    <w:rsid w:val="00B06643"/>
    <w:rsid w:val="00B105AE"/>
    <w:rsid w:val="00B15055"/>
    <w:rsid w:val="00B17F9E"/>
    <w:rsid w:val="00B20551"/>
    <w:rsid w:val="00B23A30"/>
    <w:rsid w:val="00B30179"/>
    <w:rsid w:val="00B33898"/>
    <w:rsid w:val="00B33FC7"/>
    <w:rsid w:val="00B37B15"/>
    <w:rsid w:val="00B40290"/>
    <w:rsid w:val="00B423E4"/>
    <w:rsid w:val="00B45943"/>
    <w:rsid w:val="00B45AC8"/>
    <w:rsid w:val="00B45C02"/>
    <w:rsid w:val="00B4683E"/>
    <w:rsid w:val="00B5117E"/>
    <w:rsid w:val="00B534FB"/>
    <w:rsid w:val="00B6009D"/>
    <w:rsid w:val="00B61CE5"/>
    <w:rsid w:val="00B62F65"/>
    <w:rsid w:val="00B70B63"/>
    <w:rsid w:val="00B72A1E"/>
    <w:rsid w:val="00B7404C"/>
    <w:rsid w:val="00B8105F"/>
    <w:rsid w:val="00B816F7"/>
    <w:rsid w:val="00B81E12"/>
    <w:rsid w:val="00B95A09"/>
    <w:rsid w:val="00BA0439"/>
    <w:rsid w:val="00BA0C02"/>
    <w:rsid w:val="00BA339B"/>
    <w:rsid w:val="00BB6BEC"/>
    <w:rsid w:val="00BC1E7E"/>
    <w:rsid w:val="00BC3BE9"/>
    <w:rsid w:val="00BC74E9"/>
    <w:rsid w:val="00BD00BA"/>
    <w:rsid w:val="00BD2307"/>
    <w:rsid w:val="00BD519A"/>
    <w:rsid w:val="00BE1EA4"/>
    <w:rsid w:val="00BE36A9"/>
    <w:rsid w:val="00BE398D"/>
    <w:rsid w:val="00BE618E"/>
    <w:rsid w:val="00BE7BEC"/>
    <w:rsid w:val="00BF071A"/>
    <w:rsid w:val="00BF0A5A"/>
    <w:rsid w:val="00BF0E63"/>
    <w:rsid w:val="00BF12A3"/>
    <w:rsid w:val="00BF13B9"/>
    <w:rsid w:val="00BF15AF"/>
    <w:rsid w:val="00BF16D7"/>
    <w:rsid w:val="00BF2373"/>
    <w:rsid w:val="00C01DBD"/>
    <w:rsid w:val="00C044E2"/>
    <w:rsid w:val="00C048CB"/>
    <w:rsid w:val="00C06575"/>
    <w:rsid w:val="00C066F3"/>
    <w:rsid w:val="00C06D6A"/>
    <w:rsid w:val="00C11CDD"/>
    <w:rsid w:val="00C120F2"/>
    <w:rsid w:val="00C14EA4"/>
    <w:rsid w:val="00C172C8"/>
    <w:rsid w:val="00C26233"/>
    <w:rsid w:val="00C31337"/>
    <w:rsid w:val="00C31681"/>
    <w:rsid w:val="00C3268B"/>
    <w:rsid w:val="00C35AD0"/>
    <w:rsid w:val="00C463DD"/>
    <w:rsid w:val="00C5379E"/>
    <w:rsid w:val="00C555B8"/>
    <w:rsid w:val="00C6124E"/>
    <w:rsid w:val="00C61A27"/>
    <w:rsid w:val="00C63266"/>
    <w:rsid w:val="00C63E18"/>
    <w:rsid w:val="00C6530C"/>
    <w:rsid w:val="00C72190"/>
    <w:rsid w:val="00C745C3"/>
    <w:rsid w:val="00C81E40"/>
    <w:rsid w:val="00C84EF4"/>
    <w:rsid w:val="00C87E24"/>
    <w:rsid w:val="00C9404B"/>
    <w:rsid w:val="00C978F5"/>
    <w:rsid w:val="00CA24A4"/>
    <w:rsid w:val="00CB348D"/>
    <w:rsid w:val="00CB5006"/>
    <w:rsid w:val="00CB6555"/>
    <w:rsid w:val="00CC65C9"/>
    <w:rsid w:val="00CD009C"/>
    <w:rsid w:val="00CD090F"/>
    <w:rsid w:val="00CD0EC1"/>
    <w:rsid w:val="00CD13DD"/>
    <w:rsid w:val="00CD46F5"/>
    <w:rsid w:val="00CD479E"/>
    <w:rsid w:val="00CD5449"/>
    <w:rsid w:val="00CD60AC"/>
    <w:rsid w:val="00CE4A8F"/>
    <w:rsid w:val="00CE6712"/>
    <w:rsid w:val="00CF0011"/>
    <w:rsid w:val="00CF071D"/>
    <w:rsid w:val="00D0123D"/>
    <w:rsid w:val="00D02B0E"/>
    <w:rsid w:val="00D05049"/>
    <w:rsid w:val="00D15B04"/>
    <w:rsid w:val="00D2031B"/>
    <w:rsid w:val="00D20CE1"/>
    <w:rsid w:val="00D25FE2"/>
    <w:rsid w:val="00D31DE0"/>
    <w:rsid w:val="00D37DA9"/>
    <w:rsid w:val="00D406A7"/>
    <w:rsid w:val="00D43252"/>
    <w:rsid w:val="00D44D86"/>
    <w:rsid w:val="00D45DA0"/>
    <w:rsid w:val="00D50B7D"/>
    <w:rsid w:val="00D52012"/>
    <w:rsid w:val="00D55493"/>
    <w:rsid w:val="00D57D04"/>
    <w:rsid w:val="00D63F62"/>
    <w:rsid w:val="00D704E5"/>
    <w:rsid w:val="00D72727"/>
    <w:rsid w:val="00D7486F"/>
    <w:rsid w:val="00D77EE2"/>
    <w:rsid w:val="00D922A3"/>
    <w:rsid w:val="00D978C6"/>
    <w:rsid w:val="00DA06BA"/>
    <w:rsid w:val="00DA0956"/>
    <w:rsid w:val="00DA1766"/>
    <w:rsid w:val="00DA3272"/>
    <w:rsid w:val="00DA357F"/>
    <w:rsid w:val="00DA3E12"/>
    <w:rsid w:val="00DA5336"/>
    <w:rsid w:val="00DA545A"/>
    <w:rsid w:val="00DA5948"/>
    <w:rsid w:val="00DB5AEA"/>
    <w:rsid w:val="00DB74FE"/>
    <w:rsid w:val="00DB7AA6"/>
    <w:rsid w:val="00DC18AD"/>
    <w:rsid w:val="00DD0BFF"/>
    <w:rsid w:val="00DD5550"/>
    <w:rsid w:val="00DE1BCC"/>
    <w:rsid w:val="00DF61DE"/>
    <w:rsid w:val="00DF7CAE"/>
    <w:rsid w:val="00DF7F7D"/>
    <w:rsid w:val="00E10765"/>
    <w:rsid w:val="00E1425B"/>
    <w:rsid w:val="00E226B4"/>
    <w:rsid w:val="00E22D5B"/>
    <w:rsid w:val="00E23EB6"/>
    <w:rsid w:val="00E24586"/>
    <w:rsid w:val="00E277FB"/>
    <w:rsid w:val="00E339C7"/>
    <w:rsid w:val="00E37D87"/>
    <w:rsid w:val="00E41634"/>
    <w:rsid w:val="00E423C0"/>
    <w:rsid w:val="00E4440C"/>
    <w:rsid w:val="00E4753A"/>
    <w:rsid w:val="00E61AF1"/>
    <w:rsid w:val="00E62DF9"/>
    <w:rsid w:val="00E637B3"/>
    <w:rsid w:val="00E6414C"/>
    <w:rsid w:val="00E66A41"/>
    <w:rsid w:val="00E71140"/>
    <w:rsid w:val="00E71611"/>
    <w:rsid w:val="00E7260F"/>
    <w:rsid w:val="00E72735"/>
    <w:rsid w:val="00E75AE1"/>
    <w:rsid w:val="00E778EF"/>
    <w:rsid w:val="00E8702D"/>
    <w:rsid w:val="00E905F4"/>
    <w:rsid w:val="00E916A9"/>
    <w:rsid w:val="00E916DE"/>
    <w:rsid w:val="00E925AD"/>
    <w:rsid w:val="00E92C86"/>
    <w:rsid w:val="00E96630"/>
    <w:rsid w:val="00EA42C1"/>
    <w:rsid w:val="00EB2D94"/>
    <w:rsid w:val="00EC00FB"/>
    <w:rsid w:val="00EC2AD5"/>
    <w:rsid w:val="00ED18DC"/>
    <w:rsid w:val="00ED3468"/>
    <w:rsid w:val="00ED6201"/>
    <w:rsid w:val="00ED7A2A"/>
    <w:rsid w:val="00EE2E61"/>
    <w:rsid w:val="00EF1D7F"/>
    <w:rsid w:val="00EF4A03"/>
    <w:rsid w:val="00F0137E"/>
    <w:rsid w:val="00F03E94"/>
    <w:rsid w:val="00F112C6"/>
    <w:rsid w:val="00F1558F"/>
    <w:rsid w:val="00F21786"/>
    <w:rsid w:val="00F3378A"/>
    <w:rsid w:val="00F3742B"/>
    <w:rsid w:val="00F41FDB"/>
    <w:rsid w:val="00F44FCB"/>
    <w:rsid w:val="00F46874"/>
    <w:rsid w:val="00F46F43"/>
    <w:rsid w:val="00F54205"/>
    <w:rsid w:val="00F56D63"/>
    <w:rsid w:val="00F609A9"/>
    <w:rsid w:val="00F61407"/>
    <w:rsid w:val="00F62077"/>
    <w:rsid w:val="00F65C07"/>
    <w:rsid w:val="00F7267B"/>
    <w:rsid w:val="00F80C99"/>
    <w:rsid w:val="00F850AC"/>
    <w:rsid w:val="00F85574"/>
    <w:rsid w:val="00F867EC"/>
    <w:rsid w:val="00F91B2B"/>
    <w:rsid w:val="00F92E19"/>
    <w:rsid w:val="00F976DB"/>
    <w:rsid w:val="00FA2C33"/>
    <w:rsid w:val="00FB3617"/>
    <w:rsid w:val="00FC0035"/>
    <w:rsid w:val="00FC03CD"/>
    <w:rsid w:val="00FC0646"/>
    <w:rsid w:val="00FC68B7"/>
    <w:rsid w:val="00FC6CA8"/>
    <w:rsid w:val="00FE4AFA"/>
    <w:rsid w:val="00FE6985"/>
    <w:rsid w:val="00FF09E2"/>
    <w:rsid w:val="00FF1A52"/>
    <w:rsid w:val="00FF2A1D"/>
    <w:rsid w:val="00FF3435"/>
    <w:rsid w:val="00FF36AC"/>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uiPriority w:val="9"/>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FooterChar">
    <w:name w:val="Footer Char"/>
    <w:aliases w:val="3_G Char"/>
    <w:basedOn w:val="DefaultParagraphFont"/>
    <w:link w:val="Footer"/>
    <w:rsid w:val="00377B40"/>
    <w:rPr>
      <w:sz w:val="16"/>
      <w:lang w:eastAsia="fr-FR"/>
    </w:rPr>
  </w:style>
  <w:style w:type="character" w:customStyle="1" w:styleId="Heading5Char">
    <w:name w:val="Heading 5 Char"/>
    <w:basedOn w:val="DefaultParagraphFont"/>
    <w:link w:val="Heading5"/>
    <w:uiPriority w:val="9"/>
    <w:rsid w:val="00377B40"/>
    <w:rPr>
      <w:lang w:eastAsia="fr-FR"/>
    </w:rPr>
  </w:style>
  <w:style w:type="paragraph" w:customStyle="1" w:styleId="OJCR1cmparagr">
    <w:name w:val="OJCR_1cm_paragr"/>
    <w:link w:val="OJCR1cmparagrCar"/>
    <w:qFormat/>
    <w:rsid w:val="00377B40"/>
    <w:pPr>
      <w:spacing w:before="220" w:line="240" w:lineRule="atLeast"/>
      <w:ind w:left="567"/>
      <w:jc w:val="both"/>
    </w:pPr>
    <w:rPr>
      <w:rFonts w:ascii="Arial" w:eastAsiaTheme="minorHAnsi" w:hAnsi="Arial" w:cstheme="minorBidi"/>
      <w:szCs w:val="22"/>
      <w:lang w:val="fr-FR" w:eastAsia="en-US"/>
    </w:rPr>
  </w:style>
  <w:style w:type="character" w:customStyle="1" w:styleId="OJCR1cmparagrCar">
    <w:name w:val="OJCR_1cm_paragr Car"/>
    <w:basedOn w:val="DefaultParagraphFont"/>
    <w:link w:val="OJCR1cmparagr"/>
    <w:rsid w:val="00377B40"/>
    <w:rPr>
      <w:rFonts w:ascii="Arial" w:eastAsiaTheme="minorHAnsi" w:hAnsi="Arial" w:cstheme="minorBidi"/>
      <w:szCs w:val="22"/>
      <w:lang w:val="fr-FR" w:eastAsia="en-US"/>
    </w:rPr>
  </w:style>
  <w:style w:type="paragraph" w:customStyle="1" w:styleId="Retrait1cmchiffrenongras">
    <w:name w:val="Retrait_1cm_chiffre_non_gras"/>
    <w:link w:val="Retrait1cmchiffrenongrasCar"/>
    <w:qFormat/>
    <w:rsid w:val="00377B40"/>
    <w:pPr>
      <w:numPr>
        <w:numId w:val="26"/>
      </w:numPr>
      <w:spacing w:before="220" w:line="240" w:lineRule="atLeast"/>
      <w:jc w:val="both"/>
      <w:outlineLvl w:val="0"/>
    </w:pPr>
    <w:rPr>
      <w:rFonts w:ascii="Arial" w:eastAsiaTheme="minorHAnsi" w:hAnsi="Arial" w:cstheme="minorBidi"/>
      <w:szCs w:val="22"/>
      <w:lang w:val="fr-FR" w:eastAsia="en-US"/>
    </w:rPr>
  </w:style>
  <w:style w:type="character" w:customStyle="1" w:styleId="Retrait1cmchiffrenongrasCar">
    <w:name w:val="Retrait_1cm_chiffre_non_gras Car"/>
    <w:basedOn w:val="DefaultParagraphFont"/>
    <w:link w:val="Retrait1cmchiffrenongras"/>
    <w:rsid w:val="00377B40"/>
    <w:rPr>
      <w:rFonts w:ascii="Arial" w:eastAsiaTheme="minorHAnsi" w:hAnsi="Arial" w:cstheme="minorBidi"/>
      <w:szCs w:val="22"/>
      <w:lang w:val="fr-FR" w:eastAsia="en-US"/>
    </w:rPr>
  </w:style>
  <w:style w:type="paragraph" w:customStyle="1" w:styleId="Retrait1cmlettrenongras">
    <w:name w:val="Retrait_1cm_lettre_non_gras"/>
    <w:link w:val="Retrait1cmlettrenongrasCar"/>
    <w:qFormat/>
    <w:rsid w:val="00377B40"/>
    <w:pPr>
      <w:numPr>
        <w:ilvl w:val="1"/>
        <w:numId w:val="26"/>
      </w:numPr>
      <w:spacing w:before="60" w:line="240" w:lineRule="atLeast"/>
      <w:jc w:val="both"/>
      <w:outlineLvl w:val="1"/>
    </w:pPr>
    <w:rPr>
      <w:rFonts w:ascii="Arial" w:eastAsiaTheme="minorHAnsi" w:hAnsi="Arial" w:cstheme="minorBidi"/>
      <w:szCs w:val="22"/>
      <w:lang w:val="fr-FR" w:eastAsia="en-US"/>
    </w:rPr>
  </w:style>
  <w:style w:type="character" w:customStyle="1" w:styleId="Retrait1cmlettrenongrasCar">
    <w:name w:val="Retrait_1cm_lettre_non_gras Car"/>
    <w:basedOn w:val="DefaultParagraphFont"/>
    <w:link w:val="Retrait1cmlettrenongras"/>
    <w:rsid w:val="00377B40"/>
    <w:rPr>
      <w:rFonts w:ascii="Arial" w:eastAsiaTheme="minorHAnsi" w:hAnsi="Arial" w:cstheme="minorBidi"/>
      <w:szCs w:val="22"/>
      <w:lang w:val="fr-FR" w:eastAsia="en-US"/>
    </w:rPr>
  </w:style>
  <w:style w:type="character" w:customStyle="1" w:styleId="ui-provider">
    <w:name w:val="ui-provider"/>
    <w:basedOn w:val="DefaultParagraphFont"/>
    <w:rsid w:val="001A7197"/>
  </w:style>
  <w:style w:type="table" w:customStyle="1" w:styleId="Grilledutableau3">
    <w:name w:val="Grille du tableau3"/>
    <w:basedOn w:val="TableNormal"/>
    <w:next w:val="TableGrid"/>
    <w:uiPriority w:val="39"/>
    <w:rsid w:val="004920B2"/>
    <w:pPr>
      <w:jc w:val="both"/>
    </w:pPr>
    <w:rPr>
      <w:rFonts w:ascii="Calibri" w:eastAsia="Calibri" w:hAnsi="Calibr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D8225-5BEF-4727-B0B5-6199FBF90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BD40BC76-6A38-4B93-ACF4-3C294CDC5F30}">
  <ds:schemaRefs>
    <ds:schemaRef ds:uri="http://schemas.microsoft.com/sharepoint/v3/contenttype/forms"/>
  </ds:schemaRefs>
</ds:datastoreItem>
</file>

<file path=customXml/itemProps4.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1958</Words>
  <Characters>11166</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ND</cp:lastModifiedBy>
  <cp:revision>16</cp:revision>
  <cp:lastPrinted>2023-01-25T20:50:00Z</cp:lastPrinted>
  <dcterms:created xsi:type="dcterms:W3CDTF">2023-07-06T15:49:00Z</dcterms:created>
  <dcterms:modified xsi:type="dcterms:W3CDTF">2023-07-07T14:34:00Z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