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F5A95" w14:paraId="535F4D0C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0A8A0F" w14:textId="77777777" w:rsidR="002F5A95" w:rsidRPr="002F5A95" w:rsidRDefault="002F5A95" w:rsidP="002F5A95">
            <w:pPr>
              <w:jc w:val="right"/>
              <w:rPr>
                <w:lang w:val="en-US"/>
              </w:rPr>
            </w:pPr>
            <w:r w:rsidRPr="002F5A95">
              <w:rPr>
                <w:sz w:val="40"/>
                <w:lang w:val="en-US"/>
              </w:rPr>
              <w:t>E</w:t>
            </w:r>
            <w:r w:rsidRPr="002F5A95">
              <w:rPr>
                <w:lang w:val="en-US"/>
              </w:rPr>
              <w:t>/ECE/324/Rev.2/Add.136/Rev.2/Amend.1−</w:t>
            </w:r>
            <w:r w:rsidRPr="002F5A95">
              <w:rPr>
                <w:sz w:val="40"/>
                <w:lang w:val="en-US"/>
              </w:rPr>
              <w:t>E</w:t>
            </w:r>
            <w:r w:rsidRPr="002F5A95">
              <w:rPr>
                <w:lang w:val="en-US"/>
              </w:rPr>
              <w:t>/ECE/TRANS/505/Rev.2/Add.136/Rev.2/Amend.1</w:t>
            </w:r>
          </w:p>
        </w:tc>
      </w:tr>
      <w:tr w:rsidR="00421A10" w:rsidRPr="00DB58B5" w14:paraId="40FF741A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1B98E8" w14:textId="77777777" w:rsidR="00421A10" w:rsidRPr="002F5A95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C5C410" w14:textId="4F0F4B0F" w:rsidR="00421A10" w:rsidRPr="00DB58B5" w:rsidRDefault="002F5A95" w:rsidP="002F5A95">
            <w:pPr>
              <w:spacing w:before="840" w:line="240" w:lineRule="exact"/>
            </w:pPr>
            <w:r>
              <w:t>21 mars 2022</w:t>
            </w:r>
          </w:p>
        </w:tc>
      </w:tr>
    </w:tbl>
    <w:p w14:paraId="2315DE9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9082157" w14:textId="0B1184DA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2F5A95" w:rsidRPr="00CD1289">
        <w:rPr>
          <w:lang w:val="fr-FR"/>
        </w:rPr>
        <w:t>de Règlements techniques harmonisés de l</w:t>
      </w:r>
      <w:r w:rsidR="002F5A95">
        <w:rPr>
          <w:b w:val="0"/>
          <w:lang w:val="fr-FR"/>
        </w:rPr>
        <w:t>’</w:t>
      </w:r>
      <w:r w:rsidR="002F5A95" w:rsidRPr="00CD1289">
        <w:rPr>
          <w:lang w:val="fr-FR"/>
        </w:rPr>
        <w:t xml:space="preserve">ONU </w:t>
      </w:r>
      <w:r w:rsidR="002F5A95" w:rsidRPr="002F5A95">
        <w:rPr>
          <w:spacing w:val="-4"/>
          <w:lang w:val="fr-FR"/>
        </w:rPr>
        <w:t>applicables aux véhicules à roues et aux équipements et pièces susceptibles</w:t>
      </w:r>
      <w:r w:rsidR="002F5A95" w:rsidRPr="00CD1289">
        <w:rPr>
          <w:lang w:val="fr-FR"/>
        </w:rPr>
        <w:t xml:space="preserve"> d</w:t>
      </w:r>
      <w:r w:rsidR="002F5A95">
        <w:rPr>
          <w:b w:val="0"/>
          <w:lang w:val="fr-FR"/>
        </w:rPr>
        <w:t>’</w:t>
      </w:r>
      <w:r w:rsidR="002F5A95" w:rsidRPr="00CD1289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2F5A9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7F3D714" w14:textId="5A55CF6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</w:t>
      </w:r>
      <w:r w:rsidR="002F5A95">
        <w:t>n </w:t>
      </w:r>
      <w:r w:rsidR="002F5A95" w:rsidRPr="00CD1289">
        <w:rPr>
          <w:lang w:val="fr-FR"/>
        </w:rPr>
        <w:t>3, comprenant les amendements entrés en vigueur le 14</w:t>
      </w:r>
      <w:r w:rsidR="002F5A95">
        <w:rPr>
          <w:lang w:val="fr-FR"/>
        </w:rPr>
        <w:t> </w:t>
      </w:r>
      <w:r w:rsidR="002F5A95" w:rsidRPr="00CD1289">
        <w:rPr>
          <w:lang w:val="fr-FR"/>
        </w:rPr>
        <w:t>septembre 2017</w:t>
      </w:r>
      <w:r w:rsidR="002F5A95" w:rsidRPr="00866CBB">
        <w:rPr>
          <w:lang w:val="fr-FR"/>
        </w:rPr>
        <w:t>)</w:t>
      </w:r>
      <w:r w:rsidRPr="006549FF">
        <w:t>)</w:t>
      </w:r>
    </w:p>
    <w:p w14:paraId="108EF741" w14:textId="77777777" w:rsidR="00421A10" w:rsidRPr="006549FF" w:rsidRDefault="0029791D" w:rsidP="0029791D">
      <w:pPr>
        <w:jc w:val="center"/>
      </w:pPr>
      <w:r>
        <w:t>_______________</w:t>
      </w:r>
    </w:p>
    <w:p w14:paraId="57B03C0C" w14:textId="7CEDAAF9" w:rsidR="00421A10" w:rsidRPr="006549FF" w:rsidRDefault="0029791D" w:rsidP="00CB5083">
      <w:pPr>
        <w:pStyle w:val="HChG"/>
        <w:spacing w:before="320" w:after="200"/>
      </w:pPr>
      <w:r>
        <w:tab/>
      </w:r>
      <w:r>
        <w:tab/>
      </w:r>
      <w:r w:rsidR="00421A10" w:rsidRPr="006549FF">
        <w:t>Additif</w:t>
      </w:r>
      <w:r w:rsidR="002F5A95">
        <w:t> 136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F5A95">
        <w:t>137</w:t>
      </w:r>
    </w:p>
    <w:p w14:paraId="1EFC847C" w14:textId="7A48E828" w:rsidR="00421A10" w:rsidRPr="006549FF" w:rsidRDefault="0029791D" w:rsidP="00CB5083">
      <w:pPr>
        <w:pStyle w:val="H1G"/>
        <w:spacing w:before="320" w:after="200" w:line="230" w:lineRule="exact"/>
      </w:pPr>
      <w:r>
        <w:tab/>
      </w:r>
      <w:r>
        <w:tab/>
      </w:r>
      <w:r w:rsidR="00421A10" w:rsidRPr="006549FF">
        <w:t>Révision</w:t>
      </w:r>
      <w:r w:rsidR="002F5A95">
        <w:t> 2 − Amendement 1</w:t>
      </w:r>
    </w:p>
    <w:p w14:paraId="587340A4" w14:textId="365E005A" w:rsidR="00421A10" w:rsidRPr="004A7E44" w:rsidRDefault="002F5A95" w:rsidP="0029791D">
      <w:pPr>
        <w:pStyle w:val="SingleTxtG"/>
        <w:spacing w:after="0"/>
      </w:pPr>
      <w:r w:rsidRPr="00CD1289">
        <w:rPr>
          <w:lang w:val="fr-FR"/>
        </w:rPr>
        <w:t>Complément</w:t>
      </w:r>
      <w:r>
        <w:rPr>
          <w:lang w:val="fr-FR"/>
        </w:rPr>
        <w:t> </w:t>
      </w:r>
      <w:r w:rsidRPr="00866CBB">
        <w:rPr>
          <w:lang w:val="fr-FR"/>
        </w:rPr>
        <w:t xml:space="preserve">1 </w:t>
      </w:r>
      <w:r w:rsidRPr="00CD1289">
        <w:rPr>
          <w:lang w:val="fr-FR"/>
        </w:rPr>
        <w:t>à la série</w:t>
      </w:r>
      <w:r>
        <w:rPr>
          <w:lang w:val="fr-FR"/>
        </w:rPr>
        <w:t> </w:t>
      </w:r>
      <w:r w:rsidRPr="00866CBB">
        <w:rPr>
          <w:lang w:val="fr-FR"/>
        </w:rPr>
        <w:t xml:space="preserve">02 </w:t>
      </w:r>
      <w:r w:rsidRPr="00CD1289">
        <w:rPr>
          <w:lang w:val="fr-FR"/>
        </w:rPr>
        <w:t>d</w:t>
      </w:r>
      <w:r>
        <w:rPr>
          <w:lang w:val="fr-FR"/>
        </w:rPr>
        <w:t>’</w:t>
      </w:r>
      <w:r w:rsidRPr="00866CBB">
        <w:rPr>
          <w:lang w:val="fr-FR"/>
        </w:rPr>
        <w:t>amend</w:t>
      </w:r>
      <w:r w:rsidRPr="00CD1289">
        <w:rPr>
          <w:lang w:val="fr-FR"/>
        </w:rPr>
        <w:t>e</w:t>
      </w:r>
      <w:r w:rsidRPr="00866CBB">
        <w:rPr>
          <w:lang w:val="fr-FR"/>
        </w:rPr>
        <w:t xml:space="preserve">ments </w:t>
      </w:r>
      <w:r>
        <w:rPr>
          <w:lang w:val="fr-FR"/>
        </w:rPr>
        <w:t>−</w:t>
      </w:r>
      <w:r w:rsidRPr="00866CBB">
        <w:rPr>
          <w:lang w:val="fr-FR"/>
        </w:rPr>
        <w:t xml:space="preserve"> Date </w:t>
      </w:r>
      <w:r w:rsidRPr="00CD1289">
        <w:rPr>
          <w:lang w:val="fr-FR"/>
        </w:rPr>
        <w:t>d</w:t>
      </w:r>
      <w:r>
        <w:rPr>
          <w:lang w:val="fr-FR"/>
        </w:rPr>
        <w:t>’</w:t>
      </w:r>
      <w:r w:rsidRPr="00CD1289">
        <w:rPr>
          <w:lang w:val="fr-FR"/>
        </w:rPr>
        <w:t>entrée en vigueur :</w:t>
      </w:r>
      <w:r w:rsidRPr="00866CBB">
        <w:rPr>
          <w:lang w:val="fr-FR"/>
        </w:rPr>
        <w:t xml:space="preserve"> 7</w:t>
      </w:r>
      <w:r>
        <w:rPr>
          <w:lang w:val="fr-FR"/>
        </w:rPr>
        <w:t> </w:t>
      </w:r>
      <w:r w:rsidRPr="00CD1289">
        <w:rPr>
          <w:lang w:val="fr-FR"/>
        </w:rPr>
        <w:t>janvier</w:t>
      </w:r>
      <w:r w:rsidRPr="00866CBB">
        <w:rPr>
          <w:lang w:val="fr-FR"/>
        </w:rPr>
        <w:t xml:space="preserve"> 2022</w:t>
      </w:r>
    </w:p>
    <w:p w14:paraId="53C225B3" w14:textId="7B7DA8B8" w:rsidR="002F5A95" w:rsidRPr="00866CBB" w:rsidRDefault="0029791D" w:rsidP="002F5A95">
      <w:pPr>
        <w:pStyle w:val="H1G"/>
        <w:rPr>
          <w:lang w:val="fr-FR"/>
        </w:rPr>
      </w:pPr>
      <w:r>
        <w:tab/>
      </w:r>
      <w:r>
        <w:tab/>
      </w:r>
      <w:r w:rsidR="00421A10" w:rsidRPr="007619D3">
        <w:t xml:space="preserve">Prescriptions uniformes </w:t>
      </w:r>
      <w:r w:rsidR="00421A10" w:rsidRPr="002F5A95">
        <w:rPr>
          <w:spacing w:val="-4"/>
          <w:lang w:eastAsia="en-GB"/>
        </w:rPr>
        <w:t>relatives</w:t>
      </w:r>
      <w:r w:rsidR="00421A10" w:rsidRPr="007619D3">
        <w:t xml:space="preserve"> </w:t>
      </w:r>
      <w:r w:rsidR="002F5A95" w:rsidRPr="00CD1289">
        <w:rPr>
          <w:bCs/>
          <w:szCs w:val="24"/>
        </w:rPr>
        <w:t>à l</w:t>
      </w:r>
      <w:r w:rsidR="002F5A95">
        <w:rPr>
          <w:b w:val="0"/>
          <w:bCs/>
          <w:szCs w:val="24"/>
        </w:rPr>
        <w:t>’</w:t>
      </w:r>
      <w:r w:rsidR="002F5A95" w:rsidRPr="00CD1289">
        <w:rPr>
          <w:bCs/>
          <w:szCs w:val="24"/>
        </w:rPr>
        <w:t>homologation des voitures particulières en cas de choc avant, l</w:t>
      </w:r>
      <w:r w:rsidR="002F5A95">
        <w:rPr>
          <w:b w:val="0"/>
          <w:bCs/>
          <w:szCs w:val="24"/>
        </w:rPr>
        <w:t>’</w:t>
      </w:r>
      <w:r w:rsidR="002F5A95" w:rsidRPr="00CD1289">
        <w:rPr>
          <w:bCs/>
          <w:szCs w:val="24"/>
        </w:rPr>
        <w:t xml:space="preserve">accent étant mis sur </w:t>
      </w:r>
      <w:r w:rsidR="002F5A95">
        <w:rPr>
          <w:bCs/>
          <w:szCs w:val="24"/>
        </w:rPr>
        <w:br/>
      </w:r>
      <w:r w:rsidR="002F5A95" w:rsidRPr="00CD1289">
        <w:rPr>
          <w:bCs/>
          <w:szCs w:val="24"/>
        </w:rPr>
        <w:t>les dispositifs de retenue</w:t>
      </w:r>
    </w:p>
    <w:p w14:paraId="0C3EEE22" w14:textId="39C99E9D" w:rsidR="00CB5083" w:rsidRDefault="002F5A95" w:rsidP="00CB5083">
      <w:pPr>
        <w:pStyle w:val="SingleTxtG"/>
        <w:ind w:firstLine="567"/>
        <w:rPr>
          <w:spacing w:val="-6"/>
          <w:lang w:val="fr-FR" w:eastAsia="en-GB"/>
        </w:rPr>
      </w:pPr>
      <w:r w:rsidRPr="00CD1289">
        <w:rPr>
          <w:lang w:eastAsia="en-GB"/>
        </w:rPr>
        <w:t>Le présent document est communiqué uniquement à titre d</w:t>
      </w:r>
      <w:r>
        <w:rPr>
          <w:lang w:eastAsia="en-GB"/>
        </w:rPr>
        <w:t>’</w:t>
      </w:r>
      <w:r w:rsidRPr="00CD1289">
        <w:rPr>
          <w:lang w:eastAsia="en-GB"/>
        </w:rPr>
        <w:t>information.</w:t>
      </w:r>
      <w:r w:rsidRPr="002F5A95">
        <w:t xml:space="preserve"> </w:t>
      </w:r>
      <w:r w:rsidRPr="00CD1289">
        <w:rPr>
          <w:lang w:eastAsia="en-GB"/>
        </w:rPr>
        <w:t>Le texte authentique, juridiquement contraignant, est celui du document</w:t>
      </w:r>
      <w:r w:rsidRPr="00866CBB">
        <w:rPr>
          <w:lang w:val="fr-FR" w:eastAsia="en-GB"/>
        </w:rPr>
        <w:t xml:space="preserve"> </w:t>
      </w:r>
      <w:r w:rsidRPr="00866CBB">
        <w:rPr>
          <w:spacing w:val="-6"/>
          <w:lang w:val="fr-FR" w:eastAsia="en-GB"/>
        </w:rPr>
        <w:t>ECE/TRANS/WP.29/2021/64.</w:t>
      </w:r>
    </w:p>
    <w:p w14:paraId="6C478C10" w14:textId="77777777" w:rsidR="00CB5083" w:rsidRPr="006549FF" w:rsidRDefault="00CB5083" w:rsidP="00CB5083">
      <w:pPr>
        <w:jc w:val="center"/>
      </w:pPr>
      <w:r w:rsidRPr="008C50CD">
        <w:rPr>
          <w:b/>
          <w:noProof/>
          <w:sz w:val="24"/>
          <w:lang w:val="en-US"/>
        </w:rPr>
        <w:drawing>
          <wp:anchor distT="0" distB="137160" distL="114300" distR="114300" simplePos="0" relativeHeight="251660288" behindDoc="0" locked="0" layoutInCell="1" allowOverlap="1" wp14:anchorId="66F4DD56" wp14:editId="5ADC15A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</w:t>
      </w:r>
    </w:p>
    <w:p w14:paraId="2CD14B81" w14:textId="0FD53F2C" w:rsidR="00CB5083" w:rsidRPr="008C50CD" w:rsidRDefault="00CB5083" w:rsidP="00CB5083">
      <w:pPr>
        <w:suppressAutoHyphens w:val="0"/>
        <w:spacing w:line="240" w:lineRule="auto"/>
        <w:jc w:val="center"/>
        <w:rPr>
          <w:b/>
          <w:sz w:val="24"/>
        </w:rPr>
      </w:pPr>
    </w:p>
    <w:p w14:paraId="5E3F1825" w14:textId="55AF4AD3" w:rsidR="002F5A95" w:rsidRDefault="00CB5083" w:rsidP="00CB5083">
      <w:pPr>
        <w:pStyle w:val="SingleTxtG"/>
        <w:ind w:firstLine="567"/>
        <w:jc w:val="center"/>
        <w:rPr>
          <w:spacing w:val="-6"/>
          <w:lang w:val="fr-FR" w:eastAsia="en-GB"/>
        </w:rPr>
      </w:pPr>
      <w:r w:rsidRPr="008C50CD">
        <w:rPr>
          <w:b/>
          <w:sz w:val="24"/>
        </w:rPr>
        <w:t>UNITED NATIONS</w:t>
      </w:r>
      <w:r w:rsidR="002F5A95">
        <w:rPr>
          <w:spacing w:val="-6"/>
          <w:lang w:val="fr-FR" w:eastAsia="en-GB"/>
        </w:rPr>
        <w:br w:type="page"/>
      </w:r>
    </w:p>
    <w:p w14:paraId="358E33E9" w14:textId="21FAE34A" w:rsidR="002F5A95" w:rsidRPr="00CD1289" w:rsidRDefault="002F5A95" w:rsidP="002F5A95">
      <w:pPr>
        <w:pStyle w:val="SingleTxtG"/>
        <w:rPr>
          <w:rFonts w:eastAsia="SimSun"/>
          <w:lang w:val="fr-FR"/>
        </w:rPr>
      </w:pPr>
      <w:r w:rsidRPr="00CD1289">
        <w:rPr>
          <w:i/>
          <w:iCs/>
          <w:lang w:val="fr-FR"/>
        </w:rPr>
        <w:lastRenderedPageBreak/>
        <w:t xml:space="preserve">Paragraphes </w:t>
      </w:r>
      <w:r>
        <w:rPr>
          <w:i/>
          <w:iCs/>
          <w:lang w:val="fr-FR"/>
        </w:rPr>
        <w:t> </w:t>
      </w:r>
      <w:r w:rsidRPr="00CD1289">
        <w:rPr>
          <w:i/>
          <w:iCs/>
          <w:lang w:val="fr-FR"/>
        </w:rPr>
        <w:t>2.2 et 12.3</w:t>
      </w:r>
      <w:r w:rsidRPr="00CD1289">
        <w:rPr>
          <w:lang w:val="fr-FR"/>
        </w:rPr>
        <w:t>, lire :</w:t>
      </w:r>
    </w:p>
    <w:p w14:paraId="2B6A3DC6" w14:textId="6E60C6E4" w:rsidR="002F5A95" w:rsidRPr="00CD1289" w:rsidRDefault="002F5A95" w:rsidP="002F5A95">
      <w:pPr>
        <w:pStyle w:val="SingleTxtG"/>
        <w:ind w:left="2268" w:hanging="1134"/>
        <w:rPr>
          <w:lang w:val="fr-FR"/>
        </w:rPr>
      </w:pPr>
      <w:r w:rsidRPr="00CD1289">
        <w:rPr>
          <w:lang w:val="fr-FR"/>
        </w:rPr>
        <w:t>« 12.2</w:t>
      </w:r>
      <w:r w:rsidRPr="00CD1289">
        <w:rPr>
          <w:lang w:val="fr-FR"/>
        </w:rPr>
        <w:tab/>
        <w:t>À compter du 1</w:t>
      </w:r>
      <w:r w:rsidRPr="00CD1289">
        <w:rPr>
          <w:vertAlign w:val="superscript"/>
          <w:lang w:val="fr-FR"/>
        </w:rPr>
        <w:t>er</w:t>
      </w:r>
      <w:r w:rsidRPr="00CD1289">
        <w:rPr>
          <w:lang w:val="fr-FR"/>
        </w:rPr>
        <w:t> septembre</w:t>
      </w:r>
      <w:r>
        <w:rPr>
          <w:lang w:val="fr-FR"/>
        </w:rPr>
        <w:t xml:space="preserve"> </w:t>
      </w:r>
      <w:r w:rsidRPr="00CD1289">
        <w:rPr>
          <w:lang w:val="fr-FR"/>
        </w:rPr>
        <w:t xml:space="preserve">2023, les Parties contractantes appliquant le présent Règlement ne seront plus tenues </w:t>
      </w:r>
      <w:r w:rsidRPr="002F5A95">
        <w:rPr>
          <w:lang w:eastAsia="en-GB"/>
        </w:rPr>
        <w:t>d’accepter</w:t>
      </w:r>
      <w:r w:rsidRPr="00CD1289">
        <w:rPr>
          <w:lang w:val="fr-FR"/>
        </w:rPr>
        <w:t xml:space="preserve"> les homologations de type établies conformément aux précédentes séries d</w:t>
      </w:r>
      <w:r>
        <w:rPr>
          <w:lang w:val="fr-FR"/>
        </w:rPr>
        <w:t>’</w:t>
      </w:r>
      <w:r w:rsidRPr="00CD1289">
        <w:rPr>
          <w:lang w:val="fr-FR"/>
        </w:rPr>
        <w:t>amendements, délivrées pour la première fois après le 1</w:t>
      </w:r>
      <w:r w:rsidRPr="00CD1289">
        <w:rPr>
          <w:vertAlign w:val="superscript"/>
          <w:lang w:val="fr-FR"/>
        </w:rPr>
        <w:t>er</w:t>
      </w:r>
      <w:r w:rsidRPr="00CD1289">
        <w:rPr>
          <w:lang w:val="fr-FR"/>
        </w:rPr>
        <w:t> septembre</w:t>
      </w:r>
      <w:r>
        <w:rPr>
          <w:lang w:val="fr-FR"/>
        </w:rPr>
        <w:t xml:space="preserve"> </w:t>
      </w:r>
      <w:r w:rsidRPr="00CD1289">
        <w:rPr>
          <w:lang w:val="fr-FR"/>
        </w:rPr>
        <w:t>2023.</w:t>
      </w:r>
    </w:p>
    <w:p w14:paraId="525D1269" w14:textId="77777777" w:rsidR="002F5A95" w:rsidRDefault="002F5A95" w:rsidP="002F5A95">
      <w:pPr>
        <w:pStyle w:val="SingleTxtG"/>
        <w:ind w:left="2268" w:hanging="1134"/>
        <w:rPr>
          <w:lang w:val="fr-FR"/>
        </w:rPr>
      </w:pPr>
      <w:r w:rsidRPr="00CD1289">
        <w:rPr>
          <w:lang w:val="fr-FR"/>
        </w:rPr>
        <w:t>12.3</w:t>
      </w:r>
      <w:r w:rsidRPr="00CD1289">
        <w:rPr>
          <w:lang w:val="fr-FR"/>
        </w:rPr>
        <w:tab/>
        <w:t>Les Parties contractantes appliquant le présent Règlement continueront de reconnaître les homologations de type établies au titre des précédentes séries d</w:t>
      </w:r>
      <w:r>
        <w:rPr>
          <w:lang w:val="fr-FR"/>
        </w:rPr>
        <w:t>’</w:t>
      </w:r>
      <w:r w:rsidRPr="00CD1289">
        <w:rPr>
          <w:lang w:val="fr-FR"/>
        </w:rPr>
        <w:t xml:space="preserve">amendements, </w:t>
      </w:r>
      <w:r w:rsidRPr="002F5A95">
        <w:rPr>
          <w:lang w:eastAsia="en-GB"/>
        </w:rPr>
        <w:t>délivrées</w:t>
      </w:r>
      <w:r w:rsidRPr="00CD1289">
        <w:rPr>
          <w:lang w:val="fr-FR"/>
        </w:rPr>
        <w:t xml:space="preserve"> pour la première fois avant le 1</w:t>
      </w:r>
      <w:r w:rsidRPr="00CD1289">
        <w:rPr>
          <w:vertAlign w:val="superscript"/>
          <w:lang w:val="fr-FR"/>
        </w:rPr>
        <w:t>er</w:t>
      </w:r>
      <w:r w:rsidRPr="00CD1289">
        <w:rPr>
          <w:lang w:val="fr-FR"/>
        </w:rPr>
        <w:t> septembre 2023, sous réserve que les dispositions transitoires énoncées dans lesdites séries d</w:t>
      </w:r>
      <w:r>
        <w:rPr>
          <w:lang w:val="fr-FR"/>
        </w:rPr>
        <w:t>’</w:t>
      </w:r>
      <w:r w:rsidRPr="00CD1289">
        <w:rPr>
          <w:lang w:val="fr-FR"/>
        </w:rPr>
        <w:t>amendements prévoient cette possibilité. ».</w:t>
      </w:r>
    </w:p>
    <w:p w14:paraId="0410E765" w14:textId="7990C7F0" w:rsidR="005F0207" w:rsidRPr="005F0207" w:rsidRDefault="002F5A95" w:rsidP="002F5A95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5F0207" w:rsidSect="002F5A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2B79" w14:textId="77777777" w:rsidR="00166628" w:rsidRDefault="00166628"/>
  </w:endnote>
  <w:endnote w:type="continuationSeparator" w:id="0">
    <w:p w14:paraId="71A8B717" w14:textId="77777777" w:rsidR="00166628" w:rsidRDefault="00166628">
      <w:pPr>
        <w:pStyle w:val="Pieddepage"/>
      </w:pPr>
    </w:p>
  </w:endnote>
  <w:endnote w:type="continuationNotice" w:id="1">
    <w:p w14:paraId="32366B30" w14:textId="77777777" w:rsidR="00166628" w:rsidRPr="00C451B9" w:rsidRDefault="0016662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9183" w14:textId="77777777" w:rsidR="002F5A95" w:rsidRPr="002F5A95" w:rsidRDefault="002F5A95" w:rsidP="002F5A95">
    <w:pPr>
      <w:pStyle w:val="Pieddepage"/>
      <w:tabs>
        <w:tab w:val="right" w:pos="9638"/>
      </w:tabs>
    </w:pPr>
    <w:r w:rsidRPr="002F5A95">
      <w:rPr>
        <w:b/>
        <w:sz w:val="18"/>
      </w:rPr>
      <w:fldChar w:fldCharType="begin"/>
    </w:r>
    <w:r w:rsidRPr="002F5A95">
      <w:rPr>
        <w:b/>
        <w:sz w:val="18"/>
      </w:rPr>
      <w:instrText xml:space="preserve"> PAGE  \* MERGEFORMAT </w:instrText>
    </w:r>
    <w:r w:rsidRPr="002F5A95">
      <w:rPr>
        <w:b/>
        <w:sz w:val="18"/>
      </w:rPr>
      <w:fldChar w:fldCharType="separate"/>
    </w:r>
    <w:r w:rsidRPr="002F5A95">
      <w:rPr>
        <w:b/>
        <w:noProof/>
        <w:sz w:val="18"/>
      </w:rPr>
      <w:t>2</w:t>
    </w:r>
    <w:r w:rsidRPr="002F5A95">
      <w:rPr>
        <w:b/>
        <w:sz w:val="18"/>
      </w:rPr>
      <w:fldChar w:fldCharType="end"/>
    </w:r>
    <w:r>
      <w:rPr>
        <w:b/>
        <w:sz w:val="18"/>
      </w:rPr>
      <w:tab/>
    </w:r>
    <w:r>
      <w:t>GE.22-04082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206D" w14:textId="77777777" w:rsidR="002F5A95" w:rsidRPr="002F5A95" w:rsidRDefault="002F5A95" w:rsidP="002F5A95">
    <w:pPr>
      <w:pStyle w:val="Pieddepage"/>
      <w:tabs>
        <w:tab w:val="right" w:pos="9638"/>
      </w:tabs>
      <w:rPr>
        <w:b/>
        <w:sz w:val="18"/>
      </w:rPr>
    </w:pPr>
    <w:r>
      <w:t>GE.22-04082</w:t>
    </w:r>
    <w:r>
      <w:tab/>
    </w:r>
    <w:r w:rsidRPr="002F5A95">
      <w:rPr>
        <w:b/>
        <w:sz w:val="18"/>
      </w:rPr>
      <w:fldChar w:fldCharType="begin"/>
    </w:r>
    <w:r w:rsidRPr="002F5A95">
      <w:rPr>
        <w:b/>
        <w:sz w:val="18"/>
      </w:rPr>
      <w:instrText xml:space="preserve"> PAGE  \* MERGEFORMAT </w:instrText>
    </w:r>
    <w:r w:rsidRPr="002F5A95">
      <w:rPr>
        <w:b/>
        <w:sz w:val="18"/>
      </w:rPr>
      <w:fldChar w:fldCharType="separate"/>
    </w:r>
    <w:r w:rsidRPr="002F5A95">
      <w:rPr>
        <w:b/>
        <w:noProof/>
        <w:sz w:val="18"/>
      </w:rPr>
      <w:t>3</w:t>
    </w:r>
    <w:r w:rsidRPr="002F5A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732E" w14:textId="06724C2C" w:rsidR="00467F2C" w:rsidRPr="002F5A95" w:rsidRDefault="002F5A95" w:rsidP="002F5A95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C65FD08" wp14:editId="1FA91D2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22-04082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4B5430C" wp14:editId="48DA0FB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200922    200922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9598" w14:textId="77777777" w:rsidR="00166628" w:rsidRPr="00D27D5E" w:rsidRDefault="0016662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2F5765" w14:textId="77777777" w:rsidR="00166628" w:rsidRPr="00D171D4" w:rsidRDefault="0016662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1770F01" w14:textId="77777777" w:rsidR="00166628" w:rsidRPr="00C451B9" w:rsidRDefault="00166628" w:rsidP="00C451B9">
      <w:pPr>
        <w:spacing w:line="240" w:lineRule="auto"/>
        <w:rPr>
          <w:sz w:val="2"/>
          <w:szCs w:val="2"/>
        </w:rPr>
      </w:pPr>
    </w:p>
  </w:footnote>
  <w:footnote w:id="2">
    <w:p w14:paraId="70995F41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46E82BE9" w14:textId="77777777" w:rsidR="00591072" w:rsidRPr="00591072" w:rsidRDefault="00591072" w:rsidP="00591072">
      <w:pPr>
        <w:pStyle w:val="Notedebasdepage"/>
      </w:pPr>
      <w:r w:rsidRPr="002F5A95">
        <w:tab/>
      </w:r>
      <w:r w:rsidRPr="002F5A95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3C3B567A" w14:textId="7A4E0D83" w:rsidR="00442E31" w:rsidRPr="00442E31" w:rsidRDefault="00591072" w:rsidP="002F5A95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</w:t>
      </w:r>
      <w:r w:rsidR="002F5A95">
        <w:t> </w:t>
      </w:r>
      <w:r w:rsidRPr="00591072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F7FB" w14:textId="380FC45D" w:rsidR="002F5A95" w:rsidRPr="002F5A95" w:rsidRDefault="002F5A95">
    <w:pPr>
      <w:pStyle w:val="En-tte"/>
      <w:rPr>
        <w:lang w:val="en-US"/>
      </w:rPr>
    </w:pPr>
    <w:r>
      <w:fldChar w:fldCharType="begin"/>
    </w:r>
    <w:r w:rsidRPr="002F5A95">
      <w:rPr>
        <w:lang w:val="en-US"/>
      </w:rPr>
      <w:instrText xml:space="preserve"> TITLE  \* MERGEFORMAT </w:instrText>
    </w:r>
    <w:r>
      <w:fldChar w:fldCharType="separate"/>
    </w:r>
    <w:r w:rsidR="00D0102C">
      <w:rPr>
        <w:lang w:val="en-US"/>
      </w:rPr>
      <w:t>E/ECE/324/Rev.2/Add.136/Rev.2/Amend.1</w:t>
    </w:r>
    <w:r>
      <w:fldChar w:fldCharType="end"/>
    </w:r>
    <w:r w:rsidRPr="002F5A95">
      <w:rPr>
        <w:lang w:val="en-US"/>
      </w:rPr>
      <w:br/>
    </w:r>
    <w:r>
      <w:fldChar w:fldCharType="begin"/>
    </w:r>
    <w:r w:rsidRPr="002F5A95">
      <w:rPr>
        <w:lang w:val="en-US"/>
      </w:rPr>
      <w:instrText xml:space="preserve"> KEYWORDS  \* MERGEFORMAT </w:instrText>
    </w:r>
    <w:r>
      <w:fldChar w:fldCharType="separate"/>
    </w:r>
    <w:r w:rsidR="00D0102C">
      <w:rPr>
        <w:lang w:val="en-US"/>
      </w:rPr>
      <w:t>E/ECE/TRANS/505/Rev.2/Add.136/Rev.2/Amend.1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C5EA" w14:textId="1D6BD022" w:rsidR="002F5A95" w:rsidRPr="002F5A95" w:rsidRDefault="002F5A95" w:rsidP="002F5A95">
    <w:pPr>
      <w:pStyle w:val="En-tte"/>
      <w:jc w:val="right"/>
      <w:rPr>
        <w:lang w:val="en-US"/>
      </w:rPr>
    </w:pPr>
    <w:r>
      <w:fldChar w:fldCharType="begin"/>
    </w:r>
    <w:r w:rsidRPr="002F5A95">
      <w:rPr>
        <w:lang w:val="en-US"/>
      </w:rPr>
      <w:instrText xml:space="preserve"> TITLE  \* MERGEFORMAT </w:instrText>
    </w:r>
    <w:r>
      <w:fldChar w:fldCharType="separate"/>
    </w:r>
    <w:r w:rsidR="00D0102C">
      <w:rPr>
        <w:lang w:val="en-US"/>
      </w:rPr>
      <w:t>E/ECE/324/Rev.2/Add.136/Rev.2/Amend.1</w:t>
    </w:r>
    <w:r>
      <w:fldChar w:fldCharType="end"/>
    </w:r>
    <w:r w:rsidRPr="002F5A95">
      <w:rPr>
        <w:lang w:val="en-US"/>
      </w:rPr>
      <w:br/>
    </w:r>
    <w:r>
      <w:fldChar w:fldCharType="begin"/>
    </w:r>
    <w:r w:rsidRPr="002F5A95">
      <w:rPr>
        <w:lang w:val="en-US"/>
      </w:rPr>
      <w:instrText xml:space="preserve"> KEYWORDS  \* MERGEFORMAT </w:instrText>
    </w:r>
    <w:r>
      <w:fldChar w:fldCharType="separate"/>
    </w:r>
    <w:r w:rsidR="00D0102C">
      <w:rPr>
        <w:lang w:val="en-US"/>
      </w:rPr>
      <w:t>E/ECE/TRANS/505/Rev.2/Add.136/Rev.2/Amend.1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480196789">
    <w:abstractNumId w:val="2"/>
  </w:num>
  <w:num w:numId="2" w16cid:durableId="742332092">
    <w:abstractNumId w:val="1"/>
  </w:num>
  <w:num w:numId="3" w16cid:durableId="1529105324">
    <w:abstractNumId w:val="0"/>
  </w:num>
  <w:num w:numId="4" w16cid:durableId="826365831">
    <w:abstractNumId w:val="2"/>
  </w:num>
  <w:num w:numId="5" w16cid:durableId="1953784489">
    <w:abstractNumId w:val="1"/>
  </w:num>
  <w:num w:numId="6" w16cid:durableId="129324668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2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628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2F5A95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05C4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0AC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B5083"/>
    <w:rsid w:val="00CC2A62"/>
    <w:rsid w:val="00CC7CE6"/>
    <w:rsid w:val="00CD044C"/>
    <w:rsid w:val="00CD1A71"/>
    <w:rsid w:val="00CD1FBB"/>
    <w:rsid w:val="00CE033D"/>
    <w:rsid w:val="00CE08E5"/>
    <w:rsid w:val="00D0102C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D06E1C"/>
  <w15:docId w15:val="{4A2DF26C-0937-4A75-A614-A59DDD8C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DAA3C-7501-4F44-B4FA-A1A4B0EE5A70}"/>
</file>

<file path=customXml/itemProps2.xml><?xml version="1.0" encoding="utf-8"?>
<ds:datastoreItem xmlns:ds="http://schemas.openxmlformats.org/officeDocument/2006/customXml" ds:itemID="{70FDE855-BF58-4F67-8D86-36FDD06E8ECF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227</Words>
  <Characters>1456</Characters>
  <Application>Microsoft Office Word</Application>
  <DocSecurity>0</DocSecurity>
  <Lines>32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E/ECE/324/Rev.2/Add.136/Rev.2/Amend.1</dc:title>
  <dc:creator>Marie DESCHAMPS</dc:creator>
  <cp:keywords>E/ECE/TRANS/505/Rev.2/Add.136/Rev.2/Amend.1</cp:keywords>
  <cp:lastModifiedBy>Marie Deschamps</cp:lastModifiedBy>
  <cp:revision>3</cp:revision>
  <cp:lastPrinted>2022-09-20T14:15:00Z</cp:lastPrinted>
  <dcterms:created xsi:type="dcterms:W3CDTF">2022-09-20T14:15:00Z</dcterms:created>
  <dcterms:modified xsi:type="dcterms:W3CDTF">2022-09-20T14:16:00Z</dcterms:modified>
</cp:coreProperties>
</file>