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54532" w14:paraId="4251810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9328B1" w14:textId="77777777" w:rsidR="00F35BAF" w:rsidRPr="00DB58B5" w:rsidRDefault="00F35BAF" w:rsidP="0055453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8CF5E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C366F4" w14:textId="4677A813" w:rsidR="00F35BAF" w:rsidRPr="00554532" w:rsidRDefault="00554532" w:rsidP="00554532">
            <w:pPr>
              <w:jc w:val="right"/>
              <w:rPr>
                <w:lang w:val="en-US"/>
              </w:rPr>
            </w:pPr>
            <w:r w:rsidRPr="00554532">
              <w:rPr>
                <w:sz w:val="40"/>
                <w:lang w:val="en-US"/>
              </w:rPr>
              <w:t>ECE</w:t>
            </w:r>
            <w:r w:rsidRPr="00554532">
              <w:rPr>
                <w:lang w:val="en-US"/>
              </w:rPr>
              <w:t>/TRANS/WP.15/AC.2/85/Add.1</w:t>
            </w:r>
          </w:p>
        </w:tc>
      </w:tr>
      <w:tr w:rsidR="00F35BAF" w:rsidRPr="00DB58B5" w14:paraId="581D607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CF89B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C40AF8" wp14:editId="22E5B16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E1FBD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D73EFC" w14:textId="77777777" w:rsidR="00F35BAF" w:rsidRDefault="0055453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E82B2BF" w14:textId="77777777" w:rsidR="00554532" w:rsidRDefault="00554532" w:rsidP="00554532">
            <w:pPr>
              <w:spacing w:line="240" w:lineRule="exact"/>
            </w:pPr>
            <w:r>
              <w:t>12 juin 2023</w:t>
            </w:r>
          </w:p>
          <w:p w14:paraId="660641A0" w14:textId="77777777" w:rsidR="00554532" w:rsidRDefault="00554532" w:rsidP="00554532">
            <w:pPr>
              <w:spacing w:line="240" w:lineRule="exact"/>
            </w:pPr>
            <w:r>
              <w:t>Français</w:t>
            </w:r>
          </w:p>
          <w:p w14:paraId="3F87CF02" w14:textId="2942E8F4" w:rsidR="00554532" w:rsidRPr="00DB58B5" w:rsidRDefault="00554532" w:rsidP="00554532">
            <w:pPr>
              <w:spacing w:line="240" w:lineRule="exact"/>
            </w:pPr>
            <w:r>
              <w:t>Original : anglais</w:t>
            </w:r>
          </w:p>
        </w:tc>
      </w:tr>
    </w:tbl>
    <w:p w14:paraId="7A0A5572" w14:textId="7D77440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5453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97CFAA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AF50B1" w14:textId="77777777" w:rsidR="00554532" w:rsidRPr="009E01B8" w:rsidRDefault="0055453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7AB78292" w14:textId="6EC1311B" w:rsidR="00554532" w:rsidRPr="004812F5" w:rsidRDefault="00554532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938BF48" w14:textId="77777777" w:rsidR="00554532" w:rsidRPr="001827C4" w:rsidRDefault="00554532" w:rsidP="00554532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Quarante-deuxième session</w:t>
      </w:r>
    </w:p>
    <w:p w14:paraId="710F1BD3" w14:textId="77777777" w:rsidR="00554532" w:rsidRPr="001827C4" w:rsidRDefault="00554532" w:rsidP="00554532">
      <w:pPr>
        <w:rPr>
          <w:lang w:val="fr-FR"/>
        </w:rPr>
      </w:pPr>
      <w:r>
        <w:rPr>
          <w:lang w:val="fr-FR"/>
        </w:rPr>
        <w:t>Genève, 21-25 août 2023</w:t>
      </w:r>
    </w:p>
    <w:p w14:paraId="7DF2DCD1" w14:textId="1E8132CD" w:rsidR="00554532" w:rsidRDefault="00554532" w:rsidP="00554532">
      <w:pPr>
        <w:rPr>
          <w:lang w:val="fr-FR"/>
        </w:rPr>
      </w:pPr>
      <w:r>
        <w:rPr>
          <w:lang w:val="fr-FR"/>
        </w:rPr>
        <w:t>Point 1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0B7441DF" w14:textId="11BFDF98" w:rsidR="00F9573C" w:rsidRDefault="00554532" w:rsidP="00554532">
      <w:pPr>
        <w:rPr>
          <w:b/>
          <w:bCs/>
          <w:lang w:val="fr-FR"/>
        </w:rPr>
      </w:pPr>
      <w:r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1A08A8A7" w14:textId="77777777" w:rsidR="00554532" w:rsidRPr="001827C4" w:rsidRDefault="00554532" w:rsidP="0055453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quarante-deuxième session</w:t>
      </w:r>
      <w:r w:rsidRPr="0055453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593AD985" w14:textId="77777777" w:rsidR="00554532" w:rsidRPr="001827C4" w:rsidRDefault="00554532" w:rsidP="0055453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Additif</w:t>
      </w:r>
    </w:p>
    <w:p w14:paraId="41B7AEC4" w14:textId="36E81F60" w:rsidR="00554532" w:rsidRPr="001827C4" w:rsidRDefault="00554532" w:rsidP="0055453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Liste des documents classés par point de l</w:t>
      </w:r>
      <w:r>
        <w:rPr>
          <w:bCs/>
          <w:lang w:val="fr-FR"/>
        </w:rPr>
        <w:t>’</w:t>
      </w:r>
      <w:r>
        <w:rPr>
          <w:bCs/>
          <w:lang w:val="fr-FR"/>
        </w:rPr>
        <w:t>ordre du jour et annotations</w:t>
      </w:r>
    </w:p>
    <w:p w14:paraId="3EB85AD0" w14:textId="19EA8EBC" w:rsidR="00554532" w:rsidRPr="00554532" w:rsidRDefault="00554532" w:rsidP="00554532">
      <w:pPr>
        <w:pStyle w:val="H23G"/>
      </w:pPr>
      <w:r>
        <w:rPr>
          <w:lang w:val="fr-FR"/>
        </w:rPr>
        <w:tab/>
      </w:r>
      <w:r>
        <w:rPr>
          <w:lang w:val="fr-FR"/>
        </w:rPr>
        <w:t>1.</w:t>
      </w:r>
      <w:r>
        <w:rPr>
          <w:lang w:val="fr-FR"/>
        </w:rPr>
        <w:tab/>
      </w:r>
      <w:r>
        <w:rPr>
          <w:lang w:val="fr-FR"/>
        </w:rPr>
        <w:t>Adoption de l</w:t>
      </w:r>
      <w:r>
        <w:rPr>
          <w:lang w:val="fr-FR"/>
        </w:rPr>
        <w:t>’</w:t>
      </w:r>
      <w:r>
        <w:rPr>
          <w:lang w:val="fr-FR"/>
        </w:rPr>
        <w:t>ordre du jour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554532" w14:paraId="361C6812" w14:textId="77777777" w:rsidTr="00DD1D49">
        <w:tc>
          <w:tcPr>
            <w:tcW w:w="4676" w:type="dxa"/>
            <w:shd w:val="clear" w:color="auto" w:fill="auto"/>
          </w:tcPr>
          <w:p w14:paraId="4180AD96" w14:textId="2C672BE8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ECE/TRANS/WP.15/AC.2/85 </w:t>
            </w:r>
            <w:r w:rsidR="00A84102">
              <w:rPr>
                <w:lang w:val="fr-FR"/>
              </w:rPr>
              <w:br/>
            </w:r>
            <w:r>
              <w:rPr>
                <w:lang w:val="fr-FR"/>
              </w:rPr>
              <w:t>(secrétariat)</w:t>
            </w:r>
          </w:p>
        </w:tc>
        <w:tc>
          <w:tcPr>
            <w:tcW w:w="3829" w:type="dxa"/>
            <w:shd w:val="clear" w:color="auto" w:fill="auto"/>
          </w:tcPr>
          <w:p w14:paraId="00902D09" w14:textId="77777777" w:rsidR="00554532" w:rsidRDefault="00554532" w:rsidP="00A84102">
            <w:pPr>
              <w:pStyle w:val="SingleTxtG"/>
              <w:spacing w:before="40"/>
              <w:ind w:left="0"/>
            </w:pPr>
            <w:r>
              <w:rPr>
                <w:lang w:val="fr-FR"/>
              </w:rPr>
              <w:t>Ordre du jour provisoire</w:t>
            </w:r>
          </w:p>
        </w:tc>
      </w:tr>
      <w:tr w:rsidR="00554532" w:rsidRPr="009E09E6" w14:paraId="4C9AF2E7" w14:textId="77777777" w:rsidTr="00DD1D49">
        <w:tc>
          <w:tcPr>
            <w:tcW w:w="4676" w:type="dxa"/>
            <w:shd w:val="clear" w:color="auto" w:fill="auto"/>
          </w:tcPr>
          <w:p w14:paraId="7AD13E0C" w14:textId="77777777" w:rsidR="00554532" w:rsidRDefault="00554532" w:rsidP="00DD1D49">
            <w:pPr>
              <w:pStyle w:val="SingleTxtG"/>
              <w:spacing w:before="40"/>
              <w:ind w:right="0"/>
            </w:pPr>
            <w:r>
              <w:rPr>
                <w:lang w:val="fr-FR"/>
              </w:rPr>
              <w:t>ECE/TRANS/WP.15/AC.2/85/Add.1 (secrétariat)</w:t>
            </w:r>
          </w:p>
        </w:tc>
        <w:tc>
          <w:tcPr>
            <w:tcW w:w="3829" w:type="dxa"/>
            <w:shd w:val="clear" w:color="auto" w:fill="auto"/>
          </w:tcPr>
          <w:p w14:paraId="484650EA" w14:textId="01A6E3E4" w:rsidR="00554532" w:rsidRPr="001827C4" w:rsidRDefault="00554532" w:rsidP="00A84102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Liste des documents classés par point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ordre du jour et annotations</w:t>
            </w:r>
          </w:p>
        </w:tc>
      </w:tr>
      <w:tr w:rsidR="00554532" w:rsidRPr="009E09E6" w14:paraId="786F746B" w14:textId="77777777" w:rsidTr="00DD1D49">
        <w:tc>
          <w:tcPr>
            <w:tcW w:w="4676" w:type="dxa"/>
            <w:shd w:val="clear" w:color="auto" w:fill="auto"/>
          </w:tcPr>
          <w:p w14:paraId="6F657636" w14:textId="77777777" w:rsidR="00554532" w:rsidRDefault="00554532" w:rsidP="00DD1D49">
            <w:pPr>
              <w:pStyle w:val="SingleTxtG"/>
              <w:spacing w:before="40"/>
              <w:ind w:right="0"/>
            </w:pPr>
            <w:r>
              <w:rPr>
                <w:lang w:val="fr-FR"/>
              </w:rPr>
              <w:t>Document informel INF.1 (secrétariat)</w:t>
            </w:r>
          </w:p>
        </w:tc>
        <w:tc>
          <w:tcPr>
            <w:tcW w:w="3829" w:type="dxa"/>
            <w:shd w:val="clear" w:color="auto" w:fill="auto"/>
          </w:tcPr>
          <w:p w14:paraId="2274DDD8" w14:textId="4EE620AE" w:rsidR="00554532" w:rsidRPr="001827C4" w:rsidRDefault="00554532" w:rsidP="00A84102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Liste de tous les documents par point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ordre du jour</w:t>
            </w:r>
          </w:p>
        </w:tc>
      </w:tr>
      <w:tr w:rsidR="00554532" w14:paraId="5E3D5702" w14:textId="77777777" w:rsidTr="00DD1D49">
        <w:tc>
          <w:tcPr>
            <w:tcW w:w="4676" w:type="dxa"/>
            <w:shd w:val="clear" w:color="auto" w:fill="auto"/>
          </w:tcPr>
          <w:p w14:paraId="66D21B9D" w14:textId="77777777" w:rsidR="00554532" w:rsidRDefault="00554532" w:rsidP="00DD1D49">
            <w:pPr>
              <w:pStyle w:val="SingleTxtG"/>
              <w:spacing w:before="40"/>
              <w:ind w:right="0"/>
            </w:pPr>
            <w:r>
              <w:rPr>
                <w:lang w:val="fr-FR"/>
              </w:rPr>
              <w:t>Documents de référence</w:t>
            </w:r>
          </w:p>
        </w:tc>
        <w:tc>
          <w:tcPr>
            <w:tcW w:w="3829" w:type="dxa"/>
            <w:shd w:val="clear" w:color="auto" w:fill="auto"/>
          </w:tcPr>
          <w:p w14:paraId="257A41DC" w14:textId="77777777" w:rsidR="00554532" w:rsidRDefault="00554532" w:rsidP="00A84102">
            <w:pPr>
              <w:pStyle w:val="SingleTxtG"/>
              <w:spacing w:before="40"/>
              <w:ind w:left="0"/>
              <w:jc w:val="left"/>
            </w:pPr>
          </w:p>
        </w:tc>
      </w:tr>
      <w:tr w:rsidR="00554532" w14:paraId="05226D23" w14:textId="77777777" w:rsidTr="00DD1D49">
        <w:tc>
          <w:tcPr>
            <w:tcW w:w="4676" w:type="dxa"/>
            <w:shd w:val="clear" w:color="auto" w:fill="auto"/>
          </w:tcPr>
          <w:p w14:paraId="723FC981" w14:textId="3D4BD968" w:rsidR="00554532" w:rsidRPr="001827C4" w:rsidRDefault="00554532" w:rsidP="00DD1D49">
            <w:pPr>
              <w:pStyle w:val="SingleTxtG"/>
              <w:spacing w:before="40"/>
              <w:ind w:right="0"/>
              <w:rPr>
                <w:lang w:val="fr-FR"/>
              </w:rPr>
            </w:pPr>
            <w:r>
              <w:rPr>
                <w:lang w:val="fr-FR"/>
              </w:rPr>
              <w:t>ECE/TRANS/325, vol. I et II</w:t>
            </w:r>
          </w:p>
        </w:tc>
        <w:tc>
          <w:tcPr>
            <w:tcW w:w="3829" w:type="dxa"/>
            <w:shd w:val="clear" w:color="auto" w:fill="auto"/>
          </w:tcPr>
          <w:p w14:paraId="14225BA4" w14:textId="77777777" w:rsidR="00554532" w:rsidRDefault="00554532" w:rsidP="00A84102">
            <w:pPr>
              <w:pStyle w:val="SingleTxtG"/>
              <w:spacing w:before="40"/>
              <w:ind w:left="0"/>
              <w:jc w:val="left"/>
            </w:pPr>
            <w:r>
              <w:rPr>
                <w:lang w:val="fr-FR"/>
              </w:rPr>
              <w:t>ADN 2023</w:t>
            </w:r>
          </w:p>
        </w:tc>
      </w:tr>
      <w:tr w:rsidR="00554532" w:rsidRPr="009E09E6" w14:paraId="506E5853" w14:textId="77777777" w:rsidTr="00DD1D49">
        <w:tc>
          <w:tcPr>
            <w:tcW w:w="4676" w:type="dxa"/>
            <w:shd w:val="clear" w:color="auto" w:fill="auto"/>
          </w:tcPr>
          <w:p w14:paraId="14C180EE" w14:textId="77777777" w:rsidR="00554532" w:rsidRDefault="00554532" w:rsidP="00DD1D49">
            <w:pPr>
              <w:pStyle w:val="SingleTxtG"/>
              <w:spacing w:before="40"/>
              <w:ind w:right="0"/>
            </w:pPr>
            <w:r>
              <w:rPr>
                <w:lang w:val="fr-FR"/>
              </w:rPr>
              <w:t>ECE/TRANS/WP.15/AC.2/84</w:t>
            </w:r>
          </w:p>
        </w:tc>
        <w:tc>
          <w:tcPr>
            <w:tcW w:w="3829" w:type="dxa"/>
            <w:shd w:val="clear" w:color="auto" w:fill="auto"/>
          </w:tcPr>
          <w:p w14:paraId="5E7BDA30" w14:textId="21E0350A" w:rsidR="00554532" w:rsidRPr="001827C4" w:rsidRDefault="00554532" w:rsidP="00A84102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Rapport du Comité de sécurité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 sur sa quarante et unième session</w:t>
            </w:r>
          </w:p>
        </w:tc>
      </w:tr>
    </w:tbl>
    <w:p w14:paraId="343F4FC7" w14:textId="37C410E7" w:rsidR="00554532" w:rsidRPr="001827C4" w:rsidRDefault="00554532" w:rsidP="0055453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2.</w:t>
      </w:r>
      <w:r>
        <w:rPr>
          <w:lang w:val="fr-FR"/>
        </w:rPr>
        <w:tab/>
      </w:r>
      <w:r>
        <w:rPr>
          <w:lang w:val="fr-FR"/>
        </w:rPr>
        <w:t xml:space="preserve">Questions </w:t>
      </w:r>
      <w:r w:rsidRPr="00554532">
        <w:t>découlant</w:t>
      </w:r>
      <w:r>
        <w:rPr>
          <w:lang w:val="fr-FR"/>
        </w:rPr>
        <w:t xml:space="preserve"> des travaux d</w:t>
      </w:r>
      <w:r>
        <w:rPr>
          <w:lang w:val="fr-FR"/>
        </w:rPr>
        <w:t>’</w:t>
      </w:r>
      <w:r>
        <w:rPr>
          <w:lang w:val="fr-FR"/>
        </w:rPr>
        <w:t xml:space="preserve">organes des Nations Unies </w:t>
      </w:r>
      <w:r>
        <w:rPr>
          <w:lang w:val="fr-FR"/>
        </w:rPr>
        <w:br/>
      </w:r>
      <w:r>
        <w:rPr>
          <w:lang w:val="fr-FR"/>
        </w:rPr>
        <w:t>ou d</w:t>
      </w:r>
      <w:r>
        <w:rPr>
          <w:lang w:val="fr-FR"/>
        </w:rPr>
        <w:t>’</w:t>
      </w:r>
      <w:r>
        <w:rPr>
          <w:lang w:val="fr-FR"/>
        </w:rPr>
        <w:t>autres organisations</w:t>
      </w:r>
    </w:p>
    <w:p w14:paraId="7BE46725" w14:textId="004889DA" w:rsidR="00554532" w:rsidRPr="001827C4" w:rsidRDefault="00554532" w:rsidP="00554532">
      <w:pPr>
        <w:pStyle w:val="SingleTxtG"/>
        <w:ind w:firstLine="558"/>
        <w:rPr>
          <w:lang w:val="fr-FR"/>
        </w:rPr>
      </w:pPr>
      <w:r>
        <w:rPr>
          <w:lang w:val="fr-FR"/>
        </w:rPr>
        <w:t>Le Comité de sécurité souhaitera sans doute être informé des activités d</w:t>
      </w:r>
      <w:r>
        <w:rPr>
          <w:lang w:val="fr-FR"/>
        </w:rPr>
        <w:t>’</w:t>
      </w:r>
      <w:r>
        <w:rPr>
          <w:lang w:val="fr-FR"/>
        </w:rPr>
        <w:t>autres organes et organisations ayant une incidence sur ses travaux.</w:t>
      </w:r>
    </w:p>
    <w:p w14:paraId="0455FF31" w14:textId="314CEA93" w:rsidR="00554532" w:rsidRPr="001827C4" w:rsidRDefault="00554532" w:rsidP="00554532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  <w:t>Mise en œuvre de l</w:t>
      </w:r>
      <w:r>
        <w:rPr>
          <w:lang w:val="fr-FR"/>
        </w:rPr>
        <w:t>’</w:t>
      </w:r>
      <w:r>
        <w:rPr>
          <w:lang w:val="fr-FR"/>
        </w:rPr>
        <w:t xml:space="preserve">Accord européen relatif au transport international </w:t>
      </w:r>
      <w:r>
        <w:rPr>
          <w:lang w:val="fr-FR"/>
        </w:rPr>
        <w:br/>
      </w:r>
      <w:r>
        <w:rPr>
          <w:lang w:val="fr-FR"/>
        </w:rPr>
        <w:t>des marchandises dangereuses par voies de navigation intérieures (ADN)</w:t>
      </w:r>
    </w:p>
    <w:p w14:paraId="722B9AF1" w14:textId="3916CA25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  <w:t>a)</w:t>
      </w:r>
      <w:r>
        <w:rPr>
          <w:bCs/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État de l</w:t>
      </w:r>
      <w:r>
        <w:rPr>
          <w:bCs/>
          <w:lang w:val="fr-FR"/>
        </w:rPr>
        <w:t>’</w:t>
      </w:r>
      <w:r>
        <w:rPr>
          <w:bCs/>
          <w:lang w:val="fr-FR"/>
        </w:rPr>
        <w:t>ADN</w:t>
      </w:r>
    </w:p>
    <w:p w14:paraId="0DE40CD6" w14:textId="1CCD28DB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sera informé de l</w:t>
      </w:r>
      <w:r>
        <w:rPr>
          <w:lang w:val="fr-FR"/>
        </w:rPr>
        <w:t>’</w:t>
      </w:r>
      <w:r>
        <w:rPr>
          <w:lang w:val="fr-FR"/>
        </w:rPr>
        <w:t>état de l</w:t>
      </w:r>
      <w:r>
        <w:rPr>
          <w:lang w:val="fr-FR"/>
        </w:rPr>
        <w:t>’</w:t>
      </w:r>
      <w:r>
        <w:rPr>
          <w:lang w:val="fr-FR"/>
        </w:rPr>
        <w:t>ADN.</w:t>
      </w:r>
    </w:p>
    <w:p w14:paraId="00CD15D5" w14:textId="77777777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  <w:t>b)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Autorisations spéciales, dérogations et équivalences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554532" w:rsidRPr="009E09E6" w14:paraId="27FB0E57" w14:textId="77777777" w:rsidTr="00DD1D49">
        <w:tc>
          <w:tcPr>
            <w:tcW w:w="3686" w:type="dxa"/>
            <w:shd w:val="clear" w:color="auto" w:fill="auto"/>
          </w:tcPr>
          <w:p w14:paraId="56CB46AC" w14:textId="77777777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ECE/TRANS/WP.15/AC.2/2023/32 et document informel INF.3 (Pays-Bas)</w:t>
            </w:r>
          </w:p>
        </w:tc>
        <w:tc>
          <w:tcPr>
            <w:tcW w:w="3828" w:type="dxa"/>
            <w:shd w:val="clear" w:color="auto" w:fill="auto"/>
          </w:tcPr>
          <w:p w14:paraId="4F631A76" w14:textId="35FEC775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Demande de recommandation concernant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utilisation de piles à combustible à hydrogène pour la propulsion du bateau « </w:t>
            </w:r>
            <w:proofErr w:type="spellStart"/>
            <w:r>
              <w:rPr>
                <w:lang w:val="fr-FR"/>
              </w:rPr>
              <w:t>Antonie</w:t>
            </w:r>
            <w:proofErr w:type="spellEnd"/>
            <w:r w:rsidR="00A84102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  <w:tr w:rsidR="00554532" w:rsidRPr="009E09E6" w14:paraId="313A9E43" w14:textId="77777777" w:rsidTr="00DD1D49">
        <w:tc>
          <w:tcPr>
            <w:tcW w:w="3686" w:type="dxa"/>
            <w:shd w:val="clear" w:color="auto" w:fill="auto"/>
          </w:tcPr>
          <w:p w14:paraId="6561E18A" w14:textId="77777777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ECE/TRANS/WP.15/AC.2/2023/33 et document informel INF.4 (Pays-Bas)</w:t>
            </w:r>
          </w:p>
        </w:tc>
        <w:tc>
          <w:tcPr>
            <w:tcW w:w="3828" w:type="dxa"/>
            <w:shd w:val="clear" w:color="auto" w:fill="auto"/>
          </w:tcPr>
          <w:p w14:paraId="77166556" w14:textId="6CB950C1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Demande de recommandation concernant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utilisation de piles à combustible à hydrogène pour la propulsion du bateau « FPS Waal</w:t>
            </w:r>
            <w:r w:rsidR="00A84102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  <w:tr w:rsidR="00554532" w:rsidRPr="009E09E6" w14:paraId="4EDB102B" w14:textId="77777777" w:rsidTr="00DD1D49">
        <w:tc>
          <w:tcPr>
            <w:tcW w:w="3686" w:type="dxa"/>
            <w:shd w:val="clear" w:color="auto" w:fill="auto"/>
          </w:tcPr>
          <w:p w14:paraId="30D63A4C" w14:textId="1C5BE3AB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ECE/TRANS/WP.15/AC.2/2023/34 et documents informels INF.5 et INF.6 </w:t>
            </w:r>
            <w:r w:rsidR="00A84102">
              <w:rPr>
                <w:lang w:val="fr-FR"/>
              </w:rPr>
              <w:br/>
            </w:r>
            <w:r>
              <w:rPr>
                <w:lang w:val="fr-FR"/>
              </w:rPr>
              <w:t>(Pays-Bas)</w:t>
            </w:r>
          </w:p>
        </w:tc>
        <w:tc>
          <w:tcPr>
            <w:tcW w:w="3828" w:type="dxa"/>
            <w:shd w:val="clear" w:color="auto" w:fill="auto"/>
          </w:tcPr>
          <w:p w14:paraId="258733CD" w14:textId="204C1F30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Demande de recommandation concernant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utilisation de piles à combustible à hydrogène pour la propulsion du bateau « </w:t>
            </w:r>
            <w:proofErr w:type="spellStart"/>
            <w:r>
              <w:rPr>
                <w:lang w:val="fr-FR"/>
              </w:rPr>
              <w:t>Rhenus</w:t>
            </w:r>
            <w:proofErr w:type="spellEnd"/>
            <w:r>
              <w:rPr>
                <w:lang w:val="fr-FR"/>
              </w:rPr>
              <w:t xml:space="preserve"> Mannheim</w:t>
            </w:r>
            <w:r w:rsidR="00A84102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  <w:tr w:rsidR="00554532" w:rsidRPr="009E09E6" w14:paraId="16CD016E" w14:textId="77777777" w:rsidTr="00DD1D49">
        <w:tc>
          <w:tcPr>
            <w:tcW w:w="3686" w:type="dxa"/>
            <w:shd w:val="clear" w:color="auto" w:fill="auto"/>
          </w:tcPr>
          <w:p w14:paraId="45083383" w14:textId="77777777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ECE/TRANS/WP.15/AC.2/2023/35 et document informel INF.7 (Pays-Bas)</w:t>
            </w:r>
          </w:p>
        </w:tc>
        <w:tc>
          <w:tcPr>
            <w:tcW w:w="3828" w:type="dxa"/>
            <w:shd w:val="clear" w:color="auto" w:fill="auto"/>
          </w:tcPr>
          <w:p w14:paraId="66AD0606" w14:textId="33070F27" w:rsidR="00554532" w:rsidRPr="001827C4" w:rsidDel="0033108C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Demande de recommandation concernant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utilisation du méthanol pour la propulsion du bateau «</w:t>
            </w:r>
            <w:r w:rsidR="00A84102">
              <w:rPr>
                <w:lang w:val="fr-FR"/>
              </w:rPr>
              <w:t> </w:t>
            </w:r>
            <w:proofErr w:type="spellStart"/>
            <w:r>
              <w:rPr>
                <w:lang w:val="fr-FR"/>
              </w:rPr>
              <w:t>Stolt</w:t>
            </w:r>
            <w:proofErr w:type="spellEnd"/>
            <w:r>
              <w:rPr>
                <w:lang w:val="fr-FR"/>
              </w:rPr>
              <w:t xml:space="preserve"> Ijssel</w:t>
            </w:r>
            <w:r w:rsidR="00A84102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</w:tbl>
    <w:p w14:paraId="51BC85FE" w14:textId="6B080C7F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  <w:t>c)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Interprétation du Règlement annexé à l</w:t>
      </w:r>
      <w:r>
        <w:rPr>
          <w:bCs/>
          <w:lang w:val="fr-FR"/>
        </w:rPr>
        <w:t>’</w:t>
      </w:r>
      <w:r>
        <w:rPr>
          <w:bCs/>
          <w:lang w:val="fr-FR"/>
        </w:rPr>
        <w:t>ADN</w:t>
      </w:r>
    </w:p>
    <w:p w14:paraId="486D417B" w14:textId="67B51CCF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l</w:t>
      </w:r>
      <w:r>
        <w:rPr>
          <w:lang w:val="fr-FR"/>
        </w:rPr>
        <w:t>’</w:t>
      </w:r>
      <w:r>
        <w:rPr>
          <w:lang w:val="fr-FR"/>
        </w:rPr>
        <w:t>interprétation de toute disposition du Règlement annexé à l</w:t>
      </w:r>
      <w:r>
        <w:rPr>
          <w:lang w:val="fr-FR"/>
        </w:rPr>
        <w:t>’</w:t>
      </w:r>
      <w:r>
        <w:rPr>
          <w:lang w:val="fr-FR"/>
        </w:rPr>
        <w:t>ADN jugée ambiguë ou floue.</w:t>
      </w:r>
    </w:p>
    <w:p w14:paraId="2275EE37" w14:textId="77777777" w:rsidR="00554532" w:rsidRDefault="00554532" w:rsidP="00554532">
      <w:pPr>
        <w:pStyle w:val="H23G"/>
      </w:pPr>
      <w:r>
        <w:rPr>
          <w:bCs/>
          <w:lang w:val="fr-FR"/>
        </w:rPr>
        <w:tab/>
        <w:t>d)</w:t>
      </w:r>
      <w:r>
        <w:rPr>
          <w:bCs/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Formation des experts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3970"/>
      </w:tblGrid>
      <w:tr w:rsidR="00554532" w:rsidRPr="009E09E6" w14:paraId="11D1BEBE" w14:textId="77777777" w:rsidTr="00DD1D49">
        <w:tc>
          <w:tcPr>
            <w:tcW w:w="3544" w:type="dxa"/>
            <w:shd w:val="clear" w:color="auto" w:fill="auto"/>
          </w:tcPr>
          <w:p w14:paraId="2140885A" w14:textId="77777777" w:rsidR="00554532" w:rsidRPr="00554532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827C4">
              <w:rPr>
                <w:lang w:val="en-US"/>
              </w:rPr>
              <w:t>ECE/TRANS/WP.15/AC.2/2023/31 (CCNR)</w:t>
            </w:r>
          </w:p>
        </w:tc>
        <w:tc>
          <w:tcPr>
            <w:tcW w:w="3970" w:type="dxa"/>
            <w:shd w:val="clear" w:color="auto" w:fill="auto"/>
          </w:tcPr>
          <w:p w14:paraId="43BBAC67" w14:textId="08471EA6" w:rsidR="00554532" w:rsidRPr="001827C4" w:rsidRDefault="00554532" w:rsidP="00DD1D4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pour le traitement des questions de fond au cours des réunions du Comité de sécurité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</w:tbl>
    <w:p w14:paraId="368F31E7" w14:textId="4C64E169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Il est rappelé que les Parties contractantes sont invitées à communiquer leurs spécimens d</w:t>
      </w:r>
      <w:r>
        <w:rPr>
          <w:lang w:val="fr-FR"/>
        </w:rPr>
        <w:t>’</w:t>
      </w:r>
      <w:r>
        <w:rPr>
          <w:lang w:val="fr-FR"/>
        </w:rPr>
        <w:t>attestations d</w:t>
      </w:r>
      <w:r>
        <w:rPr>
          <w:lang w:val="fr-FR"/>
        </w:rPr>
        <w:t>’</w:t>
      </w:r>
      <w:r>
        <w:rPr>
          <w:lang w:val="fr-FR"/>
        </w:rPr>
        <w:t>expert au secrétariat de la CEE pour que celui-ci les affiche sur le site Web. Les pays sont aussi invités à communiquer leurs statistiques relatives aux examens.</w:t>
      </w:r>
    </w:p>
    <w:p w14:paraId="2E7A2B35" w14:textId="77777777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  <w:t>e)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Questions relatives aux sociétés de classification</w:t>
      </w:r>
    </w:p>
    <w:p w14:paraId="1FD86440" w14:textId="2913E33A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La liste des sociétés de classification agréées par les Parties contractantes à l</w:t>
      </w:r>
      <w:r>
        <w:rPr>
          <w:lang w:val="fr-FR"/>
        </w:rPr>
        <w:t>’</w:t>
      </w:r>
      <w:r>
        <w:rPr>
          <w:lang w:val="fr-FR"/>
        </w:rPr>
        <w:t>ADN peut être consultée à l</w:t>
      </w:r>
      <w:r>
        <w:rPr>
          <w:lang w:val="fr-FR"/>
        </w:rPr>
        <w:t>’</w:t>
      </w:r>
      <w:r>
        <w:rPr>
          <w:lang w:val="fr-FR"/>
        </w:rPr>
        <w:t xml:space="preserve">adresse suivante : </w:t>
      </w:r>
      <w:hyperlink r:id="rId8" w:history="1">
        <w:r w:rsidRPr="00A84102">
          <w:rPr>
            <w:rStyle w:val="Lienhypertexte"/>
            <w:lang w:val="fr-FR"/>
          </w:rPr>
          <w:t>https://unece.org/</w:t>
        </w:r>
        <w:r w:rsidRPr="00A84102">
          <w:rPr>
            <w:rStyle w:val="Lienhypertexte"/>
            <w:lang w:val="fr-FR"/>
          </w:rPr>
          <w:t>c</w:t>
        </w:r>
        <w:r w:rsidRPr="00A84102">
          <w:rPr>
            <w:rStyle w:val="Lienhypertexte"/>
            <w:lang w:val="fr-FR"/>
          </w:rPr>
          <w:t>lassification-societies</w:t>
        </w:r>
      </w:hyperlink>
      <w:r>
        <w:rPr>
          <w:lang w:val="fr-FR"/>
        </w:rPr>
        <w:t>.</w:t>
      </w:r>
    </w:p>
    <w:p w14:paraId="4B8AB67A" w14:textId="7B00E728" w:rsidR="00554532" w:rsidRPr="001827C4" w:rsidRDefault="00A84102" w:rsidP="00554532">
      <w:pPr>
        <w:pStyle w:val="H23G"/>
        <w:rPr>
          <w:lang w:val="fr-FR"/>
        </w:rPr>
      </w:pPr>
      <w:r>
        <w:rPr>
          <w:bCs/>
          <w:lang w:val="fr-FR"/>
        </w:rPr>
        <w:tab/>
      </w:r>
      <w:r w:rsidR="00554532">
        <w:rPr>
          <w:bCs/>
          <w:lang w:val="fr-FR"/>
        </w:rPr>
        <w:t>4.</w:t>
      </w:r>
      <w:r w:rsidR="00554532">
        <w:rPr>
          <w:lang w:val="fr-FR"/>
        </w:rPr>
        <w:tab/>
      </w:r>
      <w:r w:rsidR="00554532">
        <w:rPr>
          <w:lang w:val="fr-FR"/>
        </w:rPr>
        <w:tab/>
      </w:r>
      <w:r w:rsidR="00554532">
        <w:rPr>
          <w:bCs/>
          <w:lang w:val="fr-FR"/>
        </w:rPr>
        <w:t>Propositions d</w:t>
      </w:r>
      <w:r w:rsidR="00554532">
        <w:rPr>
          <w:bCs/>
          <w:lang w:val="fr-FR"/>
        </w:rPr>
        <w:t>’</w:t>
      </w:r>
      <w:r w:rsidR="00554532">
        <w:rPr>
          <w:bCs/>
          <w:lang w:val="fr-FR"/>
        </w:rPr>
        <w:t>amendements au Règlement annexé à l</w:t>
      </w:r>
      <w:r w:rsidR="00554532">
        <w:rPr>
          <w:bCs/>
          <w:lang w:val="fr-FR"/>
        </w:rPr>
        <w:t>’</w:t>
      </w:r>
      <w:r w:rsidR="00554532">
        <w:rPr>
          <w:bCs/>
          <w:lang w:val="fr-FR"/>
        </w:rPr>
        <w:t>ADN</w:t>
      </w:r>
    </w:p>
    <w:p w14:paraId="23874E3F" w14:textId="77777777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  <w:t>a)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Travaux de la Réunion commune RID/ADR/ADN</w:t>
      </w:r>
    </w:p>
    <w:p w14:paraId="18D19E41" w14:textId="614DA0CC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souhaitera sans doute noter qu</w:t>
      </w:r>
      <w:r>
        <w:rPr>
          <w:lang w:val="fr-FR"/>
        </w:rPr>
        <w:t>’</w:t>
      </w:r>
      <w:r>
        <w:rPr>
          <w:lang w:val="fr-FR"/>
        </w:rPr>
        <w:t>à ses sessions de l</w:t>
      </w:r>
      <w:r>
        <w:rPr>
          <w:lang w:val="fr-FR"/>
        </w:rPr>
        <w:t>’</w:t>
      </w:r>
      <w:r>
        <w:rPr>
          <w:lang w:val="fr-FR"/>
        </w:rPr>
        <w:t>automne 2022 et du printemps 2023, la Réunion commune RID/ADR/ADN a adopté des propositions d</w:t>
      </w:r>
      <w:r>
        <w:rPr>
          <w:lang w:val="fr-FR"/>
        </w:rPr>
        <w:t>’</w:t>
      </w:r>
      <w:r>
        <w:rPr>
          <w:lang w:val="fr-FR"/>
        </w:rPr>
        <w:t>amendements au RID, à l</w:t>
      </w:r>
      <w:r>
        <w:rPr>
          <w:lang w:val="fr-FR"/>
        </w:rPr>
        <w:t>’</w:t>
      </w:r>
      <w:r>
        <w:rPr>
          <w:lang w:val="fr-FR"/>
        </w:rPr>
        <w:t>ADR et à l</w:t>
      </w:r>
      <w:r>
        <w:rPr>
          <w:lang w:val="fr-FR"/>
        </w:rPr>
        <w:t>’</w:t>
      </w:r>
      <w:r>
        <w:rPr>
          <w:lang w:val="fr-FR"/>
        </w:rPr>
        <w:t>ADN. Les textes adoptés figurent dans l</w:t>
      </w:r>
      <w:r>
        <w:rPr>
          <w:lang w:val="fr-FR"/>
        </w:rPr>
        <w:t>’</w:t>
      </w:r>
      <w:r>
        <w:rPr>
          <w:lang w:val="fr-FR"/>
        </w:rPr>
        <w:t>annexe du document ECE/TRANS/WP.15/AC.1/166 et dans l</w:t>
      </w:r>
      <w:r>
        <w:rPr>
          <w:lang w:val="fr-FR"/>
        </w:rPr>
        <w:t>’</w:t>
      </w:r>
      <w:r>
        <w:rPr>
          <w:lang w:val="fr-FR"/>
        </w:rPr>
        <w:t>annexe II du document ECE/TRANS/WP.15/AC.1/168. Le Comité de sécurité souhaitera peut-être également considérer ces propositions à la lumière de celles qui ont été adoptées par le Groupe de travail des transports de marchandises dangereuses (WP.15) à ses 112</w:t>
      </w:r>
      <w:r w:rsidRPr="00554532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>
        <w:rPr>
          <w:lang w:val="fr-FR"/>
        </w:rPr>
        <w:t>et 113</w:t>
      </w:r>
      <w:r w:rsidRPr="00554532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>
        <w:rPr>
          <w:lang w:val="fr-FR"/>
        </w:rPr>
        <w:t>sessions (ECE/TRANS/WP.15/260, annexe, et ECE/TRANS/WP.15/262, annexe).</w:t>
      </w:r>
    </w:p>
    <w:p w14:paraId="3CB0F583" w14:textId="2CDFC547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voudra bien noter qu</w:t>
      </w:r>
      <w:r>
        <w:rPr>
          <w:lang w:val="fr-FR"/>
        </w:rPr>
        <w:t>’</w:t>
      </w:r>
      <w:r>
        <w:rPr>
          <w:lang w:val="fr-FR"/>
        </w:rPr>
        <w:t>à sa prochaine session (automne 2023), il examinera des propositions d</w:t>
      </w:r>
      <w:r>
        <w:rPr>
          <w:lang w:val="fr-FR"/>
        </w:rPr>
        <w:t>’</w:t>
      </w:r>
      <w:r>
        <w:rPr>
          <w:lang w:val="fr-FR"/>
        </w:rPr>
        <w:t xml:space="preserve">harmonisation avec la vingt-troisième édition révisée des </w:t>
      </w:r>
      <w:r>
        <w:rPr>
          <w:lang w:val="fr-FR"/>
        </w:rPr>
        <w:lastRenderedPageBreak/>
        <w:t>Recommandations de l</w:t>
      </w:r>
      <w:r>
        <w:rPr>
          <w:lang w:val="fr-FR"/>
        </w:rPr>
        <w:t>’</w:t>
      </w:r>
      <w:r>
        <w:rPr>
          <w:lang w:val="fr-FR"/>
        </w:rPr>
        <w:t>ONU relatives au transport des marchandises dangereuses, présentées dans les documents ECE/TRANS/WP.15/AC.1/2023/23 et Add.1.</w:t>
      </w:r>
    </w:p>
    <w:p w14:paraId="6BC76A85" w14:textId="77777777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  <w:t>b)</w:t>
      </w:r>
      <w:r>
        <w:rPr>
          <w:lang w:val="fr-FR"/>
        </w:rPr>
        <w:tab/>
      </w:r>
      <w:r>
        <w:rPr>
          <w:bCs/>
          <w:lang w:val="fr-FR"/>
        </w:rPr>
        <w:t>Autres propositions</w:t>
      </w:r>
    </w:p>
    <w:p w14:paraId="5C4E588A" w14:textId="565EDC90" w:rsidR="00554532" w:rsidRPr="001827C4" w:rsidRDefault="00554532" w:rsidP="00554532">
      <w:pPr>
        <w:pStyle w:val="SingleTxtG"/>
        <w:rPr>
          <w:lang w:val="fr-FR"/>
        </w:rPr>
      </w:pPr>
      <w:r>
        <w:rPr>
          <w:lang w:val="fr-FR"/>
        </w:rPr>
        <w:t>Les propositions d</w:t>
      </w:r>
      <w:r>
        <w:rPr>
          <w:lang w:val="fr-FR"/>
        </w:rPr>
        <w:t>’</w:t>
      </w:r>
      <w:r>
        <w:rPr>
          <w:lang w:val="fr-FR"/>
        </w:rPr>
        <w:t>amendements suivantes ont été reçues 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554532" w:rsidRPr="009E09E6" w14:paraId="341E7F34" w14:textId="77777777" w:rsidTr="00DD1D49">
        <w:tc>
          <w:tcPr>
            <w:tcW w:w="4678" w:type="dxa"/>
            <w:shd w:val="clear" w:color="auto" w:fill="auto"/>
          </w:tcPr>
          <w:p w14:paraId="44A79973" w14:textId="77777777" w:rsidR="00554532" w:rsidRPr="001827C4" w:rsidRDefault="00554532" w:rsidP="00DD1D49">
            <w:pPr>
              <w:pStyle w:val="SingleTxtG"/>
              <w:spacing w:before="40"/>
              <w:ind w:right="0"/>
              <w:rPr>
                <w:lang w:val="fr-FR"/>
              </w:rPr>
            </w:pPr>
            <w:r>
              <w:rPr>
                <w:lang w:val="fr-FR"/>
              </w:rPr>
              <w:t>ECE/TRANS/WP.15/AC.2/2023/14 (secrétariat)</w:t>
            </w:r>
          </w:p>
        </w:tc>
        <w:tc>
          <w:tcPr>
            <w:tcW w:w="3827" w:type="dxa"/>
            <w:shd w:val="clear" w:color="auto" w:fill="auto"/>
          </w:tcPr>
          <w:p w14:paraId="6CB69928" w14:textId="11228C95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de correction au 1.10.3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554532" w:rsidRPr="009E09E6" w14:paraId="38BD909B" w14:textId="77777777" w:rsidTr="00DD1D49">
        <w:tc>
          <w:tcPr>
            <w:tcW w:w="4678" w:type="dxa"/>
            <w:shd w:val="clear" w:color="auto" w:fill="auto"/>
          </w:tcPr>
          <w:p w14:paraId="1102C87B" w14:textId="5EA76478" w:rsidR="00554532" w:rsidRPr="001827C4" w:rsidRDefault="00554532" w:rsidP="00DD1D49">
            <w:pPr>
              <w:pStyle w:val="SingleTxtG"/>
              <w:spacing w:before="40"/>
              <w:ind w:right="0"/>
              <w:rPr>
                <w:lang w:val="fr-FR"/>
              </w:rPr>
            </w:pPr>
            <w:r>
              <w:rPr>
                <w:lang w:val="fr-FR"/>
              </w:rPr>
              <w:t xml:space="preserve">ECE/TRANS/WP.15/AC.2/2023/15 </w:t>
            </w:r>
            <w:r w:rsidR="00A84102">
              <w:rPr>
                <w:lang w:val="fr-FR"/>
              </w:rPr>
              <w:br/>
            </w:r>
            <w:r>
              <w:rPr>
                <w:lang w:val="fr-FR"/>
              </w:rPr>
              <w:t>(UENF et OEB)</w:t>
            </w:r>
          </w:p>
        </w:tc>
        <w:tc>
          <w:tcPr>
            <w:tcW w:w="3827" w:type="dxa"/>
            <w:shd w:val="clear" w:color="auto" w:fill="auto"/>
          </w:tcPr>
          <w:p w14:paraId="32D1E150" w14:textId="77777777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Transport du dioxyde de carbone (CO</w:t>
            </w:r>
            <w:r w:rsidRPr="009E09E6"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>) liquide réfrigéré</w:t>
            </w:r>
          </w:p>
        </w:tc>
      </w:tr>
      <w:tr w:rsidR="00554532" w:rsidRPr="009E09E6" w14:paraId="37B4CE31" w14:textId="77777777" w:rsidTr="00DD1D49">
        <w:tc>
          <w:tcPr>
            <w:tcW w:w="4678" w:type="dxa"/>
            <w:shd w:val="clear" w:color="auto" w:fill="auto"/>
          </w:tcPr>
          <w:p w14:paraId="5B615C47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ECE/TRANS/WP.15/AC.2/2023/16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411E050E" w14:textId="152F6E4B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Corrections à la version française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554532" w:rsidRPr="009E09E6" w14:paraId="01F42303" w14:textId="77777777" w:rsidTr="00DD1D49">
        <w:tc>
          <w:tcPr>
            <w:tcW w:w="4678" w:type="dxa"/>
            <w:shd w:val="clear" w:color="auto" w:fill="auto"/>
          </w:tcPr>
          <w:p w14:paraId="2E56FB0E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ECE/TRANS/WP.15/AC.2/2023/17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59EA05FA" w14:textId="37CEA5D0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Correction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alinéa e) du paragraphe 9.3.3.40.2.16</w:t>
            </w:r>
          </w:p>
        </w:tc>
      </w:tr>
      <w:tr w:rsidR="00554532" w:rsidRPr="009E09E6" w14:paraId="7FE6A68D" w14:textId="77777777" w:rsidTr="00DD1D49">
        <w:tc>
          <w:tcPr>
            <w:tcW w:w="4678" w:type="dxa"/>
            <w:shd w:val="clear" w:color="auto" w:fill="auto"/>
          </w:tcPr>
          <w:p w14:paraId="0DEFDFBE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ECE/TRANS/WP.15/AC.2/2023/18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46673199" w14:textId="77777777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de correction du paragraphe 7.2.2.19.3</w:t>
            </w:r>
          </w:p>
        </w:tc>
      </w:tr>
      <w:tr w:rsidR="00554532" w:rsidRPr="009E09E6" w14:paraId="7CCA52C7" w14:textId="77777777" w:rsidTr="00DD1D49">
        <w:tc>
          <w:tcPr>
            <w:tcW w:w="4678" w:type="dxa"/>
            <w:shd w:val="clear" w:color="auto" w:fill="auto"/>
          </w:tcPr>
          <w:p w14:paraId="4E90659C" w14:textId="77777777" w:rsidR="00554532" w:rsidRPr="001827C4" w:rsidRDefault="00554532" w:rsidP="00DD1D49">
            <w:pPr>
              <w:pStyle w:val="SingleTxtG"/>
              <w:spacing w:before="40"/>
              <w:ind w:right="422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ECE/TRANS/WP.15/AC.2/2023/19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1496EB37" w14:textId="77777777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Correction du terme « </w:t>
            </w:r>
            <w:proofErr w:type="spellStart"/>
            <w:r>
              <w:rPr>
                <w:lang w:val="fr-FR"/>
              </w:rPr>
              <w:t>pump</w:t>
            </w:r>
            <w:proofErr w:type="spellEnd"/>
            <w:r>
              <w:rPr>
                <w:lang w:val="fr-FR"/>
              </w:rPr>
              <w:t xml:space="preserve"> room »</w:t>
            </w:r>
          </w:p>
        </w:tc>
      </w:tr>
      <w:tr w:rsidR="00554532" w:rsidRPr="009E09E6" w14:paraId="07ABCC1F" w14:textId="77777777" w:rsidTr="00DD1D49">
        <w:tc>
          <w:tcPr>
            <w:tcW w:w="4678" w:type="dxa"/>
            <w:shd w:val="clear" w:color="auto" w:fill="auto"/>
          </w:tcPr>
          <w:p w14:paraId="78D6862A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ECE/TRANS/WP.15/AC.2/2023/21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58E5EC6C" w14:textId="77777777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Amendement au paragraphe 9.3.x.51 c)</w:t>
            </w:r>
          </w:p>
        </w:tc>
      </w:tr>
      <w:tr w:rsidR="00554532" w:rsidRPr="009E09E6" w14:paraId="372D6008" w14:textId="77777777" w:rsidTr="00DD1D49">
        <w:tc>
          <w:tcPr>
            <w:tcW w:w="4678" w:type="dxa"/>
            <w:shd w:val="clear" w:color="auto" w:fill="auto"/>
          </w:tcPr>
          <w:p w14:paraId="64C26F6A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ECE/TRANS/WP.15/AC.2/2023/23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12393184" w14:textId="77777777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spacing w:val="-3"/>
                <w:lang w:val="fr-FR"/>
              </w:rPr>
            </w:pPr>
            <w:r>
              <w:rPr>
                <w:lang w:val="fr-FR"/>
              </w:rPr>
              <w:t>Correction terminologique − « Chambre des pompes »</w:t>
            </w:r>
          </w:p>
        </w:tc>
      </w:tr>
      <w:tr w:rsidR="00554532" w:rsidRPr="009E09E6" w14:paraId="3436459F" w14:textId="77777777" w:rsidTr="00DD1D49">
        <w:tc>
          <w:tcPr>
            <w:tcW w:w="4678" w:type="dxa"/>
            <w:shd w:val="clear" w:color="auto" w:fill="auto"/>
          </w:tcPr>
          <w:p w14:paraId="62C9ECE5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ECE/TRANS/WP.15/AC.2/2023/24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7791ECCC" w14:textId="77777777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spacing w:val="-3"/>
                <w:lang w:val="fr-FR"/>
              </w:rPr>
            </w:pPr>
            <w:r>
              <w:rPr>
                <w:lang w:val="fr-FR"/>
              </w:rPr>
              <w:t>Correction terminologique − « Dossier de bateau »</w:t>
            </w:r>
          </w:p>
        </w:tc>
      </w:tr>
      <w:tr w:rsidR="00554532" w:rsidRPr="009E09E6" w14:paraId="040D5589" w14:textId="77777777" w:rsidTr="00DD1D49">
        <w:tc>
          <w:tcPr>
            <w:tcW w:w="4678" w:type="dxa"/>
            <w:shd w:val="clear" w:color="auto" w:fill="auto"/>
          </w:tcPr>
          <w:p w14:paraId="2119B3D0" w14:textId="77777777" w:rsidR="00554532" w:rsidRPr="00554532" w:rsidRDefault="00554532" w:rsidP="00DD1D49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1827C4">
              <w:rPr>
                <w:lang w:val="en-US"/>
              </w:rPr>
              <w:t>ECE/TRANS/WP.15/AC.2/2023/25 (CCNR)</w:t>
            </w:r>
          </w:p>
        </w:tc>
        <w:tc>
          <w:tcPr>
            <w:tcW w:w="3827" w:type="dxa"/>
            <w:shd w:val="clear" w:color="auto" w:fill="auto"/>
          </w:tcPr>
          <w:p w14:paraId="7213FE3D" w14:textId="7D5BF0EF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spacing w:val="-3"/>
                <w:lang w:val="fr-FR"/>
              </w:rPr>
            </w:pPr>
            <w:r>
              <w:rPr>
                <w:lang w:val="fr-FR"/>
              </w:rPr>
              <w:t>Modification au 7.2.3.20.1 de la version française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 2023</w:t>
            </w:r>
          </w:p>
        </w:tc>
      </w:tr>
      <w:tr w:rsidR="00554532" w:rsidRPr="009E09E6" w14:paraId="459748F0" w14:textId="77777777" w:rsidTr="00DD1D49">
        <w:tc>
          <w:tcPr>
            <w:tcW w:w="4678" w:type="dxa"/>
            <w:shd w:val="clear" w:color="auto" w:fill="auto"/>
          </w:tcPr>
          <w:p w14:paraId="0E97277D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ECE/TRANS/WP.15/AC.2/2023/26 (Allemagne)</w:t>
            </w:r>
          </w:p>
        </w:tc>
        <w:tc>
          <w:tcPr>
            <w:tcW w:w="3827" w:type="dxa"/>
            <w:shd w:val="clear" w:color="auto" w:fill="auto"/>
          </w:tcPr>
          <w:p w14:paraId="57D29B29" w14:textId="171B47B5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spacing w:val="-3"/>
                <w:lang w:val="fr-FR"/>
              </w:rPr>
            </w:pPr>
            <w:r>
              <w:rPr>
                <w:lang w:val="fr-FR"/>
              </w:rPr>
              <w:t>8.1.6.2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 : Vérification et inspection du matériel - Tuyauteries flexibles</w:t>
            </w:r>
          </w:p>
        </w:tc>
      </w:tr>
      <w:tr w:rsidR="00554532" w:rsidRPr="009E09E6" w14:paraId="75BC934B" w14:textId="77777777" w:rsidTr="00DD1D49">
        <w:tc>
          <w:tcPr>
            <w:tcW w:w="4678" w:type="dxa"/>
            <w:shd w:val="clear" w:color="auto" w:fill="auto"/>
          </w:tcPr>
          <w:p w14:paraId="57D5FF3F" w14:textId="77777777" w:rsidR="00554532" w:rsidRPr="001827C4" w:rsidRDefault="00554532" w:rsidP="00DD1D49">
            <w:pPr>
              <w:pStyle w:val="SingleTxtG"/>
              <w:spacing w:before="40"/>
              <w:ind w:right="0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ECE/TRANS/WP.15/AC.2/2023/27 (Allemagne)</w:t>
            </w:r>
          </w:p>
        </w:tc>
        <w:tc>
          <w:tcPr>
            <w:tcW w:w="3827" w:type="dxa"/>
            <w:shd w:val="clear" w:color="auto" w:fill="auto"/>
          </w:tcPr>
          <w:p w14:paraId="47ADE87B" w14:textId="257B0F2A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bCs/>
                <w:spacing w:val="-3"/>
                <w:lang w:val="fr-FR"/>
              </w:rPr>
            </w:pPr>
            <w:r>
              <w:rPr>
                <w:lang w:val="fr-FR"/>
              </w:rPr>
              <w:t>5.4.1.1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 : Renseignements généraux dans le document de transport</w:t>
            </w:r>
          </w:p>
        </w:tc>
      </w:tr>
      <w:tr w:rsidR="00554532" w:rsidRPr="007752E8" w14:paraId="54413597" w14:textId="77777777" w:rsidTr="00DD1D49">
        <w:tc>
          <w:tcPr>
            <w:tcW w:w="4678" w:type="dxa"/>
            <w:shd w:val="clear" w:color="auto" w:fill="auto"/>
          </w:tcPr>
          <w:p w14:paraId="5E6B9191" w14:textId="77777777" w:rsidR="00554532" w:rsidRPr="001827C4" w:rsidRDefault="00554532" w:rsidP="00DD1D49">
            <w:pPr>
              <w:pStyle w:val="SingleTxtG"/>
              <w:spacing w:before="40"/>
              <w:ind w:right="425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ECE/TRANS/WP.15/AC.2/2023/28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5FBC421D" w14:textId="77777777" w:rsidR="00554532" w:rsidRDefault="00554532" w:rsidP="00A420B1">
            <w:pPr>
              <w:pStyle w:val="SingleTxtG"/>
              <w:spacing w:before="40"/>
              <w:ind w:left="0" w:right="0"/>
              <w:jc w:val="left"/>
              <w:rPr>
                <w:bCs/>
                <w:spacing w:val="-3"/>
              </w:rPr>
            </w:pPr>
            <w:r>
              <w:rPr>
                <w:lang w:val="fr-FR"/>
              </w:rPr>
              <w:t>Correction du paragraphe 9.3.3.25.12</w:t>
            </w:r>
          </w:p>
        </w:tc>
      </w:tr>
      <w:tr w:rsidR="00554532" w:rsidRPr="007752E8" w14:paraId="0EE8A26B" w14:textId="77777777" w:rsidTr="00DD1D49">
        <w:tc>
          <w:tcPr>
            <w:tcW w:w="4678" w:type="dxa"/>
            <w:shd w:val="clear" w:color="auto" w:fill="auto"/>
          </w:tcPr>
          <w:p w14:paraId="64B1C0A3" w14:textId="77777777" w:rsidR="00554532" w:rsidRPr="001827C4" w:rsidRDefault="00554532" w:rsidP="00DD1D49">
            <w:pPr>
              <w:pStyle w:val="SingleTxtG"/>
              <w:spacing w:before="40"/>
              <w:ind w:right="425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ECE/TRANS/WP.15/AC.2/2023/29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123824CE" w14:textId="77777777" w:rsidR="00554532" w:rsidRPr="00904C39" w:rsidRDefault="00554532" w:rsidP="00A420B1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Correction du paragraphe 8.2.2.3.1.1</w:t>
            </w:r>
          </w:p>
        </w:tc>
      </w:tr>
      <w:tr w:rsidR="00554532" w:rsidRPr="009E09E6" w14:paraId="0B16B09F" w14:textId="77777777" w:rsidTr="00DD1D49">
        <w:tc>
          <w:tcPr>
            <w:tcW w:w="4678" w:type="dxa"/>
            <w:shd w:val="clear" w:color="auto" w:fill="auto"/>
          </w:tcPr>
          <w:p w14:paraId="0DABA376" w14:textId="77777777" w:rsidR="00554532" w:rsidRPr="001827C4" w:rsidRDefault="00554532" w:rsidP="00DD1D49">
            <w:pPr>
              <w:pStyle w:val="SingleTxtG"/>
              <w:spacing w:before="40"/>
              <w:ind w:right="425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ECE/TRANS/WP.15/AC.2/2023/30 (sociétés de classification ADN recommandées)</w:t>
            </w:r>
          </w:p>
        </w:tc>
        <w:tc>
          <w:tcPr>
            <w:tcW w:w="3827" w:type="dxa"/>
            <w:shd w:val="clear" w:color="auto" w:fill="auto"/>
          </w:tcPr>
          <w:p w14:paraId="0CAAAF60" w14:textId="77777777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Correction terminologique de la version anglaise − « Push(er) barge »</w:t>
            </w:r>
          </w:p>
        </w:tc>
      </w:tr>
      <w:tr w:rsidR="00554532" w:rsidRPr="009E09E6" w14:paraId="4F053E07" w14:textId="77777777" w:rsidTr="00DD1D49">
        <w:tc>
          <w:tcPr>
            <w:tcW w:w="4678" w:type="dxa"/>
            <w:shd w:val="clear" w:color="auto" w:fill="auto"/>
          </w:tcPr>
          <w:p w14:paraId="008286D4" w14:textId="77777777" w:rsidR="00554532" w:rsidRPr="001827C4" w:rsidRDefault="00554532" w:rsidP="00DD1D49">
            <w:pPr>
              <w:pStyle w:val="SingleTxtG"/>
              <w:spacing w:before="40"/>
              <w:ind w:right="425"/>
              <w:rPr>
                <w:lang w:val="fr-FR"/>
              </w:rPr>
            </w:pPr>
            <w:r>
              <w:rPr>
                <w:lang w:val="fr-FR"/>
              </w:rPr>
              <w:lastRenderedPageBreak/>
              <w:t>ECE/TRANS/WP.15/AC.2/2023/36 (UENF et OEB)</w:t>
            </w:r>
          </w:p>
        </w:tc>
        <w:tc>
          <w:tcPr>
            <w:tcW w:w="3827" w:type="dxa"/>
            <w:shd w:val="clear" w:color="auto" w:fill="auto"/>
          </w:tcPr>
          <w:p w14:paraId="2A7B15EF" w14:textId="3E12CCD6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Modification de la définition de « soupape de sécurité » au 1.2.1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 et amendements de conséquence</w:t>
            </w:r>
          </w:p>
        </w:tc>
      </w:tr>
      <w:tr w:rsidR="00554532" w:rsidRPr="009E09E6" w14:paraId="20788F4D" w14:textId="77777777" w:rsidTr="00DD1D49">
        <w:tc>
          <w:tcPr>
            <w:tcW w:w="4678" w:type="dxa"/>
            <w:shd w:val="clear" w:color="auto" w:fill="auto"/>
          </w:tcPr>
          <w:p w14:paraId="17296D79" w14:textId="77777777" w:rsidR="00554532" w:rsidRPr="001827C4" w:rsidRDefault="00554532" w:rsidP="00DD1D49">
            <w:pPr>
              <w:pStyle w:val="SingleTxtG"/>
              <w:spacing w:before="40"/>
              <w:ind w:right="425"/>
              <w:rPr>
                <w:lang w:val="fr-FR"/>
              </w:rPr>
            </w:pPr>
            <w:r>
              <w:rPr>
                <w:lang w:val="fr-FR"/>
              </w:rPr>
              <w:t>ECE/TRANS/WP.15/AC.2/2023/37 (UENF et OEB)</w:t>
            </w:r>
          </w:p>
        </w:tc>
        <w:tc>
          <w:tcPr>
            <w:tcW w:w="3827" w:type="dxa"/>
            <w:shd w:val="clear" w:color="auto" w:fill="auto"/>
          </w:tcPr>
          <w:p w14:paraId="2B596B5D" w14:textId="732A2432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Dispositions particulières relatives aux déchets</w:t>
            </w:r>
            <w:r w:rsidR="00A420B1">
              <w:rPr>
                <w:lang w:val="fr-FR"/>
              </w:rPr>
              <w:t> </w:t>
            </w:r>
            <w:r>
              <w:rPr>
                <w:lang w:val="fr-FR"/>
              </w:rPr>
              <w:t>: correction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une référence à un alinéa qui n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existe pas</w:t>
            </w:r>
          </w:p>
        </w:tc>
      </w:tr>
      <w:tr w:rsidR="00554532" w:rsidRPr="009E09E6" w14:paraId="5D63A230" w14:textId="77777777" w:rsidTr="00DD1D49">
        <w:tc>
          <w:tcPr>
            <w:tcW w:w="4678" w:type="dxa"/>
            <w:shd w:val="clear" w:color="auto" w:fill="auto"/>
          </w:tcPr>
          <w:p w14:paraId="4C1E3F82" w14:textId="77777777" w:rsidR="00554532" w:rsidRPr="001827C4" w:rsidRDefault="00554532" w:rsidP="00DD1D49">
            <w:pPr>
              <w:pStyle w:val="SingleTxtG"/>
              <w:spacing w:before="40"/>
              <w:ind w:right="425"/>
              <w:rPr>
                <w:lang w:val="fr-FR"/>
              </w:rPr>
            </w:pPr>
            <w:r>
              <w:rPr>
                <w:lang w:val="fr-FR"/>
              </w:rPr>
              <w:t>ECE/TRANS/WP.15/AC.2/2023/38 (UENF et OEB)</w:t>
            </w:r>
          </w:p>
        </w:tc>
        <w:tc>
          <w:tcPr>
            <w:tcW w:w="3827" w:type="dxa"/>
            <w:shd w:val="clear" w:color="auto" w:fill="auto"/>
          </w:tcPr>
          <w:p w14:paraId="3F774374" w14:textId="0EFFDC94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Correction du 9.3.2.22.4 b)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A420B1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Soupape de dépression équipée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un coupe-flammes résistant à une détonation</w:t>
            </w:r>
          </w:p>
        </w:tc>
      </w:tr>
      <w:tr w:rsidR="00554532" w:rsidRPr="009E09E6" w14:paraId="7A57CBA9" w14:textId="77777777" w:rsidTr="00DD1D49">
        <w:tc>
          <w:tcPr>
            <w:tcW w:w="4678" w:type="dxa"/>
            <w:shd w:val="clear" w:color="auto" w:fill="auto"/>
          </w:tcPr>
          <w:p w14:paraId="5251FE9A" w14:textId="77777777" w:rsidR="00554532" w:rsidRPr="001827C4" w:rsidRDefault="00554532" w:rsidP="00DD1D49">
            <w:pPr>
              <w:pStyle w:val="SingleTxtG"/>
              <w:spacing w:before="40"/>
              <w:ind w:right="425"/>
              <w:rPr>
                <w:lang w:val="fr-FR"/>
              </w:rPr>
            </w:pPr>
            <w:r>
              <w:rPr>
                <w:lang w:val="fr-FR"/>
              </w:rPr>
              <w:t>ECE/TRANS/WP.15/AC.2/2023/40 (UENF et OEB)</w:t>
            </w:r>
          </w:p>
        </w:tc>
        <w:tc>
          <w:tcPr>
            <w:tcW w:w="3827" w:type="dxa"/>
            <w:shd w:val="clear" w:color="auto" w:fill="auto"/>
          </w:tcPr>
          <w:p w14:paraId="2EA13AC1" w14:textId="361C410A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Nombre maximal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échantillons de cargaison (tel qu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énoncé au 7.2.4.1.1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ADN) autorisé à bord des « bateaux avitailleurs ou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autres bateaux livrant des produits pour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exploitation des bateaux » (tels que mentionnés au 7.2.4.1.3 et au 7.2.4.1.4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ADN)</w:t>
            </w:r>
          </w:p>
        </w:tc>
      </w:tr>
      <w:tr w:rsidR="00554532" w:rsidRPr="007752E8" w14:paraId="2BD971DB" w14:textId="77777777" w:rsidTr="00DD1D49">
        <w:tc>
          <w:tcPr>
            <w:tcW w:w="4678" w:type="dxa"/>
            <w:shd w:val="clear" w:color="auto" w:fill="auto"/>
          </w:tcPr>
          <w:p w14:paraId="152D1286" w14:textId="77777777" w:rsidR="00554532" w:rsidRPr="001827C4" w:rsidRDefault="00554532" w:rsidP="00DD1D49">
            <w:pPr>
              <w:pStyle w:val="SingleTxtG"/>
              <w:spacing w:before="40"/>
              <w:ind w:right="425"/>
              <w:rPr>
                <w:lang w:val="fr-FR"/>
              </w:rPr>
            </w:pPr>
            <w:r>
              <w:rPr>
                <w:lang w:val="fr-FR"/>
              </w:rPr>
              <w:t>ECE/TRANS/WP.15/AC.2/2023/43 (Belgique, Pays-Bas et CCNR)</w:t>
            </w:r>
          </w:p>
        </w:tc>
        <w:tc>
          <w:tcPr>
            <w:tcW w:w="3827" w:type="dxa"/>
            <w:shd w:val="clear" w:color="auto" w:fill="auto"/>
          </w:tcPr>
          <w:p w14:paraId="7D2C6988" w14:textId="77777777" w:rsidR="00554532" w:rsidRDefault="00554532" w:rsidP="00A420B1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Dégazage et accostage</w:t>
            </w:r>
          </w:p>
        </w:tc>
      </w:tr>
      <w:tr w:rsidR="00554532" w:rsidRPr="007752E8" w14:paraId="3024C843" w14:textId="77777777" w:rsidTr="00DD1D49">
        <w:tc>
          <w:tcPr>
            <w:tcW w:w="4678" w:type="dxa"/>
            <w:shd w:val="clear" w:color="auto" w:fill="auto"/>
          </w:tcPr>
          <w:p w14:paraId="4FF1A451" w14:textId="77777777" w:rsidR="00554532" w:rsidRPr="001827C4" w:rsidRDefault="00554532" w:rsidP="00DD1D49">
            <w:pPr>
              <w:pStyle w:val="SingleTxtG"/>
              <w:spacing w:before="40"/>
              <w:ind w:right="425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ECE/TRANS/WP.15/AC.2/2023/44 et document informel INF.2 (Pays-Bas)</w:t>
            </w:r>
          </w:p>
        </w:tc>
        <w:tc>
          <w:tcPr>
            <w:tcW w:w="3827" w:type="dxa"/>
            <w:shd w:val="clear" w:color="auto" w:fill="auto"/>
          </w:tcPr>
          <w:p w14:paraId="04399564" w14:textId="77777777" w:rsidR="00554532" w:rsidRDefault="00554532" w:rsidP="00A420B1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Liste de contrôle ADN</w:t>
            </w:r>
          </w:p>
        </w:tc>
      </w:tr>
      <w:tr w:rsidR="00554532" w:rsidRPr="009E09E6" w14:paraId="53D48882" w14:textId="77777777" w:rsidTr="00DD1D49">
        <w:tc>
          <w:tcPr>
            <w:tcW w:w="4678" w:type="dxa"/>
            <w:shd w:val="clear" w:color="auto" w:fill="auto"/>
          </w:tcPr>
          <w:p w14:paraId="0E238F41" w14:textId="77777777" w:rsidR="00554532" w:rsidRDefault="00554532" w:rsidP="00DD1D49">
            <w:pPr>
              <w:pStyle w:val="SingleTxtG"/>
              <w:spacing w:before="40"/>
              <w:ind w:right="425"/>
            </w:pPr>
            <w:r>
              <w:rPr>
                <w:lang w:val="fr-FR"/>
              </w:rPr>
              <w:t>ECE/TRANS/WP.15/AC.2/2023/45 (</w:t>
            </w:r>
            <w:proofErr w:type="spellStart"/>
            <w:r>
              <w:rPr>
                <w:lang w:val="fr-FR"/>
              </w:rPr>
              <w:t>FuelsEurope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53B6D16" w14:textId="5DC0565D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Reclassement du No ONU 1918 ISOPROPYLBENZÈNE (</w:t>
            </w:r>
            <w:proofErr w:type="spellStart"/>
            <w:r>
              <w:rPr>
                <w:lang w:val="fr-FR"/>
              </w:rPr>
              <w:t>cumène</w:t>
            </w:r>
            <w:proofErr w:type="spellEnd"/>
            <w:r>
              <w:rPr>
                <w:lang w:val="fr-FR"/>
              </w:rPr>
              <w:t>) et des matières contenant au moins 0,1</w:t>
            </w:r>
            <w:r w:rsidR="00A420B1">
              <w:rPr>
                <w:lang w:val="fr-FR"/>
              </w:rPr>
              <w:t> </w:t>
            </w:r>
            <w:r>
              <w:rPr>
                <w:lang w:val="fr-FR"/>
              </w:rPr>
              <w:t xml:space="preserve">% de </w:t>
            </w:r>
            <w:proofErr w:type="spellStart"/>
            <w:r>
              <w:rPr>
                <w:lang w:val="fr-FR"/>
              </w:rPr>
              <w:t>cumène</w:t>
            </w:r>
            <w:proofErr w:type="spellEnd"/>
          </w:p>
        </w:tc>
      </w:tr>
      <w:tr w:rsidR="00554532" w:rsidRPr="009E09E6" w14:paraId="1CDB3AC2" w14:textId="77777777" w:rsidTr="00DD1D49">
        <w:tc>
          <w:tcPr>
            <w:tcW w:w="4678" w:type="dxa"/>
            <w:shd w:val="clear" w:color="auto" w:fill="auto"/>
          </w:tcPr>
          <w:p w14:paraId="1B85C0D1" w14:textId="77777777" w:rsidR="00554532" w:rsidRPr="001827C4" w:rsidRDefault="00554532" w:rsidP="00DD1D49">
            <w:pPr>
              <w:pStyle w:val="SingleTxtG"/>
              <w:spacing w:before="40"/>
              <w:ind w:right="425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ECE/TRANS/WP.15/AC.2/2023/46 (Allemagne, France et Pays-Bas)</w:t>
            </w:r>
          </w:p>
        </w:tc>
        <w:tc>
          <w:tcPr>
            <w:tcW w:w="3827" w:type="dxa"/>
            <w:shd w:val="clear" w:color="auto" w:fill="auto"/>
          </w:tcPr>
          <w:p w14:paraId="7542C061" w14:textId="345EA1C8" w:rsidR="00554532" w:rsidRPr="001827C4" w:rsidRDefault="00554532" w:rsidP="00A420B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Questions relatives au terme «</w:t>
            </w:r>
            <w:r w:rsidR="00A420B1">
              <w:rPr>
                <w:lang w:val="fr-FR"/>
              </w:rPr>
              <w:t> </w:t>
            </w:r>
            <w:r>
              <w:rPr>
                <w:lang w:val="fr-FR"/>
              </w:rPr>
              <w:t>inspection body</w:t>
            </w:r>
            <w:r w:rsidR="00A420B1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</w:tbl>
    <w:p w14:paraId="2169DF26" w14:textId="349ED0D6" w:rsidR="00554532" w:rsidRPr="001827C4" w:rsidRDefault="00554532" w:rsidP="0055453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5.</w:t>
      </w:r>
      <w:r>
        <w:rPr>
          <w:lang w:val="fr-FR"/>
        </w:rPr>
        <w:tab/>
      </w:r>
      <w:r>
        <w:rPr>
          <w:lang w:val="fr-FR"/>
        </w:rPr>
        <w:tab/>
        <w:t xml:space="preserve">Rapports des groupes de travail </w:t>
      </w:r>
      <w:r w:rsidRPr="00554532">
        <w:t>informels</w:t>
      </w:r>
    </w:p>
    <w:p w14:paraId="73D1F4F4" w14:textId="77777777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le rapport du groupe de travail informel de la formation des experts sur sa vingt-cinquième réunion (ECE/TRANS/WP.15/AC.2/2023/20), le rapport du groupe de travail informel des sociétés de classification ADN recommandées sur sa vingt-cinquième réunion (ECE/TRANS/WP.15/AC.2/2023/22), les conclusions à mi-parcours du groupe de travail par correspondance du transport sous fumigation (ECE/TRANS/WP.15/AC.2/2023/39), le rapport du groupe de travail informel des instructions de chargement et de déchargement sur sa deuxième réunion (ECE/TRANS/WP.15/AC.2/2023/41) et le rapport du groupe de travail informel des attestations et autres documents de bord sous forme électronique sur sa deuxième réunion (ECE/TRANS/WP.15/AC.2/2023/42).</w:t>
      </w:r>
    </w:p>
    <w:p w14:paraId="58AF26E8" w14:textId="63AF600E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Les rapports d</w:t>
      </w:r>
      <w:r>
        <w:rPr>
          <w:lang w:val="fr-FR"/>
        </w:rPr>
        <w:t>’</w:t>
      </w:r>
      <w:r>
        <w:rPr>
          <w:lang w:val="fr-FR"/>
        </w:rPr>
        <w:t>autres groupes de travail informels reçus après la publication du présent ordre du jour annoté seront présentés dans des documents informels.</w:t>
      </w:r>
    </w:p>
    <w:p w14:paraId="52746C45" w14:textId="094CFB0B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6.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Programme de développement durable à l</w:t>
      </w:r>
      <w:r>
        <w:rPr>
          <w:bCs/>
          <w:lang w:val="fr-FR"/>
        </w:rPr>
        <w:t>’</w:t>
      </w:r>
      <w:r>
        <w:rPr>
          <w:bCs/>
          <w:lang w:val="fr-FR"/>
        </w:rPr>
        <w:t>horizon 2030</w:t>
      </w:r>
      <w:r>
        <w:rPr>
          <w:lang w:val="fr-FR"/>
        </w:rPr>
        <w:t xml:space="preserve"> (Économie circulaire, utilisation durable des ressources naturelles et objectifs de développement durable)</w:t>
      </w:r>
    </w:p>
    <w:p w14:paraId="576A72AC" w14:textId="5899BDC5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toute autre question liée aux changements climatiques, à l</w:t>
      </w:r>
      <w:r>
        <w:rPr>
          <w:lang w:val="fr-FR"/>
        </w:rPr>
        <w:t>’</w:t>
      </w:r>
      <w:r>
        <w:rPr>
          <w:lang w:val="fr-FR"/>
        </w:rPr>
        <w:t>économie circulaire et à l</w:t>
      </w:r>
      <w:r>
        <w:rPr>
          <w:lang w:val="fr-FR"/>
        </w:rPr>
        <w:t>’</w:t>
      </w:r>
      <w:r>
        <w:rPr>
          <w:lang w:val="fr-FR"/>
        </w:rPr>
        <w:t>utilisation durable des ressources naturelles en rapport avec ses travaux à l</w:t>
      </w:r>
      <w:r>
        <w:rPr>
          <w:lang w:val="fr-FR"/>
        </w:rPr>
        <w:t>’</w:t>
      </w:r>
      <w:r>
        <w:rPr>
          <w:lang w:val="fr-FR"/>
        </w:rPr>
        <w:t>appui de la réalisation des objectifs de développement durable.</w:t>
      </w:r>
    </w:p>
    <w:p w14:paraId="29BE27FF" w14:textId="7BD9F4A6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7.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Programme de travail et calendrier des réunions</w:t>
      </w:r>
    </w:p>
    <w:p w14:paraId="7F11309C" w14:textId="0E098035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La trentième session du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ADN aura lieu le 25</w:t>
      </w:r>
      <w:r>
        <w:rPr>
          <w:lang w:val="fr-FR"/>
        </w:rPr>
        <w:t> </w:t>
      </w:r>
      <w:r>
        <w:rPr>
          <w:lang w:val="fr-FR"/>
        </w:rPr>
        <w:t>août 2023 à partir de midi. La quarante-troisième session du Comité de sécurité de l</w:t>
      </w:r>
      <w:r>
        <w:rPr>
          <w:lang w:val="fr-FR"/>
        </w:rPr>
        <w:t>’</w:t>
      </w:r>
      <w:r>
        <w:rPr>
          <w:lang w:val="fr-FR"/>
        </w:rPr>
        <w:t>ADN est prévue à Genève du 22 au 26</w:t>
      </w:r>
      <w:r>
        <w:rPr>
          <w:lang w:val="fr-FR"/>
        </w:rPr>
        <w:t> </w:t>
      </w:r>
      <w:r>
        <w:rPr>
          <w:lang w:val="fr-FR"/>
        </w:rPr>
        <w:t>janvier 2024. La trente et unième session du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ADN se tiendra en principe le 26</w:t>
      </w:r>
      <w:r w:rsidR="00B34C0C">
        <w:rPr>
          <w:lang w:val="fr-FR"/>
        </w:rPr>
        <w:t> </w:t>
      </w:r>
      <w:r>
        <w:rPr>
          <w:lang w:val="fr-FR"/>
        </w:rPr>
        <w:t>janvier 2024. La date limite pour la soumission de documents en vue de ces sessions est fixée au 27</w:t>
      </w:r>
      <w:r w:rsidR="00B34C0C">
        <w:rPr>
          <w:lang w:val="fr-FR"/>
        </w:rPr>
        <w:t> </w:t>
      </w:r>
      <w:r>
        <w:rPr>
          <w:lang w:val="fr-FR"/>
        </w:rPr>
        <w:t>octobre 2023.</w:t>
      </w:r>
    </w:p>
    <w:p w14:paraId="5182BBBE" w14:textId="7BA7FAD1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lastRenderedPageBreak/>
        <w:tab/>
      </w:r>
      <w:r>
        <w:rPr>
          <w:bCs/>
          <w:lang w:val="fr-FR"/>
        </w:rPr>
        <w:t>8.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Questions diverses</w:t>
      </w:r>
    </w:p>
    <w:p w14:paraId="1F695798" w14:textId="646F3682" w:rsidR="00554532" w:rsidRPr="001827C4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invité à examiner d</w:t>
      </w:r>
      <w:r>
        <w:rPr>
          <w:lang w:val="fr-FR"/>
        </w:rPr>
        <w:t>’</w:t>
      </w:r>
      <w:r>
        <w:rPr>
          <w:lang w:val="fr-FR"/>
        </w:rPr>
        <w:t>autres questions se rapportant à ses travaux au titre de ce point de l</w:t>
      </w:r>
      <w:r>
        <w:rPr>
          <w:lang w:val="fr-FR"/>
        </w:rPr>
        <w:t>’</w:t>
      </w:r>
      <w:r>
        <w:rPr>
          <w:lang w:val="fr-FR"/>
        </w:rPr>
        <w:t>ordre du jour.</w:t>
      </w:r>
    </w:p>
    <w:p w14:paraId="27522774" w14:textId="764E234D" w:rsidR="00554532" w:rsidRPr="001827C4" w:rsidRDefault="00554532" w:rsidP="00554532">
      <w:pPr>
        <w:pStyle w:val="H23G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9.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Adoption du rapport</w:t>
      </w:r>
    </w:p>
    <w:p w14:paraId="678F29CF" w14:textId="78582E40" w:rsidR="00554532" w:rsidRDefault="00554532" w:rsidP="00554532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Le Comité de sécurité souhaitera sans doute adopter le rapport de sa quarante</w:t>
      </w:r>
      <w:r w:rsidR="00E96963">
        <w:rPr>
          <w:lang w:val="fr-FR"/>
        </w:rPr>
        <w:noBreakHyphen/>
      </w:r>
      <w:r>
        <w:rPr>
          <w:lang w:val="fr-FR"/>
        </w:rPr>
        <w:t>deuxième session sur la base d</w:t>
      </w:r>
      <w:r>
        <w:rPr>
          <w:lang w:val="fr-FR"/>
        </w:rPr>
        <w:t>’</w:t>
      </w:r>
      <w:r>
        <w:rPr>
          <w:lang w:val="fr-FR"/>
        </w:rPr>
        <w:t>un projet établi par le secrétariat.</w:t>
      </w:r>
    </w:p>
    <w:p w14:paraId="75D5AB23" w14:textId="6CB387E4" w:rsidR="00554532" w:rsidRPr="00554532" w:rsidRDefault="00554532" w:rsidP="005545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4532" w:rsidRPr="00554532" w:rsidSect="005545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E43F" w14:textId="77777777" w:rsidR="001C4BF1" w:rsidRDefault="001C4BF1" w:rsidP="00F95C08">
      <w:pPr>
        <w:spacing w:line="240" w:lineRule="auto"/>
      </w:pPr>
    </w:p>
  </w:endnote>
  <w:endnote w:type="continuationSeparator" w:id="0">
    <w:p w14:paraId="4CA8771D" w14:textId="77777777" w:rsidR="001C4BF1" w:rsidRPr="00AC3823" w:rsidRDefault="001C4BF1" w:rsidP="00AC3823">
      <w:pPr>
        <w:pStyle w:val="Pieddepage"/>
      </w:pPr>
    </w:p>
  </w:endnote>
  <w:endnote w:type="continuationNotice" w:id="1">
    <w:p w14:paraId="5637756F" w14:textId="77777777" w:rsidR="001C4BF1" w:rsidRDefault="001C4B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DB74" w14:textId="57770E77" w:rsidR="00554532" w:rsidRPr="00554532" w:rsidRDefault="00554532" w:rsidP="00554532">
    <w:pPr>
      <w:pStyle w:val="Pieddepage"/>
      <w:tabs>
        <w:tab w:val="right" w:pos="9638"/>
      </w:tabs>
    </w:pPr>
    <w:r w:rsidRPr="00554532">
      <w:rPr>
        <w:b/>
        <w:sz w:val="18"/>
      </w:rPr>
      <w:fldChar w:fldCharType="begin"/>
    </w:r>
    <w:r w:rsidRPr="00554532">
      <w:rPr>
        <w:b/>
        <w:sz w:val="18"/>
      </w:rPr>
      <w:instrText xml:space="preserve"> PAGE  \* MERGEFORMAT </w:instrText>
    </w:r>
    <w:r w:rsidRPr="00554532">
      <w:rPr>
        <w:b/>
        <w:sz w:val="18"/>
      </w:rPr>
      <w:fldChar w:fldCharType="separate"/>
    </w:r>
    <w:r w:rsidRPr="00554532">
      <w:rPr>
        <w:b/>
        <w:noProof/>
        <w:sz w:val="18"/>
      </w:rPr>
      <w:t>2</w:t>
    </w:r>
    <w:r w:rsidRPr="00554532">
      <w:rPr>
        <w:b/>
        <w:sz w:val="18"/>
      </w:rPr>
      <w:fldChar w:fldCharType="end"/>
    </w:r>
    <w:r>
      <w:rPr>
        <w:b/>
        <w:sz w:val="18"/>
      </w:rPr>
      <w:tab/>
    </w:r>
    <w:r>
      <w:t>GE.23-11136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D28E" w14:textId="3A814D81" w:rsidR="00554532" w:rsidRPr="00554532" w:rsidRDefault="00554532" w:rsidP="00554532">
    <w:pPr>
      <w:pStyle w:val="Pieddepage"/>
      <w:tabs>
        <w:tab w:val="right" w:pos="9638"/>
      </w:tabs>
      <w:rPr>
        <w:b/>
        <w:sz w:val="18"/>
      </w:rPr>
    </w:pPr>
    <w:r>
      <w:t>GE.23-11136</w:t>
    </w:r>
    <w:r>
      <w:tab/>
    </w:r>
    <w:r w:rsidRPr="00554532">
      <w:rPr>
        <w:b/>
        <w:sz w:val="18"/>
      </w:rPr>
      <w:fldChar w:fldCharType="begin"/>
    </w:r>
    <w:r w:rsidRPr="00554532">
      <w:rPr>
        <w:b/>
        <w:sz w:val="18"/>
      </w:rPr>
      <w:instrText xml:space="preserve"> PAGE  \* MERGEFORMAT </w:instrText>
    </w:r>
    <w:r w:rsidRPr="00554532">
      <w:rPr>
        <w:b/>
        <w:sz w:val="18"/>
      </w:rPr>
      <w:fldChar w:fldCharType="separate"/>
    </w:r>
    <w:r w:rsidRPr="00554532">
      <w:rPr>
        <w:b/>
        <w:noProof/>
        <w:sz w:val="18"/>
      </w:rPr>
      <w:t>3</w:t>
    </w:r>
    <w:r w:rsidRPr="005545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35BD" w14:textId="18C84AC0" w:rsidR="00554532" w:rsidRPr="00554532" w:rsidRDefault="00554532" w:rsidP="00554532">
    <w:pPr>
      <w:pStyle w:val="Pieddepage"/>
      <w:spacing w:before="120"/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88C491" wp14:editId="66F5951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23-11136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FB7C19" wp14:editId="6D68301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1424059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040723    </w:t>
    </w:r>
    <w:r w:rsidR="001D0328">
      <w:rPr>
        <w:sz w:val="20"/>
      </w:rPr>
      <w:t>04</w:t>
    </w:r>
    <w:r>
      <w:rPr>
        <w:sz w:val="20"/>
      </w:rPr>
      <w:t>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5FB5" w14:textId="77777777" w:rsidR="001C4BF1" w:rsidRPr="00AC3823" w:rsidRDefault="001C4B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E5204A" w14:textId="77777777" w:rsidR="001C4BF1" w:rsidRPr="00AC3823" w:rsidRDefault="001C4BF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6213F5" w14:textId="77777777" w:rsidR="001C4BF1" w:rsidRPr="00AC3823" w:rsidRDefault="001C4BF1">
      <w:pPr>
        <w:spacing w:line="240" w:lineRule="auto"/>
        <w:rPr>
          <w:sz w:val="2"/>
          <w:szCs w:val="2"/>
        </w:rPr>
      </w:pPr>
    </w:p>
  </w:footnote>
  <w:footnote w:id="2">
    <w:p w14:paraId="104A07B9" w14:textId="0EC36E28" w:rsidR="00554532" w:rsidRPr="001827C4" w:rsidRDefault="00554532" w:rsidP="00554532">
      <w:pPr>
        <w:pStyle w:val="Notedebasdepage"/>
        <w:rPr>
          <w:lang w:val="fr-FR"/>
        </w:rPr>
      </w:pPr>
      <w:r>
        <w:rPr>
          <w:lang w:val="fr-FR"/>
        </w:rPr>
        <w:tab/>
      </w:r>
      <w:r w:rsidRPr="00554532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ZKR/ADN/WP.15/AC.2/85/Add.1.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EC88" w14:textId="3CFF417F" w:rsidR="00554532" w:rsidRPr="00554532" w:rsidRDefault="00554532">
    <w:pPr>
      <w:pStyle w:val="En-tte"/>
    </w:pPr>
    <w:fldSimple w:instr=" TITLE  \* MERGEFORMAT ">
      <w:r w:rsidR="000C7CC9">
        <w:t>ECE/TRANS/WP.15/AC.2/85/Add.1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8574" w14:textId="0726D369" w:rsidR="00554532" w:rsidRPr="00554532" w:rsidRDefault="00554532" w:rsidP="00554532">
    <w:pPr>
      <w:pStyle w:val="En-tte"/>
      <w:jc w:val="right"/>
    </w:pPr>
    <w:fldSimple w:instr=" TITLE  \* MERGEFORMAT ">
      <w:r w:rsidR="000C7CC9">
        <w:t>ECE/TRANS/WP.15/AC.2/85/Add.1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27DD"/>
    <w:multiLevelType w:val="hybridMultilevel"/>
    <w:tmpl w:val="2B9E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79493274">
    <w:abstractNumId w:val="13"/>
  </w:num>
  <w:num w:numId="2" w16cid:durableId="1913805443">
    <w:abstractNumId w:val="12"/>
  </w:num>
  <w:num w:numId="3" w16cid:durableId="1233658321">
    <w:abstractNumId w:val="11"/>
  </w:num>
  <w:num w:numId="4" w16cid:durableId="2001501050">
    <w:abstractNumId w:val="8"/>
  </w:num>
  <w:num w:numId="5" w16cid:durableId="859707318">
    <w:abstractNumId w:val="3"/>
  </w:num>
  <w:num w:numId="6" w16cid:durableId="1918972885">
    <w:abstractNumId w:val="2"/>
  </w:num>
  <w:num w:numId="7" w16cid:durableId="1909074573">
    <w:abstractNumId w:val="1"/>
  </w:num>
  <w:num w:numId="8" w16cid:durableId="301545054">
    <w:abstractNumId w:val="0"/>
  </w:num>
  <w:num w:numId="9" w16cid:durableId="334112906">
    <w:abstractNumId w:val="9"/>
  </w:num>
  <w:num w:numId="10" w16cid:durableId="873927750">
    <w:abstractNumId w:val="7"/>
  </w:num>
  <w:num w:numId="11" w16cid:durableId="1465855420">
    <w:abstractNumId w:val="6"/>
  </w:num>
  <w:num w:numId="12" w16cid:durableId="1484196313">
    <w:abstractNumId w:val="5"/>
  </w:num>
  <w:num w:numId="13" w16cid:durableId="700546912">
    <w:abstractNumId w:val="4"/>
  </w:num>
  <w:num w:numId="14" w16cid:durableId="1258757401">
    <w:abstractNumId w:val="13"/>
  </w:num>
  <w:num w:numId="15" w16cid:durableId="2051609484">
    <w:abstractNumId w:val="12"/>
  </w:num>
  <w:num w:numId="16" w16cid:durableId="1481847646">
    <w:abstractNumId w:val="11"/>
  </w:num>
  <w:num w:numId="17" w16cid:durableId="359278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1"/>
    <w:rsid w:val="00017F94"/>
    <w:rsid w:val="00023842"/>
    <w:rsid w:val="000334F9"/>
    <w:rsid w:val="00045FEB"/>
    <w:rsid w:val="0007796D"/>
    <w:rsid w:val="000B7790"/>
    <w:rsid w:val="000C7CC9"/>
    <w:rsid w:val="00111F2F"/>
    <w:rsid w:val="0014365E"/>
    <w:rsid w:val="00143C66"/>
    <w:rsid w:val="00176178"/>
    <w:rsid w:val="001C4BF1"/>
    <w:rsid w:val="001D032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54532"/>
    <w:rsid w:val="00573BE5"/>
    <w:rsid w:val="00586ED3"/>
    <w:rsid w:val="00596AA9"/>
    <w:rsid w:val="005F53F8"/>
    <w:rsid w:val="0071601D"/>
    <w:rsid w:val="00734E27"/>
    <w:rsid w:val="0077196C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20B1"/>
    <w:rsid w:val="00A84102"/>
    <w:rsid w:val="00AC3823"/>
    <w:rsid w:val="00AE323C"/>
    <w:rsid w:val="00AF0CB5"/>
    <w:rsid w:val="00B00181"/>
    <w:rsid w:val="00B00B0D"/>
    <w:rsid w:val="00B34C0C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96963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B07A"/>
  <w15:docId w15:val="{757B201C-7CE8-4897-84C8-BCABC7F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5453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8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classification-societie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80FE0-BC01-49CE-BCB6-23D45425823B}"/>
</file>

<file path=customXml/itemProps2.xml><?xml version="1.0" encoding="utf-8"?>
<ds:datastoreItem xmlns:ds="http://schemas.openxmlformats.org/officeDocument/2006/customXml" ds:itemID="{A284CE38-F260-4FBB-B26D-D0B0AEA25F3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5</Pages>
  <Words>1213</Words>
  <Characters>8497</Characters>
  <Application>Microsoft Office Word</Application>
  <DocSecurity>0</DocSecurity>
  <Lines>708</Lines>
  <Paragraphs>388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ECE/TRANS/WP.15/AC.2/85/Add.1</vt:lpstr>
    </vt:vector>
  </TitlesOfParts>
  <Company>DCM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ECE/TRANS/WP.15/AC.2/85/Add.1</dc:title>
  <dc:subject/>
  <dc:creator>Corinne ROBERT</dc:creator>
  <cp:keywords/>
  <cp:lastModifiedBy>Corinne Robert</cp:lastModifiedBy>
  <cp:revision>3</cp:revision>
  <cp:lastPrinted>2023-07-04T13:39:00Z</cp:lastPrinted>
  <dcterms:created xsi:type="dcterms:W3CDTF">2023-07-04T13:39:00Z</dcterms:created>
  <dcterms:modified xsi:type="dcterms:W3CDTF">2023-07-04T13:41:00Z</dcterms:modified>
</cp:coreProperties>
</file>