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130BF4" w14:paraId="2F32E5BF" w14:textId="77777777" w:rsidTr="005316B0">
        <w:trPr>
          <w:trHeight w:hRule="exact" w:val="851"/>
        </w:trPr>
        <w:tc>
          <w:tcPr>
            <w:tcW w:w="1276" w:type="dxa"/>
            <w:tcBorders>
              <w:bottom w:val="single" w:sz="4" w:space="0" w:color="auto"/>
            </w:tcBorders>
          </w:tcPr>
          <w:p w14:paraId="1FDAA5F8" w14:textId="77777777" w:rsidR="001433FD" w:rsidRPr="00130BF4" w:rsidRDefault="001433FD" w:rsidP="0001207F">
            <w:pPr>
              <w:rPr>
                <w:lang w:val="fr-FR"/>
              </w:rPr>
            </w:pPr>
          </w:p>
        </w:tc>
        <w:tc>
          <w:tcPr>
            <w:tcW w:w="2268" w:type="dxa"/>
            <w:tcBorders>
              <w:bottom w:val="single" w:sz="4" w:space="0" w:color="auto"/>
            </w:tcBorders>
            <w:vAlign w:val="bottom"/>
          </w:tcPr>
          <w:p w14:paraId="221DD3E4" w14:textId="77777777" w:rsidR="001433FD" w:rsidRPr="00130BF4" w:rsidRDefault="001433FD">
            <w:pPr>
              <w:spacing w:after="80" w:line="300" w:lineRule="exact"/>
              <w:rPr>
                <w:sz w:val="28"/>
                <w:lang w:val="fr-FR"/>
              </w:rPr>
            </w:pPr>
            <w:r w:rsidRPr="00130BF4">
              <w:rPr>
                <w:sz w:val="28"/>
                <w:lang w:val="fr-FR"/>
              </w:rPr>
              <w:t>Nations Unies</w:t>
            </w:r>
          </w:p>
        </w:tc>
        <w:tc>
          <w:tcPr>
            <w:tcW w:w="6095" w:type="dxa"/>
            <w:gridSpan w:val="2"/>
            <w:tcBorders>
              <w:bottom w:val="single" w:sz="4" w:space="0" w:color="auto"/>
            </w:tcBorders>
            <w:vAlign w:val="bottom"/>
          </w:tcPr>
          <w:p w14:paraId="6D569F87" w14:textId="5BCA1F48" w:rsidR="001433FD" w:rsidRPr="00506C3C" w:rsidRDefault="00506C3C" w:rsidP="00506C3C">
            <w:pPr>
              <w:jc w:val="right"/>
              <w:rPr>
                <w:lang w:val="fr-FR"/>
              </w:rPr>
            </w:pPr>
            <w:r w:rsidRPr="00506C3C">
              <w:rPr>
                <w:sz w:val="40"/>
                <w:lang w:val="fr-FR"/>
              </w:rPr>
              <w:t>ECE</w:t>
            </w:r>
            <w:r>
              <w:rPr>
                <w:lang w:val="fr-FR"/>
              </w:rPr>
              <w:t>/TRANS/WP.15/AC.2/2023/47</w:t>
            </w:r>
          </w:p>
        </w:tc>
      </w:tr>
      <w:tr w:rsidR="001433FD" w:rsidRPr="00130BF4" w14:paraId="4B0E97B8" w14:textId="77777777">
        <w:trPr>
          <w:trHeight w:hRule="exact" w:val="2835"/>
        </w:trPr>
        <w:tc>
          <w:tcPr>
            <w:tcW w:w="1276" w:type="dxa"/>
            <w:tcBorders>
              <w:top w:val="single" w:sz="4" w:space="0" w:color="auto"/>
              <w:bottom w:val="single" w:sz="12" w:space="0" w:color="auto"/>
            </w:tcBorders>
          </w:tcPr>
          <w:p w14:paraId="4EA492D9" w14:textId="77777777" w:rsidR="001433FD" w:rsidRPr="000F32A0" w:rsidRDefault="001433FD">
            <w:pPr>
              <w:spacing w:before="120"/>
              <w:jc w:val="center"/>
              <w:rPr>
                <w:lang w:val="fr-FR"/>
              </w:rPr>
            </w:pPr>
            <w:r w:rsidRPr="000F32A0">
              <w:rPr>
                <w:noProof/>
                <w:lang w:val="fr-FR" w:eastAsia="fr-CH"/>
              </w:rPr>
              <w:drawing>
                <wp:inline distT="0" distB="0" distL="0" distR="0" wp14:anchorId="562CB1FA" wp14:editId="0BB4AEAC">
                  <wp:extent cx="714375" cy="590550"/>
                  <wp:effectExtent l="0" t="0" r="9525" b="0"/>
                  <wp:docPr id="3"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AA26D18" w14:textId="77777777" w:rsidR="001433FD" w:rsidRPr="000F32A0" w:rsidRDefault="001433FD">
            <w:pPr>
              <w:spacing w:before="120" w:line="420" w:lineRule="exact"/>
              <w:rPr>
                <w:b/>
                <w:sz w:val="40"/>
                <w:szCs w:val="40"/>
                <w:lang w:val="fr-FR"/>
              </w:rPr>
            </w:pPr>
            <w:r w:rsidRPr="000F32A0">
              <w:rPr>
                <w:b/>
                <w:sz w:val="40"/>
                <w:szCs w:val="40"/>
                <w:lang w:val="fr-FR"/>
              </w:rPr>
              <w:t>Conseil économique et social</w:t>
            </w:r>
          </w:p>
        </w:tc>
        <w:tc>
          <w:tcPr>
            <w:tcW w:w="2835" w:type="dxa"/>
            <w:tcBorders>
              <w:top w:val="single" w:sz="4" w:space="0" w:color="auto"/>
              <w:bottom w:val="single" w:sz="12" w:space="0" w:color="auto"/>
            </w:tcBorders>
          </w:tcPr>
          <w:p w14:paraId="643FF886" w14:textId="77777777" w:rsidR="0001207F" w:rsidRPr="000F32A0" w:rsidRDefault="00FF4AFA" w:rsidP="00FF4AFA">
            <w:pPr>
              <w:spacing w:before="240" w:line="240" w:lineRule="exact"/>
              <w:rPr>
                <w:lang w:val="fr-FR"/>
              </w:rPr>
            </w:pPr>
            <w:proofErr w:type="spellStart"/>
            <w:r w:rsidRPr="000F32A0">
              <w:rPr>
                <w:lang w:val="fr-FR"/>
              </w:rPr>
              <w:t>Distr</w:t>
            </w:r>
            <w:proofErr w:type="spellEnd"/>
            <w:r w:rsidRPr="000F32A0">
              <w:rPr>
                <w:lang w:val="fr-FR"/>
              </w:rPr>
              <w:t>. générale</w:t>
            </w:r>
          </w:p>
          <w:p w14:paraId="052E1F79" w14:textId="03F5FE59" w:rsidR="00FF4AFA" w:rsidRPr="000F32A0" w:rsidRDefault="000738FC" w:rsidP="00FF4AFA">
            <w:pPr>
              <w:spacing w:line="240" w:lineRule="exact"/>
              <w:rPr>
                <w:lang w:val="fr-FR"/>
              </w:rPr>
            </w:pPr>
            <w:r w:rsidRPr="000F32A0">
              <w:rPr>
                <w:lang w:val="fr-FR"/>
              </w:rPr>
              <w:t>1</w:t>
            </w:r>
            <w:r w:rsidR="00A055F6">
              <w:rPr>
                <w:lang w:val="fr-FR"/>
              </w:rPr>
              <w:t>5</w:t>
            </w:r>
            <w:r w:rsidRPr="000F32A0">
              <w:rPr>
                <w:lang w:val="fr-FR"/>
              </w:rPr>
              <w:t xml:space="preserve"> juin</w:t>
            </w:r>
            <w:r w:rsidR="00FF4AFA" w:rsidRPr="000F32A0">
              <w:rPr>
                <w:lang w:val="fr-FR"/>
              </w:rPr>
              <w:t xml:space="preserve"> 2023</w:t>
            </w:r>
          </w:p>
          <w:p w14:paraId="557A22EC" w14:textId="77777777" w:rsidR="00FF4AFA" w:rsidRPr="000F32A0" w:rsidRDefault="00FF4AFA" w:rsidP="00FF4AFA">
            <w:pPr>
              <w:spacing w:line="240" w:lineRule="exact"/>
              <w:rPr>
                <w:lang w:val="fr-FR"/>
              </w:rPr>
            </w:pPr>
          </w:p>
          <w:p w14:paraId="499A99E4" w14:textId="77777777" w:rsidR="00FF4AFA" w:rsidRPr="000F32A0" w:rsidRDefault="00FF4AFA" w:rsidP="00FF4AFA">
            <w:pPr>
              <w:spacing w:line="240" w:lineRule="exact"/>
              <w:rPr>
                <w:lang w:val="fr-FR"/>
              </w:rPr>
            </w:pPr>
            <w:r w:rsidRPr="000F32A0">
              <w:rPr>
                <w:lang w:val="fr-FR"/>
              </w:rPr>
              <w:t>Original : français</w:t>
            </w:r>
          </w:p>
        </w:tc>
      </w:tr>
    </w:tbl>
    <w:p w14:paraId="09DF4A29" w14:textId="7E2FD15E" w:rsidR="00564657" w:rsidRPr="000F32A0" w:rsidRDefault="00564657" w:rsidP="00FF4AFA">
      <w:pPr>
        <w:spacing w:before="120"/>
        <w:rPr>
          <w:b/>
          <w:sz w:val="28"/>
          <w:szCs w:val="28"/>
          <w:lang w:val="fr-FR"/>
        </w:rPr>
      </w:pPr>
      <w:r w:rsidRPr="000F32A0">
        <w:rPr>
          <w:b/>
          <w:sz w:val="28"/>
          <w:szCs w:val="28"/>
          <w:lang w:val="fr-FR"/>
        </w:rPr>
        <w:t>Commission économique pour l</w:t>
      </w:r>
      <w:r w:rsidR="004D37B8">
        <w:rPr>
          <w:b/>
          <w:sz w:val="28"/>
          <w:szCs w:val="28"/>
          <w:lang w:val="fr-FR"/>
        </w:rPr>
        <w:t>’</w:t>
      </w:r>
      <w:r w:rsidRPr="000F32A0">
        <w:rPr>
          <w:b/>
          <w:sz w:val="28"/>
          <w:szCs w:val="28"/>
          <w:lang w:val="fr-FR"/>
        </w:rPr>
        <w:t>Europe</w:t>
      </w:r>
    </w:p>
    <w:p w14:paraId="1DF6E495" w14:textId="77777777" w:rsidR="00565F09" w:rsidRPr="000F32A0" w:rsidRDefault="00565F09" w:rsidP="00565F09">
      <w:pPr>
        <w:spacing w:before="120"/>
        <w:rPr>
          <w:sz w:val="28"/>
          <w:szCs w:val="28"/>
          <w:lang w:val="fr-FR"/>
        </w:rPr>
      </w:pPr>
      <w:r w:rsidRPr="000F32A0">
        <w:rPr>
          <w:sz w:val="28"/>
          <w:szCs w:val="28"/>
          <w:lang w:val="fr-FR"/>
        </w:rPr>
        <w:t>Comité des transports intérieurs</w:t>
      </w:r>
    </w:p>
    <w:p w14:paraId="23ABDFCD" w14:textId="77777777" w:rsidR="00565F09" w:rsidRPr="000F32A0" w:rsidRDefault="00565F09" w:rsidP="00565F09">
      <w:pPr>
        <w:spacing w:before="120" w:line="240" w:lineRule="auto"/>
        <w:rPr>
          <w:b/>
          <w:sz w:val="24"/>
          <w:szCs w:val="24"/>
          <w:lang w:val="fr-FR"/>
        </w:rPr>
      </w:pPr>
      <w:r w:rsidRPr="000F32A0">
        <w:rPr>
          <w:b/>
          <w:sz w:val="24"/>
          <w:szCs w:val="24"/>
          <w:lang w:val="fr-FR"/>
        </w:rPr>
        <w:t>Groupe de travail des transports</w:t>
      </w:r>
      <w:r w:rsidRPr="000F32A0">
        <w:rPr>
          <w:b/>
          <w:sz w:val="24"/>
          <w:szCs w:val="24"/>
          <w:lang w:val="fr-FR"/>
        </w:rPr>
        <w:br/>
        <w:t>de marchandises dangereuses</w:t>
      </w:r>
    </w:p>
    <w:p w14:paraId="13B593BE" w14:textId="24EAA9D4" w:rsidR="00565F09" w:rsidRPr="00130BF4" w:rsidRDefault="00565F09" w:rsidP="00565F09">
      <w:pPr>
        <w:spacing w:before="120" w:line="240" w:lineRule="auto"/>
        <w:rPr>
          <w:b/>
          <w:lang w:val="fr-FR"/>
        </w:rPr>
      </w:pPr>
      <w:r w:rsidRPr="00130BF4">
        <w:rPr>
          <w:b/>
          <w:lang w:val="fr-FR"/>
        </w:rPr>
        <w:t>Réunion commune d</w:t>
      </w:r>
      <w:r w:rsidR="004D37B8">
        <w:rPr>
          <w:b/>
          <w:lang w:val="fr-FR"/>
        </w:rPr>
        <w:t>’</w:t>
      </w:r>
      <w:r w:rsidRPr="00130BF4">
        <w:rPr>
          <w:b/>
          <w:lang w:val="fr-FR"/>
        </w:rPr>
        <w:t>experts sur le Règlement annexé</w:t>
      </w:r>
      <w:r w:rsidRPr="00130BF4">
        <w:rPr>
          <w:b/>
          <w:lang w:val="fr-FR"/>
        </w:rPr>
        <w:br/>
        <w:t>à l</w:t>
      </w:r>
      <w:r w:rsidR="004D37B8">
        <w:rPr>
          <w:b/>
          <w:lang w:val="fr-FR"/>
        </w:rPr>
        <w:t>’</w:t>
      </w:r>
      <w:r w:rsidRPr="00130BF4">
        <w:rPr>
          <w:b/>
          <w:lang w:val="fr-FR"/>
        </w:rPr>
        <w:t>Accord européen relatif au transport international</w:t>
      </w:r>
      <w:r w:rsidRPr="00130BF4">
        <w:rPr>
          <w:b/>
          <w:lang w:val="fr-FR"/>
        </w:rPr>
        <w:br/>
        <w:t xml:space="preserve">des marchandises </w:t>
      </w:r>
      <w:r w:rsidRPr="00130BF4">
        <w:rPr>
          <w:b/>
          <w:bCs/>
          <w:iCs/>
          <w:lang w:val="fr-FR"/>
        </w:rPr>
        <w:t>dangereuses par voies de navigation</w:t>
      </w:r>
      <w:r w:rsidRPr="00130BF4">
        <w:rPr>
          <w:b/>
          <w:bCs/>
          <w:iCs/>
          <w:lang w:val="fr-FR"/>
        </w:rPr>
        <w:br/>
        <w:t xml:space="preserve">intérieures (ADN) </w:t>
      </w:r>
      <w:r w:rsidRPr="00130BF4">
        <w:rPr>
          <w:b/>
          <w:bCs/>
          <w:lang w:val="fr-FR"/>
        </w:rPr>
        <w:t>(Comité de sécurité de l</w:t>
      </w:r>
      <w:r w:rsidR="004D37B8">
        <w:rPr>
          <w:b/>
          <w:bCs/>
          <w:lang w:val="fr-FR"/>
        </w:rPr>
        <w:t>’</w:t>
      </w:r>
      <w:r w:rsidRPr="00130BF4">
        <w:rPr>
          <w:b/>
          <w:bCs/>
          <w:lang w:val="fr-FR"/>
        </w:rPr>
        <w:t>ADN)</w:t>
      </w:r>
    </w:p>
    <w:p w14:paraId="28AE5C9C" w14:textId="77777777" w:rsidR="00BC76BB" w:rsidRPr="00130BF4" w:rsidRDefault="00BC76BB" w:rsidP="00BC76BB">
      <w:pPr>
        <w:spacing w:before="120"/>
        <w:rPr>
          <w:b/>
          <w:lang w:val="fr-FR"/>
        </w:rPr>
      </w:pPr>
      <w:r w:rsidRPr="00130BF4">
        <w:rPr>
          <w:b/>
          <w:lang w:val="fr-FR"/>
        </w:rPr>
        <w:t>Quarante-deuxième session</w:t>
      </w:r>
    </w:p>
    <w:p w14:paraId="442396B3" w14:textId="77777777" w:rsidR="00BC76BB" w:rsidRPr="00130BF4" w:rsidRDefault="00BC76BB" w:rsidP="00BC76BB">
      <w:pPr>
        <w:rPr>
          <w:lang w:val="fr-FR"/>
        </w:rPr>
      </w:pPr>
      <w:r w:rsidRPr="00130BF4">
        <w:rPr>
          <w:lang w:val="fr-FR"/>
        </w:rPr>
        <w:t xml:space="preserve">Genève, </w:t>
      </w:r>
      <w:r w:rsidRPr="00130BF4">
        <w:rPr>
          <w:bCs/>
          <w:lang w:val="fr-FR"/>
        </w:rPr>
        <w:t>21-25 août 2023</w:t>
      </w:r>
    </w:p>
    <w:p w14:paraId="24593C8D" w14:textId="0C04AE9E" w:rsidR="00BC76BB" w:rsidRPr="00130BF4" w:rsidRDefault="00BC76BB" w:rsidP="00BC76BB">
      <w:pPr>
        <w:rPr>
          <w:lang w:val="fr-FR"/>
        </w:rPr>
      </w:pPr>
      <w:r w:rsidRPr="00130BF4">
        <w:rPr>
          <w:lang w:val="fr-FR"/>
        </w:rPr>
        <w:t>Point 4 b) de l</w:t>
      </w:r>
      <w:r w:rsidR="004D37B8">
        <w:rPr>
          <w:lang w:val="fr-FR"/>
        </w:rPr>
        <w:t>’</w:t>
      </w:r>
      <w:r w:rsidRPr="00130BF4">
        <w:rPr>
          <w:lang w:val="fr-FR"/>
        </w:rPr>
        <w:t>ordre du jour provisoire</w:t>
      </w:r>
    </w:p>
    <w:p w14:paraId="0E74B9CD" w14:textId="36E1F7BA" w:rsidR="00BC76BB" w:rsidRPr="00130BF4" w:rsidRDefault="00BC76BB" w:rsidP="00BC76BB">
      <w:pPr>
        <w:rPr>
          <w:b/>
          <w:bCs/>
          <w:lang w:val="fr-FR"/>
        </w:rPr>
      </w:pPr>
      <w:r w:rsidRPr="00130BF4">
        <w:rPr>
          <w:b/>
          <w:bCs/>
          <w:lang w:val="fr-FR"/>
        </w:rPr>
        <w:t>Propositions d</w:t>
      </w:r>
      <w:r w:rsidR="004D37B8">
        <w:rPr>
          <w:b/>
          <w:bCs/>
          <w:lang w:val="fr-FR"/>
        </w:rPr>
        <w:t>’</w:t>
      </w:r>
      <w:r w:rsidRPr="00130BF4">
        <w:rPr>
          <w:b/>
          <w:bCs/>
          <w:lang w:val="fr-FR"/>
        </w:rPr>
        <w:t>amendements au Règlement annexé à l</w:t>
      </w:r>
      <w:r w:rsidR="004D37B8">
        <w:rPr>
          <w:b/>
          <w:bCs/>
          <w:lang w:val="fr-FR"/>
        </w:rPr>
        <w:t>’</w:t>
      </w:r>
      <w:r w:rsidRPr="00130BF4">
        <w:rPr>
          <w:b/>
          <w:bCs/>
          <w:lang w:val="fr-FR"/>
        </w:rPr>
        <w:t>ADN :</w:t>
      </w:r>
    </w:p>
    <w:p w14:paraId="2F08B960" w14:textId="77777777" w:rsidR="00BC76BB" w:rsidRPr="00130BF4" w:rsidRDefault="00BC76BB" w:rsidP="00BC76BB">
      <w:pPr>
        <w:rPr>
          <w:b/>
          <w:bCs/>
          <w:lang w:val="fr-FR"/>
        </w:rPr>
      </w:pPr>
      <w:r w:rsidRPr="00130BF4">
        <w:rPr>
          <w:b/>
          <w:bCs/>
          <w:lang w:val="fr-FR"/>
        </w:rPr>
        <w:t>autres propositions</w:t>
      </w:r>
    </w:p>
    <w:p w14:paraId="4033BD24" w14:textId="5A597704" w:rsidR="008F189B" w:rsidRPr="00130BF4" w:rsidRDefault="008F189B" w:rsidP="00A00AD2">
      <w:pPr>
        <w:pStyle w:val="HChG"/>
        <w:rPr>
          <w:lang w:val="fr-FR" w:eastAsia="en-US"/>
        </w:rPr>
      </w:pPr>
      <w:r w:rsidRPr="00130BF4">
        <w:rPr>
          <w:lang w:val="fr-FR" w:eastAsia="en-US"/>
        </w:rPr>
        <w:tab/>
      </w:r>
      <w:r w:rsidRPr="00130BF4">
        <w:rPr>
          <w:lang w:val="fr-FR" w:eastAsia="en-US"/>
        </w:rPr>
        <w:tab/>
      </w:r>
      <w:r w:rsidR="002C68AE" w:rsidRPr="00130BF4">
        <w:rPr>
          <w:lang w:val="fr-FR"/>
        </w:rPr>
        <w:t>7.2.4.22 de l</w:t>
      </w:r>
      <w:r w:rsidR="004D37B8">
        <w:rPr>
          <w:lang w:val="fr-FR"/>
        </w:rPr>
        <w:t>’</w:t>
      </w:r>
      <w:r w:rsidR="002C68AE" w:rsidRPr="00130BF4">
        <w:rPr>
          <w:lang w:val="fr-FR"/>
        </w:rPr>
        <w:t>ADN : Ouverture d</w:t>
      </w:r>
      <w:r w:rsidR="004D37B8">
        <w:rPr>
          <w:lang w:val="fr-FR"/>
        </w:rPr>
        <w:t>’</w:t>
      </w:r>
      <w:r w:rsidR="002C68AE" w:rsidRPr="00130BF4">
        <w:rPr>
          <w:lang w:val="fr-FR"/>
        </w:rPr>
        <w:t>orifices</w:t>
      </w:r>
    </w:p>
    <w:p w14:paraId="1BEBDC28" w14:textId="3326706E" w:rsidR="008F189B" w:rsidRPr="00130BF4" w:rsidRDefault="008F189B" w:rsidP="00A00AD2">
      <w:pPr>
        <w:pStyle w:val="H1G"/>
        <w:rPr>
          <w:rFonts w:eastAsia="Calibri"/>
          <w:lang w:val="fr-FR" w:eastAsia="fr-FR"/>
        </w:rPr>
      </w:pPr>
      <w:r w:rsidRPr="00130BF4">
        <w:rPr>
          <w:rFonts w:eastAsia="Calibri"/>
          <w:lang w:val="fr-FR" w:eastAsia="fr-FR"/>
        </w:rPr>
        <w:tab/>
      </w:r>
      <w:r w:rsidR="00A00AD2" w:rsidRPr="00130BF4">
        <w:rPr>
          <w:rFonts w:eastAsia="Calibri"/>
          <w:lang w:val="fr-FR" w:eastAsia="fr-FR"/>
        </w:rPr>
        <w:tab/>
      </w:r>
      <w:r w:rsidR="00A00AD2" w:rsidRPr="00130BF4">
        <w:rPr>
          <w:rFonts w:eastAsia="Calibri"/>
          <w:lang w:val="fr-FR" w:eastAsia="fr-FR"/>
        </w:rPr>
        <w:tab/>
      </w:r>
      <w:r w:rsidR="007E724F" w:rsidRPr="00130BF4">
        <w:rPr>
          <w:rFonts w:eastAsia="Calibri"/>
          <w:lang w:val="fr-FR"/>
        </w:rPr>
        <w:t>Communication du Gouvernement de l</w:t>
      </w:r>
      <w:r w:rsidR="004D37B8">
        <w:rPr>
          <w:rFonts w:eastAsia="Calibri"/>
          <w:lang w:val="fr-FR"/>
        </w:rPr>
        <w:t>’</w:t>
      </w:r>
      <w:r w:rsidR="007E724F" w:rsidRPr="00130BF4">
        <w:rPr>
          <w:rFonts w:eastAsia="Calibri"/>
          <w:lang w:val="fr-FR"/>
        </w:rPr>
        <w:t>Allemagne</w:t>
      </w:r>
      <w:r w:rsidR="007E724F" w:rsidRPr="004D37B8">
        <w:rPr>
          <w:rFonts w:eastAsia="Calibri"/>
          <w:b w:val="0"/>
          <w:bCs/>
          <w:sz w:val="20"/>
          <w:lang w:val="fr-FR" w:eastAsia="fr-FR"/>
        </w:rPr>
        <w:t xml:space="preserve"> </w:t>
      </w:r>
      <w:r w:rsidR="00414F16" w:rsidRPr="004D37B8">
        <w:rPr>
          <w:rFonts w:eastAsia="Calibri"/>
          <w:b w:val="0"/>
          <w:bCs/>
          <w:sz w:val="20"/>
          <w:lang w:val="fr-FR" w:eastAsia="fr-FR"/>
        </w:rPr>
        <w:footnoteReference w:customMarkFollows="1" w:id="2"/>
        <w:t>*</w:t>
      </w:r>
      <w:r w:rsidR="00C176AD" w:rsidRPr="000C2EC5">
        <w:rPr>
          <w:rFonts w:eastAsia="Calibri"/>
          <w:sz w:val="20"/>
          <w:vertAlign w:val="superscript"/>
          <w:lang w:val="fr-FR" w:eastAsia="fr-FR"/>
        </w:rPr>
        <w:t>,</w:t>
      </w:r>
      <w:r w:rsidR="00C176AD" w:rsidRPr="004D37B8">
        <w:rPr>
          <w:rFonts w:eastAsia="Calibri"/>
          <w:b w:val="0"/>
          <w:bCs/>
          <w:sz w:val="20"/>
          <w:lang w:eastAsia="fr-FR"/>
        </w:rPr>
        <w:t xml:space="preserve"> </w:t>
      </w:r>
      <w:r w:rsidR="00637CCD" w:rsidRPr="004D37B8">
        <w:rPr>
          <w:rFonts w:eastAsia="Calibri"/>
          <w:b w:val="0"/>
          <w:bCs/>
          <w:sz w:val="20"/>
          <w:lang w:val="fr-FR" w:eastAsia="fr-FR"/>
        </w:rPr>
        <w:t>*</w:t>
      </w:r>
      <w:r w:rsidRPr="004D37B8">
        <w:rPr>
          <w:rFonts w:eastAsia="Calibri"/>
          <w:b w:val="0"/>
          <w:bCs/>
          <w:sz w:val="20"/>
          <w:lang w:val="fr-FR" w:eastAsia="fr-FR"/>
        </w:rPr>
        <w:footnoteReference w:customMarkFollows="1" w:id="3"/>
        <w:t>*</w:t>
      </w:r>
      <w:r w:rsidRPr="00130BF4">
        <w:rPr>
          <w:rFonts w:eastAsia="Calibri"/>
          <w:sz w:val="20"/>
          <w:vertAlign w:val="superscript"/>
          <w:lang w:val="fr-FR" w:eastAsia="fr-FR"/>
        </w:rPr>
        <w:t xml:space="preserve">, </w:t>
      </w:r>
      <w:r w:rsidR="00414F16" w:rsidRPr="004D37B8">
        <w:rPr>
          <w:rStyle w:val="Appelnotedebasdep"/>
          <w:rFonts w:eastAsia="Calibri"/>
          <w:b w:val="0"/>
          <w:bCs/>
          <w:sz w:val="20"/>
          <w:vertAlign w:val="baseline"/>
        </w:rPr>
        <w:t>*</w:t>
      </w:r>
      <w:r w:rsidRPr="004D37B8">
        <w:rPr>
          <w:rFonts w:eastAsia="Calibri"/>
          <w:b w:val="0"/>
          <w:bCs/>
          <w:sz w:val="20"/>
          <w:lang w:val="fr-FR" w:eastAsia="fr-FR"/>
        </w:rPr>
        <w:footnoteReference w:customMarkFollows="1" w:id="4"/>
        <w:t>**</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8"/>
        <w:gridCol w:w="6444"/>
      </w:tblGrid>
      <w:tr w:rsidR="008F3622" w:rsidRPr="00130BF4" w14:paraId="5ECC0379" w14:textId="77777777" w:rsidTr="00026A00">
        <w:trPr>
          <w:trHeight w:val="841"/>
          <w:jc w:val="center"/>
        </w:trPr>
        <w:tc>
          <w:tcPr>
            <w:tcW w:w="2198" w:type="dxa"/>
          </w:tcPr>
          <w:p w14:paraId="1429C2CF" w14:textId="77777777" w:rsidR="008F3622" w:rsidRPr="00130BF4" w:rsidRDefault="008F3622" w:rsidP="00026A00">
            <w:pPr>
              <w:tabs>
                <w:tab w:val="left" w:pos="284"/>
              </w:tabs>
              <w:rPr>
                <w:b/>
                <w:lang w:val="fr-FR"/>
              </w:rPr>
            </w:pPr>
            <w:r w:rsidRPr="00130BF4">
              <w:rPr>
                <w:b/>
                <w:lang w:val="fr-FR"/>
              </w:rPr>
              <w:t xml:space="preserve">Résumé analytique : </w:t>
            </w:r>
          </w:p>
        </w:tc>
        <w:tc>
          <w:tcPr>
            <w:tcW w:w="6444" w:type="dxa"/>
          </w:tcPr>
          <w:p w14:paraId="21233599" w14:textId="7D3D33BB" w:rsidR="008F3622" w:rsidRPr="00130BF4" w:rsidRDefault="008F3622" w:rsidP="00026A00">
            <w:pPr>
              <w:spacing w:after="120"/>
              <w:ind w:left="131" w:right="217"/>
              <w:jc w:val="both"/>
              <w:rPr>
                <w:lang w:val="fr-FR"/>
              </w:rPr>
            </w:pPr>
            <w:r w:rsidRPr="00130BF4">
              <w:rPr>
                <w:lang w:val="fr-FR"/>
              </w:rPr>
              <w:t>Les prescriptions de service figurant à la sous-section 7.2.4.22 de l</w:t>
            </w:r>
            <w:r w:rsidR="004D37B8">
              <w:rPr>
                <w:lang w:val="fr-FR"/>
              </w:rPr>
              <w:t>’</w:t>
            </w:r>
            <w:r w:rsidRPr="00130BF4">
              <w:rPr>
                <w:lang w:val="fr-FR"/>
              </w:rPr>
              <w:t>ADN relatives à « l</w:t>
            </w:r>
            <w:r w:rsidR="004D37B8">
              <w:rPr>
                <w:lang w:val="fr-FR"/>
              </w:rPr>
              <w:t>’</w:t>
            </w:r>
            <w:r w:rsidRPr="00130BF4">
              <w:rPr>
                <w:lang w:val="fr-FR"/>
              </w:rPr>
              <w:t>ouverture d</w:t>
            </w:r>
            <w:r w:rsidR="004D37B8">
              <w:rPr>
                <w:lang w:val="fr-FR"/>
              </w:rPr>
              <w:t>’</w:t>
            </w:r>
            <w:r w:rsidRPr="00130BF4">
              <w:rPr>
                <w:lang w:val="fr-FR"/>
              </w:rPr>
              <w:t>orifices » à bord de bateaux-citernes de navigation intérieure datent de plusieurs décennies. Elles ne tiennent pas compte des besoins actuels des transporteurs, remplisseurs et déchargeurs dans le déroulement opérationnel d</w:t>
            </w:r>
            <w:r w:rsidR="004D37B8">
              <w:rPr>
                <w:lang w:val="fr-FR"/>
              </w:rPr>
              <w:t>’</w:t>
            </w:r>
            <w:r w:rsidRPr="00130BF4">
              <w:rPr>
                <w:lang w:val="fr-FR"/>
              </w:rPr>
              <w:t>un transport de marchandises dangereuses liquides. En outre, les conditions dans lesquelles des orifices peuvent être ouverts ne sont pas présentées de manière suffisamment systématique et ne sont pas suffisantes pour limiter de manière fiable et adéquate les risques découlant des gaz/vapeurs libérés par les citernes à cargaison. Il conviendrait par conséquent de modifier la sous-section 7.2.4.22 de l</w:t>
            </w:r>
            <w:r w:rsidR="004D37B8">
              <w:rPr>
                <w:lang w:val="fr-FR"/>
              </w:rPr>
              <w:t>’</w:t>
            </w:r>
            <w:r w:rsidRPr="00130BF4">
              <w:rPr>
                <w:lang w:val="fr-FR"/>
              </w:rPr>
              <w:t>ADN.</w:t>
            </w:r>
          </w:p>
        </w:tc>
      </w:tr>
      <w:tr w:rsidR="008F3622" w:rsidRPr="00130BF4" w14:paraId="4A531C84" w14:textId="77777777" w:rsidTr="00026A00">
        <w:trPr>
          <w:cantSplit/>
          <w:trHeight w:val="756"/>
          <w:jc w:val="center"/>
        </w:trPr>
        <w:tc>
          <w:tcPr>
            <w:tcW w:w="2198" w:type="dxa"/>
          </w:tcPr>
          <w:p w14:paraId="53AE3171" w14:textId="77777777" w:rsidR="008F3622" w:rsidRPr="00130BF4" w:rsidRDefault="008F3622" w:rsidP="00026A00">
            <w:pPr>
              <w:tabs>
                <w:tab w:val="left" w:pos="284"/>
              </w:tabs>
              <w:spacing w:before="120"/>
              <w:rPr>
                <w:b/>
                <w:lang w:val="fr-FR"/>
              </w:rPr>
            </w:pPr>
            <w:r w:rsidRPr="00130BF4">
              <w:rPr>
                <w:b/>
                <w:lang w:val="fr-FR"/>
              </w:rPr>
              <w:lastRenderedPageBreak/>
              <w:t xml:space="preserve">Mesures à prendre : </w:t>
            </w:r>
          </w:p>
        </w:tc>
        <w:tc>
          <w:tcPr>
            <w:tcW w:w="6444" w:type="dxa"/>
          </w:tcPr>
          <w:p w14:paraId="5CAB98E3" w14:textId="216E9F6E" w:rsidR="008F3622" w:rsidRPr="00130BF4" w:rsidRDefault="008F3622" w:rsidP="00026A00">
            <w:pPr>
              <w:spacing w:after="120"/>
              <w:ind w:left="131" w:right="217"/>
              <w:jc w:val="both"/>
              <w:rPr>
                <w:lang w:val="fr-FR"/>
              </w:rPr>
            </w:pPr>
            <w:r w:rsidRPr="00130BF4">
              <w:rPr>
                <w:lang w:val="fr-FR"/>
              </w:rPr>
              <w:t>Révision générale de la sous-section 7.2.4.22 de l</w:t>
            </w:r>
            <w:r w:rsidR="004D37B8">
              <w:rPr>
                <w:lang w:val="fr-FR"/>
              </w:rPr>
              <w:t>’</w:t>
            </w:r>
            <w:r w:rsidRPr="00130BF4">
              <w:rPr>
                <w:lang w:val="fr-FR"/>
              </w:rPr>
              <w:t xml:space="preserve">ADN, afin de tenir compte des besoins des transporteurs, des remplisseurs et des déchargeurs de citernes à cargaison et de définir les conditions nécessaires pour assurer une manutention sûre des cargaisons. </w:t>
            </w:r>
          </w:p>
          <w:p w14:paraId="3E151854" w14:textId="6DBE4177" w:rsidR="008F3622" w:rsidRPr="00130BF4" w:rsidRDefault="008F3622" w:rsidP="00026A00">
            <w:pPr>
              <w:spacing w:after="120"/>
              <w:ind w:left="131" w:right="217"/>
              <w:jc w:val="both"/>
              <w:rPr>
                <w:lang w:val="fr-FR"/>
              </w:rPr>
            </w:pPr>
            <w:r w:rsidRPr="00130BF4">
              <w:rPr>
                <w:lang w:val="fr-FR"/>
              </w:rPr>
              <w:t>Il s</w:t>
            </w:r>
            <w:r w:rsidR="004D37B8">
              <w:rPr>
                <w:lang w:val="fr-FR"/>
              </w:rPr>
              <w:t>’</w:t>
            </w:r>
            <w:r w:rsidRPr="00130BF4">
              <w:rPr>
                <w:lang w:val="fr-FR"/>
              </w:rPr>
              <w:t>agit de préciser quels orifices peuvent être ouverts et à quelles fins. Les mesures de sécurité doivent être révisées Il s</w:t>
            </w:r>
            <w:r w:rsidR="004D37B8">
              <w:rPr>
                <w:lang w:val="fr-FR"/>
              </w:rPr>
              <w:t>’</w:t>
            </w:r>
            <w:r w:rsidRPr="00130BF4">
              <w:rPr>
                <w:lang w:val="fr-FR"/>
              </w:rPr>
              <w:t>agit d</w:t>
            </w:r>
            <w:r w:rsidR="004D37B8">
              <w:rPr>
                <w:lang w:val="fr-FR"/>
              </w:rPr>
              <w:t>’</w:t>
            </w:r>
            <w:r w:rsidRPr="00130BF4">
              <w:rPr>
                <w:lang w:val="fr-FR"/>
              </w:rPr>
              <w:t>établir des conditions générales applicables pour chaque ouverture. En outre, des conditions particulières supplémentaires devraient s</w:t>
            </w:r>
            <w:r w:rsidR="004D37B8">
              <w:rPr>
                <w:lang w:val="fr-FR"/>
              </w:rPr>
              <w:t>’</w:t>
            </w:r>
            <w:r w:rsidRPr="00130BF4">
              <w:rPr>
                <w:lang w:val="fr-FR"/>
              </w:rPr>
              <w:t>appliquer pour certaines activités, par exemple pour le contrôle visuel des citernes à cargaison déchargées.</w:t>
            </w:r>
          </w:p>
        </w:tc>
      </w:tr>
      <w:tr w:rsidR="008F3622" w:rsidRPr="00130BF4" w14:paraId="105DC666" w14:textId="77777777" w:rsidTr="00026A00">
        <w:trPr>
          <w:cantSplit/>
          <w:trHeight w:val="756"/>
          <w:jc w:val="center"/>
        </w:trPr>
        <w:tc>
          <w:tcPr>
            <w:tcW w:w="2198" w:type="dxa"/>
          </w:tcPr>
          <w:p w14:paraId="7179D129" w14:textId="77777777" w:rsidR="008F3622" w:rsidRPr="00130BF4" w:rsidRDefault="008F3622" w:rsidP="00026A00">
            <w:pPr>
              <w:tabs>
                <w:tab w:val="left" w:pos="284"/>
              </w:tabs>
              <w:spacing w:before="120"/>
              <w:rPr>
                <w:b/>
                <w:lang w:val="fr-FR"/>
              </w:rPr>
            </w:pPr>
            <w:r w:rsidRPr="00130BF4">
              <w:rPr>
                <w:b/>
                <w:lang w:val="fr-FR"/>
              </w:rPr>
              <w:t>Documents connexes :</w:t>
            </w:r>
          </w:p>
        </w:tc>
        <w:tc>
          <w:tcPr>
            <w:tcW w:w="6444" w:type="dxa"/>
          </w:tcPr>
          <w:p w14:paraId="695A1099" w14:textId="77777777" w:rsidR="008F3622" w:rsidRPr="004D37B8" w:rsidRDefault="008F3622" w:rsidP="00026A00">
            <w:pPr>
              <w:spacing w:after="120"/>
              <w:ind w:left="131" w:right="217"/>
              <w:jc w:val="both"/>
              <w:rPr>
                <w:lang w:val="en-US"/>
              </w:rPr>
            </w:pPr>
            <w:r w:rsidRPr="004D37B8">
              <w:rPr>
                <w:lang w:val="en-US"/>
              </w:rPr>
              <w:t>ECE/TRANS/WP.15/AC.2/2022/43</w:t>
            </w:r>
          </w:p>
          <w:p w14:paraId="3F3B9D6A" w14:textId="77777777" w:rsidR="008F3622" w:rsidRPr="004D37B8" w:rsidRDefault="008F3622" w:rsidP="00026A00">
            <w:pPr>
              <w:spacing w:after="120"/>
              <w:ind w:left="131" w:right="217"/>
              <w:jc w:val="both"/>
              <w:rPr>
                <w:lang w:val="en-US"/>
              </w:rPr>
            </w:pPr>
            <w:r w:rsidRPr="004D37B8">
              <w:rPr>
                <w:lang w:val="en-US"/>
              </w:rPr>
              <w:t>ECE/TRANS/WP.15/AC.2/2022/45</w:t>
            </w:r>
          </w:p>
          <w:p w14:paraId="6D12D18F" w14:textId="64AD3B63" w:rsidR="008F3622" w:rsidRPr="00130BF4" w:rsidRDefault="008F3622" w:rsidP="00026A00">
            <w:pPr>
              <w:spacing w:after="120"/>
              <w:ind w:left="131" w:right="217"/>
              <w:jc w:val="both"/>
              <w:rPr>
                <w:lang w:val="fr-FR"/>
              </w:rPr>
            </w:pPr>
            <w:r w:rsidRPr="00130BF4">
              <w:rPr>
                <w:lang w:val="fr-FR"/>
              </w:rPr>
              <w:t xml:space="preserve">Document informel INF.19 de la </w:t>
            </w:r>
            <w:r w:rsidR="00AC030C" w:rsidRPr="000F32A0">
              <w:rPr>
                <w:lang w:val="fr-FR"/>
              </w:rPr>
              <w:t>quarantième</w:t>
            </w:r>
            <w:r w:rsidRPr="00130BF4">
              <w:rPr>
                <w:lang w:val="fr-FR"/>
              </w:rPr>
              <w:t xml:space="preserve"> session</w:t>
            </w:r>
          </w:p>
          <w:p w14:paraId="05FE43ED" w14:textId="77777777" w:rsidR="008F3622" w:rsidRPr="00130BF4" w:rsidRDefault="008F3622" w:rsidP="00026A00">
            <w:pPr>
              <w:spacing w:after="120"/>
              <w:ind w:left="131" w:right="217"/>
              <w:jc w:val="both"/>
              <w:rPr>
                <w:lang w:val="fr-FR"/>
              </w:rPr>
            </w:pPr>
            <w:r w:rsidRPr="00130BF4">
              <w:rPr>
                <w:lang w:val="fr-FR"/>
              </w:rPr>
              <w:t>ECE/TRANS/WP.15/AC.2/82 (paragraphes 51 et 52)</w:t>
            </w:r>
          </w:p>
          <w:p w14:paraId="0680A102" w14:textId="0A1664DA" w:rsidR="008F3622" w:rsidRPr="00130BF4" w:rsidRDefault="008F3622" w:rsidP="00026A00">
            <w:pPr>
              <w:spacing w:after="120"/>
              <w:ind w:left="131" w:right="217"/>
              <w:jc w:val="both"/>
              <w:rPr>
                <w:lang w:val="fr-FR"/>
              </w:rPr>
            </w:pPr>
            <w:r w:rsidRPr="00130BF4">
              <w:rPr>
                <w:lang w:val="fr-FR"/>
              </w:rPr>
              <w:t xml:space="preserve">Document informel INF.6 de la </w:t>
            </w:r>
            <w:r w:rsidR="00130BF4" w:rsidRPr="00130BF4">
              <w:rPr>
                <w:lang w:val="fr-FR"/>
              </w:rPr>
              <w:t>quarante et unième</w:t>
            </w:r>
            <w:r w:rsidRPr="00130BF4">
              <w:rPr>
                <w:lang w:val="fr-FR"/>
              </w:rPr>
              <w:t xml:space="preserve"> session (Allemagne)</w:t>
            </w:r>
          </w:p>
          <w:p w14:paraId="0FAD8F43" w14:textId="77777777" w:rsidR="008F3622" w:rsidRPr="000F32A0" w:rsidRDefault="008F3622" w:rsidP="00026A00">
            <w:pPr>
              <w:spacing w:after="120"/>
              <w:ind w:left="131" w:right="217"/>
              <w:jc w:val="both"/>
              <w:rPr>
                <w:lang w:val="fr-FR"/>
              </w:rPr>
            </w:pPr>
            <w:r w:rsidRPr="000F32A0">
              <w:rPr>
                <w:lang w:val="fr-FR"/>
              </w:rPr>
              <w:t>ECE/TRANS/WP.15/AC.2/84 (paragraphe 37)</w:t>
            </w:r>
          </w:p>
        </w:tc>
      </w:tr>
    </w:tbl>
    <w:p w14:paraId="6B14CE7B" w14:textId="691E8E51" w:rsidR="008F3622" w:rsidRPr="00130BF4" w:rsidRDefault="00163B1D" w:rsidP="00163B1D">
      <w:pPr>
        <w:pStyle w:val="H1G"/>
        <w:rPr>
          <w:b w:val="0"/>
          <w:bCs/>
          <w:sz w:val="28"/>
          <w:szCs w:val="28"/>
          <w:lang w:val="fr-FR"/>
        </w:rPr>
      </w:pPr>
      <w:r w:rsidRPr="000F32A0">
        <w:rPr>
          <w:bCs/>
          <w:sz w:val="28"/>
          <w:szCs w:val="28"/>
          <w:lang w:val="fr-FR"/>
        </w:rPr>
        <w:tab/>
      </w:r>
      <w:r w:rsidRPr="000F32A0">
        <w:rPr>
          <w:bCs/>
          <w:sz w:val="28"/>
          <w:szCs w:val="28"/>
          <w:lang w:val="fr-FR"/>
        </w:rPr>
        <w:tab/>
      </w:r>
      <w:r w:rsidR="008F3622" w:rsidRPr="000F32A0">
        <w:rPr>
          <w:bCs/>
          <w:sz w:val="28"/>
          <w:szCs w:val="28"/>
          <w:lang w:val="fr-FR"/>
        </w:rPr>
        <w:tab/>
      </w:r>
      <w:r w:rsidR="008F3622" w:rsidRPr="00130BF4">
        <w:rPr>
          <w:bCs/>
          <w:sz w:val="28"/>
          <w:szCs w:val="28"/>
          <w:lang w:val="fr-FR"/>
        </w:rPr>
        <w:t>Introduction</w:t>
      </w:r>
    </w:p>
    <w:p w14:paraId="3E8AEA8B" w14:textId="6F0A1A3C" w:rsidR="008F3622" w:rsidRPr="00130BF4" w:rsidRDefault="008F3622" w:rsidP="000F32A0">
      <w:pPr>
        <w:pStyle w:val="SingleTxtG"/>
        <w:rPr>
          <w:lang w:val="fr-FR"/>
        </w:rPr>
      </w:pPr>
      <w:r w:rsidRPr="00130BF4">
        <w:rPr>
          <w:lang w:val="fr-FR"/>
        </w:rPr>
        <w:t>1.</w:t>
      </w:r>
      <w:r w:rsidRPr="00130BF4">
        <w:rPr>
          <w:lang w:val="fr-FR"/>
        </w:rPr>
        <w:tab/>
        <w:t xml:space="preserve">Au cours de sa </w:t>
      </w:r>
      <w:r w:rsidR="00130BF4" w:rsidRPr="00130BF4">
        <w:rPr>
          <w:lang w:val="fr-FR"/>
        </w:rPr>
        <w:t>quarante et unième</w:t>
      </w:r>
      <w:r w:rsidRPr="00130BF4">
        <w:rPr>
          <w:lang w:val="fr-FR"/>
        </w:rPr>
        <w:t xml:space="preserve"> session, le Comité de sécurité a examiné l</w:t>
      </w:r>
      <w:r w:rsidR="004D37B8">
        <w:rPr>
          <w:lang w:val="fr-FR"/>
        </w:rPr>
        <w:t>’</w:t>
      </w:r>
      <w:r w:rsidRPr="00130BF4">
        <w:rPr>
          <w:lang w:val="fr-FR"/>
        </w:rPr>
        <w:t>initiative de la délégation allemande visant à réviser intégralement les prescriptions relatives à l</w:t>
      </w:r>
      <w:r w:rsidR="004D37B8">
        <w:rPr>
          <w:lang w:val="fr-FR"/>
        </w:rPr>
        <w:t>’</w:t>
      </w:r>
      <w:r w:rsidRPr="00130BF4">
        <w:rPr>
          <w:lang w:val="fr-FR"/>
        </w:rPr>
        <w:t>ouverture d</w:t>
      </w:r>
      <w:r w:rsidR="004D37B8">
        <w:rPr>
          <w:lang w:val="fr-FR"/>
        </w:rPr>
        <w:t>’</w:t>
      </w:r>
      <w:r w:rsidRPr="00130BF4">
        <w:rPr>
          <w:lang w:val="fr-FR"/>
        </w:rPr>
        <w:t>orifices, telles qu</w:t>
      </w:r>
      <w:r w:rsidR="004D37B8">
        <w:rPr>
          <w:lang w:val="fr-FR"/>
        </w:rPr>
        <w:t>’</w:t>
      </w:r>
      <w:r w:rsidRPr="00130BF4">
        <w:rPr>
          <w:lang w:val="fr-FR"/>
        </w:rPr>
        <w:t>elles figurent actuellement à la sous-section 7.2.4.22 de l</w:t>
      </w:r>
      <w:r w:rsidR="004D37B8">
        <w:rPr>
          <w:lang w:val="fr-FR"/>
        </w:rPr>
        <w:t>’</w:t>
      </w:r>
      <w:r w:rsidRPr="00130BF4">
        <w:rPr>
          <w:lang w:val="fr-FR"/>
        </w:rPr>
        <w:t>ADN, et à les adapter aux exigences actuelles concernant l</w:t>
      </w:r>
      <w:r w:rsidR="004D37B8">
        <w:rPr>
          <w:lang w:val="fr-FR"/>
        </w:rPr>
        <w:t>’</w:t>
      </w:r>
      <w:r w:rsidRPr="00130BF4">
        <w:rPr>
          <w:lang w:val="fr-FR"/>
        </w:rPr>
        <w:t>exploitation de bateaux-citernes de navigation intérieure. Il s</w:t>
      </w:r>
      <w:r w:rsidR="004D37B8">
        <w:rPr>
          <w:lang w:val="fr-FR"/>
        </w:rPr>
        <w:t>’</w:t>
      </w:r>
      <w:r w:rsidRPr="00130BF4">
        <w:rPr>
          <w:lang w:val="fr-FR"/>
        </w:rPr>
        <w:t>agit d</w:t>
      </w:r>
      <w:r w:rsidR="004D37B8">
        <w:rPr>
          <w:lang w:val="fr-FR"/>
        </w:rPr>
        <w:t>’</w:t>
      </w:r>
      <w:r w:rsidRPr="00130BF4">
        <w:rPr>
          <w:lang w:val="fr-FR"/>
        </w:rPr>
        <w:t>une part de tenir compte des exigences opérationnelles en matière de manutention des cargaisons et d</w:t>
      </w:r>
      <w:r w:rsidR="004D37B8">
        <w:rPr>
          <w:lang w:val="fr-FR"/>
        </w:rPr>
        <w:t>’</w:t>
      </w:r>
      <w:r w:rsidRPr="00130BF4">
        <w:rPr>
          <w:lang w:val="fr-FR"/>
        </w:rPr>
        <w:t>autre part d</w:t>
      </w:r>
      <w:r w:rsidR="004D37B8">
        <w:rPr>
          <w:lang w:val="fr-FR"/>
        </w:rPr>
        <w:t>’</w:t>
      </w:r>
      <w:r w:rsidRPr="00130BF4">
        <w:rPr>
          <w:lang w:val="fr-FR"/>
        </w:rPr>
        <w:t>introduire certaines mesures de sécurité. Les personnes à bord des bateaux et aux installations à terre des remplisseurs et des déchargeurs ne doivent pas être exposées inutilement à des gaz et des vapeurs nocifs, l</w:t>
      </w:r>
      <w:r w:rsidR="004D37B8">
        <w:rPr>
          <w:lang w:val="fr-FR"/>
        </w:rPr>
        <w:t>’</w:t>
      </w:r>
      <w:r w:rsidRPr="00130BF4">
        <w:rPr>
          <w:lang w:val="fr-FR"/>
        </w:rPr>
        <w:t>environnement doit être pollué le moins possible par des gaz et des vapeurs toxiques et les risques d</w:t>
      </w:r>
      <w:r w:rsidR="004D37B8">
        <w:rPr>
          <w:lang w:val="fr-FR"/>
        </w:rPr>
        <w:t>’</w:t>
      </w:r>
      <w:r w:rsidRPr="00130BF4">
        <w:rPr>
          <w:lang w:val="fr-FR"/>
        </w:rPr>
        <w:t>explosion dus aux gaz et aux vapeurs inflammables doivent être réduits autant que possible.</w:t>
      </w:r>
    </w:p>
    <w:p w14:paraId="3623033C" w14:textId="7A97CA22" w:rsidR="008F3622" w:rsidRPr="00130BF4" w:rsidRDefault="008F3622" w:rsidP="000F32A0">
      <w:pPr>
        <w:pStyle w:val="SingleTxtG"/>
        <w:rPr>
          <w:lang w:val="fr-FR"/>
        </w:rPr>
      </w:pPr>
      <w:r w:rsidRPr="00130BF4">
        <w:rPr>
          <w:lang w:val="fr-FR"/>
        </w:rPr>
        <w:t>2.</w:t>
      </w:r>
      <w:r w:rsidRPr="00130BF4">
        <w:rPr>
          <w:lang w:val="fr-FR"/>
        </w:rPr>
        <w:tab/>
        <w:t>Après avoir pu répondre, lors de cette réunion, à certaines questions parfois très détaillées d</w:t>
      </w:r>
      <w:r w:rsidR="004D37B8">
        <w:rPr>
          <w:lang w:val="fr-FR"/>
        </w:rPr>
        <w:t>’</w:t>
      </w:r>
      <w:r w:rsidRPr="00130BF4">
        <w:rPr>
          <w:lang w:val="fr-FR"/>
        </w:rPr>
        <w:t xml:space="preserve">autres délégations relatives la première proposition de modification du </w:t>
      </w:r>
      <w:r w:rsidR="00F621A9" w:rsidRPr="00130BF4">
        <w:rPr>
          <w:lang w:val="fr-FR"/>
        </w:rPr>
        <w:t>9</w:t>
      </w:r>
      <w:r w:rsidR="00F621A9">
        <w:rPr>
          <w:lang w:val="fr-FR"/>
        </w:rPr>
        <w:t> </w:t>
      </w:r>
      <w:r w:rsidR="00F621A9" w:rsidRPr="00130BF4">
        <w:rPr>
          <w:lang w:val="fr-FR"/>
        </w:rPr>
        <w:t>juin</w:t>
      </w:r>
      <w:r w:rsidR="00F621A9">
        <w:rPr>
          <w:lang w:val="fr-FR"/>
        </w:rPr>
        <w:t> </w:t>
      </w:r>
      <w:r w:rsidRPr="00130BF4">
        <w:rPr>
          <w:lang w:val="fr-FR"/>
        </w:rPr>
        <w:t>2022 et après avoir examiné plusieurs propositions d</w:t>
      </w:r>
      <w:r w:rsidR="004D37B8">
        <w:rPr>
          <w:lang w:val="fr-FR"/>
        </w:rPr>
        <w:t>’</w:t>
      </w:r>
      <w:r w:rsidRPr="00130BF4">
        <w:rPr>
          <w:lang w:val="fr-FR"/>
        </w:rPr>
        <w:t>améliorations, la délégation allemande soumet par la présente une demande de modification révisée pour l</w:t>
      </w:r>
      <w:r w:rsidR="004D37B8">
        <w:rPr>
          <w:lang w:val="fr-FR"/>
        </w:rPr>
        <w:t>’</w:t>
      </w:r>
      <w:r w:rsidRPr="00130BF4">
        <w:rPr>
          <w:lang w:val="fr-FR"/>
        </w:rPr>
        <w:t>ADN 2025.</w:t>
      </w:r>
    </w:p>
    <w:p w14:paraId="455CCFC9" w14:textId="6106C84B" w:rsidR="008F3622" w:rsidRPr="00130BF4" w:rsidRDefault="008F3622" w:rsidP="000F32A0">
      <w:pPr>
        <w:pStyle w:val="SingleTxtG"/>
        <w:rPr>
          <w:lang w:val="fr-FR"/>
        </w:rPr>
      </w:pPr>
      <w:r w:rsidRPr="00130BF4">
        <w:rPr>
          <w:lang w:val="fr-FR"/>
        </w:rPr>
        <w:t>3.</w:t>
      </w:r>
      <w:r w:rsidRPr="00130BF4">
        <w:rPr>
          <w:lang w:val="fr-FR"/>
        </w:rPr>
        <w:tab/>
        <w:t>Il s</w:t>
      </w:r>
      <w:r w:rsidR="004D37B8">
        <w:rPr>
          <w:lang w:val="fr-FR"/>
        </w:rPr>
        <w:t>’</w:t>
      </w:r>
      <w:r w:rsidRPr="00130BF4">
        <w:rPr>
          <w:lang w:val="fr-FR"/>
        </w:rPr>
        <w:t>agit de modifications destinées à être incorporées de façon permanente dans le règlement annexé à l</w:t>
      </w:r>
      <w:r w:rsidR="004D37B8">
        <w:rPr>
          <w:lang w:val="fr-FR"/>
        </w:rPr>
        <w:t>’</w:t>
      </w:r>
      <w:r w:rsidRPr="00130BF4">
        <w:rPr>
          <w:lang w:val="fr-FR"/>
        </w:rPr>
        <w:t>ADN, et non d</w:t>
      </w:r>
      <w:r w:rsidR="004D37B8">
        <w:rPr>
          <w:lang w:val="fr-FR"/>
        </w:rPr>
        <w:t>’</w:t>
      </w:r>
      <w:r w:rsidRPr="00130BF4">
        <w:rPr>
          <w:lang w:val="fr-FR"/>
        </w:rPr>
        <w:t>une interdiction étendue de « l</w:t>
      </w:r>
      <w:r w:rsidR="004D37B8">
        <w:rPr>
          <w:lang w:val="fr-FR"/>
        </w:rPr>
        <w:t>’</w:t>
      </w:r>
      <w:r w:rsidRPr="00130BF4">
        <w:rPr>
          <w:lang w:val="fr-FR"/>
        </w:rPr>
        <w:t>ouverture d</w:t>
      </w:r>
      <w:r w:rsidR="004D37B8">
        <w:rPr>
          <w:lang w:val="fr-FR"/>
        </w:rPr>
        <w:t>’</w:t>
      </w:r>
      <w:r w:rsidRPr="00130BF4">
        <w:rPr>
          <w:lang w:val="fr-FR"/>
        </w:rPr>
        <w:t>orifices », qui pourrait être assortie d</w:t>
      </w:r>
      <w:r w:rsidR="004D37B8">
        <w:rPr>
          <w:lang w:val="fr-FR"/>
        </w:rPr>
        <w:t>’</w:t>
      </w:r>
      <w:r w:rsidRPr="00130BF4">
        <w:rPr>
          <w:lang w:val="fr-FR"/>
        </w:rPr>
        <w:t>une disposition transitoire. Il n</w:t>
      </w:r>
      <w:r w:rsidR="004D37B8">
        <w:rPr>
          <w:lang w:val="fr-FR"/>
        </w:rPr>
        <w:t>’</w:t>
      </w:r>
      <w:r w:rsidRPr="00130BF4">
        <w:rPr>
          <w:lang w:val="fr-FR"/>
        </w:rPr>
        <w:t>existe aucune alternative technique ou opérationnelle susceptible d</w:t>
      </w:r>
      <w:r w:rsidR="004D37B8">
        <w:rPr>
          <w:lang w:val="fr-FR"/>
        </w:rPr>
        <w:t>’</w:t>
      </w:r>
      <w:r w:rsidRPr="00130BF4">
        <w:rPr>
          <w:lang w:val="fr-FR"/>
        </w:rPr>
        <w:t>être mise en œuvre afin de pouvoir se passer totalement de l</w:t>
      </w:r>
      <w:r w:rsidR="004D37B8">
        <w:rPr>
          <w:lang w:val="fr-FR"/>
        </w:rPr>
        <w:t>’</w:t>
      </w:r>
      <w:r w:rsidRPr="00130BF4">
        <w:rPr>
          <w:lang w:val="fr-FR"/>
        </w:rPr>
        <w:t>ouverture des citernes de cargaison. Les indications fournies par d</w:t>
      </w:r>
      <w:r w:rsidR="004D37B8">
        <w:rPr>
          <w:lang w:val="fr-FR"/>
        </w:rPr>
        <w:t>’</w:t>
      </w:r>
      <w:r w:rsidRPr="00130BF4">
        <w:rPr>
          <w:lang w:val="fr-FR"/>
        </w:rPr>
        <w:t>autres délégations à propos de solutions techniques sont restées très vagues et n</w:t>
      </w:r>
      <w:r w:rsidR="004D37B8">
        <w:rPr>
          <w:lang w:val="fr-FR"/>
        </w:rPr>
        <w:t>’</w:t>
      </w:r>
      <w:r w:rsidRPr="00130BF4">
        <w:rPr>
          <w:lang w:val="fr-FR"/>
        </w:rPr>
        <w:t>ont pas pu être vérifiées.</w:t>
      </w:r>
    </w:p>
    <w:p w14:paraId="4839D259" w14:textId="737F63C0" w:rsidR="008F3622" w:rsidRPr="00130BF4" w:rsidRDefault="008F3622" w:rsidP="000F32A0">
      <w:pPr>
        <w:pStyle w:val="SingleTxtG"/>
        <w:rPr>
          <w:lang w:val="fr-FR"/>
        </w:rPr>
      </w:pPr>
      <w:r w:rsidRPr="00130BF4">
        <w:rPr>
          <w:lang w:val="fr-FR"/>
        </w:rPr>
        <w:t>4.</w:t>
      </w:r>
      <w:r w:rsidRPr="00130BF4">
        <w:rPr>
          <w:lang w:val="fr-FR"/>
        </w:rPr>
        <w:tab/>
        <w:t>En ce qui concerne les motifs détaillés qui sous-tendent les propositions de modifications et leur justification, nous renvoyons aux documents antérieurs. Seuls les paragraphes reformulés font l</w:t>
      </w:r>
      <w:r w:rsidR="004D37B8">
        <w:rPr>
          <w:lang w:val="fr-FR"/>
        </w:rPr>
        <w:t>’</w:t>
      </w:r>
      <w:r w:rsidRPr="00130BF4">
        <w:rPr>
          <w:lang w:val="fr-FR"/>
        </w:rPr>
        <w:t>objet de commentaires plus détaillés dans la section II.</w:t>
      </w:r>
    </w:p>
    <w:p w14:paraId="470A54C6" w14:textId="0484D76C" w:rsidR="008F3622" w:rsidRPr="00130BF4" w:rsidRDefault="00564C70" w:rsidP="0031601C">
      <w:pPr>
        <w:pStyle w:val="H1G"/>
        <w:rPr>
          <w:b w:val="0"/>
          <w:bCs/>
          <w:sz w:val="28"/>
          <w:szCs w:val="28"/>
          <w:lang w:val="fr-FR"/>
        </w:rPr>
      </w:pPr>
      <w:r w:rsidRPr="00130BF4">
        <w:rPr>
          <w:bCs/>
          <w:sz w:val="28"/>
          <w:szCs w:val="28"/>
          <w:lang w:val="fr-FR"/>
        </w:rPr>
        <w:tab/>
      </w:r>
      <w:r w:rsidR="008F3622" w:rsidRPr="00130BF4">
        <w:rPr>
          <w:bCs/>
          <w:sz w:val="28"/>
          <w:szCs w:val="28"/>
          <w:lang w:val="fr-FR"/>
        </w:rPr>
        <w:t>I.</w:t>
      </w:r>
      <w:r w:rsidR="008F3622" w:rsidRPr="00130BF4">
        <w:rPr>
          <w:bCs/>
          <w:sz w:val="28"/>
          <w:szCs w:val="28"/>
          <w:lang w:val="fr-FR"/>
        </w:rPr>
        <w:tab/>
        <w:t>Proposition</w:t>
      </w:r>
    </w:p>
    <w:p w14:paraId="5DF60B2A" w14:textId="02E2FD2E" w:rsidR="008F3622" w:rsidRPr="00130BF4" w:rsidRDefault="008F3622" w:rsidP="00201607">
      <w:pPr>
        <w:pStyle w:val="SingleTxtG"/>
        <w:rPr>
          <w:lang w:val="fr-FR"/>
        </w:rPr>
      </w:pPr>
      <w:r w:rsidRPr="00130BF4">
        <w:rPr>
          <w:lang w:val="fr-FR"/>
        </w:rPr>
        <w:t>5.</w:t>
      </w:r>
      <w:r w:rsidRPr="00130BF4">
        <w:rPr>
          <w:lang w:val="fr-FR"/>
        </w:rPr>
        <w:tab/>
        <w:t>L</w:t>
      </w:r>
      <w:r w:rsidR="004D37B8">
        <w:rPr>
          <w:lang w:val="fr-FR"/>
        </w:rPr>
        <w:t>’</w:t>
      </w:r>
      <w:r w:rsidRPr="00130BF4">
        <w:rPr>
          <w:lang w:val="fr-FR"/>
        </w:rPr>
        <w:t>Allemagne invite le Comité de sécurité à examiner et à approuver les propositions d</w:t>
      </w:r>
      <w:r w:rsidR="004D37B8">
        <w:rPr>
          <w:lang w:val="fr-FR"/>
        </w:rPr>
        <w:t>’</w:t>
      </w:r>
      <w:r w:rsidRPr="00130BF4">
        <w:rPr>
          <w:lang w:val="fr-FR"/>
        </w:rPr>
        <w:t>amendements ci-après.</w:t>
      </w:r>
    </w:p>
    <w:p w14:paraId="6E7C6EF4" w14:textId="77777777" w:rsidR="008F3622" w:rsidRPr="00A94DA3" w:rsidRDefault="008F3622" w:rsidP="00FD3D31">
      <w:pPr>
        <w:pageBreakBefore/>
        <w:tabs>
          <w:tab w:val="left" w:pos="1701"/>
        </w:tabs>
        <w:spacing w:after="240"/>
        <w:ind w:left="1134" w:right="567"/>
        <w:jc w:val="both"/>
        <w:rPr>
          <w:bCs/>
          <w:i/>
          <w:iCs/>
          <w:u w:val="single"/>
          <w:lang w:val="fr-FR"/>
        </w:rPr>
      </w:pPr>
      <w:r w:rsidRPr="00A94DA3">
        <w:rPr>
          <w:bCs/>
          <w:i/>
          <w:iCs/>
          <w:u w:val="single"/>
          <w:lang w:val="fr-FR"/>
        </w:rPr>
        <w:lastRenderedPageBreak/>
        <w:t>Section 1.2.1 Définitions</w:t>
      </w:r>
    </w:p>
    <w:p w14:paraId="0271CC85" w14:textId="2BE6A1B1" w:rsidR="008F3622" w:rsidRPr="00130BF4" w:rsidRDefault="008F3622" w:rsidP="00201607">
      <w:pPr>
        <w:pStyle w:val="SingleTxtG"/>
        <w:rPr>
          <w:rFonts w:eastAsia="Calibri"/>
          <w:lang w:val="fr-FR"/>
        </w:rPr>
      </w:pPr>
      <w:r w:rsidRPr="00130BF4">
        <w:rPr>
          <w:lang w:val="fr-FR"/>
        </w:rPr>
        <w:t>6.</w:t>
      </w:r>
      <w:r w:rsidRPr="00130BF4">
        <w:rPr>
          <w:lang w:val="fr-FR"/>
        </w:rPr>
        <w:tab/>
      </w:r>
      <w:r w:rsidRPr="00130BF4">
        <w:rPr>
          <w:rFonts w:eastAsia="Calibri"/>
          <w:lang w:val="fr-FR"/>
        </w:rPr>
        <w:t>À la fin de la définition de l</w:t>
      </w:r>
      <w:r w:rsidR="004D37B8">
        <w:rPr>
          <w:rFonts w:eastAsia="Calibri"/>
          <w:lang w:val="fr-FR"/>
        </w:rPr>
        <w:t>’</w:t>
      </w:r>
      <w:r w:rsidRPr="00130BF4">
        <w:rPr>
          <w:rFonts w:eastAsia="Calibri"/>
          <w:lang w:val="fr-FR"/>
        </w:rPr>
        <w:t>expression « orifice de prise d</w:t>
      </w:r>
      <w:r w:rsidR="004D37B8">
        <w:rPr>
          <w:rFonts w:eastAsia="Calibri"/>
          <w:lang w:val="fr-FR"/>
        </w:rPr>
        <w:t>’</w:t>
      </w:r>
      <w:r w:rsidRPr="00130BF4">
        <w:rPr>
          <w:rFonts w:eastAsia="Calibri"/>
          <w:lang w:val="fr-FR"/>
        </w:rPr>
        <w:t>échantillons » au 1.2.1, ajouter la phrase suivante :</w:t>
      </w:r>
    </w:p>
    <w:p w14:paraId="62BFAF7B" w14:textId="13F7A2E5" w:rsidR="008F3622" w:rsidRPr="00130BF4" w:rsidRDefault="008F3622" w:rsidP="00042920">
      <w:pPr>
        <w:pStyle w:val="SingleTxtG"/>
        <w:ind w:left="1701"/>
        <w:rPr>
          <w:rFonts w:eastAsia="Calibri"/>
          <w:lang w:val="fr-FR"/>
        </w:rPr>
      </w:pPr>
      <w:r w:rsidRPr="00130BF4">
        <w:rPr>
          <w:rFonts w:eastAsia="Calibri"/>
          <w:lang w:val="fr-FR"/>
        </w:rPr>
        <w:t>« Les autres orifices d</w:t>
      </w:r>
      <w:r w:rsidR="004D37B8">
        <w:rPr>
          <w:rFonts w:eastAsia="Calibri"/>
          <w:lang w:val="fr-FR"/>
        </w:rPr>
        <w:t>’</w:t>
      </w:r>
      <w:r w:rsidRPr="00130BF4">
        <w:rPr>
          <w:rFonts w:eastAsia="Calibri"/>
          <w:lang w:val="fr-FR"/>
        </w:rPr>
        <w:t>une citerne à cargaison, à l</w:t>
      </w:r>
      <w:r w:rsidR="004D37B8">
        <w:rPr>
          <w:rFonts w:eastAsia="Calibri"/>
          <w:lang w:val="fr-FR"/>
        </w:rPr>
        <w:t>’</w:t>
      </w:r>
      <w:r w:rsidRPr="00130BF4">
        <w:rPr>
          <w:rFonts w:eastAsia="Calibri"/>
          <w:lang w:val="fr-FR"/>
        </w:rPr>
        <w:t>exception des écoutilles, sont considérés comme un orifice de prise d</w:t>
      </w:r>
      <w:r w:rsidR="004D37B8">
        <w:rPr>
          <w:rFonts w:eastAsia="Calibri"/>
          <w:lang w:val="fr-FR"/>
        </w:rPr>
        <w:t>’</w:t>
      </w:r>
      <w:r w:rsidRPr="00130BF4">
        <w:rPr>
          <w:rFonts w:eastAsia="Calibri"/>
          <w:lang w:val="fr-FR"/>
        </w:rPr>
        <w:t>échantillons s</w:t>
      </w:r>
      <w:r w:rsidR="004D37B8">
        <w:rPr>
          <w:rFonts w:eastAsia="Calibri"/>
          <w:lang w:val="fr-FR"/>
        </w:rPr>
        <w:t>’</w:t>
      </w:r>
      <w:r w:rsidRPr="00130BF4">
        <w:rPr>
          <w:rFonts w:eastAsia="Calibri"/>
          <w:lang w:val="fr-FR"/>
        </w:rPr>
        <w:t>ils sont conformes aux prescriptions susmentionnées. ».</w:t>
      </w:r>
    </w:p>
    <w:p w14:paraId="386B8626" w14:textId="547930AE" w:rsidR="008F3622" w:rsidRPr="00A94DA3" w:rsidRDefault="008F3622" w:rsidP="00FD3D31">
      <w:pPr>
        <w:tabs>
          <w:tab w:val="left" w:pos="1701"/>
        </w:tabs>
        <w:spacing w:after="240"/>
        <w:ind w:left="1134" w:right="567"/>
        <w:jc w:val="both"/>
        <w:rPr>
          <w:bCs/>
          <w:i/>
          <w:iCs/>
          <w:u w:val="single"/>
          <w:lang w:val="fr-FR"/>
        </w:rPr>
      </w:pPr>
      <w:r w:rsidRPr="00A94DA3">
        <w:rPr>
          <w:bCs/>
          <w:i/>
          <w:iCs/>
          <w:u w:val="single"/>
          <w:lang w:val="fr-FR"/>
        </w:rPr>
        <w:t>Paragraphe 7.2.3.7.1.3 Dégazage des citernes à cargaison dans l</w:t>
      </w:r>
      <w:r w:rsidR="004D37B8">
        <w:rPr>
          <w:bCs/>
          <w:i/>
          <w:iCs/>
          <w:u w:val="single"/>
          <w:lang w:val="fr-FR"/>
        </w:rPr>
        <w:t>’</w:t>
      </w:r>
      <w:r w:rsidRPr="00A94DA3">
        <w:rPr>
          <w:bCs/>
          <w:i/>
          <w:iCs/>
          <w:u w:val="single"/>
          <w:lang w:val="fr-FR"/>
        </w:rPr>
        <w:t>atmosphère</w:t>
      </w:r>
    </w:p>
    <w:p w14:paraId="578E1B41" w14:textId="77777777" w:rsidR="008F3622" w:rsidRPr="00130BF4" w:rsidRDefault="008F3622" w:rsidP="00201607">
      <w:pPr>
        <w:pStyle w:val="SingleTxtG"/>
        <w:rPr>
          <w:rFonts w:eastAsia="Calibri"/>
          <w:lang w:val="fr-FR"/>
        </w:rPr>
      </w:pPr>
      <w:r w:rsidRPr="00130BF4">
        <w:rPr>
          <w:lang w:val="fr-FR"/>
        </w:rPr>
        <w:t>7.</w:t>
      </w:r>
      <w:r w:rsidRPr="00130BF4">
        <w:rPr>
          <w:lang w:val="fr-FR"/>
        </w:rPr>
        <w:tab/>
      </w:r>
      <w:r w:rsidRPr="00130BF4">
        <w:rPr>
          <w:rFonts w:eastAsia="Calibri"/>
          <w:lang w:val="fr-FR"/>
        </w:rPr>
        <w:t>Après la première phrase du 7.2.3.7.1.3, insérer les phrases suivantes :</w:t>
      </w:r>
    </w:p>
    <w:p w14:paraId="01B86AF4" w14:textId="5B6D6817" w:rsidR="008F3622" w:rsidRPr="00130BF4" w:rsidRDefault="00D87EA0" w:rsidP="00E64C76">
      <w:pPr>
        <w:pStyle w:val="SingleTxtG"/>
        <w:ind w:left="1701"/>
        <w:rPr>
          <w:lang w:val="fr-FR"/>
        </w:rPr>
      </w:pPr>
      <w:r>
        <w:rPr>
          <w:lang w:val="fr-FR"/>
        </w:rPr>
        <w:t>« </w:t>
      </w:r>
      <w:r w:rsidR="008F3622" w:rsidRPr="00130BF4">
        <w:rPr>
          <w:lang w:val="fr-FR"/>
        </w:rPr>
        <w:t>Le mélange gaz/air provenant des citernes à cargaison ne peut être évacué dans l</w:t>
      </w:r>
      <w:r w:rsidR="004D37B8">
        <w:rPr>
          <w:lang w:val="fr-FR"/>
        </w:rPr>
        <w:t>’</w:t>
      </w:r>
      <w:r w:rsidR="008F3622" w:rsidRPr="00130BF4">
        <w:rPr>
          <w:lang w:val="fr-FR"/>
        </w:rPr>
        <w:t>atmosphère que</w:t>
      </w:r>
    </w:p>
    <w:p w14:paraId="1AEBBA0E" w14:textId="77777777" w:rsidR="008F3622" w:rsidRPr="00130BF4" w:rsidRDefault="008F3622" w:rsidP="00E64C76">
      <w:pPr>
        <w:pStyle w:val="SingleTxtG"/>
        <w:ind w:left="1701"/>
        <w:rPr>
          <w:lang w:val="fr-FR"/>
        </w:rPr>
      </w:pPr>
      <w:r w:rsidRPr="00130BF4">
        <w:rPr>
          <w:lang w:val="fr-FR"/>
        </w:rPr>
        <w:t>a)</w:t>
      </w:r>
      <w:r w:rsidRPr="00130BF4">
        <w:rPr>
          <w:lang w:val="fr-FR"/>
        </w:rPr>
        <w:tab/>
        <w:t>par le dispositif de décompression en toute sécurité des citernes à cargaison [visé aux 9.3.2.22.4 a) et 9.3.2.22.4 b) ou 9.3.3.22.4 a) et 9.3.3.22.4 b)], ou</w:t>
      </w:r>
    </w:p>
    <w:p w14:paraId="604D7364" w14:textId="41875D34" w:rsidR="008F3622" w:rsidRPr="00130BF4" w:rsidRDefault="008F3622" w:rsidP="00E64C76">
      <w:pPr>
        <w:pStyle w:val="SingleTxtG"/>
        <w:ind w:left="1701"/>
        <w:rPr>
          <w:lang w:val="fr-FR"/>
        </w:rPr>
      </w:pPr>
      <w:r w:rsidRPr="00130BF4">
        <w:rPr>
          <w:lang w:val="fr-FR"/>
        </w:rPr>
        <w:t>b)</w:t>
      </w:r>
      <w:r w:rsidRPr="00130BF4">
        <w:rPr>
          <w:lang w:val="fr-FR"/>
        </w:rPr>
        <w:tab/>
        <w:t>par l</w:t>
      </w:r>
      <w:r w:rsidR="004D37B8">
        <w:rPr>
          <w:lang w:val="fr-FR"/>
        </w:rPr>
        <w:t>’</w:t>
      </w:r>
      <w:r w:rsidRPr="00130BF4">
        <w:rPr>
          <w:lang w:val="fr-FR"/>
        </w:rPr>
        <w:t>orifice de prise d</w:t>
      </w:r>
      <w:r w:rsidR="004D37B8">
        <w:rPr>
          <w:lang w:val="fr-FR"/>
        </w:rPr>
        <w:t>’</w:t>
      </w:r>
      <w:r w:rsidRPr="00130BF4">
        <w:rPr>
          <w:lang w:val="fr-FR"/>
        </w:rPr>
        <w:t>échantillons [(9.3.2.21.1. g) ou 9.3.3.21.1 g))], ou</w:t>
      </w:r>
    </w:p>
    <w:p w14:paraId="1650BF0A" w14:textId="49028452" w:rsidR="008F3622" w:rsidRPr="00130BF4" w:rsidRDefault="008F3622" w:rsidP="00E64C76">
      <w:pPr>
        <w:pStyle w:val="SingleTxtG"/>
        <w:ind w:left="1701"/>
        <w:rPr>
          <w:lang w:val="fr-FR"/>
        </w:rPr>
      </w:pPr>
      <w:r w:rsidRPr="00130BF4">
        <w:rPr>
          <w:lang w:val="fr-FR"/>
        </w:rPr>
        <w:t>c)</w:t>
      </w:r>
      <w:r w:rsidRPr="00130BF4">
        <w:rPr>
          <w:lang w:val="fr-FR"/>
        </w:rPr>
        <w:tab/>
        <w:t>par le carter ouvert du coupe-flammes au point de raccordement de la citerne à cargaison à la conduite d</w:t>
      </w:r>
      <w:r w:rsidR="004D37B8">
        <w:rPr>
          <w:lang w:val="fr-FR"/>
        </w:rPr>
        <w:t>’</w:t>
      </w:r>
      <w:r w:rsidRPr="00130BF4">
        <w:rPr>
          <w:lang w:val="fr-FR"/>
        </w:rPr>
        <w:t>évacuation de gaz [(9.3.2.22.4 b) ou 9.3.3.22.4 d)], ou</w:t>
      </w:r>
    </w:p>
    <w:p w14:paraId="32BD91D7" w14:textId="3C980F2B" w:rsidR="008F3622" w:rsidRPr="00130BF4" w:rsidRDefault="008F3622" w:rsidP="00E64C76">
      <w:pPr>
        <w:pStyle w:val="SingleTxtG"/>
        <w:ind w:left="1701"/>
        <w:rPr>
          <w:lang w:val="fr-FR"/>
        </w:rPr>
      </w:pPr>
      <w:r w:rsidRPr="00130BF4">
        <w:rPr>
          <w:lang w:val="fr-FR"/>
        </w:rPr>
        <w:t>d)</w:t>
      </w:r>
      <w:r w:rsidRPr="00130BF4">
        <w:rPr>
          <w:lang w:val="fr-FR"/>
        </w:rPr>
        <w:tab/>
        <w:t>par un tuyau adapté, qui est raccordé à la conduite d</w:t>
      </w:r>
      <w:r w:rsidR="004D37B8">
        <w:rPr>
          <w:lang w:val="fr-FR"/>
        </w:rPr>
        <w:t>’</w:t>
      </w:r>
      <w:r w:rsidRPr="00130BF4">
        <w:rPr>
          <w:lang w:val="fr-FR"/>
        </w:rPr>
        <w:t>évacuation de gaz et précédé d</w:t>
      </w:r>
      <w:r w:rsidR="004D37B8">
        <w:rPr>
          <w:lang w:val="fr-FR"/>
        </w:rPr>
        <w:t>’</w:t>
      </w:r>
      <w:r w:rsidRPr="00130BF4">
        <w:rPr>
          <w:lang w:val="fr-FR"/>
        </w:rPr>
        <w:t>un coupe-flammes (groupe/sous-groupe d</w:t>
      </w:r>
      <w:r w:rsidR="004D37B8">
        <w:rPr>
          <w:lang w:val="fr-FR"/>
        </w:rPr>
        <w:t>’</w:t>
      </w:r>
      <w:r w:rsidRPr="00130BF4">
        <w:rPr>
          <w:lang w:val="fr-FR"/>
        </w:rPr>
        <w:t xml:space="preserve">explosion conformément à la colonne (16) du tableau C du </w:t>
      </w:r>
      <w:r w:rsidR="00BC19B1">
        <w:rPr>
          <w:lang w:val="fr-FR"/>
        </w:rPr>
        <w:t xml:space="preserve">chapitre </w:t>
      </w:r>
      <w:r w:rsidRPr="00130BF4">
        <w:rPr>
          <w:lang w:val="fr-FR"/>
        </w:rPr>
        <w:t>3.2.).</w:t>
      </w:r>
      <w:r w:rsidR="00D87EA0">
        <w:rPr>
          <w:lang w:val="fr-FR"/>
        </w:rPr>
        <w:t> »</w:t>
      </w:r>
    </w:p>
    <w:p w14:paraId="21B88118" w14:textId="5632411B" w:rsidR="008F3622" w:rsidRPr="00A94DA3" w:rsidRDefault="008F3622" w:rsidP="00A94DA3">
      <w:pPr>
        <w:tabs>
          <w:tab w:val="left" w:pos="1701"/>
        </w:tabs>
        <w:spacing w:after="240"/>
        <w:ind w:left="1134" w:right="567"/>
        <w:jc w:val="both"/>
        <w:rPr>
          <w:bCs/>
          <w:i/>
          <w:iCs/>
          <w:u w:val="single"/>
          <w:lang w:val="fr-FR"/>
        </w:rPr>
      </w:pPr>
      <w:r w:rsidRPr="00A94DA3">
        <w:rPr>
          <w:bCs/>
          <w:i/>
          <w:iCs/>
          <w:u w:val="single"/>
          <w:lang w:val="fr-FR"/>
        </w:rPr>
        <w:t>Sous-section 7.2.4.22 Ouverture d</w:t>
      </w:r>
      <w:r w:rsidR="004D37B8">
        <w:rPr>
          <w:bCs/>
          <w:i/>
          <w:iCs/>
          <w:u w:val="single"/>
          <w:lang w:val="fr-FR"/>
        </w:rPr>
        <w:t>’</w:t>
      </w:r>
      <w:r w:rsidRPr="00A94DA3">
        <w:rPr>
          <w:bCs/>
          <w:i/>
          <w:iCs/>
          <w:u w:val="single"/>
          <w:lang w:val="fr-FR"/>
        </w:rPr>
        <w:t>orifices</w:t>
      </w:r>
    </w:p>
    <w:p w14:paraId="4C312B86" w14:textId="3B764C6C" w:rsidR="008F3622" w:rsidRPr="00130BF4" w:rsidRDefault="008F3622" w:rsidP="00201607">
      <w:pPr>
        <w:pStyle w:val="SingleTxtG"/>
        <w:rPr>
          <w:lang w:val="fr-FR"/>
        </w:rPr>
      </w:pPr>
      <w:r w:rsidRPr="00130BF4">
        <w:rPr>
          <w:lang w:val="fr-FR"/>
        </w:rPr>
        <w:t>8.</w:t>
      </w:r>
      <w:r w:rsidRPr="00130BF4">
        <w:rPr>
          <w:lang w:val="fr-FR"/>
        </w:rPr>
        <w:tab/>
        <w:t>Modifier le 7.2.4.22 (« Ouverture d</w:t>
      </w:r>
      <w:r w:rsidR="004D37B8">
        <w:rPr>
          <w:lang w:val="fr-FR"/>
        </w:rPr>
        <w:t>’</w:t>
      </w:r>
      <w:r w:rsidRPr="00130BF4">
        <w:rPr>
          <w:lang w:val="fr-FR"/>
        </w:rPr>
        <w:t>orifices des citernes à cargaison ») comme suit :</w:t>
      </w:r>
    </w:p>
    <w:p w14:paraId="0F3AA82E" w14:textId="7CA7EA50" w:rsidR="008F3622" w:rsidRPr="00130BF4" w:rsidRDefault="008F3622" w:rsidP="00B77E56">
      <w:pPr>
        <w:tabs>
          <w:tab w:val="left" w:pos="1701"/>
        </w:tabs>
        <w:spacing w:after="120"/>
        <w:ind w:left="1134" w:right="567"/>
        <w:jc w:val="both"/>
        <w:rPr>
          <w:lang w:val="fr-FR"/>
        </w:rPr>
      </w:pPr>
      <w:r w:rsidRPr="00130BF4">
        <w:rPr>
          <w:lang w:val="fr-FR"/>
        </w:rPr>
        <w:t>« </w:t>
      </w:r>
      <w:r w:rsidRPr="00130BF4">
        <w:rPr>
          <w:b/>
          <w:lang w:val="fr-FR"/>
        </w:rPr>
        <w:t>7.2.4.22</w:t>
      </w:r>
      <w:r w:rsidRPr="00130BF4">
        <w:rPr>
          <w:b/>
          <w:lang w:val="fr-FR"/>
        </w:rPr>
        <w:tab/>
        <w:t>Ouverture d</w:t>
      </w:r>
      <w:r w:rsidR="004D37B8">
        <w:rPr>
          <w:b/>
          <w:lang w:val="fr-FR"/>
        </w:rPr>
        <w:t>’</w:t>
      </w:r>
      <w:r w:rsidRPr="00130BF4">
        <w:rPr>
          <w:b/>
          <w:lang w:val="fr-FR"/>
        </w:rPr>
        <w:t>orifices des citernes à cargaison (généralités)</w:t>
      </w:r>
    </w:p>
    <w:p w14:paraId="74FAA18E" w14:textId="60DB5A26" w:rsidR="008F3622" w:rsidRPr="00130BF4" w:rsidRDefault="008F3622" w:rsidP="00201607">
      <w:pPr>
        <w:pStyle w:val="SingleTxtG"/>
        <w:rPr>
          <w:lang w:val="fr-FR"/>
        </w:rPr>
      </w:pPr>
      <w:r w:rsidRPr="00130BF4">
        <w:rPr>
          <w:lang w:val="fr-FR"/>
        </w:rPr>
        <w:t xml:space="preserve">7.2.4.22.1 </w:t>
      </w:r>
      <w:r w:rsidRPr="00130BF4">
        <w:rPr>
          <w:lang w:val="fr-FR"/>
        </w:rPr>
        <w:tab/>
        <w:t>Les 7.2.4.22 et 7.2.4.23 ne s</w:t>
      </w:r>
      <w:r w:rsidR="004D37B8">
        <w:rPr>
          <w:lang w:val="fr-FR"/>
        </w:rPr>
        <w:t>’</w:t>
      </w:r>
      <w:r w:rsidRPr="00130BF4">
        <w:rPr>
          <w:lang w:val="fr-FR"/>
        </w:rPr>
        <w:t>appliquent qu</w:t>
      </w:r>
      <w:r w:rsidR="004D37B8">
        <w:rPr>
          <w:lang w:val="fr-FR"/>
        </w:rPr>
        <w:t>’</w:t>
      </w:r>
      <w:r w:rsidRPr="00130BF4">
        <w:rPr>
          <w:lang w:val="fr-FR"/>
        </w:rPr>
        <w:t>aux bateaux bateaux-citernes de types N et C.</w:t>
      </w:r>
    </w:p>
    <w:p w14:paraId="0C139F0D" w14:textId="58CA6B19" w:rsidR="008F3622" w:rsidRPr="00130BF4" w:rsidRDefault="008F3622" w:rsidP="0000461C">
      <w:pPr>
        <w:pStyle w:val="SingleTxtG"/>
        <w:rPr>
          <w:lang w:val="fr-FR"/>
        </w:rPr>
      </w:pPr>
      <w:r w:rsidRPr="00130BF4">
        <w:rPr>
          <w:lang w:val="fr-FR"/>
        </w:rPr>
        <w:t>Par dérogation à la sous-section 7.2.3.22 et sous réserve que cela ne soit pas interdit une autre réglementation, l</w:t>
      </w:r>
      <w:r w:rsidR="004D37B8">
        <w:rPr>
          <w:lang w:val="fr-FR"/>
        </w:rPr>
        <w:t>’</w:t>
      </w:r>
      <w:r w:rsidRPr="00130BF4">
        <w:rPr>
          <w:lang w:val="fr-FR"/>
        </w:rPr>
        <w:t>ouverture des orifices est autorisée aux conditions suivantes :</w:t>
      </w:r>
    </w:p>
    <w:p w14:paraId="67C95E2F" w14:textId="669CE8E9" w:rsidR="008F3622" w:rsidRPr="00130BF4" w:rsidRDefault="00EF287F" w:rsidP="009B4841">
      <w:pPr>
        <w:pStyle w:val="SingleTxtG"/>
        <w:ind w:left="1701"/>
        <w:rPr>
          <w:lang w:val="fr-FR"/>
        </w:rPr>
      </w:pPr>
      <w:r>
        <w:rPr>
          <w:lang w:val="fr-FR"/>
        </w:rPr>
        <w:sym w:font="Symbol" w:char="F02D"/>
      </w:r>
      <w:r>
        <w:rPr>
          <w:lang w:val="fr-FR"/>
        </w:rPr>
        <w:t xml:space="preserve"> </w:t>
      </w:r>
      <w:r w:rsidR="008F3622" w:rsidRPr="00130BF4">
        <w:rPr>
          <w:lang w:val="fr-FR"/>
        </w:rPr>
        <w:t>pour le nettoyage et le remplacement de l</w:t>
      </w:r>
      <w:r w:rsidR="004D37B8">
        <w:rPr>
          <w:lang w:val="fr-FR"/>
        </w:rPr>
        <w:t>’</w:t>
      </w:r>
      <w:r w:rsidR="008F3622" w:rsidRPr="00130BF4">
        <w:rPr>
          <w:lang w:val="fr-FR"/>
        </w:rPr>
        <w:t>élément coupe-flammes,</w:t>
      </w:r>
    </w:p>
    <w:p w14:paraId="332F0E36" w14:textId="140017BB" w:rsidR="008F3622" w:rsidRPr="00130BF4" w:rsidRDefault="00EF287F" w:rsidP="009B4841">
      <w:pPr>
        <w:pStyle w:val="SingleTxtG"/>
        <w:ind w:left="1701"/>
        <w:rPr>
          <w:lang w:val="fr-FR"/>
        </w:rPr>
      </w:pPr>
      <w:r>
        <w:rPr>
          <w:lang w:val="fr-FR"/>
        </w:rPr>
        <w:sym w:font="Symbol" w:char="F02D"/>
      </w:r>
      <w:r>
        <w:rPr>
          <w:lang w:val="fr-FR"/>
        </w:rPr>
        <w:t xml:space="preserve"> </w:t>
      </w:r>
      <w:r w:rsidR="008F3622" w:rsidRPr="00130BF4">
        <w:rPr>
          <w:lang w:val="fr-FR"/>
        </w:rPr>
        <w:t>pour l</w:t>
      </w:r>
      <w:r w:rsidR="004D37B8">
        <w:rPr>
          <w:lang w:val="fr-FR"/>
        </w:rPr>
        <w:t>’</w:t>
      </w:r>
      <w:r w:rsidR="008F3622" w:rsidRPr="00130BF4">
        <w:rPr>
          <w:lang w:val="fr-FR"/>
        </w:rPr>
        <w:t>inspection visuelle depuis le pont,</w:t>
      </w:r>
    </w:p>
    <w:p w14:paraId="2F40FEFE" w14:textId="7198FB41" w:rsidR="008F3622" w:rsidRPr="00130BF4" w:rsidRDefault="00EF287F" w:rsidP="009B4841">
      <w:pPr>
        <w:pStyle w:val="SingleTxtG"/>
        <w:ind w:left="1701"/>
        <w:rPr>
          <w:lang w:val="fr-FR"/>
        </w:rPr>
      </w:pPr>
      <w:r>
        <w:rPr>
          <w:lang w:val="fr-FR"/>
        </w:rPr>
        <w:sym w:font="Symbol" w:char="F02D"/>
      </w:r>
      <w:r>
        <w:rPr>
          <w:lang w:val="fr-FR"/>
        </w:rPr>
        <w:t xml:space="preserve"> </w:t>
      </w:r>
      <w:r w:rsidR="008F3622" w:rsidRPr="00130BF4">
        <w:rPr>
          <w:lang w:val="fr-FR"/>
        </w:rPr>
        <w:t>pour la prise d</w:t>
      </w:r>
      <w:r w:rsidR="004D37B8">
        <w:rPr>
          <w:lang w:val="fr-FR"/>
        </w:rPr>
        <w:t>’</w:t>
      </w:r>
      <w:r w:rsidR="008F3622" w:rsidRPr="00130BF4">
        <w:rPr>
          <w:lang w:val="fr-FR"/>
        </w:rPr>
        <w:t>échantillons,</w:t>
      </w:r>
    </w:p>
    <w:p w14:paraId="6B8313CA" w14:textId="38EECADA" w:rsidR="008F3622" w:rsidRPr="009B4841" w:rsidRDefault="00EF287F" w:rsidP="009B4841">
      <w:pPr>
        <w:pStyle w:val="SingleTxtG"/>
        <w:ind w:left="1701"/>
        <w:rPr>
          <w:lang w:val="fr-FR"/>
        </w:rPr>
      </w:pPr>
      <w:r>
        <w:rPr>
          <w:lang w:val="fr-FR"/>
        </w:rPr>
        <w:sym w:font="Symbol" w:char="F02D"/>
      </w:r>
      <w:r>
        <w:rPr>
          <w:lang w:val="fr-FR"/>
        </w:rPr>
        <w:t xml:space="preserve"> </w:t>
      </w:r>
      <w:r w:rsidR="008F3622" w:rsidRPr="009B4841">
        <w:rPr>
          <w:lang w:val="fr-FR"/>
        </w:rPr>
        <w:t>pour le raccordement d</w:t>
      </w:r>
      <w:r w:rsidR="004D37B8">
        <w:rPr>
          <w:lang w:val="fr-FR"/>
        </w:rPr>
        <w:t>’</w:t>
      </w:r>
      <w:r w:rsidR="008F3622" w:rsidRPr="009B4841">
        <w:rPr>
          <w:lang w:val="fr-FR"/>
        </w:rPr>
        <w:t>une installation de lavage des citernes,</w:t>
      </w:r>
    </w:p>
    <w:p w14:paraId="1E9B0B18" w14:textId="12D7E41A" w:rsidR="008F3622" w:rsidRPr="00130BF4" w:rsidRDefault="00EF287F" w:rsidP="009B4841">
      <w:pPr>
        <w:pStyle w:val="SingleTxtG"/>
        <w:ind w:left="1701"/>
        <w:rPr>
          <w:lang w:val="fr-FR"/>
        </w:rPr>
      </w:pPr>
      <w:r>
        <w:rPr>
          <w:lang w:val="fr-FR"/>
        </w:rPr>
        <w:sym w:font="Symbol" w:char="F02D"/>
      </w:r>
      <w:r>
        <w:rPr>
          <w:lang w:val="fr-FR"/>
        </w:rPr>
        <w:t xml:space="preserve"> </w:t>
      </w:r>
      <w:r w:rsidR="008F3622" w:rsidRPr="00130BF4">
        <w:rPr>
          <w:lang w:val="fr-FR"/>
        </w:rPr>
        <w:t>pour la mesure des gaz,</w:t>
      </w:r>
    </w:p>
    <w:p w14:paraId="3D0561F9" w14:textId="729472A5" w:rsidR="008F3622" w:rsidRPr="00130BF4" w:rsidRDefault="00EF287F" w:rsidP="009B4841">
      <w:pPr>
        <w:pStyle w:val="SingleTxtG"/>
        <w:ind w:left="1701"/>
        <w:rPr>
          <w:lang w:val="fr-FR"/>
        </w:rPr>
      </w:pPr>
      <w:r>
        <w:rPr>
          <w:lang w:val="fr-FR"/>
        </w:rPr>
        <w:sym w:font="Symbol" w:char="F02D"/>
      </w:r>
      <w:r>
        <w:rPr>
          <w:lang w:val="fr-FR"/>
        </w:rPr>
        <w:t xml:space="preserve"> </w:t>
      </w:r>
      <w:r w:rsidR="008F3622" w:rsidRPr="00130BF4">
        <w:rPr>
          <w:lang w:val="fr-FR"/>
        </w:rPr>
        <w:t>pour la détermination du niveau de remplissage de la citerne à cargaison dans des cas exceptionnels, et</w:t>
      </w:r>
    </w:p>
    <w:p w14:paraId="128C6786" w14:textId="6D1FE20A" w:rsidR="008F3622" w:rsidRPr="00130BF4" w:rsidRDefault="00EF287F" w:rsidP="009B4841">
      <w:pPr>
        <w:pStyle w:val="SingleTxtG"/>
        <w:ind w:left="1701"/>
        <w:rPr>
          <w:lang w:val="fr-FR"/>
        </w:rPr>
      </w:pPr>
      <w:r>
        <w:rPr>
          <w:lang w:val="fr-FR"/>
        </w:rPr>
        <w:sym w:font="Symbol" w:char="F02D"/>
      </w:r>
      <w:r>
        <w:rPr>
          <w:lang w:val="fr-FR"/>
        </w:rPr>
        <w:t xml:space="preserve"> </w:t>
      </w:r>
      <w:r w:rsidR="008F3622" w:rsidRPr="00130BF4">
        <w:rPr>
          <w:lang w:val="fr-FR"/>
        </w:rPr>
        <w:t>pour l</w:t>
      </w:r>
      <w:r w:rsidR="004D37B8">
        <w:rPr>
          <w:lang w:val="fr-FR"/>
        </w:rPr>
        <w:t>’</w:t>
      </w:r>
      <w:r w:rsidR="008F3622" w:rsidRPr="00130BF4">
        <w:rPr>
          <w:lang w:val="fr-FR"/>
        </w:rPr>
        <w:t>ajout de stabilisants après le chargement dans des cas exceptionnels.</w:t>
      </w:r>
    </w:p>
    <w:p w14:paraId="66DC0137" w14:textId="35086E76" w:rsidR="008F3622" w:rsidRPr="00130BF4" w:rsidRDefault="008F3622" w:rsidP="00201607">
      <w:pPr>
        <w:pStyle w:val="SingleTxtG"/>
        <w:rPr>
          <w:lang w:val="fr-FR"/>
        </w:rPr>
      </w:pPr>
      <w:r w:rsidRPr="00130BF4">
        <w:rPr>
          <w:lang w:val="fr-FR"/>
        </w:rPr>
        <w:t>7.2.4.22.2</w:t>
      </w:r>
      <w:r w:rsidRPr="00130BF4">
        <w:rPr>
          <w:lang w:val="fr-FR"/>
        </w:rPr>
        <w:tab/>
        <w:t>L</w:t>
      </w:r>
      <w:r w:rsidR="004D37B8">
        <w:rPr>
          <w:lang w:val="fr-FR"/>
        </w:rPr>
        <w:t>’</w:t>
      </w:r>
      <w:r w:rsidRPr="00130BF4">
        <w:rPr>
          <w:lang w:val="fr-FR"/>
        </w:rPr>
        <w:t>ouverture des citernes à cargaison n</w:t>
      </w:r>
      <w:r w:rsidR="004D37B8">
        <w:rPr>
          <w:lang w:val="fr-FR"/>
        </w:rPr>
        <w:t>’</w:t>
      </w:r>
      <w:r w:rsidRPr="00130BF4">
        <w:rPr>
          <w:lang w:val="fr-FR"/>
        </w:rPr>
        <w:t>est autorisée que si le bateau n</w:t>
      </w:r>
      <w:r w:rsidR="004D37B8">
        <w:rPr>
          <w:lang w:val="fr-FR"/>
        </w:rPr>
        <w:t>’</w:t>
      </w:r>
      <w:r w:rsidRPr="00130BF4">
        <w:rPr>
          <w:lang w:val="fr-FR"/>
        </w:rPr>
        <w:t>est pas relié à l</w:t>
      </w:r>
      <w:r w:rsidR="004D37B8">
        <w:rPr>
          <w:lang w:val="fr-FR"/>
        </w:rPr>
        <w:t>’</w:t>
      </w:r>
      <w:r w:rsidRPr="00130BF4">
        <w:rPr>
          <w:lang w:val="fr-FR"/>
        </w:rPr>
        <w:t>installation à terre ou si les dispositifs de vannage du bateau et de l</w:t>
      </w:r>
      <w:r w:rsidR="004D37B8">
        <w:rPr>
          <w:lang w:val="fr-FR"/>
        </w:rPr>
        <w:t>’</w:t>
      </w:r>
      <w:r w:rsidRPr="00130BF4">
        <w:rPr>
          <w:lang w:val="fr-FR"/>
        </w:rPr>
        <w:t>installation à terre sont fermés.</w:t>
      </w:r>
    </w:p>
    <w:p w14:paraId="05E6BDDB" w14:textId="10CE7C9C" w:rsidR="008F3622" w:rsidRPr="004D37B8" w:rsidRDefault="008F3622" w:rsidP="00C36C04">
      <w:pPr>
        <w:pStyle w:val="SingleTxtG"/>
        <w:rPr>
          <w:lang w:val="en-US"/>
        </w:rPr>
      </w:pPr>
      <w:r w:rsidRPr="00130BF4">
        <w:rPr>
          <w:lang w:val="fr-FR"/>
        </w:rPr>
        <w:tab/>
        <w:t>L</w:t>
      </w:r>
      <w:r w:rsidR="004D37B8">
        <w:rPr>
          <w:lang w:val="fr-FR"/>
        </w:rPr>
        <w:t>’</w:t>
      </w:r>
      <w:r w:rsidRPr="00130BF4">
        <w:rPr>
          <w:lang w:val="fr-FR"/>
        </w:rPr>
        <w:t>ouverture d</w:t>
      </w:r>
      <w:r w:rsidR="004D37B8">
        <w:rPr>
          <w:lang w:val="fr-FR"/>
        </w:rPr>
        <w:t>’</w:t>
      </w:r>
      <w:r w:rsidRPr="00130BF4">
        <w:rPr>
          <w:lang w:val="fr-FR"/>
        </w:rPr>
        <w:t>orifices [« </w:t>
      </w:r>
      <w:proofErr w:type="spellStart"/>
      <w:r w:rsidRPr="00130BF4">
        <w:rPr>
          <w:lang w:val="fr-FR"/>
        </w:rPr>
        <w:t>openings</w:t>
      </w:r>
      <w:proofErr w:type="spellEnd"/>
      <w:r w:rsidRPr="00130BF4">
        <w:rPr>
          <w:lang w:val="fr-FR"/>
        </w:rPr>
        <w:t> » en anglais] de citernes à cargaison n</w:t>
      </w:r>
      <w:r w:rsidR="004D37B8">
        <w:rPr>
          <w:lang w:val="fr-FR"/>
        </w:rPr>
        <w:t>’</w:t>
      </w:r>
      <w:r w:rsidRPr="00130BF4">
        <w:rPr>
          <w:lang w:val="fr-FR"/>
        </w:rPr>
        <w:t>est autorisée qu</w:t>
      </w:r>
      <w:r w:rsidR="004D37B8">
        <w:rPr>
          <w:lang w:val="fr-FR"/>
        </w:rPr>
        <w:t>’</w:t>
      </w:r>
      <w:r w:rsidRPr="00130BF4">
        <w:rPr>
          <w:lang w:val="fr-FR"/>
        </w:rPr>
        <w:t xml:space="preserve">après décompression des citernes à cargaison correspondantes au moyen des dispositifs prescrits à cet effet aux 9.3.2.22.4 a) et 9.3.2.22.4 b) ou 9.3.3.22.4 a) et 9.3.3.22.4 b). </w:t>
      </w:r>
      <w:r w:rsidRPr="004D37B8">
        <w:rPr>
          <w:lang w:val="en-US"/>
        </w:rPr>
        <w:t>[</w:t>
      </w:r>
      <w:proofErr w:type="spellStart"/>
      <w:r w:rsidRPr="004D37B8">
        <w:rPr>
          <w:lang w:val="en-US"/>
        </w:rPr>
        <w:t>en</w:t>
      </w:r>
      <w:proofErr w:type="spellEnd"/>
      <w:r w:rsidRPr="004D37B8">
        <w:rPr>
          <w:lang w:val="en-US"/>
        </w:rPr>
        <w:t xml:space="preserve"> </w:t>
      </w:r>
      <w:proofErr w:type="spellStart"/>
      <w:r w:rsidRPr="004D37B8">
        <w:rPr>
          <w:lang w:val="en-US"/>
        </w:rPr>
        <w:t>anglais</w:t>
      </w:r>
      <w:proofErr w:type="spellEnd"/>
      <w:r w:rsidRPr="004D37B8">
        <w:rPr>
          <w:lang w:val="en-US"/>
        </w:rPr>
        <w:t xml:space="preserve"> « Device for the safe depressurization of cargo tanks »]</w:t>
      </w:r>
    </w:p>
    <w:p w14:paraId="3B311F22" w14:textId="2F1589D7" w:rsidR="008F3622" w:rsidRPr="00130BF4" w:rsidRDefault="008F3622" w:rsidP="00C36C04">
      <w:pPr>
        <w:pStyle w:val="SingleTxtG"/>
        <w:rPr>
          <w:rFonts w:eastAsia="Calibri"/>
          <w:lang w:val="fr-FR"/>
        </w:rPr>
      </w:pPr>
      <w:r w:rsidRPr="004D37B8">
        <w:rPr>
          <w:rFonts w:eastAsia="Calibri"/>
          <w:lang w:val="en-US"/>
        </w:rPr>
        <w:tab/>
      </w:r>
      <w:r w:rsidRPr="00130BF4">
        <w:rPr>
          <w:rFonts w:eastAsia="Calibri"/>
          <w:lang w:val="fr-FR"/>
        </w:rPr>
        <w:t>Lorsqu</w:t>
      </w:r>
      <w:r w:rsidR="004D37B8">
        <w:rPr>
          <w:rFonts w:eastAsia="Calibri"/>
          <w:lang w:val="fr-FR"/>
        </w:rPr>
        <w:t>’</w:t>
      </w:r>
      <w:r w:rsidRPr="00130BF4">
        <w:rPr>
          <w:rFonts w:eastAsia="Calibri"/>
          <w:lang w:val="fr-FR"/>
        </w:rPr>
        <w:t>en vertu de la colonne (17) du tableau C du chapitre 3.2 une protection contre les explosions est exigée, l</w:t>
      </w:r>
      <w:r w:rsidR="004D37B8">
        <w:rPr>
          <w:rFonts w:eastAsia="Calibri"/>
          <w:lang w:val="fr-FR"/>
        </w:rPr>
        <w:t>’</w:t>
      </w:r>
      <w:r w:rsidRPr="00130BF4">
        <w:rPr>
          <w:rFonts w:eastAsia="Calibri"/>
          <w:lang w:val="fr-FR"/>
        </w:rPr>
        <w:t>ouverture des écoutilles des citernes à cargaison n</w:t>
      </w:r>
      <w:r w:rsidR="004D37B8">
        <w:rPr>
          <w:rFonts w:eastAsia="Calibri"/>
          <w:lang w:val="fr-FR"/>
        </w:rPr>
        <w:t>’</w:t>
      </w:r>
      <w:r w:rsidRPr="00130BF4">
        <w:rPr>
          <w:rFonts w:eastAsia="Calibri"/>
          <w:lang w:val="fr-FR"/>
        </w:rPr>
        <w:t xml:space="preserve">est autorisée que si les citernes à cargaison correspondantes ont été déchargées et que la concentration de gaz inflammables dans la citerne à cargaison est inférieure à 10 % de la LIE de la </w:t>
      </w:r>
      <w:r w:rsidRPr="00130BF4">
        <w:rPr>
          <w:rFonts w:eastAsia="Calibri"/>
          <w:lang w:val="fr-FR"/>
        </w:rPr>
        <w:lastRenderedPageBreak/>
        <w:t>cargaison/cargaison précédente. Les résultats des mesures doivent être consignés par écrit. L</w:t>
      </w:r>
      <w:r w:rsidR="004D37B8">
        <w:rPr>
          <w:rFonts w:eastAsia="Calibri"/>
          <w:lang w:val="fr-FR"/>
        </w:rPr>
        <w:t>’</w:t>
      </w:r>
      <w:r w:rsidRPr="00130BF4">
        <w:rPr>
          <w:rFonts w:eastAsia="Calibri"/>
          <w:lang w:val="fr-FR"/>
        </w:rPr>
        <w:t>entrée dans ces citernes à cargaison à des fins de mesure n</w:t>
      </w:r>
      <w:r w:rsidR="004D37B8">
        <w:rPr>
          <w:rFonts w:eastAsia="Calibri"/>
          <w:lang w:val="fr-FR"/>
        </w:rPr>
        <w:t>’</w:t>
      </w:r>
      <w:r w:rsidRPr="00130BF4">
        <w:rPr>
          <w:rFonts w:eastAsia="Calibri"/>
          <w:lang w:val="fr-FR"/>
        </w:rPr>
        <w:t>est pas autorisée.</w:t>
      </w:r>
    </w:p>
    <w:p w14:paraId="66842169" w14:textId="44F3EEE2" w:rsidR="008F3622" w:rsidRPr="00130BF4" w:rsidRDefault="008F3622" w:rsidP="005B7AB2">
      <w:pPr>
        <w:pStyle w:val="SingleTxtG"/>
        <w:rPr>
          <w:rFonts w:eastAsia="Calibri"/>
          <w:lang w:val="fr-FR"/>
        </w:rPr>
      </w:pPr>
      <w:r w:rsidRPr="00130BF4">
        <w:rPr>
          <w:rFonts w:eastAsia="Calibri"/>
          <w:lang w:val="fr-FR"/>
        </w:rPr>
        <w:t>7.2.4.22.3</w:t>
      </w:r>
      <w:r w:rsidRPr="00130BF4">
        <w:rPr>
          <w:rFonts w:eastAsia="Calibri"/>
          <w:lang w:val="fr-FR"/>
        </w:rPr>
        <w:tab/>
        <w:t>L</w:t>
      </w:r>
      <w:r w:rsidR="004D37B8">
        <w:rPr>
          <w:rFonts w:eastAsia="Calibri"/>
          <w:lang w:val="fr-FR"/>
        </w:rPr>
        <w:t>’</w:t>
      </w:r>
      <w:r w:rsidRPr="00130BF4">
        <w:rPr>
          <w:rFonts w:eastAsia="Calibri"/>
          <w:lang w:val="fr-FR"/>
        </w:rPr>
        <w:t>ouverture d</w:t>
      </w:r>
      <w:r w:rsidR="004D37B8">
        <w:rPr>
          <w:rFonts w:eastAsia="Calibri"/>
          <w:lang w:val="fr-FR"/>
        </w:rPr>
        <w:t>’</w:t>
      </w:r>
      <w:r w:rsidRPr="00130BF4">
        <w:rPr>
          <w:rFonts w:eastAsia="Calibri"/>
          <w:lang w:val="fr-FR"/>
        </w:rPr>
        <w:t>orifices de citernes à cargaison chargées de matières pour lesquelles une signalisation avec un ou deux cônes ou feux bleus est prescrite à la colonne (19) du tableau C du chapitre 3.2 n</w:t>
      </w:r>
      <w:r w:rsidR="004D37B8">
        <w:rPr>
          <w:rFonts w:eastAsia="Calibri"/>
          <w:lang w:val="fr-FR"/>
        </w:rPr>
        <w:t>’</w:t>
      </w:r>
      <w:r w:rsidRPr="00130BF4">
        <w:rPr>
          <w:rFonts w:eastAsia="Calibri"/>
          <w:lang w:val="fr-FR"/>
        </w:rPr>
        <w:t>est autorisée que lorsque le chargement a été interrompu depuis au moins 10 minutes.</w:t>
      </w:r>
    </w:p>
    <w:p w14:paraId="76029A40" w14:textId="36D16540" w:rsidR="008F3622" w:rsidRPr="00130BF4" w:rsidRDefault="008F3622" w:rsidP="005B7AB2">
      <w:pPr>
        <w:pStyle w:val="SingleTxtG"/>
        <w:rPr>
          <w:rFonts w:eastAsia="Calibri"/>
          <w:lang w:val="fr-FR"/>
        </w:rPr>
      </w:pPr>
      <w:r w:rsidRPr="00130BF4">
        <w:rPr>
          <w:rFonts w:eastAsia="Calibri"/>
          <w:lang w:val="fr-FR"/>
        </w:rPr>
        <w:t>7.2.4.22.4</w:t>
      </w:r>
      <w:r w:rsidRPr="00130BF4">
        <w:rPr>
          <w:rFonts w:eastAsia="Calibri"/>
          <w:lang w:val="fr-FR"/>
        </w:rPr>
        <w:tab/>
        <w:t>En ce qui concerne le nettoyage de l</w:t>
      </w:r>
      <w:r w:rsidR="004D37B8">
        <w:rPr>
          <w:rFonts w:eastAsia="Calibri"/>
          <w:lang w:val="fr-FR"/>
        </w:rPr>
        <w:t>’</w:t>
      </w:r>
      <w:r w:rsidRPr="00130BF4">
        <w:rPr>
          <w:rFonts w:eastAsia="Calibri"/>
          <w:lang w:val="fr-FR"/>
        </w:rPr>
        <w:t>élément coupe-flammes ou son remplacement par un élément coupe-flammes de même conception, les conditions ci-après doivent être remplies :</w:t>
      </w:r>
    </w:p>
    <w:p w14:paraId="5CE472AC" w14:textId="41309DF9" w:rsidR="008F3622" w:rsidRPr="00130BF4" w:rsidRDefault="008F3622" w:rsidP="00CC3269">
      <w:pPr>
        <w:pStyle w:val="SingleTxtG"/>
        <w:ind w:left="1701"/>
        <w:rPr>
          <w:rFonts w:eastAsia="Calibri"/>
          <w:lang w:val="fr-FR"/>
        </w:rPr>
      </w:pPr>
      <w:r w:rsidRPr="00130BF4">
        <w:rPr>
          <w:rFonts w:eastAsia="Calibri"/>
          <w:lang w:val="fr-FR"/>
        </w:rPr>
        <w:t>a)</w:t>
      </w:r>
      <w:r w:rsidRPr="00130BF4">
        <w:rPr>
          <w:rFonts w:eastAsia="Calibri"/>
          <w:lang w:val="fr-FR"/>
        </w:rPr>
        <w:tab/>
        <w:t>Le nettoyage et le remplacement de l</w:t>
      </w:r>
      <w:r w:rsidR="004D37B8">
        <w:rPr>
          <w:rFonts w:eastAsia="Calibri"/>
          <w:lang w:val="fr-FR"/>
        </w:rPr>
        <w:t>’</w:t>
      </w:r>
      <w:r w:rsidRPr="00130BF4">
        <w:rPr>
          <w:rFonts w:eastAsia="Calibri"/>
          <w:lang w:val="fr-FR"/>
        </w:rPr>
        <w:t>élément coupe-flammes ne peuvent être effectués que par du personnel formé et qualifié ;</w:t>
      </w:r>
    </w:p>
    <w:p w14:paraId="43102034" w14:textId="3BA9E5E9" w:rsidR="008F3622" w:rsidRPr="00130BF4" w:rsidRDefault="008F3622" w:rsidP="00CC3269">
      <w:pPr>
        <w:pStyle w:val="SingleTxtG"/>
        <w:ind w:left="1701"/>
        <w:rPr>
          <w:rFonts w:eastAsia="Calibri"/>
          <w:lang w:val="fr-FR"/>
        </w:rPr>
      </w:pPr>
      <w:r w:rsidRPr="00130BF4">
        <w:rPr>
          <w:rFonts w:eastAsia="Calibri"/>
          <w:lang w:val="fr-FR"/>
        </w:rPr>
        <w:t>b)</w:t>
      </w:r>
      <w:r w:rsidRPr="00130BF4">
        <w:rPr>
          <w:rFonts w:eastAsia="Calibri"/>
          <w:lang w:val="fr-FR"/>
        </w:rPr>
        <w:tab/>
        <w:t>L</w:t>
      </w:r>
      <w:r w:rsidR="004D37B8">
        <w:rPr>
          <w:rFonts w:eastAsia="Calibri"/>
          <w:lang w:val="fr-FR"/>
        </w:rPr>
        <w:t>’</w:t>
      </w:r>
      <w:r w:rsidRPr="00130BF4">
        <w:rPr>
          <w:rFonts w:eastAsia="Calibri"/>
          <w:lang w:val="fr-FR"/>
        </w:rPr>
        <w:t>ouverture n</w:t>
      </w:r>
      <w:r w:rsidR="004D37B8">
        <w:rPr>
          <w:rFonts w:eastAsia="Calibri"/>
          <w:lang w:val="fr-FR"/>
        </w:rPr>
        <w:t>’</w:t>
      </w:r>
      <w:r w:rsidRPr="00130BF4">
        <w:rPr>
          <w:rFonts w:eastAsia="Calibri"/>
          <w:lang w:val="fr-FR"/>
        </w:rPr>
        <w:t>est autorisée que si les citernes à cargaison correspondantes ont été déchargées et que la concentration de gaz inflammables dans la citerne à cargaison est inférieure à 10 % de la LIE de la cargaison/cargaison précédente ;</w:t>
      </w:r>
    </w:p>
    <w:p w14:paraId="5CB03E0F" w14:textId="77777777" w:rsidR="008F3622" w:rsidRPr="00130BF4" w:rsidRDefault="008F3622" w:rsidP="00CC3269">
      <w:pPr>
        <w:pStyle w:val="SingleTxtG"/>
        <w:ind w:left="1701"/>
        <w:rPr>
          <w:rFonts w:eastAsia="Calibri"/>
          <w:lang w:val="fr-FR"/>
        </w:rPr>
      </w:pPr>
      <w:r w:rsidRPr="00130BF4">
        <w:rPr>
          <w:rFonts w:eastAsia="Calibri"/>
          <w:lang w:val="fr-FR"/>
        </w:rPr>
        <w:t>c)</w:t>
      </w:r>
      <w:r w:rsidRPr="00130BF4">
        <w:rPr>
          <w:rFonts w:eastAsia="Calibri"/>
          <w:lang w:val="fr-FR"/>
        </w:rPr>
        <w:tab/>
        <w:t>Les résultats des mesures doivent être consignés par écrit.</w:t>
      </w:r>
    </w:p>
    <w:p w14:paraId="7049B71D" w14:textId="31302870" w:rsidR="008F3622" w:rsidRPr="00130BF4" w:rsidRDefault="008F3622" w:rsidP="005B7AB2">
      <w:pPr>
        <w:pStyle w:val="SingleTxtG"/>
        <w:rPr>
          <w:rFonts w:eastAsia="Calibri"/>
          <w:lang w:val="fr-FR"/>
        </w:rPr>
      </w:pPr>
      <w:r w:rsidRPr="00130BF4">
        <w:rPr>
          <w:rFonts w:eastAsia="Calibri"/>
          <w:lang w:val="fr-FR"/>
        </w:rPr>
        <w:t>7.2.4.22.5</w:t>
      </w:r>
      <w:r w:rsidRPr="00130BF4">
        <w:rPr>
          <w:rFonts w:eastAsia="Calibri"/>
          <w:lang w:val="fr-FR"/>
        </w:rPr>
        <w:tab/>
        <w:t>En ce qui concerne la réparation du carter du coupe-flammes, les dispositions du 8.1.7.3 s</w:t>
      </w:r>
      <w:r w:rsidR="004D37B8">
        <w:rPr>
          <w:rFonts w:eastAsia="Calibri"/>
          <w:lang w:val="fr-FR"/>
        </w:rPr>
        <w:t>’</w:t>
      </w:r>
      <w:r w:rsidRPr="00130BF4">
        <w:rPr>
          <w:rFonts w:eastAsia="Calibri"/>
          <w:lang w:val="fr-FR"/>
        </w:rPr>
        <w:t>appliquent.</w:t>
      </w:r>
    </w:p>
    <w:p w14:paraId="5702C26E" w14:textId="3D926AF2" w:rsidR="008F3622" w:rsidRPr="00130BF4" w:rsidRDefault="008F3622" w:rsidP="005B7AB2">
      <w:pPr>
        <w:pStyle w:val="SingleTxtG"/>
        <w:rPr>
          <w:rFonts w:eastAsia="Calibri"/>
          <w:lang w:val="fr-FR"/>
        </w:rPr>
      </w:pPr>
      <w:r w:rsidRPr="00130BF4">
        <w:rPr>
          <w:rFonts w:eastAsia="Calibri"/>
          <w:lang w:val="fr-FR"/>
        </w:rPr>
        <w:t>7.2.4.22.6</w:t>
      </w:r>
      <w:r w:rsidRPr="00130BF4">
        <w:rPr>
          <w:rFonts w:eastAsia="Calibri"/>
          <w:lang w:val="fr-FR"/>
        </w:rPr>
        <w:tab/>
        <w:t>Si la conduite d</w:t>
      </w:r>
      <w:r w:rsidR="004D37B8">
        <w:rPr>
          <w:rFonts w:eastAsia="Calibri"/>
          <w:lang w:val="fr-FR"/>
        </w:rPr>
        <w:t>’</w:t>
      </w:r>
      <w:r w:rsidRPr="00130BF4">
        <w:rPr>
          <w:rFonts w:eastAsia="Calibri"/>
          <w:lang w:val="fr-FR"/>
        </w:rPr>
        <w:t>évacuation de gaz est équipée d</w:t>
      </w:r>
      <w:r w:rsidR="004D37B8">
        <w:rPr>
          <w:rFonts w:eastAsia="Calibri"/>
          <w:lang w:val="fr-FR"/>
        </w:rPr>
        <w:t>’</w:t>
      </w:r>
      <w:r w:rsidRPr="00130BF4">
        <w:rPr>
          <w:rFonts w:eastAsia="Calibri"/>
          <w:lang w:val="fr-FR"/>
        </w:rPr>
        <w:t>un coupe-flammes au point de raccordement à la citerne à cargaison, conformément au 9.3.2.22.4 b)/9.3.3.22.4 d), le carter de ce coupe-flammes peut être ouvert à des fins de prise d</w:t>
      </w:r>
      <w:r w:rsidR="004D37B8">
        <w:rPr>
          <w:rFonts w:eastAsia="Calibri"/>
          <w:lang w:val="fr-FR"/>
        </w:rPr>
        <w:t>’</w:t>
      </w:r>
      <w:r w:rsidRPr="00130BF4">
        <w:rPr>
          <w:rFonts w:eastAsia="Calibri"/>
          <w:lang w:val="fr-FR"/>
        </w:rPr>
        <w:t>échantillons, d</w:t>
      </w:r>
      <w:r w:rsidR="004D37B8">
        <w:rPr>
          <w:rFonts w:eastAsia="Calibri"/>
          <w:lang w:val="fr-FR"/>
        </w:rPr>
        <w:t>’</w:t>
      </w:r>
      <w:r w:rsidRPr="00130BF4">
        <w:rPr>
          <w:rFonts w:eastAsia="Calibri"/>
          <w:lang w:val="fr-FR"/>
        </w:rPr>
        <w:t>inspection visuelle, de détermination du niveau de remplissage de la citerne ou d</w:t>
      </w:r>
      <w:r w:rsidR="004D37B8">
        <w:rPr>
          <w:rFonts w:eastAsia="Calibri"/>
          <w:lang w:val="fr-FR"/>
        </w:rPr>
        <w:t>’</w:t>
      </w:r>
      <w:r w:rsidRPr="00130BF4">
        <w:rPr>
          <w:rFonts w:eastAsia="Calibri"/>
          <w:lang w:val="fr-FR"/>
        </w:rPr>
        <w:t>ajout de stabilisants après le chargement.</w:t>
      </w:r>
    </w:p>
    <w:p w14:paraId="1FE9C935" w14:textId="2F0937D4" w:rsidR="008F3622" w:rsidRPr="00130BF4" w:rsidRDefault="008F3622" w:rsidP="005B7AB2">
      <w:pPr>
        <w:pStyle w:val="SingleTxtG"/>
        <w:rPr>
          <w:rFonts w:eastAsia="Calibri"/>
          <w:lang w:val="fr-FR"/>
        </w:rPr>
      </w:pPr>
      <w:r w:rsidRPr="00130BF4">
        <w:rPr>
          <w:rFonts w:eastAsia="Calibri"/>
          <w:lang w:val="fr-FR"/>
        </w:rPr>
        <w:t>7.2.4.22.7</w:t>
      </w:r>
      <w:r w:rsidRPr="00130BF4">
        <w:rPr>
          <w:rFonts w:eastAsia="Calibri"/>
          <w:lang w:val="fr-FR"/>
        </w:rPr>
        <w:tab/>
        <w:t>Les opérations d</w:t>
      </w:r>
      <w:r w:rsidR="004D37B8">
        <w:rPr>
          <w:rFonts w:eastAsia="Calibri"/>
          <w:lang w:val="fr-FR"/>
        </w:rPr>
        <w:t>’</w:t>
      </w:r>
      <w:r w:rsidRPr="00130BF4">
        <w:rPr>
          <w:rFonts w:eastAsia="Calibri"/>
          <w:lang w:val="fr-FR"/>
        </w:rPr>
        <w:t>ouverture d</w:t>
      </w:r>
      <w:r w:rsidR="004D37B8">
        <w:rPr>
          <w:rFonts w:eastAsia="Calibri"/>
          <w:lang w:val="fr-FR"/>
        </w:rPr>
        <w:t>’</w:t>
      </w:r>
      <w:r w:rsidRPr="00130BF4">
        <w:rPr>
          <w:rFonts w:eastAsia="Calibri"/>
          <w:lang w:val="fr-FR"/>
        </w:rPr>
        <w:t>orifices ne peuvent être effectuées qu</w:t>
      </w:r>
      <w:r w:rsidR="004D37B8">
        <w:rPr>
          <w:rFonts w:eastAsia="Calibri"/>
          <w:lang w:val="fr-FR"/>
        </w:rPr>
        <w:t>’</w:t>
      </w:r>
      <w:r w:rsidRPr="00130BF4">
        <w:rPr>
          <w:rFonts w:eastAsia="Calibri"/>
          <w:lang w:val="fr-FR"/>
        </w:rPr>
        <w:t>au moyen d</w:t>
      </w:r>
      <w:r w:rsidR="004D37B8">
        <w:rPr>
          <w:rFonts w:eastAsia="Calibri"/>
          <w:lang w:val="fr-FR"/>
        </w:rPr>
        <w:t>’</w:t>
      </w:r>
      <w:r w:rsidRPr="00130BF4">
        <w:rPr>
          <w:rFonts w:eastAsia="Calibri"/>
          <w:lang w:val="fr-FR"/>
        </w:rPr>
        <w:t>outils à main appropriés produisant peu d</w:t>
      </w:r>
      <w:r w:rsidR="004D37B8">
        <w:rPr>
          <w:rFonts w:eastAsia="Calibri"/>
          <w:lang w:val="fr-FR"/>
        </w:rPr>
        <w:t>’</w:t>
      </w:r>
      <w:r w:rsidRPr="00130BF4">
        <w:rPr>
          <w:rFonts w:eastAsia="Calibri"/>
          <w:lang w:val="fr-FR"/>
        </w:rPr>
        <w:t>étincelles.</w:t>
      </w:r>
    </w:p>
    <w:p w14:paraId="66D8C886" w14:textId="5A448B0E" w:rsidR="008F3622" w:rsidRPr="00546423" w:rsidRDefault="008F3622" w:rsidP="005B7AB2">
      <w:pPr>
        <w:pStyle w:val="SingleTxtG"/>
        <w:rPr>
          <w:i/>
          <w:iCs/>
          <w:lang w:val="fr-FR"/>
        </w:rPr>
      </w:pPr>
      <w:r w:rsidRPr="00546423">
        <w:rPr>
          <w:i/>
          <w:iCs/>
          <w:lang w:val="fr-FR"/>
        </w:rPr>
        <w:t>[Dans les versions anglaise et française devrait être conservée l</w:t>
      </w:r>
      <w:r w:rsidR="004D37B8">
        <w:rPr>
          <w:i/>
          <w:iCs/>
          <w:lang w:val="fr-FR"/>
        </w:rPr>
        <w:t>’</w:t>
      </w:r>
      <w:r w:rsidRPr="00546423">
        <w:rPr>
          <w:i/>
          <w:iCs/>
          <w:lang w:val="fr-FR"/>
        </w:rPr>
        <w:t xml:space="preserve">expression « hand </w:t>
      </w:r>
      <w:proofErr w:type="spellStart"/>
      <w:r w:rsidRPr="00546423">
        <w:rPr>
          <w:i/>
          <w:iCs/>
          <w:lang w:val="fr-FR"/>
        </w:rPr>
        <w:t>tools</w:t>
      </w:r>
      <w:proofErr w:type="spellEnd"/>
      <w:r w:rsidRPr="00546423">
        <w:rPr>
          <w:i/>
          <w:iCs/>
          <w:lang w:val="fr-FR"/>
        </w:rPr>
        <w:t> » / « outils à main ».]</w:t>
      </w:r>
    </w:p>
    <w:p w14:paraId="5FD1E0C2" w14:textId="58283530" w:rsidR="008F3622" w:rsidRPr="00130BF4" w:rsidRDefault="008F3622" w:rsidP="005B7AB2">
      <w:pPr>
        <w:pStyle w:val="SingleTxtG"/>
        <w:rPr>
          <w:lang w:val="fr-FR"/>
        </w:rPr>
      </w:pPr>
      <w:r w:rsidRPr="00130BF4">
        <w:rPr>
          <w:lang w:val="fr-FR"/>
        </w:rPr>
        <w:t>À bord de bateaux auxquels s</w:t>
      </w:r>
      <w:r w:rsidR="004D37B8">
        <w:rPr>
          <w:lang w:val="fr-FR"/>
        </w:rPr>
        <w:t>’</w:t>
      </w:r>
      <w:r w:rsidRPr="00130BF4">
        <w:rPr>
          <w:lang w:val="fr-FR"/>
        </w:rPr>
        <w:t>applique le classement en zones au sens de la définition de la section 1.2.1, tous les appareils et dispositifs électriques et non électriques utilisés pour des activités sur des citernes à cargaison ouvertes doivent satisfaire aux exigences pour une utilisation dans la zone 0.</w:t>
      </w:r>
    </w:p>
    <w:p w14:paraId="11A86798" w14:textId="517295C6" w:rsidR="008F3622" w:rsidRPr="00130BF4" w:rsidRDefault="008F3622" w:rsidP="005B7AB2">
      <w:pPr>
        <w:pStyle w:val="SingleTxtG"/>
        <w:rPr>
          <w:rFonts w:eastAsia="Calibri"/>
          <w:lang w:val="fr-FR"/>
        </w:rPr>
      </w:pPr>
      <w:r w:rsidRPr="00130BF4">
        <w:rPr>
          <w:rFonts w:eastAsia="Calibri"/>
          <w:lang w:val="fr-FR"/>
        </w:rPr>
        <w:t>7.2.4.22.8</w:t>
      </w:r>
      <w:r w:rsidRPr="00130BF4">
        <w:rPr>
          <w:rFonts w:eastAsia="Calibri"/>
          <w:lang w:val="fr-FR"/>
        </w:rPr>
        <w:tab/>
        <w:t>La durée d</w:t>
      </w:r>
      <w:r w:rsidR="004D37B8">
        <w:rPr>
          <w:rFonts w:eastAsia="Calibri"/>
          <w:lang w:val="fr-FR"/>
        </w:rPr>
        <w:t>’</w:t>
      </w:r>
      <w:r w:rsidRPr="00130BF4">
        <w:rPr>
          <w:rFonts w:eastAsia="Calibri"/>
          <w:lang w:val="fr-FR"/>
        </w:rPr>
        <w:t>ouverture doit rester limitée au temps nécessaire pour effectuer les opérations de mesure décrites au 7.2.4.22.1. L</w:t>
      </w:r>
      <w:r w:rsidR="004D37B8">
        <w:rPr>
          <w:rFonts w:eastAsia="Calibri"/>
          <w:lang w:val="fr-FR"/>
        </w:rPr>
        <w:t>’</w:t>
      </w:r>
      <w:r w:rsidRPr="00130BF4">
        <w:rPr>
          <w:rFonts w:eastAsia="Calibri"/>
          <w:lang w:val="fr-FR"/>
        </w:rPr>
        <w:t>ouverture d</w:t>
      </w:r>
      <w:r w:rsidR="004D37B8">
        <w:rPr>
          <w:rFonts w:eastAsia="Calibri"/>
          <w:lang w:val="fr-FR"/>
        </w:rPr>
        <w:t>’</w:t>
      </w:r>
      <w:r w:rsidRPr="00130BF4">
        <w:rPr>
          <w:rFonts w:eastAsia="Calibri"/>
          <w:lang w:val="fr-FR"/>
        </w:rPr>
        <w:t>une citerne à cargaison immédiatement avant ou après un orage est interdite.</w:t>
      </w:r>
    </w:p>
    <w:p w14:paraId="049AE207" w14:textId="77777777" w:rsidR="008F3622" w:rsidRPr="00130BF4" w:rsidRDefault="008F3622" w:rsidP="005B7AB2">
      <w:pPr>
        <w:pStyle w:val="SingleTxtG"/>
        <w:rPr>
          <w:rFonts w:eastAsia="Calibri"/>
          <w:lang w:val="fr-FR"/>
        </w:rPr>
      </w:pPr>
      <w:r w:rsidRPr="00130BF4">
        <w:rPr>
          <w:rFonts w:eastAsia="Calibri"/>
          <w:lang w:val="fr-FR"/>
        </w:rPr>
        <w:t>7.2.4.22.9</w:t>
      </w:r>
      <w:r w:rsidRPr="00130BF4">
        <w:rPr>
          <w:rFonts w:eastAsia="Calibri"/>
          <w:lang w:val="fr-FR"/>
        </w:rPr>
        <w:tab/>
        <w:t>Les instructions de travail concernant la protection contre les explosions, telles que visées au 1.3.2.5, doivent être disponibles et appliquées à bord.</w:t>
      </w:r>
    </w:p>
    <w:p w14:paraId="44DDD5AC" w14:textId="36E39090" w:rsidR="008F3622" w:rsidRPr="00130BF4" w:rsidRDefault="008F3622" w:rsidP="005B7AB2">
      <w:pPr>
        <w:pStyle w:val="SingleTxtG"/>
        <w:rPr>
          <w:lang w:val="fr-FR"/>
        </w:rPr>
      </w:pPr>
      <w:r w:rsidRPr="00130BF4">
        <w:rPr>
          <w:lang w:val="fr-FR"/>
        </w:rPr>
        <w:t>7.2.4.22.10</w:t>
      </w:r>
      <w:r w:rsidRPr="00130BF4">
        <w:rPr>
          <w:lang w:val="fr-FR"/>
        </w:rPr>
        <w:tab/>
        <w:t>Les personnes qui ouvrent des orifices ou qui se trouvent à proximité immédiate d</w:t>
      </w:r>
      <w:r w:rsidR="004D37B8">
        <w:rPr>
          <w:lang w:val="fr-FR"/>
        </w:rPr>
        <w:t>’</w:t>
      </w:r>
      <w:r w:rsidRPr="00130BF4">
        <w:rPr>
          <w:lang w:val="fr-FR"/>
        </w:rPr>
        <w:t>un orifice sont tenues d</w:t>
      </w:r>
      <w:r w:rsidR="004D37B8">
        <w:rPr>
          <w:lang w:val="fr-FR"/>
        </w:rPr>
        <w:t>’</w:t>
      </w:r>
      <w:r w:rsidRPr="00130BF4">
        <w:rPr>
          <w:lang w:val="fr-FR"/>
        </w:rPr>
        <w:t>utiliser l</w:t>
      </w:r>
      <w:r w:rsidR="004D37B8">
        <w:rPr>
          <w:lang w:val="fr-FR"/>
        </w:rPr>
        <w:t>’</w:t>
      </w:r>
      <w:r w:rsidRPr="00130BF4">
        <w:rPr>
          <w:lang w:val="fr-FR"/>
        </w:rPr>
        <w:t xml:space="preserve">équipement prescrit à la colonne (16) du </w:t>
      </w:r>
      <w:r w:rsidR="00AC3EAA" w:rsidRPr="00130BF4">
        <w:rPr>
          <w:lang w:val="fr-FR"/>
        </w:rPr>
        <w:t>tableau</w:t>
      </w:r>
      <w:r w:rsidR="00AC3EAA">
        <w:rPr>
          <w:lang w:val="fr-FR"/>
        </w:rPr>
        <w:t> </w:t>
      </w:r>
      <w:r w:rsidRPr="00130BF4">
        <w:rPr>
          <w:lang w:val="fr-FR"/>
        </w:rPr>
        <w:t xml:space="preserve">C </w:t>
      </w:r>
      <w:r w:rsidR="00BC19B1">
        <w:rPr>
          <w:lang w:val="fr-FR"/>
        </w:rPr>
        <w:t>du chapitre</w:t>
      </w:r>
      <w:r w:rsidRPr="00130BF4">
        <w:rPr>
          <w:lang w:val="fr-FR"/>
        </w:rPr>
        <w:t xml:space="preserve"> 3.2.</w:t>
      </w:r>
    </w:p>
    <w:p w14:paraId="0D5B0AFE" w14:textId="54FE1038" w:rsidR="008F3622" w:rsidRPr="00130BF4" w:rsidRDefault="008F3622" w:rsidP="005B7AB2">
      <w:pPr>
        <w:pStyle w:val="SingleTxtG"/>
        <w:rPr>
          <w:rFonts w:eastAsia="Calibri"/>
          <w:lang w:val="fr-FR"/>
        </w:rPr>
      </w:pPr>
      <w:r w:rsidRPr="00130BF4">
        <w:rPr>
          <w:rFonts w:eastAsia="Calibri"/>
          <w:lang w:val="fr-FR"/>
        </w:rPr>
        <w:t>7.2.4.22.11</w:t>
      </w:r>
      <w:r w:rsidRPr="00130BF4">
        <w:rPr>
          <w:rFonts w:eastAsia="Calibri"/>
          <w:lang w:val="fr-FR"/>
        </w:rPr>
        <w:tab/>
        <w:t>En cas d</w:t>
      </w:r>
      <w:r w:rsidR="004D37B8">
        <w:rPr>
          <w:rFonts w:eastAsia="Calibri"/>
          <w:lang w:val="fr-FR"/>
        </w:rPr>
        <w:t>’</w:t>
      </w:r>
      <w:r w:rsidRPr="00130BF4">
        <w:rPr>
          <w:rFonts w:eastAsia="Calibri"/>
          <w:lang w:val="fr-FR"/>
        </w:rPr>
        <w:t>opération d</w:t>
      </w:r>
      <w:r w:rsidR="004D37B8">
        <w:rPr>
          <w:rFonts w:eastAsia="Calibri"/>
          <w:lang w:val="fr-FR"/>
        </w:rPr>
        <w:t>’</w:t>
      </w:r>
      <w:r w:rsidRPr="00130BF4">
        <w:rPr>
          <w:rFonts w:eastAsia="Calibri"/>
          <w:lang w:val="fr-FR"/>
        </w:rPr>
        <w:t>inspection visuelle, de détermination du niveau de remplissage, de mesure de gaz ou d</w:t>
      </w:r>
      <w:r w:rsidR="004D37B8">
        <w:rPr>
          <w:rFonts w:eastAsia="Calibri"/>
          <w:lang w:val="fr-FR"/>
        </w:rPr>
        <w:t>’</w:t>
      </w:r>
      <w:r w:rsidRPr="00130BF4">
        <w:rPr>
          <w:rFonts w:eastAsia="Calibri"/>
          <w:lang w:val="fr-FR"/>
        </w:rPr>
        <w:t>ajout de stabilisants après le chargement, les dispositions du 7.2.4.16.8 s</w:t>
      </w:r>
      <w:r w:rsidR="004D37B8">
        <w:rPr>
          <w:rFonts w:eastAsia="Calibri"/>
          <w:lang w:val="fr-FR"/>
        </w:rPr>
        <w:t>’</w:t>
      </w:r>
      <w:r w:rsidRPr="00130BF4">
        <w:rPr>
          <w:rFonts w:eastAsia="Calibri"/>
          <w:lang w:val="fr-FR"/>
        </w:rPr>
        <w:t>appliquent.</w:t>
      </w:r>
    </w:p>
    <w:p w14:paraId="78C16E23" w14:textId="653A600D" w:rsidR="008F3622" w:rsidRPr="00130BF4" w:rsidRDefault="008F3622" w:rsidP="005B7AB2">
      <w:pPr>
        <w:pStyle w:val="SingleTxtG"/>
        <w:rPr>
          <w:rFonts w:eastAsia="Calibri"/>
          <w:lang w:val="fr-FR"/>
        </w:rPr>
      </w:pPr>
      <w:r w:rsidRPr="00130BF4">
        <w:rPr>
          <w:rFonts w:eastAsia="Calibri"/>
          <w:lang w:val="fr-FR"/>
        </w:rPr>
        <w:t>7.2.4.22.12</w:t>
      </w:r>
      <w:r w:rsidRPr="00130BF4">
        <w:rPr>
          <w:rFonts w:eastAsia="Calibri"/>
          <w:lang w:val="fr-FR"/>
        </w:rPr>
        <w:tab/>
        <w:t>Au moment de la fermeture de l</w:t>
      </w:r>
      <w:r w:rsidR="004D37B8">
        <w:rPr>
          <w:rFonts w:eastAsia="Calibri"/>
          <w:lang w:val="fr-FR"/>
        </w:rPr>
        <w:t>’</w:t>
      </w:r>
      <w:r w:rsidRPr="00130BF4">
        <w:rPr>
          <w:rFonts w:eastAsia="Calibri"/>
          <w:lang w:val="fr-FR"/>
        </w:rPr>
        <w:t>orifice de prise d</w:t>
      </w:r>
      <w:r w:rsidR="004D37B8">
        <w:rPr>
          <w:rFonts w:eastAsia="Calibri"/>
          <w:lang w:val="fr-FR"/>
        </w:rPr>
        <w:t>’</w:t>
      </w:r>
      <w:r w:rsidRPr="00130BF4">
        <w:rPr>
          <w:rFonts w:eastAsia="Calibri"/>
          <w:lang w:val="fr-FR"/>
        </w:rPr>
        <w:t>échantillons ou du carter du coupe-flammes, il faut vérifier que le coupe-flammes n</w:t>
      </w:r>
      <w:r w:rsidR="004D37B8">
        <w:rPr>
          <w:rFonts w:eastAsia="Calibri"/>
          <w:lang w:val="fr-FR"/>
        </w:rPr>
        <w:t>’</w:t>
      </w:r>
      <w:r w:rsidRPr="00130BF4">
        <w:rPr>
          <w:rFonts w:eastAsia="Calibri"/>
          <w:lang w:val="fr-FR"/>
        </w:rPr>
        <w:t>est pas endommagé ni encrassé et est correctement installé, et le réparer au besoin avant de poursuivre le voyage.</w:t>
      </w:r>
    </w:p>
    <w:p w14:paraId="2FAB39F0" w14:textId="5A70A914" w:rsidR="008F3622" w:rsidRPr="00130BF4" w:rsidRDefault="008F3622" w:rsidP="005B7AB2">
      <w:pPr>
        <w:pStyle w:val="SingleTxtG"/>
        <w:rPr>
          <w:rFonts w:eastAsia="Calibri"/>
          <w:lang w:val="fr-FR"/>
        </w:rPr>
      </w:pPr>
      <w:r w:rsidRPr="00130BF4">
        <w:rPr>
          <w:rFonts w:eastAsia="Calibri"/>
          <w:lang w:val="fr-FR"/>
        </w:rPr>
        <w:t>7.2.4.22.13</w:t>
      </w:r>
      <w:r w:rsidRPr="00130BF4">
        <w:rPr>
          <w:rFonts w:eastAsia="Calibri"/>
          <w:lang w:val="fr-FR"/>
        </w:rPr>
        <w:tab/>
        <w:t>Les dispositions des 7.2.4.22.1 à 7.2.4.22.11 et du 7.2.4.23 ne s</w:t>
      </w:r>
      <w:r w:rsidR="004D37B8">
        <w:rPr>
          <w:rFonts w:eastAsia="Calibri"/>
          <w:lang w:val="fr-FR"/>
        </w:rPr>
        <w:t>’</w:t>
      </w:r>
      <w:r w:rsidRPr="00130BF4">
        <w:rPr>
          <w:rFonts w:eastAsia="Calibri"/>
          <w:lang w:val="fr-FR"/>
        </w:rPr>
        <w:t>appliquent pas aux bateaux déshuileurs ni aux bateaux avitailleurs. ».</w:t>
      </w:r>
    </w:p>
    <w:p w14:paraId="56DA8487" w14:textId="1469F3A2" w:rsidR="008F3622" w:rsidRPr="00130BF4" w:rsidRDefault="008F3622" w:rsidP="005B7AB2">
      <w:pPr>
        <w:pStyle w:val="SingleTxtG"/>
        <w:rPr>
          <w:lang w:val="fr-FR"/>
        </w:rPr>
      </w:pPr>
      <w:r w:rsidRPr="00130BF4">
        <w:rPr>
          <w:lang w:val="fr-FR"/>
        </w:rPr>
        <w:t>7.2.4.22.14</w:t>
      </w:r>
      <w:r w:rsidRPr="00130BF4">
        <w:rPr>
          <w:lang w:val="fr-FR"/>
        </w:rPr>
        <w:tab/>
        <w:t>Pour le lavage des citernes à cargaison ne doit être utilisé que l</w:t>
      </w:r>
      <w:r w:rsidR="004D37B8">
        <w:rPr>
          <w:lang w:val="fr-FR"/>
        </w:rPr>
        <w:t>’</w:t>
      </w:r>
      <w:r w:rsidRPr="00130BF4">
        <w:rPr>
          <w:lang w:val="fr-FR"/>
        </w:rPr>
        <w:t>orifice spécial de raccordement des machines de lavage des citernes prévu à cet effet sur la citerne à cargaison.</w:t>
      </w:r>
    </w:p>
    <w:p w14:paraId="6113AD8E" w14:textId="77777777" w:rsidR="008F3622" w:rsidRPr="00A94DA3" w:rsidRDefault="008F3622" w:rsidP="000C0009">
      <w:pPr>
        <w:pageBreakBefore/>
        <w:tabs>
          <w:tab w:val="left" w:pos="1701"/>
        </w:tabs>
        <w:spacing w:after="240"/>
        <w:ind w:left="1134" w:right="567"/>
        <w:jc w:val="both"/>
        <w:rPr>
          <w:bCs/>
          <w:i/>
          <w:iCs/>
          <w:u w:val="single"/>
          <w:lang w:val="fr-FR"/>
        </w:rPr>
      </w:pPr>
      <w:r w:rsidRPr="00A94DA3">
        <w:rPr>
          <w:bCs/>
          <w:i/>
          <w:iCs/>
          <w:u w:val="single"/>
          <w:lang w:val="fr-FR"/>
        </w:rPr>
        <w:lastRenderedPageBreak/>
        <w:t>Nouvelle sous-section 7.2.4.23</w:t>
      </w:r>
    </w:p>
    <w:p w14:paraId="5C77B808" w14:textId="77777777" w:rsidR="008F3622" w:rsidRPr="00130BF4" w:rsidRDefault="008F3622" w:rsidP="008F3622">
      <w:pPr>
        <w:spacing w:after="120"/>
        <w:ind w:left="1134" w:right="-1"/>
        <w:jc w:val="both"/>
        <w:rPr>
          <w:rFonts w:eastAsia="Calibri"/>
          <w:lang w:val="fr-FR"/>
        </w:rPr>
      </w:pPr>
      <w:r w:rsidRPr="00130BF4">
        <w:rPr>
          <w:rFonts w:eastAsia="Calibri"/>
          <w:lang w:val="fr-FR"/>
        </w:rPr>
        <w:t>9.</w:t>
      </w:r>
      <w:r w:rsidRPr="00130BF4">
        <w:rPr>
          <w:rFonts w:eastAsia="Calibri"/>
          <w:lang w:val="fr-FR"/>
        </w:rPr>
        <w:tab/>
        <w:t>Ajouter le nouveau 7.2.4.23, libellé comme suit :</w:t>
      </w:r>
    </w:p>
    <w:p w14:paraId="77DBF35A" w14:textId="029F7528" w:rsidR="008F3622" w:rsidRPr="00130BF4" w:rsidRDefault="008F3622" w:rsidP="00FF15A2">
      <w:pPr>
        <w:pStyle w:val="SingleTxtG"/>
        <w:rPr>
          <w:rFonts w:eastAsia="Calibri"/>
          <w:b/>
          <w:lang w:val="fr-FR"/>
        </w:rPr>
      </w:pPr>
      <w:r w:rsidRPr="00130BF4">
        <w:rPr>
          <w:rFonts w:eastAsia="Calibri"/>
          <w:b/>
          <w:lang w:val="fr-FR"/>
        </w:rPr>
        <w:t>« 7.2.4.23</w:t>
      </w:r>
      <w:r w:rsidRPr="00130BF4">
        <w:rPr>
          <w:rFonts w:eastAsia="Calibri"/>
          <w:b/>
          <w:lang w:val="fr-FR"/>
        </w:rPr>
        <w:tab/>
        <w:t>Opérations de mesure nécessitant l</w:t>
      </w:r>
      <w:r w:rsidR="004D37B8">
        <w:rPr>
          <w:rFonts w:eastAsia="Calibri"/>
          <w:b/>
          <w:lang w:val="fr-FR"/>
        </w:rPr>
        <w:t>’</w:t>
      </w:r>
      <w:r w:rsidRPr="00130BF4">
        <w:rPr>
          <w:rFonts w:eastAsia="Calibri"/>
          <w:b/>
          <w:lang w:val="fr-FR"/>
        </w:rPr>
        <w:t>ouverture de citernes à cargaison non dégazées</w:t>
      </w:r>
    </w:p>
    <w:p w14:paraId="4C13CBD7" w14:textId="77777777" w:rsidR="008F3622" w:rsidRPr="00130BF4" w:rsidRDefault="008F3622" w:rsidP="00FF15A2">
      <w:pPr>
        <w:pStyle w:val="SingleTxtG"/>
        <w:rPr>
          <w:rFonts w:eastAsia="Calibri"/>
          <w:b/>
          <w:lang w:val="fr-FR"/>
        </w:rPr>
      </w:pPr>
      <w:r w:rsidRPr="00130BF4">
        <w:rPr>
          <w:rFonts w:eastAsia="Calibri"/>
          <w:b/>
          <w:lang w:val="fr-FR"/>
        </w:rPr>
        <w:t>7.2.4.23.1</w:t>
      </w:r>
      <w:r w:rsidRPr="00130BF4">
        <w:rPr>
          <w:rFonts w:eastAsia="Calibri"/>
          <w:b/>
          <w:lang w:val="fr-FR"/>
        </w:rPr>
        <w:tab/>
        <w:t>Inspection visuelle des citernes à cargaison déchargées et vides</w:t>
      </w:r>
    </w:p>
    <w:p w14:paraId="2E7FD298" w14:textId="02A161EC" w:rsidR="008F3622" w:rsidRPr="00130BF4" w:rsidRDefault="008F3622" w:rsidP="00FF15A2">
      <w:pPr>
        <w:pStyle w:val="SingleTxtG"/>
        <w:rPr>
          <w:rFonts w:eastAsia="Calibri"/>
          <w:lang w:val="fr-FR"/>
        </w:rPr>
      </w:pPr>
      <w:r w:rsidRPr="00130BF4">
        <w:rPr>
          <w:rFonts w:eastAsia="Calibri"/>
          <w:lang w:val="fr-FR"/>
        </w:rPr>
        <w:t>7.2.4.23.1.1</w:t>
      </w:r>
      <w:r w:rsidRPr="00130BF4">
        <w:rPr>
          <w:rFonts w:eastAsia="Calibri"/>
          <w:lang w:val="fr-FR"/>
        </w:rPr>
        <w:tab/>
        <w:t>Les citernes à cargaison déchargées ne peuvent être ouvertes à des fins d</w:t>
      </w:r>
      <w:r w:rsidR="004D37B8">
        <w:rPr>
          <w:rFonts w:eastAsia="Calibri"/>
          <w:lang w:val="fr-FR"/>
        </w:rPr>
        <w:t>’</w:t>
      </w:r>
      <w:r w:rsidRPr="00130BF4">
        <w:rPr>
          <w:rFonts w:eastAsia="Calibri"/>
          <w:lang w:val="fr-FR"/>
        </w:rPr>
        <w:t>inspection visuelle que pour vérifier qu</w:t>
      </w:r>
      <w:r w:rsidR="004D37B8">
        <w:rPr>
          <w:rFonts w:eastAsia="Calibri"/>
          <w:lang w:val="fr-FR"/>
        </w:rPr>
        <w:t>’</w:t>
      </w:r>
      <w:r w:rsidRPr="00130BF4">
        <w:rPr>
          <w:rFonts w:eastAsia="Calibri"/>
          <w:lang w:val="fr-FR"/>
        </w:rPr>
        <w:t>elles sont vides et/ou propres et uniquement lorsque le bateau n</w:t>
      </w:r>
      <w:r w:rsidR="004D37B8">
        <w:rPr>
          <w:rFonts w:eastAsia="Calibri"/>
          <w:lang w:val="fr-FR"/>
        </w:rPr>
        <w:t>’</w:t>
      </w:r>
      <w:r w:rsidRPr="00130BF4">
        <w:rPr>
          <w:rFonts w:eastAsia="Calibri"/>
          <w:lang w:val="fr-FR"/>
        </w:rPr>
        <w:t>est pas relié à l</w:t>
      </w:r>
      <w:r w:rsidR="004D37B8">
        <w:rPr>
          <w:rFonts w:eastAsia="Calibri"/>
          <w:lang w:val="fr-FR"/>
        </w:rPr>
        <w:t>’</w:t>
      </w:r>
      <w:r w:rsidRPr="00130BF4">
        <w:rPr>
          <w:rFonts w:eastAsia="Calibri"/>
          <w:lang w:val="fr-FR"/>
        </w:rPr>
        <w:t>installation à terre.</w:t>
      </w:r>
    </w:p>
    <w:p w14:paraId="4E0D5E7A" w14:textId="34D3033B" w:rsidR="008F3622" w:rsidRPr="00130BF4" w:rsidRDefault="008F3622" w:rsidP="00FF15A2">
      <w:pPr>
        <w:pStyle w:val="SingleTxtG"/>
        <w:rPr>
          <w:rFonts w:eastAsia="Calibri"/>
          <w:b/>
          <w:lang w:val="fr-FR"/>
        </w:rPr>
      </w:pPr>
      <w:r w:rsidRPr="00130BF4">
        <w:rPr>
          <w:rFonts w:eastAsia="Calibri"/>
          <w:b/>
          <w:lang w:val="fr-FR"/>
        </w:rPr>
        <w:t>7.2.4.23.2</w:t>
      </w:r>
      <w:r w:rsidRPr="00130BF4">
        <w:rPr>
          <w:rFonts w:eastAsia="Calibri"/>
          <w:b/>
          <w:lang w:val="fr-FR"/>
        </w:rPr>
        <w:tab/>
        <w:t>Prise d</w:t>
      </w:r>
      <w:r w:rsidR="004D37B8">
        <w:rPr>
          <w:rFonts w:eastAsia="Calibri"/>
          <w:b/>
          <w:lang w:val="fr-FR"/>
        </w:rPr>
        <w:t>’</w:t>
      </w:r>
      <w:r w:rsidRPr="00130BF4">
        <w:rPr>
          <w:rFonts w:eastAsia="Calibri"/>
          <w:b/>
          <w:lang w:val="fr-FR"/>
        </w:rPr>
        <w:t>échantillons, détermination du niveau de remplissage, ajout de stabilisants et mesures de gaz</w:t>
      </w:r>
    </w:p>
    <w:p w14:paraId="71EE44DC" w14:textId="25FB0AFB" w:rsidR="008F3622" w:rsidRPr="00130BF4" w:rsidRDefault="008F3622" w:rsidP="00FF15A2">
      <w:pPr>
        <w:pStyle w:val="SingleTxtG"/>
        <w:rPr>
          <w:rFonts w:eastAsia="Calibri"/>
          <w:lang w:val="fr-FR"/>
        </w:rPr>
      </w:pPr>
      <w:r w:rsidRPr="00130BF4">
        <w:rPr>
          <w:rFonts w:eastAsia="Calibri"/>
          <w:lang w:val="fr-FR"/>
        </w:rPr>
        <w:t>7.2.4.23.2.1</w:t>
      </w:r>
      <w:r w:rsidRPr="00130BF4">
        <w:rPr>
          <w:rFonts w:eastAsia="Calibri"/>
          <w:lang w:val="fr-FR"/>
        </w:rPr>
        <w:tab/>
        <w:t>Les récipients destinés au prélèvement d</w:t>
      </w:r>
      <w:r w:rsidR="004D37B8">
        <w:rPr>
          <w:rFonts w:eastAsia="Calibri"/>
          <w:lang w:val="fr-FR"/>
        </w:rPr>
        <w:t>’</w:t>
      </w:r>
      <w:r w:rsidRPr="00130BF4">
        <w:rPr>
          <w:rFonts w:eastAsia="Calibri"/>
          <w:lang w:val="fr-FR"/>
        </w:rPr>
        <w:t xml:space="preserve">échantillons, y compris tous les accessoires, tels que cordes, etc., doivent être en un matériau </w:t>
      </w:r>
      <w:proofErr w:type="spellStart"/>
      <w:r w:rsidRPr="00130BF4">
        <w:rPr>
          <w:rFonts w:eastAsia="Calibri"/>
          <w:lang w:val="fr-FR"/>
        </w:rPr>
        <w:t>électrostatiquement</w:t>
      </w:r>
      <w:proofErr w:type="spellEnd"/>
      <w:r w:rsidRPr="00130BF4">
        <w:rPr>
          <w:rFonts w:eastAsia="Calibri"/>
          <w:lang w:val="fr-FR"/>
        </w:rPr>
        <w:t xml:space="preserve"> conducteur et être électriquement reliés à la coque du bateau.</w:t>
      </w:r>
    </w:p>
    <w:p w14:paraId="5CD4A441" w14:textId="539E152C" w:rsidR="008F3622" w:rsidRPr="00130BF4" w:rsidRDefault="008F3622" w:rsidP="00FF15A2">
      <w:pPr>
        <w:pStyle w:val="SingleTxtG"/>
        <w:rPr>
          <w:rFonts w:eastAsia="Calibri"/>
          <w:lang w:val="fr-FR"/>
        </w:rPr>
      </w:pPr>
      <w:r w:rsidRPr="00130BF4">
        <w:rPr>
          <w:rFonts w:eastAsia="Calibri"/>
          <w:lang w:val="fr-FR"/>
        </w:rPr>
        <w:t>7.2.4.23.2.2</w:t>
      </w:r>
      <w:r w:rsidRPr="00130BF4">
        <w:rPr>
          <w:rFonts w:eastAsia="Calibri"/>
          <w:lang w:val="fr-FR"/>
        </w:rPr>
        <w:tab/>
        <w:t>La prise d</w:t>
      </w:r>
      <w:r w:rsidR="004D37B8">
        <w:rPr>
          <w:rFonts w:eastAsia="Calibri"/>
          <w:lang w:val="fr-FR"/>
        </w:rPr>
        <w:t>’</w:t>
      </w:r>
      <w:r w:rsidRPr="00130BF4">
        <w:rPr>
          <w:rFonts w:eastAsia="Calibri"/>
          <w:lang w:val="fr-FR"/>
        </w:rPr>
        <w:t>échantillons n</w:t>
      </w:r>
      <w:r w:rsidR="004D37B8">
        <w:rPr>
          <w:rFonts w:eastAsia="Calibri"/>
          <w:lang w:val="fr-FR"/>
        </w:rPr>
        <w:t>’</w:t>
      </w:r>
      <w:r w:rsidRPr="00130BF4">
        <w:rPr>
          <w:rFonts w:eastAsia="Calibri"/>
          <w:lang w:val="fr-FR"/>
        </w:rPr>
        <w:t>est admise qu</w:t>
      </w:r>
      <w:r w:rsidR="004D37B8">
        <w:rPr>
          <w:rFonts w:eastAsia="Calibri"/>
          <w:lang w:val="fr-FR"/>
        </w:rPr>
        <w:t>’</w:t>
      </w:r>
      <w:r w:rsidRPr="00130BF4">
        <w:rPr>
          <w:rFonts w:eastAsia="Calibri"/>
          <w:lang w:val="fr-FR"/>
        </w:rPr>
        <w:t>au moyen d</w:t>
      </w:r>
      <w:r w:rsidR="004D37B8">
        <w:rPr>
          <w:rFonts w:eastAsia="Calibri"/>
          <w:lang w:val="fr-FR"/>
        </w:rPr>
        <w:t>’</w:t>
      </w:r>
      <w:r w:rsidRPr="00130BF4">
        <w:rPr>
          <w:rFonts w:eastAsia="Calibri"/>
          <w:lang w:val="fr-FR"/>
        </w:rPr>
        <w:t>un dispositif prescrit à la colonne (13) du tableau C du chapitre 3.2 ou un dispositif présentant une sécurité supérieure.</w:t>
      </w:r>
    </w:p>
    <w:p w14:paraId="64AE4706" w14:textId="51684AB5" w:rsidR="008F3622" w:rsidRPr="00130BF4" w:rsidRDefault="008F3622" w:rsidP="00FF15A2">
      <w:pPr>
        <w:pStyle w:val="SingleTxtG"/>
        <w:rPr>
          <w:rFonts w:eastAsia="Calibri"/>
          <w:lang w:val="fr-FR"/>
        </w:rPr>
      </w:pPr>
      <w:r w:rsidRPr="00130BF4">
        <w:rPr>
          <w:rFonts w:eastAsia="Calibri"/>
          <w:lang w:val="fr-FR"/>
        </w:rPr>
        <w:t>7.2.4.23.2.3</w:t>
      </w:r>
      <w:r w:rsidRPr="00130BF4">
        <w:rPr>
          <w:rFonts w:eastAsia="Calibri"/>
          <w:lang w:val="fr-FR"/>
        </w:rPr>
        <w:tab/>
      </w:r>
      <w:r w:rsidRPr="00130BF4">
        <w:rPr>
          <w:rFonts w:eastAsia="Calibri"/>
          <w:lang w:val="fr-FR" w:eastAsia="en-US"/>
        </w:rPr>
        <w:t xml:space="preserve">En cas </w:t>
      </w:r>
      <w:r w:rsidRPr="00130BF4">
        <w:rPr>
          <w:rFonts w:eastAsia="Calibri"/>
          <w:lang w:val="fr-FR"/>
        </w:rPr>
        <w:t>de dysfonctionnement du dispositif de prise d</w:t>
      </w:r>
      <w:r w:rsidR="004D37B8">
        <w:rPr>
          <w:rFonts w:eastAsia="Calibri"/>
          <w:lang w:val="fr-FR"/>
        </w:rPr>
        <w:t>’</w:t>
      </w:r>
      <w:r w:rsidRPr="00130BF4">
        <w:rPr>
          <w:rFonts w:eastAsia="Calibri"/>
          <w:lang w:val="fr-FR"/>
        </w:rPr>
        <w:t>échantillons qui ne peut être corrigé rapidement, la prise d</w:t>
      </w:r>
      <w:r w:rsidR="004D37B8">
        <w:rPr>
          <w:rFonts w:eastAsia="Calibri"/>
          <w:lang w:val="fr-FR"/>
        </w:rPr>
        <w:t>’</w:t>
      </w:r>
      <w:r w:rsidRPr="00130BF4">
        <w:rPr>
          <w:rFonts w:eastAsia="Calibri"/>
          <w:lang w:val="fr-FR"/>
        </w:rPr>
        <w:t>échantillons via l</w:t>
      </w:r>
      <w:r w:rsidR="004D37B8">
        <w:rPr>
          <w:rFonts w:eastAsia="Calibri"/>
          <w:lang w:val="fr-FR"/>
        </w:rPr>
        <w:t>’</w:t>
      </w:r>
      <w:r w:rsidRPr="00130BF4">
        <w:rPr>
          <w:rFonts w:eastAsia="Calibri"/>
          <w:lang w:val="fr-FR"/>
        </w:rPr>
        <w:t>orifice de prise d</w:t>
      </w:r>
      <w:r w:rsidR="004D37B8">
        <w:rPr>
          <w:rFonts w:eastAsia="Calibri"/>
          <w:lang w:val="fr-FR"/>
        </w:rPr>
        <w:t>’</w:t>
      </w:r>
      <w:r w:rsidRPr="00130BF4">
        <w:rPr>
          <w:rFonts w:eastAsia="Calibri"/>
          <w:lang w:val="fr-FR"/>
        </w:rPr>
        <w:t>échantillons est autorisée.</w:t>
      </w:r>
    </w:p>
    <w:p w14:paraId="0CE7A339" w14:textId="20D8D8D9" w:rsidR="008F3622" w:rsidRPr="00130BF4" w:rsidRDefault="008F3622" w:rsidP="00FF15A2">
      <w:pPr>
        <w:pStyle w:val="SingleTxtG"/>
        <w:rPr>
          <w:rFonts w:eastAsia="Calibri"/>
          <w:lang w:val="fr-FR"/>
        </w:rPr>
      </w:pPr>
      <w:r w:rsidRPr="00130BF4">
        <w:rPr>
          <w:rFonts w:eastAsia="Calibri"/>
          <w:lang w:val="fr-FR"/>
        </w:rPr>
        <w:t>7.2.4.23.2.4</w:t>
      </w:r>
      <w:r w:rsidRPr="00130BF4">
        <w:rPr>
          <w:rFonts w:eastAsia="Calibri"/>
          <w:lang w:val="fr-FR"/>
        </w:rPr>
        <w:tab/>
        <w:t>Une citerne à cargaison ne peut être ouverte à des fins de prise d</w:t>
      </w:r>
      <w:r w:rsidR="004D37B8">
        <w:rPr>
          <w:rFonts w:eastAsia="Calibri"/>
          <w:lang w:val="fr-FR"/>
        </w:rPr>
        <w:t>’</w:t>
      </w:r>
      <w:r w:rsidRPr="00130BF4">
        <w:rPr>
          <w:rFonts w:eastAsia="Calibri"/>
          <w:lang w:val="fr-FR"/>
        </w:rPr>
        <w:t>échantillons que lorsque le bateau n</w:t>
      </w:r>
      <w:r w:rsidR="004D37B8">
        <w:rPr>
          <w:rFonts w:eastAsia="Calibri"/>
          <w:lang w:val="fr-FR"/>
        </w:rPr>
        <w:t>’</w:t>
      </w:r>
      <w:r w:rsidRPr="00130BF4">
        <w:rPr>
          <w:rFonts w:eastAsia="Calibri"/>
          <w:lang w:val="fr-FR"/>
        </w:rPr>
        <w:t>est pas relié à l</w:t>
      </w:r>
      <w:r w:rsidR="004D37B8">
        <w:rPr>
          <w:rFonts w:eastAsia="Calibri"/>
          <w:lang w:val="fr-FR"/>
        </w:rPr>
        <w:t>’</w:t>
      </w:r>
      <w:r w:rsidRPr="00130BF4">
        <w:rPr>
          <w:rFonts w:eastAsia="Calibri"/>
          <w:lang w:val="fr-FR"/>
        </w:rPr>
        <w:t>installation à terre. Pendant le chargement, les échantillons au premier pied peuvent également être prélevés lorsque le bateau est relié à l</w:t>
      </w:r>
      <w:r w:rsidR="004D37B8">
        <w:rPr>
          <w:rFonts w:eastAsia="Calibri"/>
          <w:lang w:val="fr-FR"/>
        </w:rPr>
        <w:t>’</w:t>
      </w:r>
      <w:r w:rsidRPr="00130BF4">
        <w:rPr>
          <w:rFonts w:eastAsia="Calibri"/>
          <w:lang w:val="fr-FR"/>
        </w:rPr>
        <w:t>installation à terre à condition que les dispositifs de vannage dont sont équipés le bateau et l</w:t>
      </w:r>
      <w:r w:rsidR="004D37B8">
        <w:rPr>
          <w:rFonts w:eastAsia="Calibri"/>
          <w:lang w:val="fr-FR"/>
        </w:rPr>
        <w:t>’</w:t>
      </w:r>
      <w:r w:rsidRPr="00130BF4">
        <w:rPr>
          <w:rFonts w:eastAsia="Calibri"/>
          <w:lang w:val="fr-FR"/>
        </w:rPr>
        <w:t>installation à terre soient fermés.</w:t>
      </w:r>
    </w:p>
    <w:p w14:paraId="2D6D86B8" w14:textId="0CC71793" w:rsidR="008F3622" w:rsidRPr="00130BF4" w:rsidRDefault="008F3622" w:rsidP="00FF15A2">
      <w:pPr>
        <w:pStyle w:val="SingleTxtG"/>
        <w:rPr>
          <w:rFonts w:eastAsia="Calibri"/>
          <w:lang w:val="fr-FR"/>
        </w:rPr>
      </w:pPr>
      <w:r w:rsidRPr="00130BF4">
        <w:rPr>
          <w:rFonts w:eastAsia="Calibri"/>
          <w:lang w:val="fr-FR"/>
        </w:rPr>
        <w:t>7.2.4.23.2.5</w:t>
      </w:r>
      <w:r w:rsidRPr="00130BF4">
        <w:rPr>
          <w:rFonts w:eastAsia="Calibri"/>
          <w:lang w:val="fr-FR"/>
        </w:rPr>
        <w:tab/>
        <w:t>Si le volume de la cargaison tel que mesuré par le remplisseur diffère du volume mesuré à bord au moyen d</w:t>
      </w:r>
      <w:r w:rsidR="004D37B8">
        <w:rPr>
          <w:rFonts w:eastAsia="Calibri"/>
          <w:lang w:val="fr-FR"/>
        </w:rPr>
        <w:t>’</w:t>
      </w:r>
      <w:r w:rsidRPr="00130BF4">
        <w:rPr>
          <w:rFonts w:eastAsia="Calibri"/>
          <w:lang w:val="fr-FR"/>
        </w:rPr>
        <w:t>instruments de mesure, le niveau de remplissage de la citerne à cargaison peut être déterminé manuellement par l</w:t>
      </w:r>
      <w:r w:rsidR="004D37B8">
        <w:rPr>
          <w:rFonts w:eastAsia="Calibri"/>
          <w:lang w:val="fr-FR"/>
        </w:rPr>
        <w:t>’</w:t>
      </w:r>
      <w:r w:rsidRPr="00130BF4">
        <w:rPr>
          <w:rFonts w:eastAsia="Calibri"/>
          <w:lang w:val="fr-FR"/>
        </w:rPr>
        <w:t>orifice de prise d</w:t>
      </w:r>
      <w:r w:rsidR="004D37B8">
        <w:rPr>
          <w:rFonts w:eastAsia="Calibri"/>
          <w:lang w:val="fr-FR"/>
        </w:rPr>
        <w:t>’</w:t>
      </w:r>
      <w:r w:rsidRPr="00130BF4">
        <w:rPr>
          <w:rFonts w:eastAsia="Calibri"/>
          <w:lang w:val="fr-FR"/>
        </w:rPr>
        <w:t>échantillons à l</w:t>
      </w:r>
      <w:r w:rsidR="004D37B8">
        <w:rPr>
          <w:rFonts w:eastAsia="Calibri"/>
          <w:lang w:val="fr-FR"/>
        </w:rPr>
        <w:t>’</w:t>
      </w:r>
      <w:r w:rsidRPr="00130BF4">
        <w:rPr>
          <w:rFonts w:eastAsia="Calibri"/>
          <w:lang w:val="fr-FR"/>
        </w:rPr>
        <w:t>aide d</w:t>
      </w:r>
      <w:r w:rsidR="004D37B8">
        <w:rPr>
          <w:rFonts w:eastAsia="Calibri"/>
          <w:lang w:val="fr-FR"/>
        </w:rPr>
        <w:t>’</w:t>
      </w:r>
      <w:r w:rsidRPr="00130BF4">
        <w:rPr>
          <w:rFonts w:eastAsia="Calibri"/>
          <w:lang w:val="fr-FR"/>
        </w:rPr>
        <w:t>un mètre à ruban et d</w:t>
      </w:r>
      <w:r w:rsidR="004D37B8">
        <w:rPr>
          <w:rFonts w:eastAsia="Calibri"/>
          <w:lang w:val="fr-FR"/>
        </w:rPr>
        <w:t>’</w:t>
      </w:r>
      <w:r w:rsidRPr="00130BF4">
        <w:rPr>
          <w:rFonts w:eastAsia="Calibri"/>
          <w:lang w:val="fr-FR"/>
        </w:rPr>
        <w:t>un thermomètre.</w:t>
      </w:r>
    </w:p>
    <w:p w14:paraId="5DD5FF7B" w14:textId="77777777" w:rsidR="008F3622" w:rsidRPr="00130BF4" w:rsidRDefault="008F3622" w:rsidP="00FF15A2">
      <w:pPr>
        <w:pStyle w:val="SingleTxtG"/>
        <w:rPr>
          <w:rFonts w:eastAsia="Calibri"/>
          <w:lang w:val="fr-FR"/>
        </w:rPr>
      </w:pPr>
      <w:r w:rsidRPr="00130BF4">
        <w:rPr>
          <w:rFonts w:eastAsia="Calibri"/>
          <w:lang w:val="fr-FR"/>
        </w:rPr>
        <w:t xml:space="preserve">Les instruments de mesure utilisés pour déterminer le niveau de remplissage des citernes à cargaison doivent être en un matériau </w:t>
      </w:r>
      <w:proofErr w:type="spellStart"/>
      <w:r w:rsidRPr="00130BF4">
        <w:rPr>
          <w:rFonts w:eastAsia="Calibri"/>
          <w:lang w:val="fr-FR"/>
        </w:rPr>
        <w:t>électrostatiquement</w:t>
      </w:r>
      <w:proofErr w:type="spellEnd"/>
      <w:r w:rsidRPr="00130BF4">
        <w:rPr>
          <w:rFonts w:eastAsia="Calibri"/>
          <w:lang w:val="fr-FR"/>
        </w:rPr>
        <w:t xml:space="preserve"> conducteur et être électriquement reliés à la coque du bateau pendant les opérations de mesure. Les instruments de mesure doivent être adaptés à une utilisation en zone 0.</w:t>
      </w:r>
    </w:p>
    <w:p w14:paraId="75B70C30" w14:textId="621DA81C" w:rsidR="008F3622" w:rsidRPr="00130BF4" w:rsidRDefault="008F3622" w:rsidP="00FF15A2">
      <w:pPr>
        <w:pStyle w:val="SingleTxtG"/>
        <w:rPr>
          <w:rFonts w:eastAsia="Calibri"/>
          <w:lang w:val="fr-FR"/>
        </w:rPr>
      </w:pPr>
      <w:r w:rsidRPr="00130BF4">
        <w:rPr>
          <w:rFonts w:eastAsia="Calibri"/>
          <w:lang w:val="fr-FR"/>
        </w:rPr>
        <w:t>7.2.4.23.2.6</w:t>
      </w:r>
      <w:r w:rsidRPr="00130BF4">
        <w:rPr>
          <w:rFonts w:eastAsia="Calibri"/>
          <w:lang w:val="fr-FR"/>
        </w:rPr>
        <w:tab/>
        <w:t>Si une prolongation imprévue de la durée de navigation nécessite d</w:t>
      </w:r>
      <w:r w:rsidR="004D37B8">
        <w:rPr>
          <w:rFonts w:eastAsia="Calibri"/>
          <w:lang w:val="fr-FR"/>
        </w:rPr>
        <w:t>’</w:t>
      </w:r>
      <w:r w:rsidRPr="00130BF4">
        <w:rPr>
          <w:rFonts w:eastAsia="Calibri"/>
          <w:lang w:val="fr-FR"/>
        </w:rPr>
        <w:t>ajouter du stabilisant supplémentaire dans une ou plusieurs citernes de cargaison pendant le transport, cela n</w:t>
      </w:r>
      <w:r w:rsidR="004D37B8">
        <w:rPr>
          <w:rFonts w:eastAsia="Calibri"/>
          <w:lang w:val="fr-FR"/>
        </w:rPr>
        <w:t>’</w:t>
      </w:r>
      <w:r w:rsidRPr="00130BF4">
        <w:rPr>
          <w:rFonts w:eastAsia="Calibri"/>
          <w:lang w:val="fr-FR"/>
        </w:rPr>
        <w:t>est autorisé qu</w:t>
      </w:r>
      <w:r w:rsidR="004D37B8">
        <w:rPr>
          <w:rFonts w:eastAsia="Calibri"/>
          <w:lang w:val="fr-FR"/>
        </w:rPr>
        <w:t>’</w:t>
      </w:r>
      <w:r w:rsidRPr="00130BF4">
        <w:rPr>
          <w:rFonts w:eastAsia="Calibri"/>
          <w:lang w:val="fr-FR"/>
        </w:rPr>
        <w:t>à travers l</w:t>
      </w:r>
      <w:r w:rsidR="004D37B8">
        <w:rPr>
          <w:rFonts w:eastAsia="Calibri"/>
          <w:lang w:val="fr-FR"/>
        </w:rPr>
        <w:t>’</w:t>
      </w:r>
      <w:r w:rsidRPr="00130BF4">
        <w:rPr>
          <w:rFonts w:eastAsia="Calibri"/>
          <w:lang w:val="fr-FR"/>
        </w:rPr>
        <w:t>orifice de prise d</w:t>
      </w:r>
      <w:r w:rsidR="004D37B8">
        <w:rPr>
          <w:rFonts w:eastAsia="Calibri"/>
          <w:lang w:val="fr-FR"/>
        </w:rPr>
        <w:t>’</w:t>
      </w:r>
      <w:r w:rsidRPr="00130BF4">
        <w:rPr>
          <w:rFonts w:eastAsia="Calibri"/>
          <w:lang w:val="fr-FR"/>
        </w:rPr>
        <w:t>échantillon. Toute charge électrostatique doit être évitée.</w:t>
      </w:r>
    </w:p>
    <w:p w14:paraId="0A5B8CF8" w14:textId="43902CA0" w:rsidR="008F3622" w:rsidRPr="00130BF4" w:rsidRDefault="008F3622" w:rsidP="00FF15A2">
      <w:pPr>
        <w:pStyle w:val="SingleTxtG"/>
        <w:rPr>
          <w:rFonts w:eastAsia="Calibri"/>
          <w:lang w:val="fr-FR"/>
        </w:rPr>
      </w:pPr>
      <w:r w:rsidRPr="00130BF4">
        <w:rPr>
          <w:rFonts w:eastAsia="Calibri"/>
          <w:lang w:val="fr-FR"/>
        </w:rPr>
        <w:t>7.2.4.23.2.7</w:t>
      </w:r>
      <w:r w:rsidRPr="00130BF4">
        <w:rPr>
          <w:rFonts w:eastAsia="Calibri"/>
          <w:lang w:val="fr-FR"/>
        </w:rPr>
        <w:tab/>
        <w:t>Les prescriptions du 7.2.3.1.4 s</w:t>
      </w:r>
      <w:r w:rsidR="004D37B8">
        <w:rPr>
          <w:rFonts w:eastAsia="Calibri"/>
          <w:lang w:val="fr-FR"/>
        </w:rPr>
        <w:t>’</w:t>
      </w:r>
      <w:r w:rsidRPr="00130BF4">
        <w:rPr>
          <w:rFonts w:eastAsia="Calibri"/>
          <w:lang w:val="fr-FR"/>
        </w:rPr>
        <w:t>appliquent également aux opérations de mesure de gaz. ».</w:t>
      </w:r>
    </w:p>
    <w:p w14:paraId="1030DD5E" w14:textId="77777777" w:rsidR="008F3622" w:rsidRPr="00A94DA3" w:rsidRDefault="008F3622" w:rsidP="00A94DA3">
      <w:pPr>
        <w:tabs>
          <w:tab w:val="left" w:pos="1701"/>
        </w:tabs>
        <w:spacing w:after="240"/>
        <w:ind w:left="1134" w:right="567"/>
        <w:jc w:val="both"/>
        <w:rPr>
          <w:bCs/>
          <w:i/>
          <w:iCs/>
          <w:u w:val="single"/>
          <w:lang w:val="fr-FR"/>
        </w:rPr>
      </w:pPr>
      <w:r w:rsidRPr="00A94DA3">
        <w:rPr>
          <w:bCs/>
          <w:i/>
          <w:iCs/>
          <w:u w:val="single"/>
          <w:lang w:val="fr-FR"/>
        </w:rPr>
        <w:t>Section 8.6.4 Liste de contrôle pour le dégazage dans une station de réception</w:t>
      </w:r>
    </w:p>
    <w:p w14:paraId="1C86BB6B" w14:textId="77777777" w:rsidR="008F3622" w:rsidRPr="00130BF4" w:rsidRDefault="008F3622" w:rsidP="00E70289">
      <w:pPr>
        <w:pStyle w:val="SingleTxtG"/>
        <w:rPr>
          <w:rFonts w:eastAsia="Calibri"/>
          <w:lang w:val="fr-FR"/>
        </w:rPr>
      </w:pPr>
      <w:r w:rsidRPr="00130BF4">
        <w:rPr>
          <w:rFonts w:eastAsia="Calibri"/>
          <w:lang w:val="fr-FR"/>
        </w:rPr>
        <w:t>10.</w:t>
      </w:r>
      <w:r w:rsidRPr="00130BF4">
        <w:rPr>
          <w:rFonts w:eastAsia="Calibri"/>
          <w:lang w:val="fr-FR"/>
        </w:rPr>
        <w:tab/>
        <w:t>Au 8.6.4 (« </w:t>
      </w:r>
      <w:bookmarkStart w:id="0" w:name="_Hlk133319234"/>
      <w:r w:rsidRPr="00130BF4">
        <w:rPr>
          <w:rFonts w:eastAsia="Calibri"/>
          <w:lang w:val="fr-FR"/>
        </w:rPr>
        <w:t>Liste de contrôle pour le dégazage dans une station de réception </w:t>
      </w:r>
      <w:bookmarkEnd w:id="0"/>
      <w:r w:rsidRPr="00130BF4">
        <w:rPr>
          <w:rFonts w:eastAsia="Calibri"/>
          <w:lang w:val="fr-FR"/>
        </w:rPr>
        <w:t>»), modifier la question n</w:t>
      </w:r>
      <w:r w:rsidRPr="00130BF4">
        <w:rPr>
          <w:rFonts w:eastAsia="Calibri"/>
          <w:vertAlign w:val="superscript"/>
          <w:lang w:val="fr-FR"/>
        </w:rPr>
        <w:t>o</w:t>
      </w:r>
      <w:r w:rsidRPr="00130BF4">
        <w:rPr>
          <w:rFonts w:eastAsia="Calibri"/>
          <w:lang w:val="fr-FR"/>
        </w:rPr>
        <w:t> 10 comme suit :</w:t>
      </w:r>
    </w:p>
    <w:p w14:paraId="77D0AE31" w14:textId="77777777" w:rsidR="008F3622" w:rsidRPr="00130BF4" w:rsidRDefault="008F3622" w:rsidP="00E70289">
      <w:pPr>
        <w:pStyle w:val="SingleTxtG"/>
        <w:ind w:left="1701"/>
        <w:rPr>
          <w:rFonts w:eastAsia="Calibri"/>
          <w:lang w:val="fr-FR"/>
        </w:rPr>
      </w:pPr>
      <w:r w:rsidRPr="00130BF4">
        <w:rPr>
          <w:rFonts w:eastAsia="Calibri"/>
          <w:lang w:val="fr-FR"/>
        </w:rPr>
        <w:t>« Toutes les écoutilles des citernes à cargaison et tous leurs autres orifices sont-ils fermés ou, le cas échéant, protégés par des coupe-flammes en bon état ? ».</w:t>
      </w:r>
    </w:p>
    <w:p w14:paraId="6A068298" w14:textId="38A39C43" w:rsidR="008F3622" w:rsidRPr="00130BF4" w:rsidRDefault="00564C70" w:rsidP="000F32A0">
      <w:pPr>
        <w:pStyle w:val="H1G"/>
        <w:pageBreakBefore/>
        <w:rPr>
          <w:b w:val="0"/>
          <w:bCs/>
          <w:sz w:val="28"/>
          <w:szCs w:val="28"/>
          <w:lang w:val="fr-FR"/>
        </w:rPr>
      </w:pPr>
      <w:r w:rsidRPr="00130BF4">
        <w:rPr>
          <w:bCs/>
          <w:sz w:val="28"/>
          <w:szCs w:val="28"/>
          <w:lang w:val="fr-FR"/>
        </w:rPr>
        <w:lastRenderedPageBreak/>
        <w:tab/>
      </w:r>
      <w:r w:rsidR="008F3622" w:rsidRPr="00130BF4">
        <w:rPr>
          <w:bCs/>
          <w:sz w:val="28"/>
          <w:szCs w:val="28"/>
          <w:lang w:val="fr-FR"/>
        </w:rPr>
        <w:t>II.</w:t>
      </w:r>
      <w:r w:rsidR="008F3622" w:rsidRPr="00130BF4">
        <w:rPr>
          <w:bCs/>
          <w:sz w:val="28"/>
          <w:szCs w:val="28"/>
          <w:lang w:val="fr-FR"/>
        </w:rPr>
        <w:tab/>
        <w:t>Justification</w:t>
      </w:r>
    </w:p>
    <w:p w14:paraId="5220F961" w14:textId="77777777" w:rsidR="008F3622" w:rsidRPr="00E70289" w:rsidRDefault="008F3622" w:rsidP="00E70289">
      <w:pPr>
        <w:tabs>
          <w:tab w:val="left" w:pos="1701"/>
        </w:tabs>
        <w:spacing w:after="240"/>
        <w:ind w:left="1134" w:right="567"/>
        <w:jc w:val="both"/>
        <w:rPr>
          <w:bCs/>
          <w:i/>
          <w:iCs/>
          <w:u w:val="single"/>
          <w:lang w:val="fr-FR"/>
        </w:rPr>
      </w:pPr>
      <w:r w:rsidRPr="00E70289">
        <w:rPr>
          <w:bCs/>
          <w:i/>
          <w:iCs/>
          <w:u w:val="single"/>
          <w:lang w:val="fr-FR"/>
        </w:rPr>
        <w:t>Ad paragraphe 9 :</w:t>
      </w:r>
    </w:p>
    <w:p w14:paraId="20BD99CF" w14:textId="4B6AD7E5" w:rsidR="008F3622" w:rsidRPr="00130BF4" w:rsidRDefault="00054FDD" w:rsidP="00E70289">
      <w:pPr>
        <w:pStyle w:val="SingleTxtG"/>
        <w:rPr>
          <w:lang w:val="fr-FR"/>
        </w:rPr>
      </w:pPr>
      <w:r>
        <w:rPr>
          <w:lang w:val="fr-FR"/>
        </w:rPr>
        <w:t>11.</w:t>
      </w:r>
      <w:r>
        <w:rPr>
          <w:lang w:val="fr-FR"/>
        </w:rPr>
        <w:tab/>
      </w:r>
      <w:r w:rsidR="008F3622" w:rsidRPr="00130BF4">
        <w:rPr>
          <w:lang w:val="fr-FR"/>
        </w:rPr>
        <w:t>Conformément aux conditions fixées dans la sous-section 7.2.4.22 révisée, les autres orifices ne sont équivalents à un orifice de prise d</w:t>
      </w:r>
      <w:r w:rsidR="004D37B8">
        <w:rPr>
          <w:lang w:val="fr-FR"/>
        </w:rPr>
        <w:t>’</w:t>
      </w:r>
      <w:r w:rsidR="008F3622" w:rsidRPr="00130BF4">
        <w:rPr>
          <w:lang w:val="fr-FR"/>
        </w:rPr>
        <w:t>échantillons et ne peuvent être utilisés aux mêmes fins que s</w:t>
      </w:r>
      <w:r w:rsidR="004D37B8">
        <w:rPr>
          <w:lang w:val="fr-FR"/>
        </w:rPr>
        <w:t>’</w:t>
      </w:r>
      <w:r w:rsidR="008F3622" w:rsidRPr="00130BF4">
        <w:rPr>
          <w:lang w:val="fr-FR"/>
        </w:rPr>
        <w:t>ils satisfont à l</w:t>
      </w:r>
      <w:r w:rsidR="004D37B8">
        <w:rPr>
          <w:lang w:val="fr-FR"/>
        </w:rPr>
        <w:t>’</w:t>
      </w:r>
      <w:r w:rsidR="008F3622" w:rsidRPr="00130BF4">
        <w:rPr>
          <w:lang w:val="fr-FR"/>
        </w:rPr>
        <w:t>exigence suivante :</w:t>
      </w:r>
    </w:p>
    <w:p w14:paraId="24C25DC9" w14:textId="250216DA" w:rsidR="008F3622" w:rsidRPr="00130BF4" w:rsidRDefault="00E70289" w:rsidP="00E70289">
      <w:pPr>
        <w:pStyle w:val="SingleTxtG"/>
        <w:ind w:left="1701"/>
        <w:rPr>
          <w:lang w:val="fr-FR"/>
        </w:rPr>
      </w:pPr>
      <w:r>
        <w:rPr>
          <w:lang w:val="fr-FR"/>
        </w:rPr>
        <w:sym w:font="Symbol" w:char="F02D"/>
      </w:r>
      <w:r>
        <w:rPr>
          <w:lang w:val="fr-FR"/>
        </w:rPr>
        <w:t xml:space="preserve"> </w:t>
      </w:r>
      <w:r w:rsidR="008F3622" w:rsidRPr="00130BF4">
        <w:rPr>
          <w:lang w:val="fr-FR"/>
        </w:rPr>
        <w:t>son diamètre ne doit pas excéder 30 cm et il doit pouvoir être fermé.</w:t>
      </w:r>
    </w:p>
    <w:p w14:paraId="41564393" w14:textId="11BA1370" w:rsidR="008F3622" w:rsidRPr="00130BF4" w:rsidRDefault="00054FDD" w:rsidP="00E70289">
      <w:pPr>
        <w:pStyle w:val="SingleTxtG"/>
        <w:rPr>
          <w:lang w:val="fr-FR"/>
        </w:rPr>
      </w:pPr>
      <w:r>
        <w:rPr>
          <w:lang w:val="fr-FR"/>
        </w:rPr>
        <w:t>12.</w:t>
      </w:r>
      <w:r>
        <w:rPr>
          <w:lang w:val="fr-FR"/>
        </w:rPr>
        <w:tab/>
      </w:r>
      <w:r w:rsidR="008F3622" w:rsidRPr="00130BF4">
        <w:rPr>
          <w:lang w:val="fr-FR"/>
        </w:rPr>
        <w:t>Si la liste des matières transportables comporte des matières pour lesquelles une protection contre les explosions est exigée conformément au tableau C,</w:t>
      </w:r>
    </w:p>
    <w:p w14:paraId="256B3446" w14:textId="4D8443BB" w:rsidR="008F3622" w:rsidRPr="00130BF4" w:rsidRDefault="00E70289" w:rsidP="00E70289">
      <w:pPr>
        <w:pStyle w:val="SingleTxtG"/>
        <w:ind w:left="1701"/>
        <w:rPr>
          <w:lang w:val="fr-FR"/>
        </w:rPr>
      </w:pPr>
      <w:r>
        <w:rPr>
          <w:lang w:val="fr-FR"/>
        </w:rPr>
        <w:sym w:font="Symbol" w:char="F02D"/>
      </w:r>
      <w:r>
        <w:rPr>
          <w:lang w:val="fr-FR"/>
        </w:rPr>
        <w:t xml:space="preserve"> </w:t>
      </w:r>
      <w:r w:rsidR="008F3622" w:rsidRPr="00130BF4">
        <w:rPr>
          <w:lang w:val="fr-FR"/>
        </w:rPr>
        <w:t>l</w:t>
      </w:r>
      <w:r w:rsidR="004D37B8">
        <w:rPr>
          <w:lang w:val="fr-FR"/>
        </w:rPr>
        <w:t>’</w:t>
      </w:r>
      <w:r w:rsidR="008F3622" w:rsidRPr="00130BF4">
        <w:rPr>
          <w:lang w:val="fr-FR"/>
        </w:rPr>
        <w:t>orifice doit en outre être conçu de manière à résister à une déflagration et au feu continu pour la substance la plus critique de la liste des matières transportables ; cela signifie qu</w:t>
      </w:r>
      <w:r w:rsidR="004D37B8">
        <w:rPr>
          <w:lang w:val="fr-FR"/>
        </w:rPr>
        <w:t>’</w:t>
      </w:r>
      <w:r w:rsidR="008F3622" w:rsidRPr="00130BF4">
        <w:rPr>
          <w:lang w:val="fr-FR"/>
        </w:rPr>
        <w:t>il doit être équipé d</w:t>
      </w:r>
      <w:r w:rsidR="004D37B8">
        <w:rPr>
          <w:lang w:val="fr-FR"/>
        </w:rPr>
        <w:t>’</w:t>
      </w:r>
      <w:r w:rsidR="008F3622" w:rsidRPr="00130BF4">
        <w:rPr>
          <w:lang w:val="fr-FR"/>
        </w:rPr>
        <w:t>un arrête-flammes approprié,</w:t>
      </w:r>
    </w:p>
    <w:p w14:paraId="1CC11B0D" w14:textId="187290E6" w:rsidR="008F3622" w:rsidRPr="00130BF4" w:rsidRDefault="00E70289" w:rsidP="00E70289">
      <w:pPr>
        <w:pStyle w:val="SingleTxtG"/>
        <w:ind w:left="1701"/>
        <w:rPr>
          <w:lang w:val="fr-FR"/>
        </w:rPr>
      </w:pPr>
      <w:r>
        <w:rPr>
          <w:lang w:val="fr-FR"/>
        </w:rPr>
        <w:sym w:font="Symbol" w:char="F02D"/>
      </w:r>
      <w:r>
        <w:rPr>
          <w:lang w:val="fr-FR"/>
        </w:rPr>
        <w:t xml:space="preserve"> </w:t>
      </w:r>
      <w:r w:rsidR="008F3622" w:rsidRPr="00130BF4">
        <w:rPr>
          <w:lang w:val="fr-FR"/>
        </w:rPr>
        <w:t>l</w:t>
      </w:r>
      <w:r w:rsidR="004D37B8">
        <w:rPr>
          <w:lang w:val="fr-FR"/>
        </w:rPr>
        <w:t>’</w:t>
      </w:r>
      <w:r w:rsidR="008F3622" w:rsidRPr="00130BF4">
        <w:rPr>
          <w:lang w:val="fr-FR"/>
        </w:rPr>
        <w:t>orifice doit permettre une durée d</w:t>
      </w:r>
      <w:r w:rsidR="004D37B8">
        <w:rPr>
          <w:lang w:val="fr-FR"/>
        </w:rPr>
        <w:t>’</w:t>
      </w:r>
      <w:r w:rsidR="008F3622" w:rsidRPr="00130BF4">
        <w:rPr>
          <w:lang w:val="fr-FR"/>
        </w:rPr>
        <w:t>ouverture aussi courte que possible,</w:t>
      </w:r>
    </w:p>
    <w:p w14:paraId="37378F59" w14:textId="33B2DE1C" w:rsidR="008F3622" w:rsidRPr="00130BF4" w:rsidRDefault="00E70289" w:rsidP="00E70289">
      <w:pPr>
        <w:pStyle w:val="SingleTxtG"/>
        <w:ind w:left="1701"/>
        <w:rPr>
          <w:lang w:val="fr-FR"/>
        </w:rPr>
      </w:pPr>
      <w:r>
        <w:rPr>
          <w:lang w:val="fr-FR"/>
        </w:rPr>
        <w:sym w:font="Symbol" w:char="F02D"/>
      </w:r>
      <w:r>
        <w:rPr>
          <w:lang w:val="fr-FR"/>
        </w:rPr>
        <w:t xml:space="preserve"> </w:t>
      </w:r>
      <w:r w:rsidR="008F3622" w:rsidRPr="00130BF4">
        <w:rPr>
          <w:lang w:val="fr-FR"/>
        </w:rPr>
        <w:t>l</w:t>
      </w:r>
      <w:r w:rsidR="004D37B8">
        <w:rPr>
          <w:lang w:val="fr-FR"/>
        </w:rPr>
        <w:t>’</w:t>
      </w:r>
      <w:r w:rsidR="008F3622" w:rsidRPr="00130BF4">
        <w:rPr>
          <w:lang w:val="fr-FR"/>
        </w:rPr>
        <w:t>orifice doit être conçu de manière à ne pas pouvoir rester ouvert sans intervention extérieure.</w:t>
      </w:r>
    </w:p>
    <w:p w14:paraId="67F194C2" w14:textId="61D9E2E0" w:rsidR="008F3622" w:rsidRPr="00130BF4" w:rsidRDefault="00054FDD" w:rsidP="00E70289">
      <w:pPr>
        <w:pStyle w:val="SingleTxtG"/>
        <w:rPr>
          <w:lang w:val="fr-FR"/>
        </w:rPr>
      </w:pPr>
      <w:r>
        <w:rPr>
          <w:lang w:val="fr-FR"/>
        </w:rPr>
        <w:t>13.</w:t>
      </w:r>
      <w:r>
        <w:rPr>
          <w:lang w:val="fr-FR"/>
        </w:rPr>
        <w:tab/>
      </w:r>
      <w:r w:rsidR="008F3622" w:rsidRPr="00130BF4">
        <w:rPr>
          <w:lang w:val="fr-FR"/>
        </w:rPr>
        <w:t>Selon les prescriptions actuelles en matière de construction, ces exigences ne sont satisfaites que par l</w:t>
      </w:r>
      <w:r w:rsidR="004D37B8">
        <w:rPr>
          <w:lang w:val="fr-FR"/>
        </w:rPr>
        <w:t>’</w:t>
      </w:r>
      <w:r w:rsidR="008F3622" w:rsidRPr="00130BF4">
        <w:rPr>
          <w:lang w:val="fr-FR"/>
        </w:rPr>
        <w:t>introduction de la conduite d</w:t>
      </w:r>
      <w:r w:rsidR="004D37B8">
        <w:rPr>
          <w:lang w:val="fr-FR"/>
        </w:rPr>
        <w:t>’</w:t>
      </w:r>
      <w:r w:rsidR="008F3622" w:rsidRPr="00130BF4">
        <w:rPr>
          <w:lang w:val="fr-FR"/>
        </w:rPr>
        <w:t>évacuation de gaz mentionnée au premier tiret du 9.3.x.22.4 b). Celle-ci est d</w:t>
      </w:r>
      <w:r w:rsidR="004D37B8">
        <w:rPr>
          <w:lang w:val="fr-FR"/>
        </w:rPr>
        <w:t>’</w:t>
      </w:r>
      <w:r w:rsidR="008F3622" w:rsidRPr="00130BF4">
        <w:rPr>
          <w:lang w:val="fr-FR"/>
        </w:rPr>
        <w:t>ailleurs déjà utilisée aujourd</w:t>
      </w:r>
      <w:r w:rsidR="004D37B8">
        <w:rPr>
          <w:lang w:val="fr-FR"/>
        </w:rPr>
        <w:t>’</w:t>
      </w:r>
      <w:r w:rsidR="008F3622" w:rsidRPr="00130BF4">
        <w:rPr>
          <w:lang w:val="fr-FR"/>
        </w:rPr>
        <w:t>hui sur la plupart des bateaux aux mêmes fins qu</w:t>
      </w:r>
      <w:r w:rsidR="004D37B8">
        <w:rPr>
          <w:lang w:val="fr-FR"/>
        </w:rPr>
        <w:t>’</w:t>
      </w:r>
      <w:r w:rsidR="008F3622" w:rsidRPr="00130BF4">
        <w:rPr>
          <w:lang w:val="fr-FR"/>
        </w:rPr>
        <w:t>un orifice de prise d</w:t>
      </w:r>
      <w:r w:rsidR="004D37B8">
        <w:rPr>
          <w:lang w:val="fr-FR"/>
        </w:rPr>
        <w:t>’</w:t>
      </w:r>
      <w:r w:rsidR="008F3622" w:rsidRPr="00130BF4">
        <w:rPr>
          <w:lang w:val="fr-FR"/>
        </w:rPr>
        <w:t xml:space="preserve">échantillons. </w:t>
      </w:r>
    </w:p>
    <w:p w14:paraId="39E4B45D" w14:textId="46499A78" w:rsidR="008F3622" w:rsidRPr="00130BF4" w:rsidRDefault="00054FDD" w:rsidP="00E70289">
      <w:pPr>
        <w:pStyle w:val="SingleTxtG"/>
        <w:rPr>
          <w:lang w:val="fr-FR"/>
        </w:rPr>
      </w:pPr>
      <w:r>
        <w:rPr>
          <w:lang w:val="fr-FR"/>
        </w:rPr>
        <w:t>14.</w:t>
      </w:r>
      <w:r>
        <w:rPr>
          <w:lang w:val="fr-FR"/>
        </w:rPr>
        <w:tab/>
      </w:r>
      <w:r w:rsidR="008F3622" w:rsidRPr="00130BF4">
        <w:rPr>
          <w:lang w:val="fr-FR"/>
        </w:rPr>
        <w:t>Selon les informations dont dispose la délégation allemande, cela explique que, depuis de nombreuses années déjà, l</w:t>
      </w:r>
      <w:r w:rsidR="004D37B8">
        <w:rPr>
          <w:lang w:val="fr-FR"/>
        </w:rPr>
        <w:t>’</w:t>
      </w:r>
      <w:r w:rsidR="008F3622" w:rsidRPr="00130BF4">
        <w:rPr>
          <w:lang w:val="fr-FR"/>
        </w:rPr>
        <w:t>on renonce à des orifices de prise d</w:t>
      </w:r>
      <w:r w:rsidR="004D37B8">
        <w:rPr>
          <w:lang w:val="fr-FR"/>
        </w:rPr>
        <w:t>’</w:t>
      </w:r>
      <w:r w:rsidR="008F3622" w:rsidRPr="00130BF4">
        <w:rPr>
          <w:lang w:val="fr-FR"/>
        </w:rPr>
        <w:t>échantillons dédiés lors de la construction de nouveaux bateaux.</w:t>
      </w:r>
    </w:p>
    <w:p w14:paraId="04D81F92" w14:textId="77777777" w:rsidR="008F3622" w:rsidRPr="00E70289" w:rsidRDefault="008F3622" w:rsidP="00E70289">
      <w:pPr>
        <w:tabs>
          <w:tab w:val="left" w:pos="1701"/>
        </w:tabs>
        <w:spacing w:after="240"/>
        <w:ind w:left="1134" w:right="567"/>
        <w:jc w:val="both"/>
        <w:rPr>
          <w:bCs/>
          <w:i/>
          <w:iCs/>
          <w:u w:val="single"/>
          <w:lang w:val="fr-FR"/>
        </w:rPr>
      </w:pPr>
      <w:r w:rsidRPr="00E70289">
        <w:rPr>
          <w:bCs/>
          <w:i/>
          <w:iCs/>
          <w:u w:val="single"/>
          <w:lang w:val="fr-FR"/>
        </w:rPr>
        <w:t>Ad paragraphe 11 :</w:t>
      </w:r>
    </w:p>
    <w:p w14:paraId="178645C1" w14:textId="2C1CDE2F" w:rsidR="008F3622" w:rsidRPr="00130BF4" w:rsidRDefault="00054FDD" w:rsidP="00E70289">
      <w:pPr>
        <w:pStyle w:val="SingleTxtG"/>
        <w:rPr>
          <w:bCs/>
          <w:lang w:val="fr-FR"/>
        </w:rPr>
      </w:pPr>
      <w:bookmarkStart w:id="1" w:name="_Hlk128401202"/>
      <w:r>
        <w:rPr>
          <w:bCs/>
          <w:lang w:val="fr-FR"/>
        </w:rPr>
        <w:t>15.</w:t>
      </w:r>
      <w:r>
        <w:rPr>
          <w:bCs/>
          <w:lang w:val="fr-FR"/>
        </w:rPr>
        <w:tab/>
      </w:r>
      <w:r w:rsidR="008F3622" w:rsidRPr="00130BF4">
        <w:rPr>
          <w:bCs/>
          <w:lang w:val="fr-FR"/>
        </w:rPr>
        <w:t>Aucun orifice n</w:t>
      </w:r>
      <w:r w:rsidR="004D37B8">
        <w:rPr>
          <w:bCs/>
          <w:lang w:val="fr-FR"/>
        </w:rPr>
        <w:t>’</w:t>
      </w:r>
      <w:r w:rsidR="008F3622" w:rsidRPr="00130BF4">
        <w:rPr>
          <w:bCs/>
          <w:lang w:val="fr-FR"/>
        </w:rPr>
        <w:t>est généralement ouvert pendant le transport à bord des bateaux-citernes de type G, car la cargaison constituée de gaz s</w:t>
      </w:r>
      <w:r w:rsidR="004D37B8">
        <w:rPr>
          <w:bCs/>
          <w:lang w:val="fr-FR"/>
        </w:rPr>
        <w:t>’</w:t>
      </w:r>
      <w:r w:rsidR="008F3622" w:rsidRPr="00130BF4">
        <w:rPr>
          <w:bCs/>
          <w:lang w:val="fr-FR"/>
        </w:rPr>
        <w:t>échapperait alors immédiatement des citernes à cargaison. Des mesures telles que la prise d</w:t>
      </w:r>
      <w:r w:rsidR="004D37B8">
        <w:rPr>
          <w:bCs/>
          <w:lang w:val="fr-FR"/>
        </w:rPr>
        <w:t>’</w:t>
      </w:r>
      <w:r w:rsidR="008F3622" w:rsidRPr="00130BF4">
        <w:rPr>
          <w:bCs/>
          <w:lang w:val="fr-FR"/>
        </w:rPr>
        <w:t>échantillons par un orifice ouvert ou l</w:t>
      </w:r>
      <w:r w:rsidR="004D37B8">
        <w:rPr>
          <w:bCs/>
          <w:lang w:val="fr-FR"/>
        </w:rPr>
        <w:t>’</w:t>
      </w:r>
      <w:r w:rsidR="008F3622" w:rsidRPr="00130BF4">
        <w:rPr>
          <w:bCs/>
          <w:lang w:val="fr-FR"/>
        </w:rPr>
        <w:t>inspection visuelle ne sont pas non plus nécessaires lorsque la cargaison est constituée de gaz.</w:t>
      </w:r>
    </w:p>
    <w:p w14:paraId="3EE2785E" w14:textId="4415368E" w:rsidR="008F3622" w:rsidRPr="00130BF4" w:rsidRDefault="00054FDD" w:rsidP="00E70289">
      <w:pPr>
        <w:pStyle w:val="SingleTxtG"/>
        <w:rPr>
          <w:bCs/>
          <w:lang w:val="fr-FR"/>
        </w:rPr>
      </w:pPr>
      <w:r>
        <w:rPr>
          <w:bCs/>
          <w:lang w:val="fr-FR"/>
        </w:rPr>
        <w:t>16.</w:t>
      </w:r>
      <w:r>
        <w:rPr>
          <w:bCs/>
          <w:lang w:val="fr-FR"/>
        </w:rPr>
        <w:tab/>
      </w:r>
      <w:r w:rsidR="008F3622" w:rsidRPr="00130BF4">
        <w:rPr>
          <w:bCs/>
          <w:lang w:val="fr-FR"/>
        </w:rPr>
        <w:t>L</w:t>
      </w:r>
      <w:r w:rsidR="004D37B8">
        <w:rPr>
          <w:bCs/>
          <w:lang w:val="fr-FR"/>
        </w:rPr>
        <w:t>’</w:t>
      </w:r>
      <w:r w:rsidR="008F3622" w:rsidRPr="00130BF4">
        <w:rPr>
          <w:bCs/>
          <w:lang w:val="fr-FR"/>
        </w:rPr>
        <w:t xml:space="preserve">actuelle première phrase du </w:t>
      </w:r>
      <w:r w:rsidR="008F3622" w:rsidRPr="007A179B">
        <w:rPr>
          <w:lang w:val="fr-FR"/>
        </w:rPr>
        <w:t>7.2.4.22.5</w:t>
      </w:r>
      <w:r w:rsidR="008F3622" w:rsidRPr="00130BF4">
        <w:rPr>
          <w:bCs/>
          <w:lang w:val="fr-FR"/>
        </w:rPr>
        <w:t xml:space="preserve"> de l</w:t>
      </w:r>
      <w:r w:rsidR="004D37B8">
        <w:rPr>
          <w:bCs/>
          <w:lang w:val="fr-FR"/>
        </w:rPr>
        <w:t>’</w:t>
      </w:r>
      <w:r w:rsidR="008F3622" w:rsidRPr="00130BF4">
        <w:rPr>
          <w:bCs/>
          <w:lang w:val="fr-FR"/>
        </w:rPr>
        <w:t>ADN : « </w:t>
      </w:r>
      <w:r w:rsidR="008F3622" w:rsidRPr="00130BF4">
        <w:rPr>
          <w:bCs/>
          <w:i/>
          <w:lang w:val="fr-FR"/>
        </w:rPr>
        <w:t>L</w:t>
      </w:r>
      <w:r w:rsidR="004D37B8">
        <w:rPr>
          <w:bCs/>
          <w:i/>
          <w:lang w:val="fr-FR"/>
        </w:rPr>
        <w:t>’</w:t>
      </w:r>
      <w:r w:rsidR="008F3622" w:rsidRPr="00130BF4">
        <w:rPr>
          <w:bCs/>
          <w:i/>
          <w:lang w:val="fr-FR"/>
        </w:rPr>
        <w:t>ouverture du carter des coupe-flammes n</w:t>
      </w:r>
      <w:r w:rsidR="004D37B8">
        <w:rPr>
          <w:bCs/>
          <w:i/>
          <w:lang w:val="fr-FR"/>
        </w:rPr>
        <w:t>’</w:t>
      </w:r>
      <w:r w:rsidR="008F3622" w:rsidRPr="00130BF4">
        <w:rPr>
          <w:bCs/>
          <w:i/>
          <w:lang w:val="fr-FR"/>
        </w:rPr>
        <w:t>est autorisée que pour le nettoyage de l</w:t>
      </w:r>
      <w:r w:rsidR="004D37B8">
        <w:rPr>
          <w:bCs/>
          <w:i/>
          <w:lang w:val="fr-FR"/>
        </w:rPr>
        <w:t>’</w:t>
      </w:r>
      <w:r w:rsidR="008F3622" w:rsidRPr="00130BF4">
        <w:rPr>
          <w:bCs/>
          <w:i/>
          <w:lang w:val="fr-FR"/>
        </w:rPr>
        <w:t>élément coupe-flammes ou pour le remplacement par des éléments coupe-flammes de même conception.</w:t>
      </w:r>
      <w:r w:rsidR="008F3622" w:rsidRPr="00130BF4">
        <w:rPr>
          <w:bCs/>
          <w:lang w:val="fr-FR"/>
        </w:rPr>
        <w:t> » est supprimée.</w:t>
      </w:r>
    </w:p>
    <w:p w14:paraId="113086CB" w14:textId="68CF6E40" w:rsidR="008F3622" w:rsidRPr="00130BF4" w:rsidRDefault="00054FDD" w:rsidP="00E70289">
      <w:pPr>
        <w:pStyle w:val="SingleTxtG"/>
        <w:rPr>
          <w:bCs/>
          <w:lang w:val="fr-FR"/>
        </w:rPr>
      </w:pPr>
      <w:r>
        <w:rPr>
          <w:bCs/>
          <w:lang w:val="fr-FR"/>
        </w:rPr>
        <w:t>17.</w:t>
      </w:r>
      <w:r>
        <w:rPr>
          <w:bCs/>
          <w:lang w:val="fr-FR"/>
        </w:rPr>
        <w:tab/>
      </w:r>
      <w:r w:rsidR="008F3622" w:rsidRPr="00130BF4">
        <w:rPr>
          <w:bCs/>
          <w:lang w:val="fr-FR"/>
        </w:rPr>
        <w:t>Il est clair que le carter doit également être ouvert pour d</w:t>
      </w:r>
      <w:r w:rsidR="004D37B8">
        <w:rPr>
          <w:bCs/>
          <w:lang w:val="fr-FR"/>
        </w:rPr>
        <w:t>’</w:t>
      </w:r>
      <w:r w:rsidR="008F3622" w:rsidRPr="00130BF4">
        <w:rPr>
          <w:bCs/>
          <w:lang w:val="fr-FR"/>
        </w:rPr>
        <w:t>autres activités indispensables sur la citerne à cargaison, comme la prise d</w:t>
      </w:r>
      <w:r w:rsidR="004D37B8">
        <w:rPr>
          <w:bCs/>
          <w:lang w:val="fr-FR"/>
        </w:rPr>
        <w:t>’</w:t>
      </w:r>
      <w:r w:rsidR="008F3622" w:rsidRPr="00130BF4">
        <w:rPr>
          <w:bCs/>
          <w:lang w:val="fr-FR"/>
        </w:rPr>
        <w:t>échantillons par un orifice ouvert, l</w:t>
      </w:r>
      <w:r w:rsidR="004D37B8">
        <w:rPr>
          <w:bCs/>
          <w:lang w:val="fr-FR"/>
        </w:rPr>
        <w:t>’</w:t>
      </w:r>
      <w:r w:rsidR="008F3622" w:rsidRPr="00130BF4">
        <w:rPr>
          <w:bCs/>
          <w:lang w:val="fr-FR"/>
        </w:rPr>
        <w:t>inspection visuelle du contenu de la citerne à cargaison ou l</w:t>
      </w:r>
      <w:r w:rsidR="004D37B8">
        <w:rPr>
          <w:bCs/>
          <w:lang w:val="fr-FR"/>
        </w:rPr>
        <w:t>’</w:t>
      </w:r>
      <w:r w:rsidR="008F3622" w:rsidRPr="00130BF4">
        <w:rPr>
          <w:bCs/>
          <w:lang w:val="fr-FR"/>
        </w:rPr>
        <w:t>évacuation du mélange gaz/air lors du dégazage de la citerne à cargaison (modification au 7.2.3.7.1.3).</w:t>
      </w:r>
    </w:p>
    <w:p w14:paraId="2BB17D45" w14:textId="203C692A" w:rsidR="008F3622" w:rsidRPr="00130BF4" w:rsidRDefault="00054FDD" w:rsidP="00E70289">
      <w:pPr>
        <w:pStyle w:val="SingleTxtG"/>
        <w:rPr>
          <w:bCs/>
          <w:lang w:val="fr-FR"/>
        </w:rPr>
      </w:pPr>
      <w:r>
        <w:rPr>
          <w:bCs/>
          <w:lang w:val="fr-FR"/>
        </w:rPr>
        <w:t>18.</w:t>
      </w:r>
      <w:r>
        <w:rPr>
          <w:bCs/>
          <w:lang w:val="fr-FR"/>
        </w:rPr>
        <w:tab/>
      </w:r>
      <w:r w:rsidR="008F3622" w:rsidRPr="00130BF4">
        <w:rPr>
          <w:bCs/>
          <w:lang w:val="fr-FR"/>
        </w:rPr>
        <w:t>La limitation à des fins spécifiques découle désormais du 7.2.4.22.1.</w:t>
      </w:r>
    </w:p>
    <w:p w14:paraId="7BBCA957" w14:textId="351FF6E9" w:rsidR="008F3622" w:rsidRPr="00130BF4" w:rsidRDefault="00054FDD" w:rsidP="00E70289">
      <w:pPr>
        <w:pStyle w:val="SingleTxtG"/>
        <w:rPr>
          <w:bCs/>
          <w:lang w:val="fr-FR"/>
        </w:rPr>
      </w:pPr>
      <w:r>
        <w:rPr>
          <w:bCs/>
          <w:lang w:val="fr-FR"/>
        </w:rPr>
        <w:t>19.</w:t>
      </w:r>
      <w:r>
        <w:rPr>
          <w:bCs/>
          <w:lang w:val="fr-FR"/>
        </w:rPr>
        <w:tab/>
      </w:r>
      <w:r w:rsidR="008F3622" w:rsidRPr="00130BF4">
        <w:rPr>
          <w:bCs/>
          <w:lang w:val="fr-FR"/>
        </w:rPr>
        <w:t>La séparation du bateau des installations ou des conduites de l</w:t>
      </w:r>
      <w:r w:rsidR="004D37B8">
        <w:rPr>
          <w:bCs/>
          <w:lang w:val="fr-FR"/>
        </w:rPr>
        <w:t>’</w:t>
      </w:r>
      <w:r w:rsidR="008F3622" w:rsidRPr="00130BF4">
        <w:rPr>
          <w:bCs/>
          <w:lang w:val="fr-FR"/>
        </w:rPr>
        <w:t>installation à terre (nouveau 7.2.4.22.2) est pertinente lorsque le bateau contient une cargaison inflammable. L</w:t>
      </w:r>
      <w:r w:rsidR="004D37B8">
        <w:rPr>
          <w:bCs/>
          <w:lang w:val="fr-FR"/>
        </w:rPr>
        <w:t>’</w:t>
      </w:r>
      <w:r w:rsidR="008F3622" w:rsidRPr="00130BF4">
        <w:rPr>
          <w:bCs/>
          <w:lang w:val="fr-FR"/>
        </w:rPr>
        <w:t>objectif est notamment d</w:t>
      </w:r>
      <w:r w:rsidR="004D37B8">
        <w:rPr>
          <w:bCs/>
          <w:lang w:val="fr-FR"/>
        </w:rPr>
        <w:t>’</w:t>
      </w:r>
      <w:r w:rsidR="008F3622" w:rsidRPr="00130BF4">
        <w:rPr>
          <w:bCs/>
          <w:lang w:val="fr-FR"/>
        </w:rPr>
        <w:t>éviter qu</w:t>
      </w:r>
      <w:r w:rsidR="004D37B8">
        <w:rPr>
          <w:bCs/>
          <w:lang w:val="fr-FR"/>
        </w:rPr>
        <w:t>’</w:t>
      </w:r>
      <w:r w:rsidR="008F3622" w:rsidRPr="00130BF4">
        <w:rPr>
          <w:bCs/>
          <w:lang w:val="fr-FR"/>
        </w:rPr>
        <w:t>une cargaison enflammée ne se propage à l</w:t>
      </w:r>
      <w:r w:rsidR="004D37B8">
        <w:rPr>
          <w:bCs/>
          <w:lang w:val="fr-FR"/>
        </w:rPr>
        <w:t>’</w:t>
      </w:r>
      <w:r w:rsidR="008F3622" w:rsidRPr="00130BF4">
        <w:rPr>
          <w:bCs/>
          <w:lang w:val="fr-FR"/>
        </w:rPr>
        <w:t>installation terrestre en cas d</w:t>
      </w:r>
      <w:r w:rsidR="004D37B8">
        <w:rPr>
          <w:bCs/>
          <w:lang w:val="fr-FR"/>
        </w:rPr>
        <w:t>’</w:t>
      </w:r>
      <w:r w:rsidR="008F3622" w:rsidRPr="00130BF4">
        <w:rPr>
          <w:bCs/>
          <w:lang w:val="fr-FR"/>
        </w:rPr>
        <w:t>incident au niveau d</w:t>
      </w:r>
      <w:r w:rsidR="004D37B8">
        <w:rPr>
          <w:bCs/>
          <w:lang w:val="fr-FR"/>
        </w:rPr>
        <w:t>’</w:t>
      </w:r>
      <w:r w:rsidR="008F3622" w:rsidRPr="00130BF4">
        <w:rPr>
          <w:bCs/>
          <w:lang w:val="fr-FR"/>
        </w:rPr>
        <w:t>un orifice.</w:t>
      </w:r>
    </w:p>
    <w:p w14:paraId="5932DDA1" w14:textId="2E0BBAFD" w:rsidR="008F3622" w:rsidRPr="00130BF4" w:rsidRDefault="00FD2053" w:rsidP="00E70289">
      <w:pPr>
        <w:pStyle w:val="SingleTxtG"/>
        <w:rPr>
          <w:lang w:val="fr-FR"/>
        </w:rPr>
      </w:pPr>
      <w:r>
        <w:rPr>
          <w:lang w:val="fr-FR"/>
        </w:rPr>
        <w:t>20.</w:t>
      </w:r>
      <w:r>
        <w:rPr>
          <w:lang w:val="fr-FR"/>
        </w:rPr>
        <w:tab/>
      </w:r>
      <w:r w:rsidR="008F3622" w:rsidRPr="00130BF4">
        <w:rPr>
          <w:lang w:val="fr-FR"/>
        </w:rPr>
        <w:t>L</w:t>
      </w:r>
      <w:r w:rsidR="004D37B8">
        <w:rPr>
          <w:lang w:val="fr-FR"/>
        </w:rPr>
        <w:t>’</w:t>
      </w:r>
      <w:r w:rsidR="008F3622" w:rsidRPr="00130BF4">
        <w:rPr>
          <w:lang w:val="fr-FR"/>
        </w:rPr>
        <w:t>orifice pour le raccordement d</w:t>
      </w:r>
      <w:r w:rsidR="004D37B8">
        <w:rPr>
          <w:lang w:val="fr-FR"/>
        </w:rPr>
        <w:t>’</w:t>
      </w:r>
      <w:r w:rsidR="008F3622" w:rsidRPr="00130BF4">
        <w:rPr>
          <w:lang w:val="fr-FR"/>
        </w:rPr>
        <w:t>installations de lavage des citernes mentionné au 7.2.4.22.13 est présent à bord de la plupart des bateaux - avec l</w:t>
      </w:r>
      <w:r w:rsidR="004D37B8">
        <w:rPr>
          <w:lang w:val="fr-FR"/>
        </w:rPr>
        <w:t>’</w:t>
      </w:r>
      <w:r w:rsidR="008F3622" w:rsidRPr="00130BF4">
        <w:rPr>
          <w:lang w:val="fr-FR"/>
        </w:rPr>
        <w:t>accord des sociétés de classification.</w:t>
      </w:r>
    </w:p>
    <w:p w14:paraId="0F6D5922" w14:textId="30839CFA" w:rsidR="008F3622" w:rsidRPr="00130BF4" w:rsidRDefault="00FD2053" w:rsidP="00E70289">
      <w:pPr>
        <w:pStyle w:val="SingleTxtG"/>
        <w:rPr>
          <w:lang w:val="fr-FR"/>
        </w:rPr>
      </w:pPr>
      <w:r>
        <w:rPr>
          <w:lang w:val="fr-FR"/>
        </w:rPr>
        <w:t>21.</w:t>
      </w:r>
      <w:r>
        <w:rPr>
          <w:lang w:val="fr-FR"/>
        </w:rPr>
        <w:tab/>
      </w:r>
      <w:r w:rsidR="008F3622" w:rsidRPr="00130BF4">
        <w:rPr>
          <w:lang w:val="fr-FR"/>
        </w:rPr>
        <w:t>Cependant, les sections 9.3.2 et 9.3.3 de l</w:t>
      </w:r>
      <w:r w:rsidR="004D37B8">
        <w:rPr>
          <w:lang w:val="fr-FR"/>
        </w:rPr>
        <w:t>’</w:t>
      </w:r>
      <w:r w:rsidR="008F3622" w:rsidRPr="00130BF4">
        <w:rPr>
          <w:lang w:val="fr-FR"/>
        </w:rPr>
        <w:t xml:space="preserve">ADN ne comportent pas encore de prescriptions en matière de construction pour ces raccordements. Nous partons du principe que les aspects de sécurité sont suffisamment pris en compte dans les règles de classe et que la délégation de </w:t>
      </w:r>
      <w:r w:rsidR="00456E1F">
        <w:rPr>
          <w:lang w:val="fr-FR"/>
        </w:rPr>
        <w:t>l</w:t>
      </w:r>
      <w:r w:rsidR="004D37B8">
        <w:rPr>
          <w:lang w:val="fr-FR"/>
        </w:rPr>
        <w:t>’</w:t>
      </w:r>
      <w:r w:rsidR="00EB33BC" w:rsidRPr="003E1927">
        <w:rPr>
          <w:lang w:val="fr-FR"/>
        </w:rPr>
        <w:t>Organisation européenne des bateliers (OEB)</w:t>
      </w:r>
      <w:r w:rsidR="00456E1F">
        <w:rPr>
          <w:lang w:val="fr-FR"/>
        </w:rPr>
        <w:t xml:space="preserve"> et des</w:t>
      </w:r>
      <w:r w:rsidR="00EB33BC" w:rsidRPr="003E1927">
        <w:rPr>
          <w:lang w:val="fr-FR"/>
        </w:rPr>
        <w:t xml:space="preserve"> sociétés de classification ADN recommandées et Union européenne de la navigation fluviale (UENF)</w:t>
      </w:r>
      <w:r w:rsidR="00EB33BC">
        <w:rPr>
          <w:lang w:val="fr-FR"/>
        </w:rPr>
        <w:t xml:space="preserve"> </w:t>
      </w:r>
      <w:r w:rsidR="008F3622" w:rsidRPr="00130BF4">
        <w:rPr>
          <w:lang w:val="fr-FR"/>
        </w:rPr>
        <w:t>en tiendra compte de manière appropriée dans son projet annoncé concernant le lavage des citernes.</w:t>
      </w:r>
    </w:p>
    <w:p w14:paraId="5709CC02" w14:textId="19F40F63" w:rsidR="008F3622" w:rsidRPr="00130BF4" w:rsidRDefault="00FD2053" w:rsidP="00E70289">
      <w:pPr>
        <w:pStyle w:val="SingleTxtG"/>
        <w:rPr>
          <w:bCs/>
          <w:lang w:val="fr-FR"/>
        </w:rPr>
      </w:pPr>
      <w:r>
        <w:rPr>
          <w:bCs/>
          <w:lang w:val="fr-FR"/>
        </w:rPr>
        <w:lastRenderedPageBreak/>
        <w:t>22.</w:t>
      </w:r>
      <w:r>
        <w:rPr>
          <w:bCs/>
          <w:lang w:val="fr-FR"/>
        </w:rPr>
        <w:tab/>
      </w:r>
      <w:r w:rsidR="008F3622" w:rsidRPr="00130BF4">
        <w:rPr>
          <w:bCs/>
          <w:lang w:val="fr-FR"/>
        </w:rPr>
        <w:t>Les autres prescriptions figurent déjà dans l</w:t>
      </w:r>
      <w:r w:rsidR="004D37B8">
        <w:rPr>
          <w:bCs/>
          <w:lang w:val="fr-FR"/>
        </w:rPr>
        <w:t>’</w:t>
      </w:r>
      <w:r w:rsidR="008F3622" w:rsidRPr="00130BF4">
        <w:rPr>
          <w:bCs/>
          <w:lang w:val="fr-FR"/>
        </w:rPr>
        <w:t>ADN actuel avec une autre numérotation.</w:t>
      </w:r>
    </w:p>
    <w:bookmarkEnd w:id="1"/>
    <w:p w14:paraId="464B078B" w14:textId="7DA5C29E" w:rsidR="008F3622" w:rsidRPr="00130BF4" w:rsidRDefault="00564C70" w:rsidP="0031601C">
      <w:pPr>
        <w:pStyle w:val="H1G"/>
        <w:rPr>
          <w:b w:val="0"/>
          <w:bCs/>
          <w:sz w:val="28"/>
          <w:szCs w:val="28"/>
          <w:lang w:val="fr-FR"/>
        </w:rPr>
      </w:pPr>
      <w:r w:rsidRPr="00130BF4">
        <w:rPr>
          <w:bCs/>
          <w:sz w:val="28"/>
          <w:szCs w:val="28"/>
          <w:lang w:val="fr-FR"/>
        </w:rPr>
        <w:tab/>
      </w:r>
      <w:r w:rsidR="008F3622" w:rsidRPr="00130BF4">
        <w:rPr>
          <w:bCs/>
          <w:sz w:val="28"/>
          <w:szCs w:val="28"/>
          <w:lang w:val="fr-FR"/>
        </w:rPr>
        <w:t>III.</w:t>
      </w:r>
      <w:r w:rsidR="008F3622" w:rsidRPr="00130BF4">
        <w:rPr>
          <w:bCs/>
          <w:sz w:val="28"/>
          <w:szCs w:val="28"/>
          <w:lang w:val="fr-FR"/>
        </w:rPr>
        <w:tab/>
        <w:t>Sécurité</w:t>
      </w:r>
    </w:p>
    <w:p w14:paraId="467F2FEB" w14:textId="12DD95C5" w:rsidR="008F3622" w:rsidRPr="00130BF4" w:rsidRDefault="00FD2053" w:rsidP="00E70289">
      <w:pPr>
        <w:pStyle w:val="SingleTxtG"/>
        <w:rPr>
          <w:bCs/>
          <w:lang w:val="fr-FR"/>
        </w:rPr>
      </w:pPr>
      <w:r>
        <w:rPr>
          <w:bCs/>
          <w:lang w:val="fr-FR"/>
        </w:rPr>
        <w:t>23</w:t>
      </w:r>
      <w:r w:rsidR="008F3622" w:rsidRPr="00130BF4">
        <w:rPr>
          <w:bCs/>
          <w:lang w:val="fr-FR"/>
        </w:rPr>
        <w:t>.</w:t>
      </w:r>
      <w:r w:rsidR="008F3622" w:rsidRPr="00130BF4">
        <w:rPr>
          <w:bCs/>
          <w:lang w:val="fr-FR"/>
        </w:rPr>
        <w:tab/>
        <w:t>Le principe, énoncé à la sous-section 7.2.3.22, d</w:t>
      </w:r>
      <w:r w:rsidR="004D37B8">
        <w:rPr>
          <w:bCs/>
          <w:lang w:val="fr-FR"/>
        </w:rPr>
        <w:t>’</w:t>
      </w:r>
      <w:r w:rsidR="008F3622" w:rsidRPr="00130BF4">
        <w:rPr>
          <w:bCs/>
          <w:lang w:val="fr-FR"/>
        </w:rPr>
        <w:t>après lequel les citernes à cargaison et les citernes à restes de cargaison doivent rester fermées, sauf exceptions prévues dans la Partie 7, demeure pleinement applicable. Tout comme pour le dégazage des citernes à cargaison, qui nécessite également l</w:t>
      </w:r>
      <w:r w:rsidR="004D37B8">
        <w:rPr>
          <w:bCs/>
          <w:lang w:val="fr-FR"/>
        </w:rPr>
        <w:t>’</w:t>
      </w:r>
      <w:r w:rsidR="008F3622" w:rsidRPr="00130BF4">
        <w:rPr>
          <w:bCs/>
          <w:lang w:val="fr-FR"/>
        </w:rPr>
        <w:t>ouverture d</w:t>
      </w:r>
      <w:r w:rsidR="004D37B8">
        <w:rPr>
          <w:bCs/>
          <w:lang w:val="fr-FR"/>
        </w:rPr>
        <w:t>’</w:t>
      </w:r>
      <w:r w:rsidR="008F3622" w:rsidRPr="00130BF4">
        <w:rPr>
          <w:bCs/>
          <w:lang w:val="fr-FR"/>
        </w:rPr>
        <w:t>orifices, l</w:t>
      </w:r>
      <w:r w:rsidR="004D37B8">
        <w:rPr>
          <w:bCs/>
          <w:lang w:val="fr-FR"/>
        </w:rPr>
        <w:t>’</w:t>
      </w:r>
      <w:r w:rsidR="008F3622" w:rsidRPr="00130BF4">
        <w:rPr>
          <w:bCs/>
          <w:lang w:val="fr-FR"/>
        </w:rPr>
        <w:t>ouverture n</w:t>
      </w:r>
      <w:r w:rsidR="004D37B8">
        <w:rPr>
          <w:bCs/>
          <w:lang w:val="fr-FR"/>
        </w:rPr>
        <w:t>’</w:t>
      </w:r>
      <w:r w:rsidR="008F3622" w:rsidRPr="00130BF4">
        <w:rPr>
          <w:bCs/>
          <w:lang w:val="fr-FR"/>
        </w:rPr>
        <w:t>est autorisée que si l</w:t>
      </w:r>
      <w:r w:rsidR="004D37B8">
        <w:rPr>
          <w:bCs/>
          <w:lang w:val="fr-FR"/>
        </w:rPr>
        <w:t>’</w:t>
      </w:r>
      <w:r w:rsidR="008F3622" w:rsidRPr="00130BF4">
        <w:rPr>
          <w:bCs/>
          <w:lang w:val="fr-FR"/>
        </w:rPr>
        <w:t>évacuation de gaz et de vapeurs n</w:t>
      </w:r>
      <w:r w:rsidR="004D37B8">
        <w:rPr>
          <w:bCs/>
          <w:lang w:val="fr-FR"/>
        </w:rPr>
        <w:t>’</w:t>
      </w:r>
      <w:r w:rsidR="008F3622" w:rsidRPr="00130BF4">
        <w:rPr>
          <w:bCs/>
          <w:lang w:val="fr-FR"/>
        </w:rPr>
        <w:t>est pas interdite par d</w:t>
      </w:r>
      <w:r w:rsidR="004D37B8">
        <w:rPr>
          <w:bCs/>
          <w:lang w:val="fr-FR"/>
        </w:rPr>
        <w:t>’</w:t>
      </w:r>
      <w:r w:rsidR="008F3622" w:rsidRPr="00130BF4">
        <w:rPr>
          <w:bCs/>
          <w:lang w:val="fr-FR"/>
        </w:rPr>
        <w:t>autres règles et règlements.</w:t>
      </w:r>
    </w:p>
    <w:p w14:paraId="185E336C" w14:textId="2576EE1E" w:rsidR="008F3622" w:rsidRPr="00130BF4" w:rsidRDefault="00FD2053" w:rsidP="00E70289">
      <w:pPr>
        <w:pStyle w:val="SingleTxtG"/>
        <w:rPr>
          <w:lang w:val="fr-FR"/>
        </w:rPr>
      </w:pPr>
      <w:r>
        <w:rPr>
          <w:lang w:val="fr-FR"/>
        </w:rPr>
        <w:t>24</w:t>
      </w:r>
      <w:r w:rsidR="008F3622" w:rsidRPr="00130BF4">
        <w:rPr>
          <w:lang w:val="fr-FR"/>
        </w:rPr>
        <w:t>.</w:t>
      </w:r>
      <w:r w:rsidR="008F3622" w:rsidRPr="00130BF4">
        <w:rPr>
          <w:lang w:val="fr-FR"/>
        </w:rPr>
        <w:tab/>
        <w:t>Les prescriptions ainsi conçues garantissent, avec les autres prescriptions de service du chapitre 7.2, qu</w:t>
      </w:r>
      <w:r w:rsidR="004D37B8">
        <w:rPr>
          <w:lang w:val="fr-FR"/>
        </w:rPr>
        <w:t>’</w:t>
      </w:r>
      <w:r w:rsidR="008F3622" w:rsidRPr="00130BF4">
        <w:rPr>
          <w:lang w:val="fr-FR"/>
        </w:rPr>
        <w:t>aucune cargaison ne pourra s</w:t>
      </w:r>
      <w:r w:rsidR="004D37B8">
        <w:rPr>
          <w:lang w:val="fr-FR"/>
        </w:rPr>
        <w:t>’</w:t>
      </w:r>
      <w:r w:rsidR="008F3622" w:rsidRPr="00130BF4">
        <w:rPr>
          <w:lang w:val="fr-FR"/>
        </w:rPr>
        <w:t>écouler dans la voie d</w:t>
      </w:r>
      <w:r w:rsidR="004D37B8">
        <w:rPr>
          <w:lang w:val="fr-FR"/>
        </w:rPr>
        <w:t>’</w:t>
      </w:r>
      <w:r w:rsidR="008F3622" w:rsidRPr="00130BF4">
        <w:rPr>
          <w:lang w:val="fr-FR"/>
        </w:rPr>
        <w:t>eau par les orifices et que les personnes qui interviennent dans l</w:t>
      </w:r>
      <w:r w:rsidR="004D37B8">
        <w:rPr>
          <w:lang w:val="fr-FR"/>
        </w:rPr>
        <w:t>’</w:t>
      </w:r>
      <w:r w:rsidR="008F3622" w:rsidRPr="00130BF4">
        <w:rPr>
          <w:lang w:val="fr-FR"/>
        </w:rPr>
        <w:t>ouverture des citernes à cargaison ne seront pas exposées à des risques sanitaires inutiles.</w:t>
      </w:r>
    </w:p>
    <w:p w14:paraId="7C9AD113" w14:textId="79F063F8" w:rsidR="008F3622" w:rsidRPr="00130BF4" w:rsidRDefault="00FD2053" w:rsidP="00E70289">
      <w:pPr>
        <w:pStyle w:val="SingleTxtG"/>
        <w:rPr>
          <w:lang w:val="fr-FR"/>
        </w:rPr>
      </w:pPr>
      <w:r>
        <w:rPr>
          <w:lang w:val="fr-FR"/>
        </w:rPr>
        <w:t>25</w:t>
      </w:r>
      <w:r w:rsidR="008F3622" w:rsidRPr="00130BF4">
        <w:rPr>
          <w:lang w:val="fr-FR"/>
        </w:rPr>
        <w:t>.</w:t>
      </w:r>
      <w:r w:rsidR="008F3622" w:rsidRPr="00130BF4">
        <w:rPr>
          <w:lang w:val="fr-FR"/>
        </w:rPr>
        <w:tab/>
        <w:t>Les mesures de sécurité identifiées comme nécessaires et appropriées sont les suivantes :</w:t>
      </w:r>
    </w:p>
    <w:p w14:paraId="5A53B9D1" w14:textId="4B44355C" w:rsidR="008F3622" w:rsidRPr="00130BF4" w:rsidRDefault="004C1588" w:rsidP="005F3DF5">
      <w:pPr>
        <w:pStyle w:val="SingleTxtG"/>
        <w:ind w:left="1701"/>
        <w:rPr>
          <w:lang w:val="fr-FR"/>
        </w:rPr>
      </w:pPr>
      <w:r>
        <w:rPr>
          <w:lang w:val="fr-FR"/>
        </w:rPr>
        <w:sym w:font="Symbol" w:char="F02D"/>
      </w:r>
      <w:r>
        <w:rPr>
          <w:lang w:val="fr-FR"/>
        </w:rPr>
        <w:t xml:space="preserve"> </w:t>
      </w:r>
      <w:r w:rsidR="008F3622" w:rsidRPr="00130BF4">
        <w:rPr>
          <w:lang w:val="fr-FR"/>
        </w:rPr>
        <w:t>l</w:t>
      </w:r>
      <w:r w:rsidR="004D37B8">
        <w:rPr>
          <w:lang w:val="fr-FR"/>
        </w:rPr>
        <w:t>’</w:t>
      </w:r>
      <w:r w:rsidR="008F3622" w:rsidRPr="00130BF4">
        <w:rPr>
          <w:lang w:val="fr-FR"/>
        </w:rPr>
        <w:t>ouverture est limitée à des mesures explicitement spécifiées,</w:t>
      </w:r>
    </w:p>
    <w:p w14:paraId="590C60C3" w14:textId="692B72E9" w:rsidR="008F3622" w:rsidRPr="00130BF4" w:rsidRDefault="004C1588" w:rsidP="005F3DF5">
      <w:pPr>
        <w:pStyle w:val="SingleTxtG"/>
        <w:ind w:left="1701"/>
        <w:rPr>
          <w:lang w:val="fr-FR"/>
        </w:rPr>
      </w:pPr>
      <w:r>
        <w:rPr>
          <w:lang w:val="fr-FR"/>
        </w:rPr>
        <w:sym w:font="Symbol" w:char="F02D"/>
      </w:r>
      <w:r>
        <w:rPr>
          <w:lang w:val="fr-FR"/>
        </w:rPr>
        <w:t xml:space="preserve"> </w:t>
      </w:r>
      <w:r w:rsidR="008F3622" w:rsidRPr="00130BF4">
        <w:rPr>
          <w:lang w:val="fr-FR"/>
        </w:rPr>
        <w:t>les citernes à cargaison doivent être décompressées avant d</w:t>
      </w:r>
      <w:r w:rsidR="004D37B8">
        <w:rPr>
          <w:lang w:val="fr-FR"/>
        </w:rPr>
        <w:t>’</w:t>
      </w:r>
      <w:r w:rsidR="008F3622" w:rsidRPr="00130BF4">
        <w:rPr>
          <w:lang w:val="fr-FR"/>
        </w:rPr>
        <w:t>être ouvertes,</w:t>
      </w:r>
    </w:p>
    <w:p w14:paraId="4AE910E0" w14:textId="6F0E48FB" w:rsidR="008F3622" w:rsidRPr="00130BF4" w:rsidRDefault="004C1588" w:rsidP="005F3DF5">
      <w:pPr>
        <w:pStyle w:val="SingleTxtG"/>
        <w:ind w:left="1701"/>
        <w:rPr>
          <w:lang w:val="fr-FR"/>
        </w:rPr>
      </w:pPr>
      <w:r>
        <w:rPr>
          <w:lang w:val="fr-FR"/>
        </w:rPr>
        <w:sym w:font="Symbol" w:char="F02D"/>
      </w:r>
      <w:r>
        <w:rPr>
          <w:lang w:val="fr-FR"/>
        </w:rPr>
        <w:t xml:space="preserve"> </w:t>
      </w:r>
      <w:r w:rsidR="008F3622" w:rsidRPr="00130BF4">
        <w:rPr>
          <w:lang w:val="fr-FR"/>
        </w:rPr>
        <w:t>le bateau ne doit pas être relié à l</w:t>
      </w:r>
      <w:r w:rsidR="004D37B8">
        <w:rPr>
          <w:lang w:val="fr-FR"/>
        </w:rPr>
        <w:t>’</w:t>
      </w:r>
      <w:r w:rsidR="008F3622" w:rsidRPr="00130BF4">
        <w:rPr>
          <w:lang w:val="fr-FR"/>
        </w:rPr>
        <w:t>installation à terre ou les dispositifs de vannage du bateau et de l</w:t>
      </w:r>
      <w:r w:rsidR="004D37B8">
        <w:rPr>
          <w:lang w:val="fr-FR"/>
        </w:rPr>
        <w:t>’</w:t>
      </w:r>
      <w:r w:rsidR="008F3622" w:rsidRPr="00130BF4">
        <w:rPr>
          <w:lang w:val="fr-FR"/>
        </w:rPr>
        <w:t>installation à terre doivent être fermés,</w:t>
      </w:r>
    </w:p>
    <w:p w14:paraId="6A393AC3" w14:textId="6604EBF1" w:rsidR="008F3622" w:rsidRPr="00130BF4" w:rsidRDefault="004C1588" w:rsidP="005F3DF5">
      <w:pPr>
        <w:pStyle w:val="SingleTxtG"/>
        <w:ind w:left="1701"/>
        <w:rPr>
          <w:lang w:val="fr-FR"/>
        </w:rPr>
      </w:pPr>
      <w:r>
        <w:rPr>
          <w:lang w:val="fr-FR"/>
        </w:rPr>
        <w:sym w:font="Symbol" w:char="F02D"/>
      </w:r>
      <w:r>
        <w:rPr>
          <w:lang w:val="fr-FR"/>
        </w:rPr>
        <w:t xml:space="preserve"> </w:t>
      </w:r>
      <w:r w:rsidR="008F3622" w:rsidRPr="00130BF4">
        <w:rPr>
          <w:lang w:val="fr-FR"/>
        </w:rPr>
        <w:t>si une protection contre les explosions est prescrite pour la cargaison, l</w:t>
      </w:r>
      <w:r w:rsidR="004D37B8">
        <w:rPr>
          <w:lang w:val="fr-FR"/>
        </w:rPr>
        <w:t>’</w:t>
      </w:r>
      <w:r w:rsidR="008F3622" w:rsidRPr="00130BF4">
        <w:rPr>
          <w:lang w:val="fr-FR"/>
        </w:rPr>
        <w:t>ouverture des écoutilles des citernes à cargaison n</w:t>
      </w:r>
      <w:r w:rsidR="004D37B8">
        <w:rPr>
          <w:lang w:val="fr-FR"/>
        </w:rPr>
        <w:t>’</w:t>
      </w:r>
      <w:r w:rsidR="008F3622" w:rsidRPr="00130BF4">
        <w:rPr>
          <w:lang w:val="fr-FR"/>
        </w:rPr>
        <w:t>est autorisée qu</w:t>
      </w:r>
      <w:r w:rsidR="004D37B8">
        <w:rPr>
          <w:lang w:val="fr-FR"/>
        </w:rPr>
        <w:t>’</w:t>
      </w:r>
      <w:r w:rsidR="008F3622" w:rsidRPr="00130BF4">
        <w:rPr>
          <w:lang w:val="fr-FR"/>
        </w:rPr>
        <w:t>à condition que les citernes à cargaison soient vides et que la concentration de gaz inflammables dans la citerne à cargaison soit inférieure à 10 % de la LIE de la cargaison/cargaison précédente,</w:t>
      </w:r>
    </w:p>
    <w:p w14:paraId="30903F6E" w14:textId="728430D8" w:rsidR="008F3622" w:rsidRPr="00130BF4" w:rsidRDefault="004C1588" w:rsidP="005F3DF5">
      <w:pPr>
        <w:pStyle w:val="SingleTxtG"/>
        <w:ind w:left="1701"/>
        <w:rPr>
          <w:lang w:val="fr-FR"/>
        </w:rPr>
      </w:pPr>
      <w:r>
        <w:rPr>
          <w:lang w:val="fr-FR"/>
        </w:rPr>
        <w:sym w:font="Symbol" w:char="F02D"/>
      </w:r>
      <w:r>
        <w:rPr>
          <w:lang w:val="fr-FR"/>
        </w:rPr>
        <w:t xml:space="preserve"> </w:t>
      </w:r>
      <w:r w:rsidR="008F3622" w:rsidRPr="00130BF4">
        <w:rPr>
          <w:lang w:val="fr-FR"/>
        </w:rPr>
        <w:t>si des cônes/feux bleus sont prescrits pour la cargaison, l</w:t>
      </w:r>
      <w:r w:rsidR="004D37B8">
        <w:rPr>
          <w:lang w:val="fr-FR"/>
        </w:rPr>
        <w:t>’</w:t>
      </w:r>
      <w:r w:rsidR="008F3622" w:rsidRPr="00130BF4">
        <w:rPr>
          <w:lang w:val="fr-FR"/>
        </w:rPr>
        <w:t>ouverture des orifices n</w:t>
      </w:r>
      <w:r w:rsidR="004D37B8">
        <w:rPr>
          <w:lang w:val="fr-FR"/>
        </w:rPr>
        <w:t>’</w:t>
      </w:r>
      <w:r w:rsidR="008F3622" w:rsidRPr="00130BF4">
        <w:rPr>
          <w:lang w:val="fr-FR"/>
        </w:rPr>
        <w:t>est autorisée qu</w:t>
      </w:r>
      <w:r w:rsidR="004D37B8">
        <w:rPr>
          <w:lang w:val="fr-FR"/>
        </w:rPr>
        <w:t>’</w:t>
      </w:r>
      <w:r w:rsidR="008F3622" w:rsidRPr="00130BF4">
        <w:rPr>
          <w:lang w:val="fr-FR"/>
        </w:rPr>
        <w:t>à condition que le chargement ait été interrompu depuis au moins dix minutes,</w:t>
      </w:r>
    </w:p>
    <w:p w14:paraId="28DE2AB7" w14:textId="416452E3" w:rsidR="008F3622" w:rsidRPr="00130BF4" w:rsidRDefault="004C1588" w:rsidP="005F3DF5">
      <w:pPr>
        <w:pStyle w:val="SingleTxtG"/>
        <w:ind w:left="1701"/>
        <w:rPr>
          <w:lang w:val="fr-FR"/>
        </w:rPr>
      </w:pPr>
      <w:r>
        <w:rPr>
          <w:lang w:val="fr-FR"/>
        </w:rPr>
        <w:sym w:font="Symbol" w:char="F02D"/>
      </w:r>
      <w:r>
        <w:rPr>
          <w:lang w:val="fr-FR"/>
        </w:rPr>
        <w:t xml:space="preserve"> </w:t>
      </w:r>
      <w:r w:rsidR="008F3622" w:rsidRPr="00130BF4">
        <w:rPr>
          <w:lang w:val="fr-FR"/>
        </w:rPr>
        <w:t>le remplacement des coupe-flammes dans les orifices ne peut être effectué que par un personnel spécialement formé et uniquement à condition que les citernes à cargaison soient vides et que la concentration de gaz inflammables dans la citerne à cargaison soit inférieure à 10 % de la LIE de la cargaison/cargaison précédente,</w:t>
      </w:r>
    </w:p>
    <w:p w14:paraId="6E197A75" w14:textId="39CB433F" w:rsidR="008F3622" w:rsidRPr="00130BF4" w:rsidRDefault="004C1588" w:rsidP="005F3DF5">
      <w:pPr>
        <w:pStyle w:val="SingleTxtG"/>
        <w:ind w:left="1701"/>
        <w:rPr>
          <w:lang w:val="fr-FR"/>
        </w:rPr>
      </w:pPr>
      <w:r>
        <w:rPr>
          <w:lang w:val="fr-FR"/>
        </w:rPr>
        <w:sym w:font="Symbol" w:char="F02D"/>
      </w:r>
      <w:r>
        <w:rPr>
          <w:lang w:val="fr-FR"/>
        </w:rPr>
        <w:t xml:space="preserve"> </w:t>
      </w:r>
      <w:r w:rsidR="008F3622" w:rsidRPr="00130BF4">
        <w:rPr>
          <w:lang w:val="fr-FR"/>
        </w:rPr>
        <w:t>les opérations d</w:t>
      </w:r>
      <w:r w:rsidR="004D37B8">
        <w:rPr>
          <w:lang w:val="fr-FR"/>
        </w:rPr>
        <w:t>’</w:t>
      </w:r>
      <w:r w:rsidR="008F3622" w:rsidRPr="00130BF4">
        <w:rPr>
          <w:lang w:val="fr-FR"/>
        </w:rPr>
        <w:t>ouverture d</w:t>
      </w:r>
      <w:r w:rsidR="004D37B8">
        <w:rPr>
          <w:lang w:val="fr-FR"/>
        </w:rPr>
        <w:t>’</w:t>
      </w:r>
      <w:r w:rsidR="008F3622" w:rsidRPr="00130BF4">
        <w:rPr>
          <w:lang w:val="fr-FR"/>
        </w:rPr>
        <w:t>orifices ne peuvent être effectuées qu</w:t>
      </w:r>
      <w:r w:rsidR="004D37B8">
        <w:rPr>
          <w:lang w:val="fr-FR"/>
        </w:rPr>
        <w:t>’</w:t>
      </w:r>
      <w:r w:rsidR="008F3622" w:rsidRPr="00130BF4">
        <w:rPr>
          <w:lang w:val="fr-FR"/>
        </w:rPr>
        <w:t>au moyen d</w:t>
      </w:r>
      <w:r w:rsidR="004D37B8">
        <w:rPr>
          <w:lang w:val="fr-FR"/>
        </w:rPr>
        <w:t>’</w:t>
      </w:r>
      <w:r w:rsidR="008F3622" w:rsidRPr="00130BF4">
        <w:rPr>
          <w:lang w:val="fr-FR"/>
        </w:rPr>
        <w:t>outils appropriés produisant peu d</w:t>
      </w:r>
      <w:r w:rsidR="004D37B8">
        <w:rPr>
          <w:lang w:val="fr-FR"/>
        </w:rPr>
        <w:t>’</w:t>
      </w:r>
      <w:r w:rsidR="008F3622" w:rsidRPr="00130BF4">
        <w:rPr>
          <w:lang w:val="fr-FR"/>
        </w:rPr>
        <w:t>étincelles.</w:t>
      </w:r>
    </w:p>
    <w:p w14:paraId="627BBB62" w14:textId="4DA85A98" w:rsidR="008F3622" w:rsidRPr="00130BF4" w:rsidRDefault="004C1588" w:rsidP="005F3DF5">
      <w:pPr>
        <w:pStyle w:val="SingleTxtG"/>
        <w:ind w:left="1701"/>
        <w:rPr>
          <w:lang w:val="fr-FR"/>
        </w:rPr>
      </w:pPr>
      <w:r>
        <w:rPr>
          <w:lang w:val="fr-FR"/>
        </w:rPr>
        <w:sym w:font="Symbol" w:char="F02D"/>
      </w:r>
      <w:r>
        <w:rPr>
          <w:lang w:val="fr-FR"/>
        </w:rPr>
        <w:t xml:space="preserve"> </w:t>
      </w:r>
      <w:r w:rsidR="008F3622" w:rsidRPr="00130BF4">
        <w:rPr>
          <w:lang w:val="fr-FR"/>
        </w:rPr>
        <w:t>les instructions de travail concernant la protection contre les explosions, telles que visées au 1.3.2.5, doivent être disponibles et appliquées à bord,</w:t>
      </w:r>
    </w:p>
    <w:p w14:paraId="3FD0998F" w14:textId="2D60A45C" w:rsidR="008F3622" w:rsidRPr="00130BF4" w:rsidRDefault="004C1588" w:rsidP="005F3DF5">
      <w:pPr>
        <w:pStyle w:val="SingleTxtG"/>
        <w:ind w:left="1701"/>
        <w:rPr>
          <w:lang w:val="fr-FR"/>
        </w:rPr>
      </w:pPr>
      <w:r>
        <w:rPr>
          <w:lang w:val="fr-FR"/>
        </w:rPr>
        <w:sym w:font="Symbol" w:char="F02D"/>
      </w:r>
      <w:r>
        <w:rPr>
          <w:lang w:val="fr-FR"/>
        </w:rPr>
        <w:t xml:space="preserve"> </w:t>
      </w:r>
      <w:r w:rsidR="008F3622" w:rsidRPr="00130BF4">
        <w:rPr>
          <w:lang w:val="fr-FR"/>
        </w:rPr>
        <w:t>la durée d</w:t>
      </w:r>
      <w:r w:rsidR="004D37B8">
        <w:rPr>
          <w:lang w:val="fr-FR"/>
        </w:rPr>
        <w:t>’</w:t>
      </w:r>
      <w:r w:rsidR="008F3622" w:rsidRPr="00130BF4">
        <w:rPr>
          <w:lang w:val="fr-FR"/>
        </w:rPr>
        <w:t>ouverture doit être limitée au strict nécessaire,</w:t>
      </w:r>
    </w:p>
    <w:p w14:paraId="409FDF90" w14:textId="1F04A605" w:rsidR="008F3622" w:rsidRPr="00130BF4" w:rsidRDefault="004C1588" w:rsidP="005F3DF5">
      <w:pPr>
        <w:pStyle w:val="SingleTxtG"/>
        <w:ind w:left="1701"/>
        <w:rPr>
          <w:lang w:val="fr-FR"/>
        </w:rPr>
      </w:pPr>
      <w:r>
        <w:rPr>
          <w:lang w:val="fr-FR"/>
        </w:rPr>
        <w:sym w:font="Symbol" w:char="F02D"/>
      </w:r>
      <w:r>
        <w:rPr>
          <w:lang w:val="fr-FR"/>
        </w:rPr>
        <w:t xml:space="preserve"> </w:t>
      </w:r>
      <w:r w:rsidR="008F3622" w:rsidRPr="00130BF4">
        <w:rPr>
          <w:lang w:val="fr-FR"/>
        </w:rPr>
        <w:t>les personnes qui ouvrent des orifices ou qui se trouvent à proximité immédiate d</w:t>
      </w:r>
      <w:r w:rsidR="004D37B8">
        <w:rPr>
          <w:lang w:val="fr-FR"/>
        </w:rPr>
        <w:t>’</w:t>
      </w:r>
      <w:r w:rsidR="008F3622" w:rsidRPr="00130BF4">
        <w:rPr>
          <w:lang w:val="fr-FR"/>
        </w:rPr>
        <w:t>un orifice sont tenues d</w:t>
      </w:r>
      <w:r w:rsidR="004D37B8">
        <w:rPr>
          <w:lang w:val="fr-FR"/>
        </w:rPr>
        <w:t>’</w:t>
      </w:r>
      <w:r w:rsidR="008F3622" w:rsidRPr="00130BF4">
        <w:rPr>
          <w:lang w:val="fr-FR"/>
        </w:rPr>
        <w:t>utiliser l</w:t>
      </w:r>
      <w:r w:rsidR="004D37B8">
        <w:rPr>
          <w:lang w:val="fr-FR"/>
        </w:rPr>
        <w:t>’</w:t>
      </w:r>
      <w:r w:rsidR="008F3622" w:rsidRPr="00130BF4">
        <w:rPr>
          <w:lang w:val="fr-FR"/>
        </w:rPr>
        <w:t xml:space="preserve">équipement prescrit à la colonne (18) du tableau C du </w:t>
      </w:r>
      <w:r>
        <w:rPr>
          <w:lang w:val="fr-FR"/>
        </w:rPr>
        <w:t xml:space="preserve">chapitre </w:t>
      </w:r>
      <w:r w:rsidR="008F3622" w:rsidRPr="00130BF4">
        <w:rPr>
          <w:lang w:val="fr-FR"/>
        </w:rPr>
        <w:t>3.2.</w:t>
      </w:r>
    </w:p>
    <w:p w14:paraId="363D576E" w14:textId="1FF6A27C" w:rsidR="008F3622" w:rsidRPr="00130BF4" w:rsidRDefault="00FD2053" w:rsidP="00E70289">
      <w:pPr>
        <w:pStyle w:val="SingleTxtG"/>
        <w:rPr>
          <w:lang w:val="fr-FR"/>
        </w:rPr>
      </w:pPr>
      <w:r>
        <w:rPr>
          <w:lang w:val="fr-FR"/>
        </w:rPr>
        <w:t>26</w:t>
      </w:r>
      <w:r w:rsidR="008F3622" w:rsidRPr="00130BF4">
        <w:rPr>
          <w:lang w:val="fr-FR"/>
        </w:rPr>
        <w:t>.</w:t>
      </w:r>
      <w:r w:rsidR="008F3622" w:rsidRPr="00130BF4">
        <w:rPr>
          <w:lang w:val="fr-FR"/>
        </w:rPr>
        <w:tab/>
        <w:t>La restructuration des prescriptions relatives à l</w:t>
      </w:r>
      <w:r w:rsidR="004D37B8">
        <w:rPr>
          <w:lang w:val="fr-FR"/>
        </w:rPr>
        <w:t>’</w:t>
      </w:r>
      <w:r w:rsidR="008F3622" w:rsidRPr="00130BF4">
        <w:rPr>
          <w:lang w:val="fr-FR"/>
        </w:rPr>
        <w:t>ouverture des orifices et la prise en compte de toutes les utilisations connues (ce qui n</w:t>
      </w:r>
      <w:r w:rsidR="004D37B8">
        <w:rPr>
          <w:lang w:val="fr-FR"/>
        </w:rPr>
        <w:t>’</w:t>
      </w:r>
      <w:r w:rsidR="008F3622" w:rsidRPr="00130BF4">
        <w:rPr>
          <w:lang w:val="fr-FR"/>
        </w:rPr>
        <w:t>est pas encore le cas dans l</w:t>
      </w:r>
      <w:r w:rsidR="004D37B8">
        <w:rPr>
          <w:lang w:val="fr-FR"/>
        </w:rPr>
        <w:t>’</w:t>
      </w:r>
      <w:r w:rsidR="008F3622" w:rsidRPr="00130BF4">
        <w:rPr>
          <w:lang w:val="fr-FR"/>
        </w:rPr>
        <w:t>ADN 2023) permet de rendre les prescriptions aisément compréhensibles, claires, aisément applicables et contrôlables. Une interprétation individuelle complémentaire visant à combler les lacunes de la réglementation n</w:t>
      </w:r>
      <w:r w:rsidR="004D37B8">
        <w:rPr>
          <w:lang w:val="fr-FR"/>
        </w:rPr>
        <w:t>’</w:t>
      </w:r>
      <w:r w:rsidR="008F3622" w:rsidRPr="00130BF4">
        <w:rPr>
          <w:lang w:val="fr-FR"/>
        </w:rPr>
        <w:t>est plus nécessaire. Les alternatives douteuses du point de vue de la sécurité deviennent ainsi superflues. Il est clairement indiqué pour quelles activités doivent être prises quelles précautions afin de limiter autant que possible les fuites de gaz/vapeurs inflammables ou toxiques des citernes à cargaison et afin de protéger au mieux le personnel intervenant sur les citernes à cargaison (équipage du bateau, personnel des installations à terre, prestataires de services externes).</w:t>
      </w:r>
    </w:p>
    <w:p w14:paraId="69935F8C" w14:textId="318CDFA5" w:rsidR="008F3622" w:rsidRPr="00130BF4" w:rsidRDefault="0031601C" w:rsidP="0031601C">
      <w:pPr>
        <w:pStyle w:val="H1G"/>
        <w:rPr>
          <w:b w:val="0"/>
          <w:bCs/>
          <w:sz w:val="28"/>
          <w:szCs w:val="28"/>
          <w:lang w:val="fr-FR"/>
        </w:rPr>
      </w:pPr>
      <w:r w:rsidRPr="00130BF4">
        <w:rPr>
          <w:bCs/>
          <w:sz w:val="28"/>
          <w:szCs w:val="28"/>
          <w:lang w:val="fr-FR"/>
        </w:rPr>
        <w:lastRenderedPageBreak/>
        <w:tab/>
      </w:r>
      <w:r w:rsidR="008F3622" w:rsidRPr="00130BF4">
        <w:rPr>
          <w:bCs/>
          <w:sz w:val="28"/>
          <w:szCs w:val="28"/>
          <w:lang w:val="fr-FR"/>
        </w:rPr>
        <w:t>IV.</w:t>
      </w:r>
      <w:r w:rsidR="008F3622" w:rsidRPr="00130BF4">
        <w:rPr>
          <w:bCs/>
          <w:sz w:val="28"/>
          <w:szCs w:val="28"/>
          <w:lang w:val="fr-FR"/>
        </w:rPr>
        <w:tab/>
        <w:t>Faisabilité</w:t>
      </w:r>
    </w:p>
    <w:p w14:paraId="14739E22" w14:textId="5C498706" w:rsidR="008F3622" w:rsidRPr="00130BF4" w:rsidRDefault="00FD2053" w:rsidP="00E70289">
      <w:pPr>
        <w:pStyle w:val="SingleTxtG"/>
        <w:rPr>
          <w:lang w:val="fr-FR"/>
        </w:rPr>
      </w:pPr>
      <w:r>
        <w:rPr>
          <w:lang w:val="fr-FR"/>
        </w:rPr>
        <w:t>27</w:t>
      </w:r>
      <w:r w:rsidR="008F3622" w:rsidRPr="00130BF4">
        <w:rPr>
          <w:lang w:val="fr-FR"/>
        </w:rPr>
        <w:t>.</w:t>
      </w:r>
      <w:r w:rsidR="008F3622" w:rsidRPr="00130BF4">
        <w:rPr>
          <w:lang w:val="fr-FR"/>
        </w:rPr>
        <w:tab/>
        <w:t>Aucun problème de mise en œuvre n</w:t>
      </w:r>
      <w:r w:rsidR="004D37B8">
        <w:rPr>
          <w:lang w:val="fr-FR"/>
        </w:rPr>
        <w:t>’</w:t>
      </w:r>
      <w:r w:rsidR="008F3622" w:rsidRPr="00130BF4">
        <w:rPr>
          <w:lang w:val="fr-FR"/>
        </w:rPr>
        <w:t>est à prévoir étant donné que, en fonction de l</w:t>
      </w:r>
      <w:r w:rsidR="004D37B8">
        <w:rPr>
          <w:lang w:val="fr-FR"/>
        </w:rPr>
        <w:t>’</w:t>
      </w:r>
      <w:r w:rsidR="008F3622" w:rsidRPr="00130BF4">
        <w:rPr>
          <w:lang w:val="fr-FR"/>
        </w:rPr>
        <w:t>interprétation des textes juridiques existants, l</w:t>
      </w:r>
      <w:r w:rsidR="004D37B8">
        <w:rPr>
          <w:lang w:val="fr-FR"/>
        </w:rPr>
        <w:t>’</w:t>
      </w:r>
      <w:r w:rsidR="008F3622" w:rsidRPr="00130BF4">
        <w:rPr>
          <w:lang w:val="fr-FR"/>
        </w:rPr>
        <w:t>approche proposée a probablement déjà été adoptée dans la pratique.</w:t>
      </w:r>
    </w:p>
    <w:p w14:paraId="6437A0E6" w14:textId="426E8F7E" w:rsidR="008F3622" w:rsidRPr="00130BF4" w:rsidRDefault="00FD2053" w:rsidP="00E70289">
      <w:pPr>
        <w:pStyle w:val="SingleTxtG"/>
        <w:rPr>
          <w:lang w:val="fr-FR"/>
        </w:rPr>
      </w:pPr>
      <w:r>
        <w:rPr>
          <w:lang w:val="fr-FR"/>
        </w:rPr>
        <w:t>28</w:t>
      </w:r>
      <w:r w:rsidR="008F3622" w:rsidRPr="00130BF4">
        <w:rPr>
          <w:lang w:val="fr-FR"/>
        </w:rPr>
        <w:t>.</w:t>
      </w:r>
      <w:r w:rsidR="008F3622" w:rsidRPr="00130BF4">
        <w:rPr>
          <w:lang w:val="fr-FR"/>
        </w:rPr>
        <w:tab/>
        <w:t>Aucune modification n</w:t>
      </w:r>
      <w:r w:rsidR="004D37B8">
        <w:rPr>
          <w:lang w:val="fr-FR"/>
        </w:rPr>
        <w:t>’</w:t>
      </w:r>
      <w:r w:rsidR="008F3622" w:rsidRPr="00130BF4">
        <w:rPr>
          <w:lang w:val="fr-FR"/>
        </w:rPr>
        <w:t>est nécessaire sur les citernes à cargaison. Par conséquent, les modifications de la réglementation n</w:t>
      </w:r>
      <w:r w:rsidR="004D37B8">
        <w:rPr>
          <w:lang w:val="fr-FR"/>
        </w:rPr>
        <w:t>’</w:t>
      </w:r>
      <w:r w:rsidR="008F3622" w:rsidRPr="00130BF4">
        <w:rPr>
          <w:lang w:val="fr-FR"/>
        </w:rPr>
        <w:t>entraînent aucun investissement financier.</w:t>
      </w:r>
    </w:p>
    <w:p w14:paraId="75BC141A" w14:textId="37262DB1" w:rsidR="008F3622" w:rsidRPr="00130BF4" w:rsidRDefault="0031601C" w:rsidP="0031601C">
      <w:pPr>
        <w:pStyle w:val="H1G"/>
        <w:rPr>
          <w:b w:val="0"/>
          <w:bCs/>
          <w:sz w:val="28"/>
          <w:szCs w:val="28"/>
          <w:lang w:val="fr-FR"/>
        </w:rPr>
      </w:pPr>
      <w:r w:rsidRPr="00130BF4">
        <w:rPr>
          <w:bCs/>
          <w:sz w:val="28"/>
          <w:szCs w:val="28"/>
          <w:lang w:val="fr-FR"/>
        </w:rPr>
        <w:tab/>
      </w:r>
      <w:r w:rsidR="008F3622" w:rsidRPr="00130BF4">
        <w:rPr>
          <w:bCs/>
          <w:sz w:val="28"/>
          <w:szCs w:val="28"/>
          <w:lang w:val="fr-FR"/>
        </w:rPr>
        <w:t>V.</w:t>
      </w:r>
      <w:r w:rsidR="008F3622" w:rsidRPr="00130BF4">
        <w:rPr>
          <w:bCs/>
          <w:sz w:val="28"/>
          <w:szCs w:val="28"/>
          <w:lang w:val="fr-FR"/>
        </w:rPr>
        <w:tab/>
        <w:t>Durabilité</w:t>
      </w:r>
    </w:p>
    <w:p w14:paraId="25CB6443" w14:textId="2480F233" w:rsidR="008F3622" w:rsidRPr="00130BF4" w:rsidRDefault="00FD2053" w:rsidP="00E70289">
      <w:pPr>
        <w:pStyle w:val="SingleTxtG"/>
        <w:rPr>
          <w:lang w:val="fr-FR"/>
        </w:rPr>
      </w:pPr>
      <w:r>
        <w:rPr>
          <w:lang w:val="fr-FR"/>
        </w:rPr>
        <w:t>29</w:t>
      </w:r>
      <w:r w:rsidR="008F3622" w:rsidRPr="00130BF4">
        <w:rPr>
          <w:lang w:val="fr-FR"/>
        </w:rPr>
        <w:t>.</w:t>
      </w:r>
      <w:r w:rsidR="008F3622" w:rsidRPr="00130BF4">
        <w:rPr>
          <w:lang w:val="fr-FR"/>
        </w:rPr>
        <w:tab/>
        <w:t>Les prescriptions relatives à l</w:t>
      </w:r>
      <w:r w:rsidR="004D37B8">
        <w:rPr>
          <w:lang w:val="fr-FR"/>
        </w:rPr>
        <w:t>’</w:t>
      </w:r>
      <w:r w:rsidR="008F3622" w:rsidRPr="00130BF4">
        <w:rPr>
          <w:lang w:val="fr-FR"/>
        </w:rPr>
        <w:t>ouverture des orifices peuvent notamment être mises en relation avec les objectifs de durabilité suivants. (Voir INF. 23 de la session de printemps 2023 de la réunion commune RID/ADR/ADN) :</w:t>
      </w:r>
    </w:p>
    <w:p w14:paraId="48D938DC" w14:textId="77777777" w:rsidR="008F3622" w:rsidRPr="00130BF4" w:rsidRDefault="008F3622" w:rsidP="000F32A0">
      <w:pPr>
        <w:tabs>
          <w:tab w:val="left" w:pos="1701"/>
        </w:tabs>
        <w:spacing w:after="120"/>
        <w:ind w:left="1134"/>
        <w:jc w:val="both"/>
        <w:rPr>
          <w:b/>
          <w:lang w:val="fr-FR"/>
        </w:rPr>
      </w:pPr>
      <w:r w:rsidRPr="00130BF4">
        <w:rPr>
          <w:b/>
          <w:lang w:val="fr-FR"/>
        </w:rPr>
        <w:t>Objectif 3 Santé et bien-être</w:t>
      </w:r>
    </w:p>
    <w:p w14:paraId="1EF0E414" w14:textId="10C6B66C" w:rsidR="008F3622" w:rsidRPr="00130BF4" w:rsidRDefault="00FD2053" w:rsidP="00E70289">
      <w:pPr>
        <w:pStyle w:val="SingleTxtG"/>
        <w:rPr>
          <w:lang w:val="fr-FR"/>
        </w:rPr>
      </w:pPr>
      <w:r>
        <w:rPr>
          <w:lang w:val="fr-FR"/>
        </w:rPr>
        <w:t>30.</w:t>
      </w:r>
      <w:r>
        <w:rPr>
          <w:lang w:val="fr-FR"/>
        </w:rPr>
        <w:tab/>
      </w:r>
      <w:r w:rsidR="008F3622" w:rsidRPr="00130BF4">
        <w:rPr>
          <w:lang w:val="fr-FR"/>
        </w:rPr>
        <w:t>Les règles proposées garantissent une manipulation sûre des produits chimiques dangereux pendant le transport. Les intervenants obtiennent des informations adéquates sur la manière de traiter les marchandises dangereuses.</w:t>
      </w:r>
    </w:p>
    <w:p w14:paraId="0424942C" w14:textId="77777777" w:rsidR="008F3622" w:rsidRPr="00130BF4" w:rsidRDefault="008F3622" w:rsidP="000F32A0">
      <w:pPr>
        <w:tabs>
          <w:tab w:val="left" w:pos="1701"/>
        </w:tabs>
        <w:spacing w:after="120"/>
        <w:ind w:left="1134"/>
        <w:jc w:val="both"/>
        <w:rPr>
          <w:b/>
          <w:lang w:val="fr-FR"/>
        </w:rPr>
      </w:pPr>
      <w:r w:rsidRPr="00130BF4">
        <w:rPr>
          <w:b/>
          <w:lang w:val="fr-FR"/>
        </w:rPr>
        <w:t>Objectif 6 Eau propre et assainissement</w:t>
      </w:r>
    </w:p>
    <w:p w14:paraId="7D8F4468" w14:textId="6584D731" w:rsidR="008F3622" w:rsidRPr="00130BF4" w:rsidRDefault="00FD2053" w:rsidP="00E70289">
      <w:pPr>
        <w:pStyle w:val="SingleTxtG"/>
        <w:rPr>
          <w:lang w:val="fr-FR"/>
        </w:rPr>
      </w:pPr>
      <w:r>
        <w:rPr>
          <w:lang w:val="fr-FR"/>
        </w:rPr>
        <w:t>31.</w:t>
      </w:r>
      <w:r>
        <w:rPr>
          <w:lang w:val="fr-FR"/>
        </w:rPr>
        <w:tab/>
      </w:r>
      <w:r w:rsidR="008F3622" w:rsidRPr="00130BF4">
        <w:rPr>
          <w:lang w:val="fr-FR"/>
        </w:rPr>
        <w:t>Les prescriptions proposées contribuent à éviter le déversement de marchandises dangereuses dans les voies d</w:t>
      </w:r>
      <w:r w:rsidR="004D37B8">
        <w:rPr>
          <w:lang w:val="fr-FR"/>
        </w:rPr>
        <w:t>’</w:t>
      </w:r>
      <w:r w:rsidR="008F3622" w:rsidRPr="00130BF4">
        <w:rPr>
          <w:lang w:val="fr-FR"/>
        </w:rPr>
        <w:t>eau à partir de citernes de cargaison ouvertes, afin de prévenir la pollution des eaux.</w:t>
      </w:r>
    </w:p>
    <w:p w14:paraId="460D60C7" w14:textId="77777777" w:rsidR="008F3622" w:rsidRPr="00130BF4" w:rsidRDefault="008F3622" w:rsidP="000F32A0">
      <w:pPr>
        <w:tabs>
          <w:tab w:val="left" w:pos="1701"/>
        </w:tabs>
        <w:spacing w:after="120"/>
        <w:ind w:left="1134"/>
        <w:jc w:val="both"/>
        <w:rPr>
          <w:b/>
          <w:lang w:val="fr-FR"/>
        </w:rPr>
      </w:pPr>
      <w:r w:rsidRPr="00130BF4">
        <w:rPr>
          <w:b/>
          <w:lang w:val="fr-FR"/>
        </w:rPr>
        <w:t>Objectif 8 Travail décent et croissance économique</w:t>
      </w:r>
    </w:p>
    <w:p w14:paraId="50F634F4" w14:textId="424A84DB" w:rsidR="008F3622" w:rsidRPr="00130BF4" w:rsidRDefault="00FD2053" w:rsidP="00E70289">
      <w:pPr>
        <w:pStyle w:val="SingleTxtG"/>
        <w:rPr>
          <w:lang w:val="fr-FR"/>
        </w:rPr>
      </w:pPr>
      <w:r>
        <w:rPr>
          <w:lang w:val="fr-FR"/>
        </w:rPr>
        <w:t>32.</w:t>
      </w:r>
      <w:r>
        <w:rPr>
          <w:lang w:val="fr-FR"/>
        </w:rPr>
        <w:tab/>
      </w:r>
      <w:r w:rsidR="008F3622" w:rsidRPr="00130BF4">
        <w:rPr>
          <w:lang w:val="fr-FR"/>
        </w:rPr>
        <w:t>Tous les employés travaillant à bord de bateaux-citernes de navigation intérieure dans les États parties à l</w:t>
      </w:r>
      <w:r w:rsidR="004D37B8">
        <w:rPr>
          <w:lang w:val="fr-FR"/>
        </w:rPr>
        <w:t>’</w:t>
      </w:r>
      <w:r w:rsidR="008F3622" w:rsidRPr="00130BF4">
        <w:rPr>
          <w:lang w:val="fr-FR"/>
        </w:rPr>
        <w:t>ADN, ainsi que tous les employés travaillant pour des remplisseurs et des déchargeurs de bateaux-citernes bénéficient d</w:t>
      </w:r>
      <w:r w:rsidR="004D37B8">
        <w:rPr>
          <w:lang w:val="fr-FR"/>
        </w:rPr>
        <w:t>’</w:t>
      </w:r>
      <w:r w:rsidR="008F3622" w:rsidRPr="00130BF4">
        <w:rPr>
          <w:lang w:val="fr-FR"/>
        </w:rPr>
        <w:t>un niveau de protection équivalent et ont accès aux informations leur permettant de prendre les mesures de protection appropriées sur leur lieu de travail, en fonction des marchandises dangereuses qu</w:t>
      </w:r>
      <w:r w:rsidR="004D37B8">
        <w:rPr>
          <w:lang w:val="fr-FR"/>
        </w:rPr>
        <w:t>’</w:t>
      </w:r>
      <w:r w:rsidR="008F3622" w:rsidRPr="00130BF4">
        <w:rPr>
          <w:lang w:val="fr-FR"/>
        </w:rPr>
        <w:t>ils manipulent.</w:t>
      </w:r>
    </w:p>
    <w:p w14:paraId="7267E307" w14:textId="77777777" w:rsidR="008F3622" w:rsidRPr="00130BF4" w:rsidRDefault="008F3622" w:rsidP="000F32A0">
      <w:pPr>
        <w:tabs>
          <w:tab w:val="left" w:pos="1701"/>
        </w:tabs>
        <w:spacing w:after="120"/>
        <w:ind w:left="1134"/>
        <w:jc w:val="both"/>
        <w:rPr>
          <w:b/>
          <w:lang w:val="fr-FR"/>
        </w:rPr>
      </w:pPr>
      <w:r w:rsidRPr="00130BF4">
        <w:rPr>
          <w:b/>
          <w:lang w:val="fr-FR"/>
        </w:rPr>
        <w:t>Objectif 17 Partenariats pour la réalisation des objectifs</w:t>
      </w:r>
    </w:p>
    <w:p w14:paraId="6D1933D4" w14:textId="44926EFB" w:rsidR="00A00AD2" w:rsidRPr="00130BF4" w:rsidRDefault="00FD2053" w:rsidP="008F3622">
      <w:pPr>
        <w:pStyle w:val="SingleTxtG"/>
        <w:rPr>
          <w:bCs/>
          <w:lang w:val="fr-FR"/>
        </w:rPr>
      </w:pPr>
      <w:r>
        <w:rPr>
          <w:lang w:val="fr-FR"/>
        </w:rPr>
        <w:t>33.</w:t>
      </w:r>
      <w:r>
        <w:rPr>
          <w:lang w:val="fr-FR"/>
        </w:rPr>
        <w:tab/>
      </w:r>
      <w:r w:rsidR="008F3622" w:rsidRPr="00130BF4">
        <w:rPr>
          <w:lang w:val="fr-FR"/>
        </w:rPr>
        <w:t>Le fait de rappeler que l</w:t>
      </w:r>
      <w:r w:rsidR="004D37B8">
        <w:rPr>
          <w:lang w:val="fr-FR"/>
        </w:rPr>
        <w:t>’</w:t>
      </w:r>
      <w:r w:rsidR="008F3622" w:rsidRPr="00130BF4">
        <w:rPr>
          <w:lang w:val="fr-FR"/>
        </w:rPr>
        <w:t>ouverture des orifices et donc la libération de gaz et de vapeurs nocifs des citernes à cargaison sont susceptibles d</w:t>
      </w:r>
      <w:r w:rsidR="004D37B8">
        <w:rPr>
          <w:lang w:val="fr-FR"/>
        </w:rPr>
        <w:t>’</w:t>
      </w:r>
      <w:r w:rsidR="008F3622" w:rsidRPr="00130BF4">
        <w:rPr>
          <w:lang w:val="fr-FR"/>
        </w:rPr>
        <w:t>être interdites par d</w:t>
      </w:r>
      <w:r w:rsidR="004D37B8">
        <w:rPr>
          <w:lang w:val="fr-FR"/>
        </w:rPr>
        <w:t>’</w:t>
      </w:r>
      <w:r w:rsidR="008F3622" w:rsidRPr="00130BF4">
        <w:rPr>
          <w:lang w:val="fr-FR"/>
        </w:rPr>
        <w:t>autres réglementations afin d</w:t>
      </w:r>
      <w:r w:rsidR="004D37B8">
        <w:rPr>
          <w:lang w:val="fr-FR"/>
        </w:rPr>
        <w:t>’</w:t>
      </w:r>
      <w:r w:rsidR="008F3622" w:rsidRPr="00130BF4">
        <w:rPr>
          <w:lang w:val="fr-FR"/>
        </w:rPr>
        <w:t>éviter des accidents et des dommages aux personnes ou à l</w:t>
      </w:r>
      <w:r w:rsidR="004D37B8">
        <w:rPr>
          <w:lang w:val="fr-FR"/>
        </w:rPr>
        <w:t>’</w:t>
      </w:r>
      <w:r w:rsidR="008F3622" w:rsidRPr="00130BF4">
        <w:rPr>
          <w:lang w:val="fr-FR"/>
        </w:rPr>
        <w:t>environnement, c</w:t>
      </w:r>
      <w:r w:rsidR="004D37B8">
        <w:rPr>
          <w:lang w:val="fr-FR"/>
        </w:rPr>
        <w:t>’</w:t>
      </w:r>
      <w:r w:rsidR="008F3622" w:rsidRPr="00130BF4">
        <w:rPr>
          <w:lang w:val="fr-FR"/>
        </w:rPr>
        <w:t>est à dire pour des raisons autres que la sécurité du transport, permet de respecter ces objectifs et d</w:t>
      </w:r>
      <w:r w:rsidR="004D37B8">
        <w:rPr>
          <w:lang w:val="fr-FR"/>
        </w:rPr>
        <w:t>’</w:t>
      </w:r>
      <w:r w:rsidR="008F3622" w:rsidRPr="00130BF4">
        <w:rPr>
          <w:lang w:val="fr-FR"/>
        </w:rPr>
        <w:t>y contribuer dans un esprit de partenariat.</w:t>
      </w:r>
    </w:p>
    <w:p w14:paraId="4A0A8FF1" w14:textId="10711CC5" w:rsidR="007E792A" w:rsidRPr="00130BF4" w:rsidRDefault="00EF7835" w:rsidP="00EF7835">
      <w:pPr>
        <w:spacing w:before="240"/>
        <w:jc w:val="center"/>
        <w:rPr>
          <w:u w:val="single"/>
          <w:lang w:val="fr-FR"/>
        </w:rPr>
      </w:pPr>
      <w:r w:rsidRPr="00130BF4">
        <w:rPr>
          <w:u w:val="single"/>
          <w:lang w:val="fr-FR"/>
        </w:rPr>
        <w:tab/>
      </w:r>
      <w:r w:rsidRPr="00130BF4">
        <w:rPr>
          <w:u w:val="single"/>
          <w:lang w:val="fr-FR"/>
        </w:rPr>
        <w:tab/>
      </w:r>
      <w:r w:rsidRPr="00130BF4">
        <w:rPr>
          <w:u w:val="single"/>
          <w:lang w:val="fr-FR"/>
        </w:rPr>
        <w:tab/>
      </w:r>
    </w:p>
    <w:sectPr w:rsidR="007E792A" w:rsidRPr="00130BF4" w:rsidSect="00FF4AFA">
      <w:headerReference w:type="even" r:id="rId12"/>
      <w:headerReference w:type="default" r:id="rId13"/>
      <w:footerReference w:type="even" r:id="rId14"/>
      <w:footerReference w:type="defaul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62915" w14:textId="77777777" w:rsidR="00BD0731" w:rsidRDefault="00BD0731" w:rsidP="00F95C08">
      <w:pPr>
        <w:spacing w:line="240" w:lineRule="auto"/>
      </w:pPr>
    </w:p>
  </w:endnote>
  <w:endnote w:type="continuationSeparator" w:id="0">
    <w:p w14:paraId="2BAAB0C9" w14:textId="77777777" w:rsidR="00BD0731" w:rsidRPr="00AC3823" w:rsidRDefault="00BD0731" w:rsidP="00AC3823">
      <w:pPr>
        <w:pStyle w:val="Pieddepage"/>
      </w:pPr>
    </w:p>
  </w:endnote>
  <w:endnote w:type="continuationNotice" w:id="1">
    <w:p w14:paraId="76E1995A" w14:textId="77777777" w:rsidR="00BD0731" w:rsidRDefault="00BD073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2CB91" w14:textId="77777777" w:rsidR="00FF4AFA" w:rsidRPr="00FF4AFA" w:rsidRDefault="00FF4AFA" w:rsidP="00FF4AFA">
    <w:pPr>
      <w:pStyle w:val="Pieddepage"/>
      <w:tabs>
        <w:tab w:val="right" w:pos="9638"/>
      </w:tabs>
      <w:rPr>
        <w:sz w:val="18"/>
      </w:rPr>
    </w:pPr>
    <w:r w:rsidRPr="00FF4AFA">
      <w:rPr>
        <w:b/>
        <w:sz w:val="18"/>
      </w:rPr>
      <w:fldChar w:fldCharType="begin"/>
    </w:r>
    <w:r w:rsidRPr="00FF4AFA">
      <w:rPr>
        <w:b/>
        <w:sz w:val="18"/>
      </w:rPr>
      <w:instrText xml:space="preserve"> PAGE  \* MERGEFORMAT </w:instrText>
    </w:r>
    <w:r w:rsidRPr="00FF4AFA">
      <w:rPr>
        <w:b/>
        <w:sz w:val="18"/>
      </w:rPr>
      <w:fldChar w:fldCharType="separate"/>
    </w:r>
    <w:r w:rsidRPr="00FF4AFA">
      <w:rPr>
        <w:b/>
        <w:noProof/>
        <w:sz w:val="18"/>
      </w:rPr>
      <w:t>2</w:t>
    </w:r>
    <w:r w:rsidRPr="00FF4AF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E0DD" w14:textId="77777777" w:rsidR="00FF4AFA" w:rsidRPr="00FF4AFA" w:rsidRDefault="00FF4AFA" w:rsidP="00FF4AFA">
    <w:pPr>
      <w:pStyle w:val="Pieddepage"/>
      <w:tabs>
        <w:tab w:val="right" w:pos="9638"/>
      </w:tabs>
      <w:rPr>
        <w:b/>
        <w:sz w:val="18"/>
      </w:rPr>
    </w:pPr>
    <w:r>
      <w:tab/>
    </w:r>
    <w:r w:rsidRPr="00FF4AFA">
      <w:rPr>
        <w:b/>
        <w:sz w:val="18"/>
      </w:rPr>
      <w:fldChar w:fldCharType="begin"/>
    </w:r>
    <w:r w:rsidRPr="00FF4AFA">
      <w:rPr>
        <w:b/>
        <w:sz w:val="18"/>
      </w:rPr>
      <w:instrText xml:space="preserve"> PAGE  \* MERGEFORMAT </w:instrText>
    </w:r>
    <w:r w:rsidRPr="00FF4AFA">
      <w:rPr>
        <w:b/>
        <w:sz w:val="18"/>
      </w:rPr>
      <w:fldChar w:fldCharType="separate"/>
    </w:r>
    <w:r w:rsidRPr="00FF4AFA">
      <w:rPr>
        <w:b/>
        <w:noProof/>
        <w:sz w:val="18"/>
      </w:rPr>
      <w:t>3</w:t>
    </w:r>
    <w:r w:rsidRPr="00FF4AF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714A" w14:textId="2A701A4B" w:rsidR="000D3EE9" w:rsidRPr="00506C3C" w:rsidRDefault="00506C3C" w:rsidP="00506C3C">
    <w:pPr>
      <w:pStyle w:val="Pieddepage"/>
      <w:tabs>
        <w:tab w:val="left" w:pos="6520"/>
        <w:tab w:val="right" w:pos="9638"/>
      </w:tabs>
      <w:spacing w:before="120"/>
      <w:rPr>
        <w:sz w:val="20"/>
      </w:rPr>
    </w:pPr>
    <w:r>
      <w:rPr>
        <w:sz w:val="20"/>
      </w:rPr>
      <w:t>GE.23-11417  (F)</w:t>
    </w:r>
    <w:bookmarkStart w:id="2" w:name="_GoBack"/>
    <w:bookmarkEnd w:id="2"/>
    <w:r>
      <w:rPr>
        <w:sz w:val="20"/>
      </w:rPr>
      <w:tab/>
    </w:r>
    <w:r w:rsidRPr="00506C3C">
      <w:rPr>
        <w:noProof/>
        <w:sz w:val="20"/>
        <w:lang w:eastAsia="fr-CH"/>
      </w:rPr>
      <w:drawing>
        <wp:inline distT="0" distB="0" distL="0" distR="0" wp14:anchorId="12483016" wp14:editId="76698605">
          <wp:extent cx="1105200" cy="234000"/>
          <wp:effectExtent l="0" t="0" r="0" b="0"/>
          <wp:docPr id="1"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65F755D8" wp14:editId="17D0EF03">
          <wp:extent cx="638175" cy="638175"/>
          <wp:effectExtent l="0" t="0" r="9525" b="9525"/>
          <wp:docPr id="12731500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98612" w14:textId="77777777" w:rsidR="00BD0731" w:rsidRPr="00AC3823" w:rsidRDefault="00BD0731" w:rsidP="00AC3823">
      <w:pPr>
        <w:pStyle w:val="Pieddepage"/>
        <w:tabs>
          <w:tab w:val="right" w:pos="2155"/>
        </w:tabs>
        <w:spacing w:after="80" w:line="240" w:lineRule="atLeast"/>
        <w:ind w:left="680"/>
        <w:rPr>
          <w:u w:val="single"/>
        </w:rPr>
      </w:pPr>
      <w:r>
        <w:rPr>
          <w:u w:val="single"/>
        </w:rPr>
        <w:tab/>
      </w:r>
    </w:p>
  </w:footnote>
  <w:footnote w:type="continuationSeparator" w:id="0">
    <w:p w14:paraId="170ABA91" w14:textId="77777777" w:rsidR="00BD0731" w:rsidRPr="00AC3823" w:rsidRDefault="00BD0731" w:rsidP="00AC3823">
      <w:pPr>
        <w:pStyle w:val="Pieddepage"/>
        <w:tabs>
          <w:tab w:val="right" w:pos="2155"/>
        </w:tabs>
        <w:spacing w:after="80" w:line="240" w:lineRule="atLeast"/>
        <w:ind w:left="680"/>
        <w:rPr>
          <w:u w:val="single"/>
        </w:rPr>
      </w:pPr>
      <w:r>
        <w:rPr>
          <w:u w:val="single"/>
        </w:rPr>
        <w:tab/>
      </w:r>
    </w:p>
  </w:footnote>
  <w:footnote w:type="continuationNotice" w:id="1">
    <w:p w14:paraId="5E920837" w14:textId="77777777" w:rsidR="00BD0731" w:rsidRPr="00AC3823" w:rsidRDefault="00BD0731">
      <w:pPr>
        <w:spacing w:line="240" w:lineRule="auto"/>
        <w:rPr>
          <w:sz w:val="2"/>
          <w:szCs w:val="2"/>
        </w:rPr>
      </w:pPr>
    </w:p>
  </w:footnote>
  <w:footnote w:id="2">
    <w:p w14:paraId="4B3FC7A4" w14:textId="5BACA3BB" w:rsidR="00414F16" w:rsidRPr="004D37B8" w:rsidRDefault="00414F16">
      <w:pPr>
        <w:pStyle w:val="Notedebasdepage"/>
        <w:rPr>
          <w:sz w:val="16"/>
          <w:szCs w:val="16"/>
        </w:rPr>
      </w:pPr>
      <w:r>
        <w:rPr>
          <w:rStyle w:val="Appelnotedebasdep"/>
        </w:rPr>
        <w:tab/>
      </w:r>
      <w:r w:rsidRPr="004D37B8">
        <w:rPr>
          <w:rFonts w:eastAsia="Calibri"/>
          <w:bCs/>
          <w:sz w:val="20"/>
          <w:lang w:val="fr-FR" w:eastAsia="fr-FR"/>
        </w:rPr>
        <w:t>*</w:t>
      </w:r>
      <w:r>
        <w:rPr>
          <w:rStyle w:val="Appelnotedebasdep"/>
          <w:sz w:val="20"/>
          <w:vertAlign w:val="baseline"/>
        </w:rPr>
        <w:tab/>
      </w:r>
      <w:r w:rsidR="000F32A0" w:rsidRPr="000F32A0">
        <w:rPr>
          <w:sz w:val="16"/>
          <w:szCs w:val="16"/>
        </w:rPr>
        <w:t>Ce document a été soumis tardivement en raison de circonstances imprévues.</w:t>
      </w:r>
    </w:p>
  </w:footnote>
  <w:footnote w:id="3">
    <w:p w14:paraId="2A659F5E" w14:textId="3E2CB7CE" w:rsidR="008F189B" w:rsidRPr="005B465E" w:rsidRDefault="009A09F0" w:rsidP="008F189B">
      <w:pPr>
        <w:pStyle w:val="Notedebasdepage"/>
        <w:rPr>
          <w:sz w:val="16"/>
          <w:szCs w:val="16"/>
          <w:lang w:val="fr-FR" w:eastAsia="fr-FR"/>
        </w:rPr>
      </w:pPr>
      <w:r>
        <w:rPr>
          <w:sz w:val="16"/>
          <w:szCs w:val="16"/>
          <w:lang w:val="fr-FR"/>
        </w:rPr>
        <w:tab/>
      </w:r>
      <w:r w:rsidR="00414F16" w:rsidRPr="004D37B8">
        <w:rPr>
          <w:rFonts w:eastAsia="Calibri"/>
          <w:bCs/>
          <w:sz w:val="20"/>
          <w:lang w:val="fr-FR" w:eastAsia="fr-FR"/>
        </w:rPr>
        <w:t>*</w:t>
      </w:r>
      <w:r w:rsidR="004475C9" w:rsidRPr="004D37B8">
        <w:rPr>
          <w:rFonts w:eastAsia="Calibri"/>
          <w:bCs/>
          <w:sz w:val="20"/>
          <w:lang w:val="fr-FR" w:eastAsia="fr-FR"/>
        </w:rPr>
        <w:t>*</w:t>
      </w:r>
      <w:r w:rsidR="008F189B" w:rsidRPr="005B465E">
        <w:rPr>
          <w:rStyle w:val="Appelnotedebasdep"/>
          <w:sz w:val="16"/>
          <w:szCs w:val="16"/>
          <w:lang w:val="fr-FR"/>
        </w:rPr>
        <w:tab/>
      </w:r>
      <w:r w:rsidR="008F189B" w:rsidRPr="005B465E">
        <w:rPr>
          <w:sz w:val="16"/>
          <w:szCs w:val="16"/>
          <w:lang w:val="fr-FR"/>
        </w:rPr>
        <w:t>Diffusée en langue allemande par la Commission centrale pour la navigation du Rhin sous la cote CCNR-ZKR/ADN/WP.15/AC.2/2023/</w:t>
      </w:r>
      <w:r w:rsidR="000738FC">
        <w:rPr>
          <w:sz w:val="16"/>
          <w:szCs w:val="16"/>
          <w:lang w:val="fr-FR"/>
        </w:rPr>
        <w:t>47</w:t>
      </w:r>
    </w:p>
  </w:footnote>
  <w:footnote w:id="4">
    <w:p w14:paraId="179F99D0" w14:textId="52079D44" w:rsidR="008F189B" w:rsidRPr="005B465E" w:rsidRDefault="008F189B" w:rsidP="008F189B">
      <w:pPr>
        <w:pStyle w:val="Notedebasdepage"/>
        <w:rPr>
          <w:sz w:val="16"/>
          <w:szCs w:val="16"/>
          <w:lang w:val="fr-FR"/>
        </w:rPr>
      </w:pPr>
      <w:r w:rsidRPr="005B465E">
        <w:rPr>
          <w:rStyle w:val="Appelnotedebasdep"/>
          <w:sz w:val="16"/>
          <w:szCs w:val="16"/>
          <w:lang w:val="fr-FR"/>
        </w:rPr>
        <w:tab/>
      </w:r>
      <w:r w:rsidR="00414F16" w:rsidRPr="003F052B">
        <w:rPr>
          <w:rFonts w:eastAsia="Calibri"/>
          <w:sz w:val="20"/>
          <w:lang w:val="fr-FR" w:eastAsia="fr-FR"/>
        </w:rPr>
        <w:t>*</w:t>
      </w:r>
      <w:r w:rsidR="004475C9" w:rsidRPr="002C1851">
        <w:rPr>
          <w:rFonts w:eastAsia="Calibri"/>
          <w:sz w:val="20"/>
          <w:lang w:val="fr-FR" w:eastAsia="fr-FR"/>
        </w:rPr>
        <w:t>**</w:t>
      </w:r>
      <w:r w:rsidRPr="005B465E">
        <w:rPr>
          <w:rStyle w:val="Appelnotedebasdep"/>
          <w:sz w:val="16"/>
          <w:szCs w:val="16"/>
          <w:lang w:val="fr-FR"/>
        </w:rPr>
        <w:tab/>
      </w:r>
      <w:r w:rsidRPr="005B465E">
        <w:rPr>
          <w:sz w:val="16"/>
          <w:szCs w:val="16"/>
          <w:lang w:val="fr-FR" w:eastAsia="fr-FR"/>
        </w:rPr>
        <w:t>A/77/6 (</w:t>
      </w:r>
      <w:r>
        <w:rPr>
          <w:sz w:val="16"/>
          <w:szCs w:val="16"/>
          <w:lang w:val="fr-FR" w:eastAsia="fr-FR"/>
        </w:rPr>
        <w:t>Sect</w:t>
      </w:r>
      <w:r w:rsidRPr="005B465E">
        <w:rPr>
          <w:sz w:val="16"/>
          <w:szCs w:val="16"/>
          <w:lang w:val="fr-FR" w:eastAsia="fr-FR"/>
        </w:rPr>
        <w:t xml:space="preserve">. 20) </w:t>
      </w:r>
      <w:r>
        <w:rPr>
          <w:sz w:val="16"/>
          <w:szCs w:val="16"/>
          <w:lang w:val="fr-FR" w:eastAsia="fr-FR"/>
        </w:rPr>
        <w:t>Tableau</w:t>
      </w:r>
      <w:r w:rsidRPr="005B465E">
        <w:rPr>
          <w:sz w:val="16"/>
          <w:szCs w:val="16"/>
          <w:lang w:val="fr-FR" w:eastAsia="fr-FR"/>
        </w:rPr>
        <w:t xml:space="preserve"> 20.6</w:t>
      </w:r>
      <w:r w:rsidRPr="005B465E">
        <w:rPr>
          <w:sz w:val="16"/>
          <w:szCs w:val="16"/>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5A723" w14:textId="1C7C5E5A" w:rsidR="00FF4AFA" w:rsidRPr="00FF4AFA" w:rsidRDefault="000451EF">
    <w:pPr>
      <w:pStyle w:val="En-tte"/>
    </w:pPr>
    <w:r>
      <w:fldChar w:fldCharType="begin"/>
    </w:r>
    <w:r>
      <w:instrText xml:space="preserve"> TITLE  \* MERGEFORMAT </w:instrText>
    </w:r>
    <w:r>
      <w:fldChar w:fldCharType="separate"/>
    </w:r>
    <w:r>
      <w:t>ECE/TRANS/WP.15/AC.2/2023/47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EE0F1" w14:textId="27021053" w:rsidR="00FF4AFA" w:rsidRPr="00FF4AFA" w:rsidRDefault="000451EF" w:rsidP="00FF4AFA">
    <w:pPr>
      <w:pStyle w:val="En-tte"/>
      <w:jc w:val="right"/>
    </w:pPr>
    <w:r>
      <w:fldChar w:fldCharType="begin"/>
    </w:r>
    <w:r>
      <w:instrText xml:space="preserve"> TITLE  \* MERGEFORMAT </w:instrText>
    </w:r>
    <w:r>
      <w:fldChar w:fldCharType="separate"/>
    </w:r>
    <w:r>
      <w:t>ECE/TRANS/WP.15/AC.2/2023/47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60FFF"/>
    <w:multiLevelType w:val="hybridMultilevel"/>
    <w:tmpl w:val="B9021B34"/>
    <w:lvl w:ilvl="0" w:tplc="575E35A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8A54418"/>
    <w:multiLevelType w:val="hybridMultilevel"/>
    <w:tmpl w:val="E794B27A"/>
    <w:lvl w:ilvl="0" w:tplc="37E4B0C4">
      <w:numFmt w:val="bullet"/>
      <w:lvlText w:val="-"/>
      <w:lvlJc w:val="left"/>
      <w:pPr>
        <w:ind w:left="720"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24DB1A9D"/>
    <w:multiLevelType w:val="hybridMultilevel"/>
    <w:tmpl w:val="A59E3302"/>
    <w:lvl w:ilvl="0" w:tplc="FFFFFFFF">
      <w:numFmt w:val="bullet"/>
      <w:lvlText w:val="-"/>
      <w:lvlJc w:val="left"/>
      <w:pPr>
        <w:ind w:left="720" w:hanging="360"/>
      </w:pPr>
      <w:rPr>
        <w:rFonts w:ascii="Times New Roman" w:eastAsia="Times New Roman" w:hAnsi="Times New Roman" w:cs="Times New Roman" w:hint="default"/>
      </w:rPr>
    </w:lvl>
    <w:lvl w:ilvl="1" w:tplc="37E4B0C4">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2A77155"/>
    <w:multiLevelType w:val="hybridMultilevel"/>
    <w:tmpl w:val="746E2214"/>
    <w:lvl w:ilvl="0" w:tplc="FF6677B2">
      <w:start w:val="1"/>
      <w:numFmt w:val="upperLetter"/>
      <w:lvlText w:val="%1."/>
      <w:lvlJc w:val="left"/>
      <w:pPr>
        <w:ind w:left="855" w:hanging="540"/>
      </w:pPr>
      <w:rPr>
        <w:rFonts w:hint="default"/>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1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3B915C66"/>
    <w:multiLevelType w:val="hybridMultilevel"/>
    <w:tmpl w:val="0C92C148"/>
    <w:lvl w:ilvl="0" w:tplc="37E4B0C4">
      <w:numFmt w:val="bullet"/>
      <w:lvlText w:val="-"/>
      <w:lvlJc w:val="left"/>
      <w:pPr>
        <w:ind w:left="2988" w:hanging="360"/>
      </w:pPr>
      <w:rPr>
        <w:rFonts w:ascii="Times New Roman" w:eastAsia="Times New Roman" w:hAnsi="Times New Roman" w:cs="Times New Roman"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17" w15:restartNumberingAfterBreak="0">
    <w:nsid w:val="4A9A402E"/>
    <w:multiLevelType w:val="hybridMultilevel"/>
    <w:tmpl w:val="E6A27B88"/>
    <w:lvl w:ilvl="0" w:tplc="37E4B0C4">
      <w:numFmt w:val="bullet"/>
      <w:lvlText w:val="-"/>
      <w:lvlJc w:val="left"/>
      <w:pPr>
        <w:ind w:left="720"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739385E"/>
    <w:multiLevelType w:val="hybridMultilevel"/>
    <w:tmpl w:val="6F048666"/>
    <w:lvl w:ilvl="0" w:tplc="9B3CEF8E">
      <w:start w:val="1"/>
      <w:numFmt w:val="decimal"/>
      <w:lvlText w:val="%1."/>
      <w:lvlJc w:val="left"/>
      <w:pPr>
        <w:ind w:left="5180" w:hanging="360"/>
      </w:pPr>
      <w:rPr>
        <w:rFonts w:ascii="Times New Roman" w:hAnsi="Times New Roman" w:cs="Times New Roman" w:hint="default"/>
        <w:b w:val="0"/>
        <w:bCs w:val="0"/>
        <w:sz w:val="20"/>
        <w:szCs w:val="20"/>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9"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853811373">
    <w:abstractNumId w:val="19"/>
  </w:num>
  <w:num w:numId="2" w16cid:durableId="1050421747">
    <w:abstractNumId w:val="15"/>
  </w:num>
  <w:num w:numId="3" w16cid:durableId="1128275490">
    <w:abstractNumId w:val="12"/>
  </w:num>
  <w:num w:numId="4" w16cid:durableId="1814365772">
    <w:abstractNumId w:val="8"/>
  </w:num>
  <w:num w:numId="5" w16cid:durableId="1787458598">
    <w:abstractNumId w:val="3"/>
  </w:num>
  <w:num w:numId="6" w16cid:durableId="1639460037">
    <w:abstractNumId w:val="2"/>
  </w:num>
  <w:num w:numId="7" w16cid:durableId="709258801">
    <w:abstractNumId w:val="1"/>
  </w:num>
  <w:num w:numId="8" w16cid:durableId="1700547141">
    <w:abstractNumId w:val="0"/>
  </w:num>
  <w:num w:numId="9" w16cid:durableId="1911770514">
    <w:abstractNumId w:val="9"/>
  </w:num>
  <w:num w:numId="10" w16cid:durableId="1013266522">
    <w:abstractNumId w:val="7"/>
  </w:num>
  <w:num w:numId="11" w16cid:durableId="325548426">
    <w:abstractNumId w:val="6"/>
  </w:num>
  <w:num w:numId="12" w16cid:durableId="1934585470">
    <w:abstractNumId w:val="5"/>
  </w:num>
  <w:num w:numId="13" w16cid:durableId="89275867">
    <w:abstractNumId w:val="4"/>
  </w:num>
  <w:num w:numId="14" w16cid:durableId="3259360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08286405">
    <w:abstractNumId w:val="10"/>
  </w:num>
  <w:num w:numId="16" w16cid:durableId="556548646">
    <w:abstractNumId w:val="14"/>
  </w:num>
  <w:num w:numId="17" w16cid:durableId="1737581099">
    <w:abstractNumId w:val="11"/>
  </w:num>
  <w:num w:numId="18" w16cid:durableId="1673531675">
    <w:abstractNumId w:val="16"/>
  </w:num>
  <w:num w:numId="19" w16cid:durableId="1646201360">
    <w:abstractNumId w:val="17"/>
  </w:num>
  <w:num w:numId="20" w16cid:durableId="9746074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AFA"/>
    <w:rsid w:val="0000461C"/>
    <w:rsid w:val="0000784A"/>
    <w:rsid w:val="0001207F"/>
    <w:rsid w:val="00014718"/>
    <w:rsid w:val="000148DD"/>
    <w:rsid w:val="0001614E"/>
    <w:rsid w:val="00017F94"/>
    <w:rsid w:val="00023842"/>
    <w:rsid w:val="00024486"/>
    <w:rsid w:val="000334F9"/>
    <w:rsid w:val="00042920"/>
    <w:rsid w:val="000451EF"/>
    <w:rsid w:val="000474CF"/>
    <w:rsid w:val="00054FDD"/>
    <w:rsid w:val="0006185B"/>
    <w:rsid w:val="000738FC"/>
    <w:rsid w:val="0007796D"/>
    <w:rsid w:val="00082D17"/>
    <w:rsid w:val="0008326A"/>
    <w:rsid w:val="000847A4"/>
    <w:rsid w:val="00092527"/>
    <w:rsid w:val="000942EE"/>
    <w:rsid w:val="000A52BF"/>
    <w:rsid w:val="000B7790"/>
    <w:rsid w:val="000C0009"/>
    <w:rsid w:val="000C2EC5"/>
    <w:rsid w:val="000C324F"/>
    <w:rsid w:val="000C3D72"/>
    <w:rsid w:val="000D3EE9"/>
    <w:rsid w:val="000D62F3"/>
    <w:rsid w:val="000E4227"/>
    <w:rsid w:val="000F32A0"/>
    <w:rsid w:val="00111F2F"/>
    <w:rsid w:val="00122B96"/>
    <w:rsid w:val="00127425"/>
    <w:rsid w:val="00130BF4"/>
    <w:rsid w:val="001315E9"/>
    <w:rsid w:val="00132FA4"/>
    <w:rsid w:val="00137906"/>
    <w:rsid w:val="001433FD"/>
    <w:rsid w:val="0014365E"/>
    <w:rsid w:val="00153029"/>
    <w:rsid w:val="001541D3"/>
    <w:rsid w:val="00163B1D"/>
    <w:rsid w:val="00176178"/>
    <w:rsid w:val="00183CD8"/>
    <w:rsid w:val="001A064B"/>
    <w:rsid w:val="001A3B1B"/>
    <w:rsid w:val="001B1E5C"/>
    <w:rsid w:val="001B2176"/>
    <w:rsid w:val="001D400F"/>
    <w:rsid w:val="001D7218"/>
    <w:rsid w:val="001F4099"/>
    <w:rsid w:val="001F525A"/>
    <w:rsid w:val="00201607"/>
    <w:rsid w:val="00201CE9"/>
    <w:rsid w:val="00223272"/>
    <w:rsid w:val="00224BD9"/>
    <w:rsid w:val="00232AF6"/>
    <w:rsid w:val="00240333"/>
    <w:rsid w:val="00240B4A"/>
    <w:rsid w:val="002456EC"/>
    <w:rsid w:val="0024779E"/>
    <w:rsid w:val="00256BB0"/>
    <w:rsid w:val="00265239"/>
    <w:rsid w:val="00273045"/>
    <w:rsid w:val="00280576"/>
    <w:rsid w:val="002818EE"/>
    <w:rsid w:val="002832AC"/>
    <w:rsid w:val="002834A0"/>
    <w:rsid w:val="00291A3D"/>
    <w:rsid w:val="002A443F"/>
    <w:rsid w:val="002B1D3B"/>
    <w:rsid w:val="002C68AE"/>
    <w:rsid w:val="002D7C93"/>
    <w:rsid w:val="002D7E44"/>
    <w:rsid w:val="002E62D8"/>
    <w:rsid w:val="0031601C"/>
    <w:rsid w:val="00343829"/>
    <w:rsid w:val="00346AFD"/>
    <w:rsid w:val="003543C9"/>
    <w:rsid w:val="0037241C"/>
    <w:rsid w:val="003953D5"/>
    <w:rsid w:val="003B0184"/>
    <w:rsid w:val="003B06AF"/>
    <w:rsid w:val="003B6381"/>
    <w:rsid w:val="003D7C3E"/>
    <w:rsid w:val="003E4EAE"/>
    <w:rsid w:val="003F052B"/>
    <w:rsid w:val="00414F16"/>
    <w:rsid w:val="00440297"/>
    <w:rsid w:val="00441B74"/>
    <w:rsid w:val="00441C3B"/>
    <w:rsid w:val="00444E7D"/>
    <w:rsid w:val="00446B0A"/>
    <w:rsid w:val="00446FE5"/>
    <w:rsid w:val="004475C9"/>
    <w:rsid w:val="004518D2"/>
    <w:rsid w:val="00452396"/>
    <w:rsid w:val="00456E1F"/>
    <w:rsid w:val="00490515"/>
    <w:rsid w:val="00494E8F"/>
    <w:rsid w:val="004A341F"/>
    <w:rsid w:val="004C1588"/>
    <w:rsid w:val="004D37B8"/>
    <w:rsid w:val="004D5499"/>
    <w:rsid w:val="004E0AEA"/>
    <w:rsid w:val="004E468C"/>
    <w:rsid w:val="004F2920"/>
    <w:rsid w:val="004F7AB4"/>
    <w:rsid w:val="005048CB"/>
    <w:rsid w:val="00506C3C"/>
    <w:rsid w:val="005261DB"/>
    <w:rsid w:val="005316B0"/>
    <w:rsid w:val="00532638"/>
    <w:rsid w:val="005362DC"/>
    <w:rsid w:val="00536896"/>
    <w:rsid w:val="005430A3"/>
    <w:rsid w:val="005452DA"/>
    <w:rsid w:val="00546423"/>
    <w:rsid w:val="005505B7"/>
    <w:rsid w:val="00553909"/>
    <w:rsid w:val="0055444D"/>
    <w:rsid w:val="00564657"/>
    <w:rsid w:val="00564C70"/>
    <w:rsid w:val="00565F09"/>
    <w:rsid w:val="00573BE5"/>
    <w:rsid w:val="00586ED3"/>
    <w:rsid w:val="00591D01"/>
    <w:rsid w:val="00596AA9"/>
    <w:rsid w:val="005B7AB2"/>
    <w:rsid w:val="005C293B"/>
    <w:rsid w:val="005E3077"/>
    <w:rsid w:val="005E465F"/>
    <w:rsid w:val="005F3DF5"/>
    <w:rsid w:val="006000FC"/>
    <w:rsid w:val="00617876"/>
    <w:rsid w:val="0062111B"/>
    <w:rsid w:val="00626535"/>
    <w:rsid w:val="00637CCD"/>
    <w:rsid w:val="00643934"/>
    <w:rsid w:val="00666567"/>
    <w:rsid w:val="00680E3A"/>
    <w:rsid w:val="00697AD4"/>
    <w:rsid w:val="006A04B5"/>
    <w:rsid w:val="006A5D6D"/>
    <w:rsid w:val="006D5D6C"/>
    <w:rsid w:val="006E2F73"/>
    <w:rsid w:val="006F2B55"/>
    <w:rsid w:val="006F30B8"/>
    <w:rsid w:val="00703D0F"/>
    <w:rsid w:val="00706363"/>
    <w:rsid w:val="0071601D"/>
    <w:rsid w:val="0072244C"/>
    <w:rsid w:val="00722B80"/>
    <w:rsid w:val="00733C01"/>
    <w:rsid w:val="00740D69"/>
    <w:rsid w:val="0074675A"/>
    <w:rsid w:val="007777D7"/>
    <w:rsid w:val="007A0A7F"/>
    <w:rsid w:val="007A179B"/>
    <w:rsid w:val="007A62E6"/>
    <w:rsid w:val="007A6F83"/>
    <w:rsid w:val="007B40D2"/>
    <w:rsid w:val="007C0CF4"/>
    <w:rsid w:val="007E724F"/>
    <w:rsid w:val="007E792A"/>
    <w:rsid w:val="00804BA4"/>
    <w:rsid w:val="0080684C"/>
    <w:rsid w:val="008204DA"/>
    <w:rsid w:val="0083123A"/>
    <w:rsid w:val="008338AB"/>
    <w:rsid w:val="008414EE"/>
    <w:rsid w:val="008537AD"/>
    <w:rsid w:val="00871C75"/>
    <w:rsid w:val="00874D54"/>
    <w:rsid w:val="008767E8"/>
    <w:rsid w:val="008775BD"/>
    <w:rsid w:val="008776DC"/>
    <w:rsid w:val="008A4E83"/>
    <w:rsid w:val="008B6119"/>
    <w:rsid w:val="008B66C1"/>
    <w:rsid w:val="008D37A2"/>
    <w:rsid w:val="008E6AB2"/>
    <w:rsid w:val="008F189B"/>
    <w:rsid w:val="008F3622"/>
    <w:rsid w:val="008F4691"/>
    <w:rsid w:val="00902700"/>
    <w:rsid w:val="00911CE2"/>
    <w:rsid w:val="00915979"/>
    <w:rsid w:val="009222E5"/>
    <w:rsid w:val="009229F9"/>
    <w:rsid w:val="009260BA"/>
    <w:rsid w:val="0094761B"/>
    <w:rsid w:val="009573C2"/>
    <w:rsid w:val="0096082E"/>
    <w:rsid w:val="00962C1B"/>
    <w:rsid w:val="009705C8"/>
    <w:rsid w:val="009707F2"/>
    <w:rsid w:val="00985FAA"/>
    <w:rsid w:val="009A09F0"/>
    <w:rsid w:val="009A408B"/>
    <w:rsid w:val="009B4527"/>
    <w:rsid w:val="009B4841"/>
    <w:rsid w:val="009C1CF4"/>
    <w:rsid w:val="009E3DE8"/>
    <w:rsid w:val="009E76B5"/>
    <w:rsid w:val="009F02C9"/>
    <w:rsid w:val="009F314B"/>
    <w:rsid w:val="00A00AD2"/>
    <w:rsid w:val="00A055F6"/>
    <w:rsid w:val="00A06018"/>
    <w:rsid w:val="00A23348"/>
    <w:rsid w:val="00A264AF"/>
    <w:rsid w:val="00A30353"/>
    <w:rsid w:val="00A35177"/>
    <w:rsid w:val="00A60F2F"/>
    <w:rsid w:val="00A62D91"/>
    <w:rsid w:val="00A84BA3"/>
    <w:rsid w:val="00A871FB"/>
    <w:rsid w:val="00A90D54"/>
    <w:rsid w:val="00A93DA8"/>
    <w:rsid w:val="00A94A7F"/>
    <w:rsid w:val="00A94DA3"/>
    <w:rsid w:val="00AA113A"/>
    <w:rsid w:val="00AC030C"/>
    <w:rsid w:val="00AC150A"/>
    <w:rsid w:val="00AC3823"/>
    <w:rsid w:val="00AC3EAA"/>
    <w:rsid w:val="00AE323C"/>
    <w:rsid w:val="00AF5585"/>
    <w:rsid w:val="00B00181"/>
    <w:rsid w:val="00B0062D"/>
    <w:rsid w:val="00B00B0D"/>
    <w:rsid w:val="00B07F65"/>
    <w:rsid w:val="00B1792A"/>
    <w:rsid w:val="00B2637E"/>
    <w:rsid w:val="00B27311"/>
    <w:rsid w:val="00B30069"/>
    <w:rsid w:val="00B50E25"/>
    <w:rsid w:val="00B561DE"/>
    <w:rsid w:val="00B634CC"/>
    <w:rsid w:val="00B64918"/>
    <w:rsid w:val="00B65830"/>
    <w:rsid w:val="00B7354C"/>
    <w:rsid w:val="00B765F7"/>
    <w:rsid w:val="00B77E56"/>
    <w:rsid w:val="00B84A0E"/>
    <w:rsid w:val="00B92AD8"/>
    <w:rsid w:val="00BA0CA9"/>
    <w:rsid w:val="00BB2EF1"/>
    <w:rsid w:val="00BC19B1"/>
    <w:rsid w:val="00BC76BB"/>
    <w:rsid w:val="00BC7CBB"/>
    <w:rsid w:val="00BD0731"/>
    <w:rsid w:val="00BD6C2B"/>
    <w:rsid w:val="00BE678B"/>
    <w:rsid w:val="00BE7A8E"/>
    <w:rsid w:val="00BF1B19"/>
    <w:rsid w:val="00BF56E9"/>
    <w:rsid w:val="00BF5761"/>
    <w:rsid w:val="00C01C9D"/>
    <w:rsid w:val="00C02897"/>
    <w:rsid w:val="00C15CBD"/>
    <w:rsid w:val="00C176AD"/>
    <w:rsid w:val="00C2499C"/>
    <w:rsid w:val="00C26585"/>
    <w:rsid w:val="00C34779"/>
    <w:rsid w:val="00C36C04"/>
    <w:rsid w:val="00C438EC"/>
    <w:rsid w:val="00C61F01"/>
    <w:rsid w:val="00C71C11"/>
    <w:rsid w:val="00C75AC2"/>
    <w:rsid w:val="00C7616F"/>
    <w:rsid w:val="00C85077"/>
    <w:rsid w:val="00C93AF0"/>
    <w:rsid w:val="00CA6177"/>
    <w:rsid w:val="00CB16B5"/>
    <w:rsid w:val="00CB26FF"/>
    <w:rsid w:val="00CC0B12"/>
    <w:rsid w:val="00CC3269"/>
    <w:rsid w:val="00CD4BD8"/>
    <w:rsid w:val="00CD6ADB"/>
    <w:rsid w:val="00CD7994"/>
    <w:rsid w:val="00CE0608"/>
    <w:rsid w:val="00CE6DAE"/>
    <w:rsid w:val="00D02BB2"/>
    <w:rsid w:val="00D20B62"/>
    <w:rsid w:val="00D3439C"/>
    <w:rsid w:val="00D44CF3"/>
    <w:rsid w:val="00D55A49"/>
    <w:rsid w:val="00D55CFB"/>
    <w:rsid w:val="00D67B0C"/>
    <w:rsid w:val="00D70306"/>
    <w:rsid w:val="00D87EA0"/>
    <w:rsid w:val="00D91C0F"/>
    <w:rsid w:val="00D94F4B"/>
    <w:rsid w:val="00DA6C5E"/>
    <w:rsid w:val="00DA78AD"/>
    <w:rsid w:val="00DB1831"/>
    <w:rsid w:val="00DB1FD7"/>
    <w:rsid w:val="00DB6546"/>
    <w:rsid w:val="00DC1043"/>
    <w:rsid w:val="00DD3BFD"/>
    <w:rsid w:val="00DF431C"/>
    <w:rsid w:val="00DF6678"/>
    <w:rsid w:val="00E074A3"/>
    <w:rsid w:val="00E1511E"/>
    <w:rsid w:val="00E504B3"/>
    <w:rsid w:val="00E50DC3"/>
    <w:rsid w:val="00E51014"/>
    <w:rsid w:val="00E56B6C"/>
    <w:rsid w:val="00E6412E"/>
    <w:rsid w:val="00E64C76"/>
    <w:rsid w:val="00E70289"/>
    <w:rsid w:val="00E74862"/>
    <w:rsid w:val="00E812D4"/>
    <w:rsid w:val="00E939CE"/>
    <w:rsid w:val="00EA1640"/>
    <w:rsid w:val="00EB33BC"/>
    <w:rsid w:val="00EC4828"/>
    <w:rsid w:val="00EE0422"/>
    <w:rsid w:val="00EE4359"/>
    <w:rsid w:val="00EF287F"/>
    <w:rsid w:val="00EF2E22"/>
    <w:rsid w:val="00EF5765"/>
    <w:rsid w:val="00EF7835"/>
    <w:rsid w:val="00F0592C"/>
    <w:rsid w:val="00F0651D"/>
    <w:rsid w:val="00F23779"/>
    <w:rsid w:val="00F4005B"/>
    <w:rsid w:val="00F42E5D"/>
    <w:rsid w:val="00F43289"/>
    <w:rsid w:val="00F451B0"/>
    <w:rsid w:val="00F54B45"/>
    <w:rsid w:val="00F611D9"/>
    <w:rsid w:val="00F621A9"/>
    <w:rsid w:val="00F660DF"/>
    <w:rsid w:val="00F722C7"/>
    <w:rsid w:val="00F77FFC"/>
    <w:rsid w:val="00F95C08"/>
    <w:rsid w:val="00FA0E90"/>
    <w:rsid w:val="00FB31EC"/>
    <w:rsid w:val="00FB58FC"/>
    <w:rsid w:val="00FC6C25"/>
    <w:rsid w:val="00FD2053"/>
    <w:rsid w:val="00FD3D31"/>
    <w:rsid w:val="00FD4DFB"/>
    <w:rsid w:val="00FD5347"/>
    <w:rsid w:val="00FE194D"/>
    <w:rsid w:val="00FE1E75"/>
    <w:rsid w:val="00FF15A2"/>
    <w:rsid w:val="00FF4AF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BFFC05"/>
  <w15:docId w15:val="{8E959F22-6C20-4578-B1BD-23734D9E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left" w:pos="1701"/>
        <w:tab w:val="left" w:pos="2268"/>
        <w:tab w:val="left" w:pos="2835"/>
      </w:tabs>
      <w:spacing w:after="120"/>
      <w:ind w:right="1134"/>
      <w:jc w:val="both"/>
    </w:pPr>
  </w:style>
  <w:style w:type="character" w:styleId="Appelnotedebasdep">
    <w:name w:val="footnote reference"/>
    <w:aliases w:val="4_G,Footnote Reference/"/>
    <w:basedOn w:val="Policepardfaut"/>
    <w:uiPriority w:val="99"/>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style>
  <w:style w:type="character" w:customStyle="1" w:styleId="HChGChar">
    <w:name w:val="_ H _Ch_G Char"/>
    <w:link w:val="HChG"/>
    <w:rsid w:val="0001207F"/>
    <w:rPr>
      <w:b/>
      <w:sz w:val="28"/>
    </w:rPr>
  </w:style>
  <w:style w:type="paragraph" w:styleId="Paragraphedeliste">
    <w:name w:val="List Paragraph"/>
    <w:basedOn w:val="Normal"/>
    <w:uiPriority w:val="34"/>
    <w:qFormat/>
    <w:rsid w:val="008F189B"/>
    <w:pPr>
      <w:suppressAutoHyphens w:val="0"/>
      <w:kinsoku/>
      <w:overflowPunct/>
      <w:autoSpaceDE/>
      <w:autoSpaceDN/>
      <w:adjustRightInd/>
      <w:snapToGrid/>
      <w:spacing w:after="200" w:line="276" w:lineRule="auto"/>
      <w:ind w:left="720"/>
      <w:contextualSpacing/>
    </w:pPr>
    <w:rPr>
      <w:rFonts w:ascii="Calibri" w:eastAsia="Calibri" w:hAnsi="Calibri"/>
      <w:sz w:val="22"/>
      <w:szCs w:val="22"/>
      <w:lang w:val="de-DE" w:eastAsia="en-US"/>
    </w:rPr>
  </w:style>
  <w:style w:type="paragraph" w:styleId="Rvision">
    <w:name w:val="Revision"/>
    <w:hidden/>
    <w:uiPriority w:val="99"/>
    <w:semiHidden/>
    <w:rsid w:val="00E56B6C"/>
    <w:pPr>
      <w:spacing w:after="0" w:line="240" w:lineRule="auto"/>
    </w:pPr>
  </w:style>
  <w:style w:type="character" w:customStyle="1" w:styleId="rynqvb">
    <w:name w:val="rynqvb"/>
    <w:basedOn w:val="Policepardfaut"/>
    <w:rsid w:val="00F611D9"/>
  </w:style>
  <w:style w:type="character" w:styleId="Marquedecommentaire">
    <w:name w:val="annotation reference"/>
    <w:basedOn w:val="Policepardfaut"/>
    <w:uiPriority w:val="99"/>
    <w:semiHidden/>
    <w:unhideWhenUsed/>
    <w:rsid w:val="004518D2"/>
    <w:rPr>
      <w:sz w:val="16"/>
      <w:szCs w:val="16"/>
    </w:rPr>
  </w:style>
  <w:style w:type="paragraph" w:styleId="Commentaire">
    <w:name w:val="annotation text"/>
    <w:basedOn w:val="Normal"/>
    <w:link w:val="CommentaireCar"/>
    <w:uiPriority w:val="99"/>
    <w:semiHidden/>
    <w:unhideWhenUsed/>
    <w:rsid w:val="004518D2"/>
    <w:pPr>
      <w:spacing w:line="240" w:lineRule="auto"/>
    </w:pPr>
  </w:style>
  <w:style w:type="character" w:customStyle="1" w:styleId="CommentaireCar">
    <w:name w:val="Commentaire Car"/>
    <w:basedOn w:val="Policepardfaut"/>
    <w:link w:val="Commentaire"/>
    <w:uiPriority w:val="99"/>
    <w:semiHidden/>
    <w:rsid w:val="004518D2"/>
  </w:style>
  <w:style w:type="paragraph" w:styleId="Objetducommentaire">
    <w:name w:val="annotation subject"/>
    <w:basedOn w:val="Commentaire"/>
    <w:next w:val="Commentaire"/>
    <w:link w:val="ObjetducommentaireCar"/>
    <w:uiPriority w:val="99"/>
    <w:semiHidden/>
    <w:unhideWhenUsed/>
    <w:rsid w:val="004518D2"/>
    <w:rPr>
      <w:b/>
      <w:bCs/>
    </w:rPr>
  </w:style>
  <w:style w:type="character" w:customStyle="1" w:styleId="ObjetducommentaireCar">
    <w:name w:val="Objet du commentaire Car"/>
    <w:basedOn w:val="CommentaireCar"/>
    <w:link w:val="Objetducommentaire"/>
    <w:uiPriority w:val="99"/>
    <w:semiHidden/>
    <w:rsid w:val="004518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81026">
      <w:bodyDiv w:val="1"/>
      <w:marLeft w:val="0"/>
      <w:marRight w:val="0"/>
      <w:marTop w:val="0"/>
      <w:marBottom w:val="0"/>
      <w:divBdr>
        <w:top w:val="none" w:sz="0" w:space="0" w:color="auto"/>
        <w:left w:val="none" w:sz="0" w:space="0" w:color="auto"/>
        <w:bottom w:val="none" w:sz="0" w:space="0" w:color="auto"/>
        <w:right w:val="none" w:sz="0" w:space="0" w:color="auto"/>
      </w:divBdr>
    </w:div>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UserInfo>
        <DisplayName>Romain Hubert</DisplayName>
        <AccountId>40</AccountId>
        <AccountType/>
      </UserInfo>
    </SharedWithUsers>
  </documentManagement>
</p:properties>
</file>

<file path=customXml/itemProps1.xml><?xml version="1.0" encoding="utf-8"?>
<ds:datastoreItem xmlns:ds="http://schemas.openxmlformats.org/officeDocument/2006/customXml" ds:itemID="{A44788A4-91CE-45B3-AD93-DA6B2C9BFE0E}">
  <ds:schemaRefs>
    <ds:schemaRef ds:uri="http://schemas.microsoft.com/sharepoint/v3/contenttype/forms"/>
  </ds:schemaRefs>
</ds:datastoreItem>
</file>

<file path=customXml/itemProps2.xml><?xml version="1.0" encoding="utf-8"?>
<ds:datastoreItem xmlns:ds="http://schemas.openxmlformats.org/officeDocument/2006/customXml" ds:itemID="{79BF193B-4A2D-447A-A032-3BC7C57E2D8E}"/>
</file>

<file path=customXml/itemProps3.xml><?xml version="1.0" encoding="utf-8"?>
<ds:datastoreItem xmlns:ds="http://schemas.openxmlformats.org/officeDocument/2006/customXml" ds:itemID="{99B777F3-59F3-43AB-A628-ABB61AFD0283}">
  <ds:schemaRefs>
    <ds:schemaRef ds:uri="http://schemas.openxmlformats.org/officeDocument/2006/bibliography"/>
  </ds:schemaRefs>
</ds:datastoreItem>
</file>

<file path=customXml/itemProps4.xml><?xml version="1.0" encoding="utf-8"?>
<ds:datastoreItem xmlns:ds="http://schemas.openxmlformats.org/officeDocument/2006/customXml" ds:itemID="{B61E814B-8CAA-4B10-9EF3-1271F937F97C}">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3504</Words>
  <Characters>19979</Characters>
  <Application>Microsoft Office Word</Application>
  <DocSecurity>0</DocSecurity>
  <Lines>344</Lines>
  <Paragraphs>166</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23317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ECE/TRANS/WP.15/AC.2/2023/47</dc:title>
  <dc:subject>FINAL</dc:subject>
  <dc:creator>Nadiya</dc:creator>
  <cp:keywords/>
  <dc:description/>
  <cp:lastModifiedBy>Julien Okrzesik</cp:lastModifiedBy>
  <cp:revision>3</cp:revision>
  <cp:lastPrinted>2023-06-15T11:56:00Z</cp:lastPrinted>
  <dcterms:created xsi:type="dcterms:W3CDTF">2023-06-15T11:56:00Z</dcterms:created>
  <dcterms:modified xsi:type="dcterms:W3CDTF">2023-06-15T12:00:00Z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