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76E709B" w14:textId="77777777" w:rsidTr="00387CD4">
        <w:trPr>
          <w:trHeight w:hRule="exact" w:val="851"/>
        </w:trPr>
        <w:tc>
          <w:tcPr>
            <w:tcW w:w="142" w:type="dxa"/>
            <w:tcBorders>
              <w:bottom w:val="single" w:sz="4" w:space="0" w:color="auto"/>
            </w:tcBorders>
          </w:tcPr>
          <w:p w14:paraId="33374811" w14:textId="77777777" w:rsidR="002D5AAC" w:rsidRDefault="002D5AAC" w:rsidP="008B461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AD495E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886D38B" w14:textId="25309A20" w:rsidR="002D5AAC" w:rsidRDefault="008B4614" w:rsidP="008B4614">
            <w:pPr>
              <w:jc w:val="right"/>
            </w:pPr>
            <w:r w:rsidRPr="008B4614">
              <w:rPr>
                <w:sz w:val="40"/>
              </w:rPr>
              <w:t>ECE</w:t>
            </w:r>
            <w:r>
              <w:t>/TRANS/WP.15/AC.2/2023/39</w:t>
            </w:r>
          </w:p>
        </w:tc>
      </w:tr>
      <w:tr w:rsidR="002D5AAC" w14:paraId="4B7C1E6D" w14:textId="77777777" w:rsidTr="00387CD4">
        <w:trPr>
          <w:trHeight w:hRule="exact" w:val="2835"/>
        </w:trPr>
        <w:tc>
          <w:tcPr>
            <w:tcW w:w="1280" w:type="dxa"/>
            <w:gridSpan w:val="2"/>
            <w:tcBorders>
              <w:top w:val="single" w:sz="4" w:space="0" w:color="auto"/>
              <w:bottom w:val="single" w:sz="12" w:space="0" w:color="auto"/>
            </w:tcBorders>
          </w:tcPr>
          <w:p w14:paraId="12E2E6EB" w14:textId="77777777" w:rsidR="002D5AAC" w:rsidRDefault="002E5067" w:rsidP="00387CD4">
            <w:pPr>
              <w:spacing w:before="120"/>
              <w:jc w:val="center"/>
            </w:pPr>
            <w:r>
              <w:rPr>
                <w:noProof/>
                <w:lang w:val="fr-CH" w:eastAsia="fr-CH"/>
              </w:rPr>
              <w:drawing>
                <wp:inline distT="0" distB="0" distL="0" distR="0" wp14:anchorId="08B157C7" wp14:editId="16812A9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5C17B7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BDB5984" w14:textId="77777777" w:rsidR="002D5AAC" w:rsidRDefault="008B4614" w:rsidP="00387CD4">
            <w:pPr>
              <w:spacing w:before="240"/>
              <w:rPr>
                <w:lang w:val="en-US"/>
              </w:rPr>
            </w:pPr>
            <w:r>
              <w:rPr>
                <w:lang w:val="en-US"/>
              </w:rPr>
              <w:t>Distr.: General</w:t>
            </w:r>
          </w:p>
          <w:p w14:paraId="74297720" w14:textId="77777777" w:rsidR="008B4614" w:rsidRDefault="008B4614" w:rsidP="008B4614">
            <w:pPr>
              <w:spacing w:line="240" w:lineRule="exact"/>
              <w:rPr>
                <w:lang w:val="en-US"/>
              </w:rPr>
            </w:pPr>
            <w:r>
              <w:rPr>
                <w:lang w:val="en-US"/>
              </w:rPr>
              <w:t>8 June 2023</w:t>
            </w:r>
          </w:p>
          <w:p w14:paraId="42343DBA" w14:textId="77777777" w:rsidR="008B4614" w:rsidRDefault="008B4614" w:rsidP="008B4614">
            <w:pPr>
              <w:spacing w:line="240" w:lineRule="exact"/>
              <w:rPr>
                <w:lang w:val="en-US"/>
              </w:rPr>
            </w:pPr>
            <w:r>
              <w:rPr>
                <w:lang w:val="en-US"/>
              </w:rPr>
              <w:t>Russian</w:t>
            </w:r>
          </w:p>
          <w:p w14:paraId="0AAA89FB" w14:textId="111D6255" w:rsidR="008B4614" w:rsidRPr="008D53B6" w:rsidRDefault="008B4614" w:rsidP="008B4614">
            <w:pPr>
              <w:spacing w:line="240" w:lineRule="exact"/>
              <w:rPr>
                <w:lang w:val="en-US"/>
              </w:rPr>
            </w:pPr>
            <w:r>
              <w:rPr>
                <w:lang w:val="en-US"/>
              </w:rPr>
              <w:t>Original: English</w:t>
            </w:r>
          </w:p>
        </w:tc>
      </w:tr>
    </w:tbl>
    <w:p w14:paraId="73A816E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3CED447" w14:textId="77777777" w:rsidR="008B4614" w:rsidRPr="0001434F" w:rsidRDefault="008B4614" w:rsidP="008B4614">
      <w:pPr>
        <w:spacing w:before="120"/>
        <w:rPr>
          <w:sz w:val="28"/>
          <w:szCs w:val="28"/>
        </w:rPr>
      </w:pPr>
      <w:r w:rsidRPr="0001434F">
        <w:rPr>
          <w:sz w:val="28"/>
          <w:szCs w:val="28"/>
        </w:rPr>
        <w:t>Комитет по внутреннему транспорту</w:t>
      </w:r>
    </w:p>
    <w:p w14:paraId="10B29438" w14:textId="77777777" w:rsidR="008B4614" w:rsidRPr="0001434F" w:rsidRDefault="008B4614" w:rsidP="008B4614">
      <w:pPr>
        <w:spacing w:before="120"/>
        <w:rPr>
          <w:b/>
          <w:sz w:val="24"/>
          <w:szCs w:val="24"/>
        </w:rPr>
      </w:pPr>
      <w:r w:rsidRPr="0001434F">
        <w:rPr>
          <w:b/>
          <w:bCs/>
          <w:sz w:val="24"/>
          <w:szCs w:val="24"/>
        </w:rPr>
        <w:t>Рабочая группа по перевозкам опасных грузов</w:t>
      </w:r>
    </w:p>
    <w:p w14:paraId="2DECD574" w14:textId="6A65E282" w:rsidR="008B4614" w:rsidRPr="003134DF" w:rsidRDefault="008B4614" w:rsidP="008B4614">
      <w:pPr>
        <w:spacing w:before="120"/>
        <w:rPr>
          <w:b/>
        </w:rPr>
      </w:pPr>
      <w:r>
        <w:rPr>
          <w:b/>
          <w:bCs/>
        </w:rPr>
        <w:t xml:space="preserve">Совместное совещание экспертов по Правилам, </w:t>
      </w:r>
      <w:r w:rsidR="0001434F">
        <w:rPr>
          <w:b/>
          <w:bCs/>
        </w:rPr>
        <w:br/>
      </w:r>
      <w:r>
        <w:rPr>
          <w:b/>
          <w:bCs/>
        </w:rPr>
        <w:t xml:space="preserve">прилагаемым к Европейскому соглашению </w:t>
      </w:r>
      <w:r w:rsidR="0001434F">
        <w:rPr>
          <w:b/>
          <w:bCs/>
        </w:rPr>
        <w:br/>
      </w:r>
      <w:r>
        <w:rPr>
          <w:b/>
          <w:bCs/>
        </w:rPr>
        <w:t xml:space="preserve">о международной перевозке опасных грузов </w:t>
      </w:r>
      <w:r w:rsidR="0001434F">
        <w:rPr>
          <w:b/>
          <w:bCs/>
        </w:rPr>
        <w:br/>
      </w:r>
      <w:r>
        <w:rPr>
          <w:b/>
          <w:bCs/>
        </w:rPr>
        <w:t xml:space="preserve">по внутренним водным путям (ВОПОГ) </w:t>
      </w:r>
      <w:r w:rsidR="0001434F">
        <w:rPr>
          <w:b/>
          <w:bCs/>
        </w:rPr>
        <w:br/>
      </w:r>
      <w:r>
        <w:rPr>
          <w:b/>
          <w:bCs/>
        </w:rPr>
        <w:t>(Комитет по вопросам безопасности ВОПОГ)</w:t>
      </w:r>
    </w:p>
    <w:p w14:paraId="71C583F3" w14:textId="77777777" w:rsidR="008B4614" w:rsidRPr="008D7010" w:rsidRDefault="008B4614" w:rsidP="008B4614">
      <w:pPr>
        <w:spacing w:before="120"/>
        <w:rPr>
          <w:b/>
        </w:rPr>
      </w:pPr>
      <w:r>
        <w:rPr>
          <w:b/>
          <w:bCs/>
        </w:rPr>
        <w:t>Сорок вторая сессия</w:t>
      </w:r>
    </w:p>
    <w:p w14:paraId="4164060D" w14:textId="24A055B1" w:rsidR="008B4614" w:rsidRDefault="008B4614" w:rsidP="008B4614">
      <w:r>
        <w:t>Женева, 21</w:t>
      </w:r>
      <w:r w:rsidR="0001434F">
        <w:rPr>
          <w:lang w:val="en-US"/>
        </w:rPr>
        <w:t>–</w:t>
      </w:r>
      <w:r>
        <w:t>25 августа 2023 года</w:t>
      </w:r>
    </w:p>
    <w:p w14:paraId="3548F578" w14:textId="77777777" w:rsidR="008B4614" w:rsidRDefault="008B4614" w:rsidP="008B4614">
      <w:r>
        <w:t>Пункт 1 предварительной повестки дня</w:t>
      </w:r>
    </w:p>
    <w:p w14:paraId="4AFDC0C7" w14:textId="77777777" w:rsidR="008B4614" w:rsidRDefault="008B4614" w:rsidP="008B4614">
      <w:r>
        <w:t>Пункт 5 предварительной повестки дня</w:t>
      </w:r>
    </w:p>
    <w:p w14:paraId="03D97760" w14:textId="77777777" w:rsidR="008B4614" w:rsidRDefault="008B4614" w:rsidP="008B4614">
      <w:pPr>
        <w:rPr>
          <w:b/>
          <w:bCs/>
        </w:rPr>
      </w:pPr>
      <w:r>
        <w:rPr>
          <w:b/>
          <w:bCs/>
        </w:rPr>
        <w:t>Доклады неофициальных рабочих групп</w:t>
      </w:r>
      <w:r>
        <w:t xml:space="preserve"> </w:t>
      </w:r>
    </w:p>
    <w:p w14:paraId="48C552A0" w14:textId="77777777" w:rsidR="008B4614" w:rsidRDefault="008B4614" w:rsidP="008B4614">
      <w:pPr>
        <w:pStyle w:val="HChG"/>
        <w:rPr>
          <w:bCs/>
          <w:szCs w:val="24"/>
        </w:rPr>
      </w:pPr>
      <w:r>
        <w:tab/>
      </w:r>
      <w:r>
        <w:tab/>
      </w:r>
      <w:r>
        <w:rPr>
          <w:bCs/>
        </w:rPr>
        <w:t>Корреспондентская группа по фумигированным грузам</w:t>
      </w:r>
    </w:p>
    <w:p w14:paraId="54FF992B" w14:textId="77777777" w:rsidR="008B4614" w:rsidRDefault="008B4614" w:rsidP="008B4614">
      <w:pPr>
        <w:pStyle w:val="HChG"/>
      </w:pPr>
      <w:r>
        <w:tab/>
      </w:r>
      <w:r>
        <w:tab/>
      </w:r>
      <w:r>
        <w:rPr>
          <w:bCs/>
        </w:rPr>
        <w:t>Промежуточные выводы</w:t>
      </w:r>
    </w:p>
    <w:p w14:paraId="6CA3E6AD" w14:textId="7333EF43" w:rsidR="008B4614" w:rsidRPr="00192820" w:rsidRDefault="008B4614" w:rsidP="008B4614">
      <w:pPr>
        <w:pStyle w:val="H1G"/>
      </w:pPr>
      <w:r>
        <w:tab/>
      </w:r>
      <w:r>
        <w:tab/>
      </w:r>
      <w:r>
        <w:rPr>
          <w:bCs/>
        </w:rPr>
        <w:t>Представлено правительством Германии от имени председателя Корреспондентской группы</w:t>
      </w:r>
      <w:r w:rsidRPr="0001434F">
        <w:rPr>
          <w:rStyle w:val="aa"/>
          <w:b w:val="0"/>
          <w:bCs/>
          <w:sz w:val="20"/>
          <w:vertAlign w:val="baseline"/>
        </w:rPr>
        <w:footnoteReference w:customMarkFollows="1" w:id="1"/>
        <w:t>*</w:t>
      </w:r>
      <w:r w:rsidR="0001434F" w:rsidRPr="0001434F">
        <w:rPr>
          <w:b w:val="0"/>
          <w:bCs/>
          <w:sz w:val="20"/>
        </w:rPr>
        <w:t xml:space="preserve"> </w:t>
      </w:r>
      <w:r w:rsidRPr="0001434F">
        <w:rPr>
          <w:rStyle w:val="aa"/>
          <w:b w:val="0"/>
          <w:bCs/>
          <w:sz w:val="20"/>
          <w:vertAlign w:val="baseline"/>
        </w:rPr>
        <w:footnoteReference w:customMarkFollows="1" w:id="2"/>
        <w:t>**</w:t>
      </w:r>
      <w:r>
        <w:t xml:space="preserve"> </w:t>
      </w:r>
    </w:p>
    <w:p w14:paraId="66D575CE" w14:textId="77777777" w:rsidR="008B4614" w:rsidRPr="00F007DA" w:rsidRDefault="008B4614" w:rsidP="008B4614">
      <w:pPr>
        <w:pStyle w:val="HChG"/>
        <w:rPr>
          <w:bCs/>
          <w:szCs w:val="28"/>
        </w:rPr>
      </w:pPr>
      <w:r>
        <w:tab/>
      </w:r>
      <w:r>
        <w:tab/>
      </w:r>
      <w:r>
        <w:tab/>
      </w:r>
      <w:r>
        <w:rPr>
          <w:bCs/>
        </w:rPr>
        <w:t>Введение</w:t>
      </w:r>
    </w:p>
    <w:p w14:paraId="26153C86" w14:textId="441801E0" w:rsidR="008B4614" w:rsidRDefault="008B4614" w:rsidP="008B4614">
      <w:pPr>
        <w:pStyle w:val="SingleTxtG"/>
      </w:pPr>
      <w:r>
        <w:t>1.</w:t>
      </w:r>
      <w:r>
        <w:tab/>
        <w:t>В соответствии с мандатом, предоставленным Комитетом по вопросам безопасности ВОПОГ на его сорок первой сессии, члены Корреспондентской группы по фумигированным грузам, т.</w:t>
      </w:r>
      <w:r w:rsidR="00ED17CF">
        <w:t> </w:t>
      </w:r>
      <w:r>
        <w:t>е. представители делегаций Германии (председатель), Австрии, Нидерландов и Франции, а также отраслевых объединений</w:t>
      </w:r>
      <w:r w:rsidR="0001434F">
        <w:t xml:space="preserve"> — </w:t>
      </w:r>
      <w:r>
        <w:t>Европейского союза речного судоходства и Европейской организации судоводителей (ЕСРС/ЕОС) и</w:t>
      </w:r>
      <w:r w:rsidR="00ED17CF">
        <w:t> </w:t>
      </w:r>
      <w:r>
        <w:t>Ассоциации торговли зерном и пищевыми продуктами (АТЗПП)</w:t>
      </w:r>
      <w:r w:rsidR="00ED17CF">
        <w:t>,</w:t>
      </w:r>
      <w:r w:rsidR="0001434F">
        <w:t xml:space="preserve"> — </w:t>
      </w:r>
      <w:r>
        <w:t>письменно обменялись мнениями о том, каким образом перевозка навалочных/насыпных грузов, фумигированных в целях борьбы с вредителями до погрузки на судно внутреннего плавания, может быть регламентирована в Правилах, прилагаемых к ВОПОГ.</w:t>
      </w:r>
    </w:p>
    <w:p w14:paraId="17BFAE9C" w14:textId="77777777" w:rsidR="008B4614" w:rsidRDefault="008B4614" w:rsidP="008B4614">
      <w:pPr>
        <w:pStyle w:val="SingleTxtG"/>
      </w:pPr>
      <w:r>
        <w:t>2.</w:t>
      </w:r>
      <w:r>
        <w:tab/>
        <w:t>Основная цель состоит в том, чтобы своевременно информировать перевозчика о состоянии фумигации груза во избежание любого риска для людей на борту судна в результате выделения токсичного газа, образующегося вследствие применения фумигантов.</w:t>
      </w:r>
    </w:p>
    <w:p w14:paraId="2F9A468D" w14:textId="77777777" w:rsidR="008B4614" w:rsidRPr="00AF55BE" w:rsidRDefault="008B4614" w:rsidP="008B4614">
      <w:pPr>
        <w:pStyle w:val="HChG"/>
        <w:pageBreakBefore/>
        <w:rPr>
          <w:bCs/>
          <w:szCs w:val="28"/>
        </w:rPr>
      </w:pPr>
      <w:r>
        <w:rPr>
          <w:bCs/>
        </w:rPr>
        <w:lastRenderedPageBreak/>
        <w:tab/>
        <w:t>I.</w:t>
      </w:r>
      <w:r>
        <w:tab/>
      </w:r>
      <w:r>
        <w:rPr>
          <w:bCs/>
        </w:rPr>
        <w:t>Предварительное предложение по новым положениям для издания ВОПОГ 2025 года</w:t>
      </w:r>
    </w:p>
    <w:p w14:paraId="4C916BAF" w14:textId="77777777" w:rsidR="008B4614" w:rsidRPr="00AF55BE" w:rsidRDefault="008B4614" w:rsidP="0001434F">
      <w:pPr>
        <w:pStyle w:val="SingleTxtG"/>
      </w:pPr>
      <w:r>
        <w:t>3.</w:t>
      </w:r>
      <w:r>
        <w:tab/>
        <w:t>Корреспондентская группа согласовала следующие предложения по поправкам и обращается к Комитету по вопросам безопасности ВОПОГ с просьбой дать им оценку.</w:t>
      </w:r>
    </w:p>
    <w:p w14:paraId="01DCF7F6" w14:textId="680CD267" w:rsidR="008B4614" w:rsidRPr="001745D5" w:rsidRDefault="008B4614" w:rsidP="008B4614">
      <w:pPr>
        <w:pStyle w:val="H23G"/>
      </w:pPr>
      <w:r>
        <w:rPr>
          <w:bCs/>
        </w:rPr>
        <w:tab/>
      </w:r>
      <w:r w:rsidR="00ED17CF">
        <w:rPr>
          <w:bCs/>
        </w:rPr>
        <w:tab/>
      </w:r>
      <w:r>
        <w:rPr>
          <w:bCs/>
        </w:rPr>
        <w:t>a)</w:t>
      </w:r>
      <w:r>
        <w:tab/>
      </w:r>
      <w:r>
        <w:rPr>
          <w:bCs/>
        </w:rPr>
        <w:t>Раздел 1.2.1</w:t>
      </w:r>
      <w:r w:rsidR="0001434F">
        <w:rPr>
          <w:bCs/>
        </w:rPr>
        <w:t xml:space="preserve"> — </w:t>
      </w:r>
      <w:r>
        <w:rPr>
          <w:bCs/>
        </w:rPr>
        <w:t>Определения</w:t>
      </w:r>
    </w:p>
    <w:p w14:paraId="1521549D" w14:textId="4EF0A610" w:rsidR="008B4614" w:rsidRPr="00AF55BE" w:rsidRDefault="00ED17CF" w:rsidP="008B4614">
      <w:pPr>
        <w:pStyle w:val="SingleTxtG"/>
        <w:rPr>
          <w:bCs/>
        </w:rPr>
      </w:pPr>
      <w:r>
        <w:tab/>
      </w:r>
      <w:r w:rsidR="008B4614">
        <w:t>В разделе 1.2.1 включить следующее новое определение:</w:t>
      </w:r>
    </w:p>
    <w:p w14:paraId="3AB7C003" w14:textId="4A0ECC1E" w:rsidR="008B4614" w:rsidRPr="00D01E82" w:rsidRDefault="0001434F" w:rsidP="008B4614">
      <w:pPr>
        <w:pStyle w:val="SingleTxtG"/>
        <w:rPr>
          <w:sz w:val="16"/>
        </w:rPr>
      </w:pPr>
      <w:r>
        <w:t>«</w:t>
      </w:r>
      <w:r w:rsidR="008B4614">
        <w:rPr>
          <w:i/>
          <w:iCs/>
        </w:rPr>
        <w:t>Фумигированный груз</w:t>
      </w:r>
      <w:r w:rsidR="008B4614">
        <w:t xml:space="preserve"> означает груз, перевозимый навалом/насыпью (например, зерно, корма, древесина), который перед перевозкой</w:t>
      </w:r>
      <w:r>
        <w:t xml:space="preserve"> </w:t>
      </w:r>
      <w:r w:rsidR="008B4614">
        <w:t>внутренним водным транспортом был специально обработан биоцидными продуктами и/или средствами защиты растений для борьбы с целевыми насекомыми-вредителями в продукте и его оболочке</w:t>
      </w:r>
      <w:r>
        <w:t>»</w:t>
      </w:r>
      <w:r w:rsidR="008B4614">
        <w:t>.</w:t>
      </w:r>
    </w:p>
    <w:p w14:paraId="364E0DAE" w14:textId="011F9C31" w:rsidR="008B4614" w:rsidRPr="001745D5" w:rsidRDefault="008B4614" w:rsidP="008B4614">
      <w:pPr>
        <w:pStyle w:val="H23G"/>
      </w:pPr>
      <w:r>
        <w:rPr>
          <w:bCs/>
        </w:rPr>
        <w:tab/>
      </w:r>
      <w:r w:rsidR="00ED17CF">
        <w:rPr>
          <w:bCs/>
        </w:rPr>
        <w:tab/>
      </w:r>
      <w:r>
        <w:rPr>
          <w:bCs/>
        </w:rPr>
        <w:t>b)</w:t>
      </w:r>
      <w:r>
        <w:tab/>
      </w:r>
      <w:r>
        <w:rPr>
          <w:bCs/>
        </w:rPr>
        <w:t>Раздел 3.2.1</w:t>
      </w:r>
      <w:r w:rsidR="0001434F">
        <w:rPr>
          <w:bCs/>
        </w:rPr>
        <w:t xml:space="preserve"> — </w:t>
      </w:r>
      <w:r>
        <w:rPr>
          <w:bCs/>
        </w:rPr>
        <w:t>Таблица A</w:t>
      </w:r>
    </w:p>
    <w:p w14:paraId="6B6F96D6" w14:textId="3850D693" w:rsidR="008B4614" w:rsidRPr="00AF55BE" w:rsidRDefault="0001434F" w:rsidP="0001434F">
      <w:pPr>
        <w:pStyle w:val="SingleTxtG"/>
      </w:pPr>
      <w:r>
        <w:tab/>
      </w:r>
      <w:r w:rsidR="008B4614">
        <w:t>В таблице А включить новую запись после идентификационного номера 9006, как указано в приложении к настоящему документу.</w:t>
      </w:r>
    </w:p>
    <w:p w14:paraId="32FA8CA6" w14:textId="34B7B840" w:rsidR="008B4614" w:rsidRPr="001745D5" w:rsidRDefault="008B4614" w:rsidP="008B4614">
      <w:pPr>
        <w:pStyle w:val="H23G"/>
      </w:pPr>
      <w:r>
        <w:rPr>
          <w:bCs/>
        </w:rPr>
        <w:tab/>
      </w:r>
      <w:r w:rsidR="00ED17CF">
        <w:rPr>
          <w:bCs/>
        </w:rPr>
        <w:tab/>
      </w:r>
      <w:r>
        <w:rPr>
          <w:bCs/>
        </w:rPr>
        <w:t>c)</w:t>
      </w:r>
      <w:r>
        <w:tab/>
      </w:r>
      <w:r>
        <w:rPr>
          <w:bCs/>
        </w:rPr>
        <w:t>Раздел 3.2.2</w:t>
      </w:r>
      <w:r w:rsidR="0001434F">
        <w:rPr>
          <w:bCs/>
        </w:rPr>
        <w:t xml:space="preserve"> — </w:t>
      </w:r>
      <w:r>
        <w:rPr>
          <w:bCs/>
        </w:rPr>
        <w:t>Таблица B</w:t>
      </w:r>
    </w:p>
    <w:p w14:paraId="50F28E5A" w14:textId="07244ECA" w:rsidR="008B4614" w:rsidRPr="00351972" w:rsidRDefault="00ED17CF" w:rsidP="0001434F">
      <w:pPr>
        <w:pStyle w:val="SingleTxtG"/>
      </w:pPr>
      <w:r>
        <w:tab/>
      </w:r>
      <w:r w:rsidR="008B4614">
        <w:t>В разделе 3.2.2, таблица B, включить следующую запись в алфавитном порядке:</w:t>
      </w:r>
    </w:p>
    <w:p w14:paraId="044BE891" w14:textId="77777777" w:rsidR="008B4614" w:rsidRPr="00192820" w:rsidRDefault="008B4614" w:rsidP="008B4614">
      <w:pPr>
        <w:tabs>
          <w:tab w:val="left" w:pos="1701"/>
        </w:tabs>
        <w:ind w:left="1134" w:right="566"/>
        <w:jc w:val="both"/>
      </w:pPr>
    </w:p>
    <w:tbl>
      <w:tblPr>
        <w:tblStyle w:val="ac"/>
        <w:tblW w:w="8188" w:type="dxa"/>
        <w:tblInd w:w="1021" w:type="dxa"/>
        <w:tblLayout w:type="fixed"/>
        <w:tblLook w:val="04A0" w:firstRow="1" w:lastRow="0" w:firstColumn="1" w:lastColumn="0" w:noHBand="0" w:noVBand="1"/>
      </w:tblPr>
      <w:tblGrid>
        <w:gridCol w:w="2093"/>
        <w:gridCol w:w="2126"/>
        <w:gridCol w:w="1134"/>
        <w:gridCol w:w="2835"/>
      </w:tblGrid>
      <w:tr w:rsidR="008B4614" w14:paraId="5B536941" w14:textId="77777777" w:rsidTr="00ED17CF">
        <w:tc>
          <w:tcPr>
            <w:tcW w:w="2093" w:type="dxa"/>
          </w:tcPr>
          <w:p w14:paraId="6F25BC4B" w14:textId="77777777" w:rsidR="008B4614" w:rsidRPr="00C70759" w:rsidRDefault="008B4614" w:rsidP="00F741C8">
            <w:pPr>
              <w:tabs>
                <w:tab w:val="left" w:pos="1701"/>
              </w:tabs>
              <w:ind w:right="566"/>
              <w:rPr>
                <w:b/>
                <w:bCs/>
              </w:rPr>
            </w:pPr>
            <w:r>
              <w:rPr>
                <w:b/>
                <w:bCs/>
              </w:rPr>
              <w:t>Наименование и описание</w:t>
            </w:r>
          </w:p>
        </w:tc>
        <w:tc>
          <w:tcPr>
            <w:tcW w:w="2126" w:type="dxa"/>
          </w:tcPr>
          <w:p w14:paraId="6E924787" w14:textId="22A89649" w:rsidR="008B4614" w:rsidRPr="00C70759" w:rsidRDefault="008B4614" w:rsidP="00ED17CF">
            <w:pPr>
              <w:tabs>
                <w:tab w:val="left" w:pos="1701"/>
              </w:tabs>
              <w:ind w:right="-150"/>
              <w:jc w:val="both"/>
              <w:rPr>
                <w:b/>
                <w:bCs/>
              </w:rPr>
            </w:pPr>
            <w:r>
              <w:rPr>
                <w:b/>
                <w:bCs/>
              </w:rPr>
              <w:t>Идентификационный номер</w:t>
            </w:r>
            <w:r w:rsidR="00ED17CF">
              <w:rPr>
                <w:b/>
                <w:bCs/>
              </w:rPr>
              <w:t xml:space="preserve"> </w:t>
            </w:r>
            <w:r w:rsidR="00ED17CF">
              <w:rPr>
                <w:b/>
                <w:bCs/>
              </w:rPr>
              <w:br/>
            </w:r>
            <w:r>
              <w:rPr>
                <w:b/>
                <w:bCs/>
              </w:rPr>
              <w:t>№ ООН</w:t>
            </w:r>
          </w:p>
        </w:tc>
        <w:tc>
          <w:tcPr>
            <w:tcW w:w="1134" w:type="dxa"/>
          </w:tcPr>
          <w:p w14:paraId="7CCEF2FC" w14:textId="77777777" w:rsidR="008B4614" w:rsidRPr="00C70759" w:rsidRDefault="008B4614" w:rsidP="00F741C8">
            <w:pPr>
              <w:tabs>
                <w:tab w:val="left" w:pos="1701"/>
              </w:tabs>
              <w:ind w:right="566"/>
              <w:jc w:val="both"/>
              <w:rPr>
                <w:b/>
                <w:bCs/>
              </w:rPr>
            </w:pPr>
            <w:r>
              <w:rPr>
                <w:b/>
                <w:bCs/>
              </w:rPr>
              <w:t>Класс</w:t>
            </w:r>
          </w:p>
        </w:tc>
        <w:tc>
          <w:tcPr>
            <w:tcW w:w="2835" w:type="dxa"/>
          </w:tcPr>
          <w:p w14:paraId="2A4CB1F2" w14:textId="77777777" w:rsidR="008B4614" w:rsidRPr="00C70759" w:rsidRDefault="008B4614" w:rsidP="00F741C8">
            <w:pPr>
              <w:tabs>
                <w:tab w:val="left" w:pos="1701"/>
              </w:tabs>
              <w:ind w:right="566"/>
              <w:jc w:val="both"/>
              <w:rPr>
                <w:b/>
                <w:bCs/>
              </w:rPr>
            </w:pPr>
            <w:r>
              <w:rPr>
                <w:b/>
                <w:bCs/>
              </w:rPr>
              <w:t>Замечания</w:t>
            </w:r>
          </w:p>
        </w:tc>
      </w:tr>
      <w:tr w:rsidR="008B4614" w14:paraId="142C4B8E" w14:textId="77777777" w:rsidTr="00ED17CF">
        <w:tc>
          <w:tcPr>
            <w:tcW w:w="2093" w:type="dxa"/>
          </w:tcPr>
          <w:p w14:paraId="29F9C260" w14:textId="77777777" w:rsidR="008B4614" w:rsidRDefault="008B4614" w:rsidP="00F741C8">
            <w:pPr>
              <w:tabs>
                <w:tab w:val="left" w:pos="1701"/>
              </w:tabs>
              <w:ind w:right="41"/>
            </w:pPr>
            <w:r>
              <w:t>ФУМИГИРОВАННЫЙ ГРУЗ</w:t>
            </w:r>
          </w:p>
        </w:tc>
        <w:tc>
          <w:tcPr>
            <w:tcW w:w="2126" w:type="dxa"/>
          </w:tcPr>
          <w:p w14:paraId="6DA29598" w14:textId="77777777" w:rsidR="008B4614" w:rsidRDefault="008B4614" w:rsidP="00F741C8">
            <w:pPr>
              <w:tabs>
                <w:tab w:val="left" w:pos="1701"/>
              </w:tabs>
              <w:ind w:right="566"/>
              <w:jc w:val="both"/>
            </w:pPr>
            <w:r>
              <w:t>9007</w:t>
            </w:r>
          </w:p>
        </w:tc>
        <w:tc>
          <w:tcPr>
            <w:tcW w:w="1134" w:type="dxa"/>
          </w:tcPr>
          <w:p w14:paraId="1151D551" w14:textId="77777777" w:rsidR="008B4614" w:rsidRDefault="008B4614" w:rsidP="00F741C8">
            <w:pPr>
              <w:tabs>
                <w:tab w:val="left" w:pos="1701"/>
              </w:tabs>
              <w:ind w:right="566"/>
              <w:jc w:val="both"/>
            </w:pPr>
            <w:r>
              <w:t>9</w:t>
            </w:r>
          </w:p>
        </w:tc>
        <w:tc>
          <w:tcPr>
            <w:tcW w:w="2835" w:type="dxa"/>
          </w:tcPr>
          <w:p w14:paraId="0B7149E3" w14:textId="77777777" w:rsidR="008B4614" w:rsidRDefault="008B4614" w:rsidP="00F741C8">
            <w:pPr>
              <w:tabs>
                <w:tab w:val="left" w:pos="1701"/>
              </w:tabs>
              <w:ind w:right="566"/>
            </w:pPr>
            <w:r>
              <w:t>Допускается к перевозке только в соответствии с СП 804</w:t>
            </w:r>
          </w:p>
        </w:tc>
      </w:tr>
    </w:tbl>
    <w:p w14:paraId="025B4202" w14:textId="389A279E" w:rsidR="008B4614" w:rsidRPr="004352FA" w:rsidRDefault="008B4614" w:rsidP="008B4614">
      <w:pPr>
        <w:pStyle w:val="H23G"/>
      </w:pPr>
      <w:r>
        <w:rPr>
          <w:bCs/>
        </w:rPr>
        <w:tab/>
      </w:r>
      <w:r w:rsidR="00ED17CF">
        <w:rPr>
          <w:bCs/>
        </w:rPr>
        <w:tab/>
      </w:r>
      <w:r>
        <w:rPr>
          <w:bCs/>
        </w:rPr>
        <w:t>d)</w:t>
      </w:r>
      <w:r>
        <w:tab/>
      </w:r>
      <w:r>
        <w:rPr>
          <w:bCs/>
        </w:rPr>
        <w:t>Подраздел 2.2.9.2, класс 9</w:t>
      </w:r>
      <w:r w:rsidR="0001434F">
        <w:rPr>
          <w:bCs/>
        </w:rPr>
        <w:t xml:space="preserve"> — </w:t>
      </w:r>
      <w:r>
        <w:rPr>
          <w:bCs/>
        </w:rPr>
        <w:t>Вещества и изделия, не допускаемые к перевозке</w:t>
      </w:r>
    </w:p>
    <w:p w14:paraId="01FFFBC8" w14:textId="38D486E4" w:rsidR="008B4614" w:rsidRPr="000B531A" w:rsidRDefault="00ED17CF" w:rsidP="008B4614">
      <w:pPr>
        <w:pStyle w:val="SingleTxtG"/>
      </w:pPr>
      <w:r>
        <w:tab/>
      </w:r>
      <w:r w:rsidR="008B4614">
        <w:t>В пункте 2.2.9.2 добавить следующий отступ:</w:t>
      </w:r>
    </w:p>
    <w:p w14:paraId="546ACBD9" w14:textId="0E69F4A1" w:rsidR="008B4614" w:rsidRPr="00382CDD" w:rsidRDefault="0001434F" w:rsidP="008B4614">
      <w:pPr>
        <w:pStyle w:val="SingleTxtG"/>
        <w:rPr>
          <w:rFonts w:cs="Arial"/>
        </w:rPr>
      </w:pPr>
      <w:r>
        <w:t>«–</w:t>
      </w:r>
      <w:r w:rsidR="008B4614">
        <w:tab/>
        <w:t>Фумигированный груз, определение которого содержится в разделе 1.2.1 и которому присвоен идентификационный номер 9007, не отвечающий условиям специального положения 804</w:t>
      </w:r>
      <w:r>
        <w:t>»</w:t>
      </w:r>
      <w:r w:rsidR="008B4614">
        <w:t>.</w:t>
      </w:r>
    </w:p>
    <w:p w14:paraId="201B2A68" w14:textId="0CEE9B9D" w:rsidR="008B4614" w:rsidRPr="001F2009" w:rsidRDefault="008B4614" w:rsidP="008B4614">
      <w:pPr>
        <w:pStyle w:val="H23G"/>
      </w:pPr>
      <w:r>
        <w:rPr>
          <w:bCs/>
        </w:rPr>
        <w:tab/>
      </w:r>
      <w:r w:rsidR="00ED17CF">
        <w:rPr>
          <w:bCs/>
        </w:rPr>
        <w:tab/>
      </w:r>
      <w:r>
        <w:rPr>
          <w:bCs/>
        </w:rPr>
        <w:t>e)</w:t>
      </w:r>
      <w:r>
        <w:tab/>
      </w:r>
      <w:r>
        <w:rPr>
          <w:bCs/>
        </w:rPr>
        <w:t>Глава 3.3</w:t>
      </w:r>
      <w:r w:rsidR="0001434F">
        <w:rPr>
          <w:bCs/>
        </w:rPr>
        <w:t xml:space="preserve"> — </w:t>
      </w:r>
      <w:r>
        <w:rPr>
          <w:bCs/>
        </w:rPr>
        <w:t>Специальные положения, применяемые к некоторым изделиям или веществам</w:t>
      </w:r>
    </w:p>
    <w:p w14:paraId="4D369D2A" w14:textId="4C479CCA" w:rsidR="008B4614" w:rsidRDefault="00ED17CF" w:rsidP="008B4614">
      <w:pPr>
        <w:pStyle w:val="SingleTxtG"/>
      </w:pPr>
      <w:r>
        <w:tab/>
      </w:r>
      <w:r w:rsidR="008B4614">
        <w:t>В конце главы 3.3 добавить следующее новое специальное положение:</w:t>
      </w:r>
    </w:p>
    <w:p w14:paraId="433835BD" w14:textId="054C4C11" w:rsidR="008B4614" w:rsidRDefault="0001434F" w:rsidP="008B4614">
      <w:pPr>
        <w:pStyle w:val="SingleTxtG"/>
        <w:ind w:left="1701" w:hanging="567"/>
      </w:pPr>
      <w:r>
        <w:t>«</w:t>
      </w:r>
      <w:r w:rsidR="008B4614">
        <w:t>804</w:t>
      </w:r>
      <w:r w:rsidR="008B4614">
        <w:tab/>
        <w:t>На ФУМИГИРОВАННЫЙ ГРУЗ, определение которого содержится в разделе</w:t>
      </w:r>
      <w:r w:rsidR="00ED17CF">
        <w:t> </w:t>
      </w:r>
      <w:r w:rsidR="008B4614">
        <w:t>1.2.1, не распространяются другие положения ВОПОГ, кроме следующих. Перевозка ФУМИГИРОВАННОГО ГРУЗА запрещена, если не соблюдаются перечисленные ниже условия.</w:t>
      </w:r>
    </w:p>
    <w:p w14:paraId="5E727990" w14:textId="77777777" w:rsidR="008B4614" w:rsidRPr="007B7D15" w:rsidRDefault="008B4614" w:rsidP="008B4614">
      <w:pPr>
        <w:pStyle w:val="SingleTxtG"/>
        <w:ind w:left="2268" w:hanging="567"/>
      </w:pPr>
      <w:r>
        <w:t>a)</w:t>
      </w:r>
      <w:r>
        <w:tab/>
        <w:t>[Грузоотправитель] [Принципал] должен обеспечить, чтобы остатки [таблеток или пакетов], используемых для фумигации, были удалены из партий груза, предназначенных для погрузки, и утилизированы надлежащим образом.</w:t>
      </w:r>
    </w:p>
    <w:p w14:paraId="68AE6459" w14:textId="77777777" w:rsidR="008B4614" w:rsidRDefault="008B4614" w:rsidP="008B4614">
      <w:pPr>
        <w:pStyle w:val="SingleTxtG"/>
        <w:ind w:left="2268" w:hanging="567"/>
      </w:pPr>
      <w:r>
        <w:t>b)</w:t>
      </w:r>
      <w:r>
        <w:tab/>
        <w:t>Непосредственно [до] [после] наполнения грузовых трюмов судна фумигированным грузом остаточная концентрация следующих токсичных газов и паров, образующихся в результате применения фумигантов [в окружающем воздухе], должна быть ниже следующих значений:</w:t>
      </w:r>
    </w:p>
    <w:tbl>
      <w:tblPr>
        <w:tblStyle w:val="ac"/>
        <w:tblW w:w="0" w:type="auto"/>
        <w:tblInd w:w="2263" w:type="dxa"/>
        <w:tblLayout w:type="fixed"/>
        <w:tblLook w:val="04A0" w:firstRow="1" w:lastRow="0" w:firstColumn="1" w:lastColumn="0" w:noHBand="0" w:noVBand="1"/>
      </w:tblPr>
      <w:tblGrid>
        <w:gridCol w:w="3858"/>
        <w:gridCol w:w="2379"/>
      </w:tblGrid>
      <w:tr w:rsidR="008B4614" w14:paraId="60F5A69B" w14:textId="77777777" w:rsidTr="00F741C8">
        <w:tc>
          <w:tcPr>
            <w:tcW w:w="3858" w:type="dxa"/>
          </w:tcPr>
          <w:p w14:paraId="054C9EC6" w14:textId="77777777" w:rsidR="008B4614" w:rsidRDefault="008B4614" w:rsidP="00F741C8">
            <w:pPr>
              <w:tabs>
                <w:tab w:val="left" w:pos="1418"/>
                <w:tab w:val="left" w:pos="2552"/>
              </w:tabs>
              <w:spacing w:after="240"/>
            </w:pPr>
            <w:r>
              <w:lastRenderedPageBreak/>
              <w:t>Фосфин</w:t>
            </w:r>
          </w:p>
        </w:tc>
        <w:tc>
          <w:tcPr>
            <w:tcW w:w="2379" w:type="dxa"/>
          </w:tcPr>
          <w:p w14:paraId="6773CFBE" w14:textId="77777777" w:rsidR="008B4614" w:rsidRPr="00FC11B0" w:rsidRDefault="008B4614" w:rsidP="00F741C8">
            <w:pPr>
              <w:tabs>
                <w:tab w:val="left" w:pos="1418"/>
                <w:tab w:val="left" w:pos="2552"/>
              </w:tabs>
              <w:spacing w:after="240"/>
            </w:pPr>
            <w:r>
              <w:t>[0,1 млн</w:t>
            </w:r>
            <w:r>
              <w:rPr>
                <w:vertAlign w:val="superscript"/>
              </w:rPr>
              <w:t>−1</w:t>
            </w:r>
            <w:r>
              <w:t>]</w:t>
            </w:r>
          </w:p>
        </w:tc>
      </w:tr>
      <w:tr w:rsidR="008B4614" w14:paraId="5DF96986" w14:textId="77777777" w:rsidTr="00F741C8">
        <w:tc>
          <w:tcPr>
            <w:tcW w:w="3858" w:type="dxa"/>
          </w:tcPr>
          <w:p w14:paraId="4B056871" w14:textId="77777777" w:rsidR="008B4614" w:rsidRPr="002501A0" w:rsidRDefault="008B4614" w:rsidP="00F741C8">
            <w:pPr>
              <w:tabs>
                <w:tab w:val="left" w:pos="1418"/>
                <w:tab w:val="left" w:pos="2552"/>
              </w:tabs>
              <w:spacing w:after="240"/>
            </w:pPr>
            <w:r>
              <w:t>Сульфурилфторид</w:t>
            </w:r>
          </w:p>
        </w:tc>
        <w:tc>
          <w:tcPr>
            <w:tcW w:w="2379" w:type="dxa"/>
          </w:tcPr>
          <w:p w14:paraId="2984929D" w14:textId="77777777" w:rsidR="008B4614" w:rsidRPr="00FC11B0" w:rsidRDefault="008B4614" w:rsidP="00F741C8">
            <w:pPr>
              <w:tabs>
                <w:tab w:val="left" w:pos="1418"/>
                <w:tab w:val="left" w:pos="2552"/>
              </w:tabs>
              <w:spacing w:after="240"/>
            </w:pPr>
            <w:r>
              <w:t>[10,0 мг/м³]</w:t>
            </w:r>
          </w:p>
        </w:tc>
      </w:tr>
      <w:tr w:rsidR="008B4614" w14:paraId="62CDAE53" w14:textId="77777777" w:rsidTr="00F741C8">
        <w:tc>
          <w:tcPr>
            <w:tcW w:w="3858" w:type="dxa"/>
          </w:tcPr>
          <w:p w14:paraId="44522760" w14:textId="77777777" w:rsidR="008B4614" w:rsidRPr="002501A0" w:rsidRDefault="008B4614" w:rsidP="00F741C8">
            <w:pPr>
              <w:tabs>
                <w:tab w:val="left" w:pos="1418"/>
                <w:tab w:val="left" w:pos="2552"/>
              </w:tabs>
              <w:spacing w:after="240"/>
            </w:pPr>
            <w:r>
              <w:t>Метилбромид*</w:t>
            </w:r>
          </w:p>
        </w:tc>
        <w:tc>
          <w:tcPr>
            <w:tcW w:w="2379" w:type="dxa"/>
          </w:tcPr>
          <w:p w14:paraId="1EBD64B8" w14:textId="77777777" w:rsidR="008B4614" w:rsidRPr="00FC11B0" w:rsidRDefault="008B4614" w:rsidP="00F741C8">
            <w:pPr>
              <w:tabs>
                <w:tab w:val="left" w:pos="1418"/>
                <w:tab w:val="left" w:pos="2552"/>
              </w:tabs>
              <w:spacing w:after="240"/>
            </w:pPr>
            <w:r>
              <w:t>[1 млн</w:t>
            </w:r>
            <w:r>
              <w:rPr>
                <w:vertAlign w:val="superscript"/>
              </w:rPr>
              <w:t>−1</w:t>
            </w:r>
            <w:r>
              <w:t>]</w:t>
            </w:r>
          </w:p>
        </w:tc>
      </w:tr>
    </w:tbl>
    <w:p w14:paraId="07A58AEF" w14:textId="7E80CE07" w:rsidR="008B4614" w:rsidRPr="0001434F" w:rsidRDefault="008B4614" w:rsidP="0001434F">
      <w:pPr>
        <w:tabs>
          <w:tab w:val="left" w:pos="1418"/>
          <w:tab w:val="left" w:pos="2552"/>
        </w:tabs>
        <w:spacing w:before="120" w:after="120" w:line="220" w:lineRule="exact"/>
        <w:ind w:left="2268" w:right="1134" w:firstLine="142"/>
        <w:rPr>
          <w:sz w:val="16"/>
          <w:szCs w:val="20"/>
        </w:rPr>
      </w:pPr>
      <w:r w:rsidRPr="0001434F">
        <w:rPr>
          <w:i/>
          <w:iCs/>
          <w:sz w:val="18"/>
          <w:szCs w:val="20"/>
        </w:rPr>
        <w:t xml:space="preserve">* </w:t>
      </w:r>
      <w:r w:rsidR="00F00AB2" w:rsidRPr="00F00AB2">
        <w:rPr>
          <w:i/>
          <w:iCs/>
          <w:sz w:val="18"/>
          <w:szCs w:val="20"/>
        </w:rPr>
        <w:t>З</w:t>
      </w:r>
      <w:r w:rsidRPr="0001434F">
        <w:rPr>
          <w:i/>
          <w:iCs/>
          <w:sz w:val="18"/>
          <w:szCs w:val="20"/>
        </w:rPr>
        <w:t>апрещен законодательством Европейского союза (ЕС) для использования в тех Договаривающихся сторонах, которые являются членами Европейского союза.</w:t>
      </w:r>
    </w:p>
    <w:p w14:paraId="74CFB210" w14:textId="77777777" w:rsidR="008B4614" w:rsidRPr="001E38B7" w:rsidRDefault="008B4614" w:rsidP="008B4614">
      <w:pPr>
        <w:pStyle w:val="SingleTxtG"/>
        <w:ind w:left="2268" w:hanging="567"/>
      </w:pPr>
      <w:r>
        <w:t>c)</w:t>
      </w:r>
      <w:r>
        <w:tab/>
        <w:t>Это должно быть подтверждено [грузоотправителем] [принципалом] в отслеживаемой форме. Он должен заранее в отслеживаемой форме уведомить перевозчика о том, что предъявленный к перевозке груз был предварительно подвергнут фумигации и допущен к перевозке по результатам выполнения соответствующих измерений. Эта информация должна храниться на борту на протяжении всего рейса.</w:t>
      </w:r>
    </w:p>
    <w:p w14:paraId="5EEEF557" w14:textId="1BAA0B1B" w:rsidR="008B4614" w:rsidRDefault="008B4614" w:rsidP="008B4614">
      <w:pPr>
        <w:pStyle w:val="SingleTxtG"/>
        <w:ind w:left="2268" w:hanging="567"/>
      </w:pPr>
      <w:r>
        <w:t>[x)</w:t>
      </w:r>
      <w:r>
        <w:tab/>
        <w:t xml:space="preserve">При перевозке </w:t>
      </w:r>
      <w:r w:rsidRPr="00E31428">
        <w:t xml:space="preserve">предварительно </w:t>
      </w:r>
      <w:r w:rsidR="00ED17CF" w:rsidRPr="00ED17CF">
        <w:t>“</w:t>
      </w:r>
      <w:r>
        <w:t>фумигированного груза, № ООН 9007</w:t>
      </w:r>
      <w:r w:rsidR="00ED17CF" w:rsidRPr="00ED17CF">
        <w:t>”</w:t>
      </w:r>
      <w:r>
        <w:t xml:space="preserve"> экипажу предписывается/рекомендуется иметь прибор для измерения содержания ранее использованного фумиганта. Для этих целей может использоваться также токсиметр].</w:t>
      </w:r>
    </w:p>
    <w:p w14:paraId="1046E93E" w14:textId="77777777" w:rsidR="008B4614" w:rsidRDefault="008B4614" w:rsidP="008B4614">
      <w:pPr>
        <w:pStyle w:val="SingleTxtG"/>
        <w:ind w:left="2268" w:hanging="567"/>
      </w:pPr>
      <w:r>
        <w:t>d)</w:t>
      </w:r>
      <w:r>
        <w:tab/>
        <w:t>Если существуют подозрения, что груз все еще или снова выделяет остаточные количества фумиганта, превышающие значение, указанное в пункте b), то судно должно быть остановлено в подходящем месте как можно дальше от жилых районов до тех пор, пока уровень газа не достигнет безопасного значения в соответствии с вышеприведенной таблицей. Компетентный орган должен быть незамедлительно поставлен в известность.</w:t>
      </w:r>
    </w:p>
    <w:p w14:paraId="0B6EB2D0" w14:textId="77777777" w:rsidR="008B4614" w:rsidRPr="001E38B7" w:rsidRDefault="008B4614" w:rsidP="008B4614">
      <w:pPr>
        <w:pStyle w:val="SingleTxtG"/>
        <w:ind w:left="2268" w:hanging="567"/>
      </w:pPr>
      <w:r>
        <w:t>e)</w:t>
      </w:r>
      <w:r>
        <w:tab/>
        <w:t>Непосредственно перед выгрузкой фумигированного груза из грузовых трюмов судна остаточная концентрация токсичных газов и паров, образовавшихся в результате ранее произведенной фумигации, должна быть измерена под ответственность [грузоотправителя] [принципала] [квалифицированным] [утвержденным] экспертом. [Грузоотправитель] [принципал] должен заблаговременно в отслеживаемой форме проинформировать разгрузчика о результате.</w:t>
      </w:r>
    </w:p>
    <w:p w14:paraId="30CE8D63" w14:textId="612AF6EE" w:rsidR="008B4614" w:rsidRPr="007B7D15" w:rsidRDefault="008B4614" w:rsidP="008B4614">
      <w:pPr>
        <w:pStyle w:val="SingleTxtG"/>
        <w:ind w:left="2268" w:hanging="567"/>
      </w:pPr>
      <w:r>
        <w:t>f)</w:t>
      </w:r>
      <w:r>
        <w:tab/>
        <w:t>Любая фумигация во время перевозки на борту судов запрещена</w:t>
      </w:r>
      <w:r w:rsidR="0001434F">
        <w:t>»</w:t>
      </w:r>
      <w:r>
        <w:t>.</w:t>
      </w:r>
    </w:p>
    <w:p w14:paraId="7F12CECD" w14:textId="77777777" w:rsidR="008B4614" w:rsidRPr="00AF55BE" w:rsidRDefault="008B4614" w:rsidP="008B4614">
      <w:pPr>
        <w:pStyle w:val="HChG"/>
        <w:rPr>
          <w:bCs/>
          <w:szCs w:val="28"/>
        </w:rPr>
      </w:pPr>
      <w:r>
        <w:rPr>
          <w:bCs/>
        </w:rPr>
        <w:tab/>
        <w:t>II.</w:t>
      </w:r>
      <w:r>
        <w:tab/>
      </w:r>
      <w:r>
        <w:rPr>
          <w:bCs/>
        </w:rPr>
        <w:t>Обоснование</w:t>
      </w:r>
    </w:p>
    <w:p w14:paraId="0F948563" w14:textId="77777777" w:rsidR="008B4614" w:rsidRDefault="008B4614" w:rsidP="008B4614">
      <w:pPr>
        <w:pStyle w:val="SingleTxtG"/>
      </w:pPr>
      <w:r>
        <w:t>4.</w:t>
      </w:r>
      <w:r>
        <w:tab/>
        <w:t>Единственной категорией навалочных/насыпных грузов, которые известны тем, что они могли подвергнуться фумигации в целях борьбы с вредителями, является сельскохозяйственная продукция. На сегодняшний день в силу иных законодательных положений (например, Регламент ЕС о биоцидных продуктах) в соответствующей отрасли применяются лишь три вышеуказанных фумиганта.</w:t>
      </w:r>
    </w:p>
    <w:p w14:paraId="4FCDE4A1" w14:textId="7742ACC8" w:rsidR="008B4614" w:rsidRDefault="008B4614" w:rsidP="008B4614">
      <w:pPr>
        <w:pStyle w:val="SingleTxtG"/>
      </w:pPr>
      <w:r>
        <w:t>5.</w:t>
      </w:r>
      <w:r>
        <w:tab/>
        <w:t xml:space="preserve">Большинство членов группы высказались в пользу возложения на грузоотправителя ответственности за выполнение измерений, необходимых для допущения груза к перевозке, до отправления в соответствии с законодательством об опасных грузах. По мнению же АТЗПП, эту ответственность следует возложить на </w:t>
      </w:r>
      <w:r w:rsidR="0001434F">
        <w:t>«</w:t>
      </w:r>
      <w:r>
        <w:t>принципала</w:t>
      </w:r>
      <w:r w:rsidR="0001434F">
        <w:t>»</w:t>
      </w:r>
      <w:r>
        <w:t xml:space="preserve">, которым согласно стандартам этой Ассоциации является </w:t>
      </w:r>
      <w:r w:rsidR="0001434F">
        <w:t>«</w:t>
      </w:r>
      <w:r>
        <w:t>продавец и/или покупатель или получатель груза</w:t>
      </w:r>
      <w:r w:rsidR="0001434F">
        <w:t>»</w:t>
      </w:r>
      <w:r>
        <w:t>.</w:t>
      </w:r>
    </w:p>
    <w:p w14:paraId="28C8E123" w14:textId="77777777" w:rsidR="008B4614" w:rsidRDefault="008B4614" w:rsidP="008B4614">
      <w:pPr>
        <w:pStyle w:val="SingleTxtG"/>
      </w:pPr>
      <w:r>
        <w:t>6.</w:t>
      </w:r>
      <w:r>
        <w:tab/>
        <w:t>Если измерение для допущения к перевозке было произведено на грузе до его погрузки на судно внутреннего плавания, то никаких дальнейших мер, таких как регулярные измерения во время рейса или вентиляция перед разгрузкой, не требуется, поскольку предполагается, что во время рейса концентрация присутствующего фумиганта не будет значительной.</w:t>
      </w:r>
    </w:p>
    <w:p w14:paraId="3D71BDBA" w14:textId="65F98030" w:rsidR="008B4614" w:rsidRDefault="008B4614" w:rsidP="008B4614">
      <w:pPr>
        <w:pStyle w:val="SingleTxtG"/>
      </w:pPr>
      <w:r>
        <w:lastRenderedPageBreak/>
        <w:t>7.</w:t>
      </w:r>
      <w:r>
        <w:tab/>
        <w:t xml:space="preserve">Тем не менее попадание </w:t>
      </w:r>
      <w:r w:rsidR="0001434F">
        <w:t>«</w:t>
      </w:r>
      <w:r>
        <w:t>скрытых</w:t>
      </w:r>
      <w:r w:rsidR="0001434F">
        <w:t>»</w:t>
      </w:r>
      <w:r>
        <w:t xml:space="preserve"> остаточных количеств фумиганта в окружающую среду при перевозке внутренним водным транспортом полностью исключить нельзя. Защита членов экипажа от непосредственных рисков во время рейса регламентируется различными национальными, европейскими и международными нормами охраны труда и эксплуатационной безопасности. Вместе с тем для обеспечения базовой защиты лиц, участвующих в разгрузке судов, непосредственно перед разгрузкой целесообразно выполнять контрольные измерения на грузе. Ответственность за эти измерения несет </w:t>
      </w:r>
      <w:r w:rsidR="0001434F">
        <w:t>«</w:t>
      </w:r>
      <w:r>
        <w:t>владелец груза</w:t>
      </w:r>
      <w:r w:rsidR="0001434F">
        <w:t>»</w:t>
      </w:r>
      <w:r>
        <w:t xml:space="preserve"> или </w:t>
      </w:r>
      <w:r w:rsidR="0001434F">
        <w:t>«</w:t>
      </w:r>
      <w:r>
        <w:t>грузоотправитель</w:t>
      </w:r>
      <w:r w:rsidR="0001434F">
        <w:t>»</w:t>
      </w:r>
      <w:r>
        <w:t>. В настоящее время члены экипажа не имеют квалификаций для работы с фумигантами.</w:t>
      </w:r>
    </w:p>
    <w:p w14:paraId="4F886362" w14:textId="77777777" w:rsidR="008B4614" w:rsidRPr="00377272" w:rsidRDefault="008B4614" w:rsidP="008B4614">
      <w:pPr>
        <w:pStyle w:val="SingleTxtG"/>
      </w:pPr>
      <w:r>
        <w:t>8.</w:t>
      </w:r>
      <w:r>
        <w:tab/>
        <w:t>Достичь соглашения о том, следует ли в целях защиты людей на судне держать на борту во время перевозки газоизмерительное устройство, пока не удалось.</w:t>
      </w:r>
    </w:p>
    <w:p w14:paraId="3E598623" w14:textId="0FF59905" w:rsidR="008B4614" w:rsidRPr="00F27D22" w:rsidRDefault="008B4614" w:rsidP="008B4614">
      <w:pPr>
        <w:pStyle w:val="SingleTxtG"/>
      </w:pPr>
      <w:r>
        <w:t>9.</w:t>
      </w:r>
      <w:r>
        <w:tab/>
        <w:t>До начала рейса перевозчик внутренним водным транспортом должен</w:t>
      </w:r>
      <w:r w:rsidR="0001434F">
        <w:t xml:space="preserve"> </w:t>
      </w:r>
      <w:r>
        <w:t>убедиться в том, что ему предоставлены свидетельства измерений, выполненных на грузе до начала рейса, и обеспечить, чтобы разгрузка судна начиналась только после выполнения нового контрольного измерения.</w:t>
      </w:r>
    </w:p>
    <w:p w14:paraId="0B7BB6E6" w14:textId="70DC5FA3" w:rsidR="008B4614" w:rsidRDefault="008B4614" w:rsidP="008B4614">
      <w:pPr>
        <w:pStyle w:val="SingleTxtG"/>
      </w:pPr>
      <w:r>
        <w:t>10.</w:t>
      </w:r>
      <w:r>
        <w:tab/>
        <w:t>Следует отметить, что предлагаемые в настоящем документе меры могут косвенно повлиять на перевозку фумигированной сельскохозяйственной продукции другими видами транспорта. Погрузка такой продукции осуществляется не только из береговых силосов, но зачастую также с морских судов и поездов. Использование</w:t>
      </w:r>
      <w:r w:rsidR="0001434F">
        <w:t xml:space="preserve"> </w:t>
      </w:r>
      <w:r>
        <w:t xml:space="preserve">автомобильного транспорта на </w:t>
      </w:r>
      <w:r>
        <w:rPr>
          <w:rFonts w:eastAsiaTheme="minorEastAsia"/>
          <w:lang w:eastAsia="zh-CN" w:bidi="ar-TN"/>
        </w:rPr>
        <w:t>предшествующем этапе перевозки</w:t>
      </w:r>
      <w:r>
        <w:t xml:space="preserve"> имеет место довольно редко, но полностью исключено быть не может.</w:t>
      </w:r>
    </w:p>
    <w:p w14:paraId="2424424A" w14:textId="77777777" w:rsidR="008B4614" w:rsidRDefault="008B4614" w:rsidP="008B4614">
      <w:pPr>
        <w:pStyle w:val="SingleTxtG"/>
      </w:pPr>
      <w:r>
        <w:t>11.</w:t>
      </w:r>
      <w:r>
        <w:tab/>
        <w:t>На морском транспорте существуют установленные протоколы обращения с фумигированными навалочными/насыпными грузами, уже включающие измерения для допущения к перевозке. По имеющейся информации, на железнодорожном и автомобильном транспорте таких мер не предусмотрено, а значит, в соответствующих случаях на владельцев груза будет возлагаться дополнительное обязательство.</w:t>
      </w:r>
    </w:p>
    <w:p w14:paraId="1E0FD538" w14:textId="77777777" w:rsidR="008B4614" w:rsidRDefault="008B4614" w:rsidP="008B4614">
      <w:pPr>
        <w:pStyle w:val="SingleTxtG"/>
      </w:pPr>
      <w:r>
        <w:t>12.</w:t>
      </w:r>
      <w:r>
        <w:tab/>
        <w:t>Возможно, на Совместном совещании МПОГ/ДОПОГ/ВОПОГ следовало бы обсудить вопрос о том, не применимы ли уже сегодня положения раздела 5.5.2 ДОПОГ/МПОГ о фумигированных грузовых транспортных единицах (№ ООН 3359) к перевозке фумигированной сельскохозяйственной продукции автомобильным и железнодорожным транспортом.</w:t>
      </w:r>
    </w:p>
    <w:p w14:paraId="607391FE" w14:textId="77777777" w:rsidR="008B4614" w:rsidRPr="00AF55BE" w:rsidRDefault="008B4614" w:rsidP="008B4614">
      <w:pPr>
        <w:pStyle w:val="HChG"/>
        <w:rPr>
          <w:bCs/>
          <w:szCs w:val="28"/>
        </w:rPr>
      </w:pPr>
      <w:r>
        <w:rPr>
          <w:bCs/>
        </w:rPr>
        <w:tab/>
        <w:t>III.</w:t>
      </w:r>
      <w:r>
        <w:tab/>
      </w:r>
      <w:r>
        <w:rPr>
          <w:bCs/>
        </w:rPr>
        <w:t>Осуществимость</w:t>
      </w:r>
    </w:p>
    <w:p w14:paraId="4CB4B682" w14:textId="6CB4D8B2" w:rsidR="008B4614" w:rsidRDefault="008B4614" w:rsidP="008B4614">
      <w:pPr>
        <w:pStyle w:val="SingleTxtG"/>
      </w:pPr>
      <w:r>
        <w:t>13.</w:t>
      </w:r>
      <w:r>
        <w:tab/>
        <w:t>Для судов, осуществляющих перевозку фумигированных навалочных/</w:t>
      </w:r>
      <w:r w:rsidR="00491A55">
        <w:br/>
      </w:r>
      <w:r>
        <w:t xml:space="preserve">насыпных грузов, никаких мер по переоборудованию не требуется. При условии, что до начала перевозки судном внутреннего плавания фумиганты, которыми был обработан навалочный/насыпной груз, уже рассеялись, </w:t>
      </w:r>
      <w:r>
        <w:rPr>
          <w:rFonts w:eastAsiaTheme="minorEastAsia"/>
          <w:lang w:eastAsia="zh-CN" w:bidi="ar-TN"/>
        </w:rPr>
        <w:t xml:space="preserve">новый предупреждающий знак </w:t>
      </w:r>
      <w:r>
        <w:t>на судне не требуется.</w:t>
      </w:r>
    </w:p>
    <w:p w14:paraId="4BCA6F05" w14:textId="77777777" w:rsidR="008B4614" w:rsidRDefault="008B4614" w:rsidP="008B4614">
      <w:pPr>
        <w:pStyle w:val="SingleTxtG"/>
      </w:pPr>
      <w:r>
        <w:t>14.</w:t>
      </w:r>
      <w:r>
        <w:tab/>
        <w:t>Продавцы, грузоотправители и погрузчики сельскохозяйственной продукции, фумигированной в целях борьбы с вредителями, в силу иных юридических причин уже обладают достаточным опытом и владеют процедурами измерений для допущения груза к перевозке перед его погрузкой в грузовые трюмы судов внутреннего плавания.</w:t>
      </w:r>
    </w:p>
    <w:p w14:paraId="3011EBD5" w14:textId="77777777" w:rsidR="008B4614" w:rsidRDefault="008B4614" w:rsidP="008B4614">
      <w:pPr>
        <w:pStyle w:val="SingleTxtG"/>
      </w:pPr>
      <w:r>
        <w:t>15.</w:t>
      </w:r>
      <w:r>
        <w:tab/>
        <w:t xml:space="preserve">Таким образом, на внутреннем водном транспорте перевозчик в значительной мере освобожден от мер и обязанностей, </w:t>
      </w:r>
      <w:r>
        <w:rPr>
          <w:lang w:val="en-US"/>
        </w:rPr>
        <w:t>c</w:t>
      </w:r>
      <w:r>
        <w:t xml:space="preserve"> которыми он в настоящее время плохо знаком.</w:t>
      </w:r>
    </w:p>
    <w:p w14:paraId="3A911C20" w14:textId="77777777" w:rsidR="008B4614" w:rsidRDefault="008B4614" w:rsidP="008B4614">
      <w:pPr>
        <w:pStyle w:val="HChG"/>
        <w:rPr>
          <w:bCs/>
          <w:szCs w:val="28"/>
        </w:rPr>
      </w:pPr>
      <w:r>
        <w:rPr>
          <w:bCs/>
        </w:rPr>
        <w:tab/>
        <w:t>IV.</w:t>
      </w:r>
      <w:r>
        <w:tab/>
      </w:r>
      <w:r>
        <w:rPr>
          <w:bCs/>
        </w:rPr>
        <w:t>Устойчивость</w:t>
      </w:r>
    </w:p>
    <w:p w14:paraId="6BF0D7FB" w14:textId="77777777" w:rsidR="008B4614" w:rsidRPr="00AB626F" w:rsidRDefault="008B4614" w:rsidP="008B4614">
      <w:pPr>
        <w:pStyle w:val="SingleTxtG"/>
      </w:pPr>
      <w:r>
        <w:t>16.</w:t>
      </w:r>
      <w:r>
        <w:tab/>
        <w:t>Положения о перевозке фумигированных грузов можно увязать, в частности, со следующими целями в области устойчивого развития (см. неофициальный документ INF.23 весенней сессии 2023 года Совместного совещания МПОГ/ДОПОГ/ВОПОГ).</w:t>
      </w:r>
    </w:p>
    <w:p w14:paraId="119AA8A7" w14:textId="0C136DC9" w:rsidR="008B4614" w:rsidRPr="00AB626F" w:rsidRDefault="0001434F" w:rsidP="0001434F">
      <w:pPr>
        <w:pStyle w:val="H23G"/>
      </w:pPr>
      <w:r>
        <w:lastRenderedPageBreak/>
        <w:tab/>
      </w:r>
      <w:r>
        <w:tab/>
      </w:r>
      <w:r>
        <w:tab/>
      </w:r>
      <w:r>
        <w:tab/>
      </w:r>
      <w:r w:rsidR="008B4614">
        <w:t>a)</w:t>
      </w:r>
      <w:r w:rsidR="008B4614">
        <w:tab/>
        <w:t xml:space="preserve">Цель 3 </w:t>
      </w:r>
      <w:r>
        <w:t>—</w:t>
      </w:r>
      <w:r w:rsidR="008B4614">
        <w:t xml:space="preserve"> Хорошее здоровье и благополучие</w:t>
      </w:r>
    </w:p>
    <w:p w14:paraId="7544DADE" w14:textId="2FB7B024" w:rsidR="008B4614" w:rsidRPr="00AB626F" w:rsidRDefault="00131CC5" w:rsidP="008B4614">
      <w:pPr>
        <w:pStyle w:val="SingleTxtG"/>
        <w:ind w:left="1701"/>
      </w:pPr>
      <w:r>
        <w:tab/>
      </w:r>
      <w:r w:rsidR="008B4614">
        <w:t>Предлагаемые положения касаются безопасного обращения с опасными химическими веществами во время перевозки. Стороны получают соответствующую информацию о том, как обращаться с опасными грузами.</w:t>
      </w:r>
    </w:p>
    <w:p w14:paraId="6D8D6C6F" w14:textId="7B7C9850" w:rsidR="008B4614" w:rsidRPr="00AB626F" w:rsidRDefault="008B4614" w:rsidP="008B4614">
      <w:pPr>
        <w:pStyle w:val="SingleTxtG"/>
        <w:ind w:firstLine="567"/>
        <w:rPr>
          <w:b/>
        </w:rPr>
      </w:pPr>
      <w:r>
        <w:rPr>
          <w:b/>
          <w:bCs/>
        </w:rPr>
        <w:t>b)</w:t>
      </w:r>
      <w:r>
        <w:tab/>
      </w:r>
      <w:r>
        <w:rPr>
          <w:b/>
          <w:bCs/>
        </w:rPr>
        <w:t>Цель 8</w:t>
      </w:r>
      <w:r w:rsidR="0001434F">
        <w:rPr>
          <w:b/>
          <w:bCs/>
        </w:rPr>
        <w:t xml:space="preserve"> — </w:t>
      </w:r>
      <w:r>
        <w:rPr>
          <w:b/>
          <w:bCs/>
        </w:rPr>
        <w:t>Достойная работа и экономический рост</w:t>
      </w:r>
    </w:p>
    <w:p w14:paraId="23AC0BD3" w14:textId="34ED34D6" w:rsidR="00E12C5F" w:rsidRDefault="0001434F" w:rsidP="0001434F">
      <w:pPr>
        <w:pStyle w:val="SingleTxtG"/>
        <w:ind w:left="1701" w:hanging="567"/>
      </w:pPr>
      <w:r>
        <w:tab/>
      </w:r>
      <w:r w:rsidR="00131CC5">
        <w:tab/>
      </w:r>
      <w:r w:rsidR="008B4614">
        <w:t>Для всех трудящихся в Договаривающихся сторонах ВОПОГ, занятых на сухогрузных судах внутреннего плавания, а также всех лиц, осуществляющих наполнение и разгрузку сухогрузных судов, обеспечивается эквивалентный уровень охраны труда и доступ к необходимой информации о соответствующих мерах защиты, которые они могут принимать на рабочем месте с учетом специфики опасных грузов, с которыми они работают.</w:t>
      </w:r>
    </w:p>
    <w:p w14:paraId="67E1A6D4" w14:textId="77777777" w:rsidR="0001434F" w:rsidRDefault="0001434F" w:rsidP="008B4614">
      <w:pPr>
        <w:sectPr w:rsidR="0001434F" w:rsidSect="008B461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p>
    <w:p w14:paraId="2E2F5BDE" w14:textId="77777777" w:rsidR="0001434F" w:rsidRPr="000E288B" w:rsidRDefault="0001434F" w:rsidP="0001434F">
      <w:pPr>
        <w:pStyle w:val="HChG"/>
      </w:pPr>
      <w:r>
        <w:rPr>
          <w:bCs/>
        </w:rPr>
        <w:lastRenderedPageBreak/>
        <w:t>Приложение</w:t>
      </w:r>
    </w:p>
    <w:tbl>
      <w:tblPr>
        <w:tblW w:w="13892" w:type="dxa"/>
        <w:tblInd w:w="-5" w:type="dxa"/>
        <w:tblLayout w:type="fixed"/>
        <w:tblCellMar>
          <w:left w:w="70" w:type="dxa"/>
          <w:right w:w="70" w:type="dxa"/>
        </w:tblCellMar>
        <w:tblLook w:val="04A0" w:firstRow="1" w:lastRow="0" w:firstColumn="1" w:lastColumn="0" w:noHBand="0" w:noVBand="1"/>
      </w:tblPr>
      <w:tblGrid>
        <w:gridCol w:w="1134"/>
        <w:gridCol w:w="2256"/>
        <w:gridCol w:w="567"/>
        <w:gridCol w:w="708"/>
        <w:gridCol w:w="709"/>
        <w:gridCol w:w="567"/>
        <w:gridCol w:w="709"/>
        <w:gridCol w:w="580"/>
        <w:gridCol w:w="759"/>
        <w:gridCol w:w="799"/>
        <w:gridCol w:w="709"/>
        <w:gridCol w:w="567"/>
        <w:gridCol w:w="1560"/>
        <w:gridCol w:w="1134"/>
        <w:gridCol w:w="1134"/>
      </w:tblGrid>
      <w:tr w:rsidR="0001434F" w:rsidRPr="00406418" w14:paraId="47C494C3" w14:textId="77777777" w:rsidTr="00131CC5">
        <w:trPr>
          <w:trHeight w:val="1362"/>
        </w:trPr>
        <w:tc>
          <w:tcPr>
            <w:tcW w:w="1134" w:type="dxa"/>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69E40E51" w14:textId="5096DA72" w:rsidR="0001434F" w:rsidRPr="00C70759" w:rsidRDefault="0001434F" w:rsidP="00F741C8">
            <w:pPr>
              <w:suppressAutoHyphens w:val="0"/>
              <w:spacing w:line="240" w:lineRule="auto"/>
              <w:jc w:val="center"/>
              <w:rPr>
                <w:rFonts w:asciiTheme="majorBidi" w:hAnsiTheme="majorBidi" w:cstheme="majorBidi"/>
                <w:b/>
                <w:bCs/>
              </w:rPr>
            </w:pPr>
            <w:r>
              <w:rPr>
                <w:b/>
                <w:bCs/>
              </w:rPr>
              <w:t xml:space="preserve">№ ООН или идентификационный </w:t>
            </w:r>
            <w:r>
              <w:rPr>
                <w:b/>
                <w:bCs/>
              </w:rPr>
              <w:br/>
            </w:r>
            <w:r>
              <w:rPr>
                <w:b/>
                <w:bCs/>
              </w:rPr>
              <w:t>номер</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6D061BE1" w14:textId="6086E5FD" w:rsidR="0001434F" w:rsidRPr="00C70759" w:rsidRDefault="0001434F" w:rsidP="00F741C8">
            <w:pPr>
              <w:suppressAutoHyphens w:val="0"/>
              <w:spacing w:line="240" w:lineRule="auto"/>
              <w:jc w:val="center"/>
              <w:rPr>
                <w:rFonts w:asciiTheme="majorBidi" w:hAnsiTheme="majorBidi" w:cstheme="majorBidi"/>
                <w:b/>
                <w:bCs/>
              </w:rPr>
            </w:pPr>
            <w:r>
              <w:rPr>
                <w:b/>
                <w:bCs/>
              </w:rPr>
              <w:t xml:space="preserve">Наименование </w:t>
            </w:r>
            <w:r>
              <w:rPr>
                <w:b/>
                <w:bCs/>
              </w:rPr>
              <w:br/>
            </w:r>
            <w:r>
              <w:rPr>
                <w:b/>
                <w:bCs/>
              </w:rPr>
              <w:t>и описание</w:t>
            </w:r>
          </w:p>
        </w:tc>
        <w:tc>
          <w:tcPr>
            <w:tcW w:w="567"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1E687A81" w14:textId="77777777" w:rsidR="0001434F" w:rsidRPr="00C70759" w:rsidRDefault="0001434F" w:rsidP="00F741C8">
            <w:pPr>
              <w:suppressAutoHyphens w:val="0"/>
              <w:spacing w:line="240" w:lineRule="auto"/>
              <w:jc w:val="center"/>
              <w:rPr>
                <w:rFonts w:asciiTheme="majorBidi" w:hAnsiTheme="majorBidi" w:cstheme="majorBidi"/>
                <w:b/>
                <w:bCs/>
              </w:rPr>
            </w:pPr>
            <w:r>
              <w:rPr>
                <w:b/>
                <w:bCs/>
              </w:rPr>
              <w:t>Класс</w:t>
            </w:r>
          </w:p>
        </w:tc>
        <w:tc>
          <w:tcPr>
            <w:tcW w:w="708" w:type="dxa"/>
            <w:tcBorders>
              <w:top w:val="single" w:sz="4" w:space="0" w:color="auto"/>
              <w:left w:val="nil"/>
              <w:bottom w:val="single" w:sz="4" w:space="0" w:color="auto"/>
              <w:right w:val="single" w:sz="4" w:space="0" w:color="auto"/>
            </w:tcBorders>
            <w:shd w:val="clear" w:color="auto" w:fill="auto"/>
            <w:textDirection w:val="tbRl"/>
            <w:vAlign w:val="center"/>
            <w:hideMark/>
          </w:tcPr>
          <w:p w14:paraId="293072C4" w14:textId="77777777" w:rsidR="0001434F" w:rsidRPr="00C70759" w:rsidRDefault="0001434F" w:rsidP="00F741C8">
            <w:pPr>
              <w:suppressAutoHyphens w:val="0"/>
              <w:spacing w:line="240" w:lineRule="auto"/>
              <w:jc w:val="center"/>
              <w:rPr>
                <w:rFonts w:asciiTheme="majorBidi" w:hAnsiTheme="majorBidi" w:cstheme="majorBidi"/>
                <w:b/>
                <w:bCs/>
              </w:rPr>
            </w:pPr>
            <w:r>
              <w:rPr>
                <w:b/>
                <w:bCs/>
              </w:rPr>
              <w:t>Классификационный код</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42AFA31E" w14:textId="48B19AA7" w:rsidR="0001434F" w:rsidRPr="00C70759" w:rsidRDefault="0001434F" w:rsidP="00F741C8">
            <w:pPr>
              <w:suppressAutoHyphens w:val="0"/>
              <w:spacing w:line="240" w:lineRule="auto"/>
              <w:jc w:val="center"/>
              <w:rPr>
                <w:rFonts w:asciiTheme="majorBidi" w:hAnsiTheme="majorBidi" w:cstheme="majorBidi"/>
                <w:b/>
                <w:bCs/>
              </w:rPr>
            </w:pPr>
            <w:r>
              <w:rPr>
                <w:b/>
                <w:bCs/>
              </w:rPr>
              <w:t xml:space="preserve">Группа </w:t>
            </w:r>
            <w:r>
              <w:rPr>
                <w:b/>
                <w:bCs/>
              </w:rPr>
              <w:br/>
            </w:r>
            <w:r>
              <w:rPr>
                <w:b/>
                <w:bCs/>
              </w:rPr>
              <w:t>упаковки</w:t>
            </w:r>
          </w:p>
        </w:tc>
        <w:tc>
          <w:tcPr>
            <w:tcW w:w="567" w:type="dxa"/>
            <w:tcBorders>
              <w:top w:val="single" w:sz="4" w:space="0" w:color="auto"/>
              <w:left w:val="nil"/>
              <w:bottom w:val="single" w:sz="4" w:space="0" w:color="auto"/>
              <w:right w:val="single" w:sz="4" w:space="0" w:color="auto"/>
            </w:tcBorders>
            <w:shd w:val="clear" w:color="auto" w:fill="auto"/>
            <w:textDirection w:val="tbRl"/>
            <w:vAlign w:val="center"/>
            <w:hideMark/>
          </w:tcPr>
          <w:p w14:paraId="67118E89" w14:textId="7F645F86" w:rsidR="0001434F" w:rsidRPr="00C70759" w:rsidRDefault="0001434F" w:rsidP="00F741C8">
            <w:pPr>
              <w:suppressAutoHyphens w:val="0"/>
              <w:spacing w:line="240" w:lineRule="auto"/>
              <w:jc w:val="center"/>
              <w:rPr>
                <w:rFonts w:asciiTheme="majorBidi" w:hAnsiTheme="majorBidi" w:cstheme="majorBidi"/>
                <w:b/>
                <w:bCs/>
              </w:rPr>
            </w:pPr>
            <w:r>
              <w:rPr>
                <w:b/>
                <w:bCs/>
              </w:rPr>
              <w:t xml:space="preserve">Знаки </w:t>
            </w:r>
            <w:r>
              <w:rPr>
                <w:b/>
                <w:bCs/>
              </w:rPr>
              <w:br/>
            </w:r>
            <w:r>
              <w:rPr>
                <w:b/>
                <w:bCs/>
              </w:rPr>
              <w:t>опасности</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27961967" w14:textId="77777777" w:rsidR="0001434F" w:rsidRPr="00C70759" w:rsidRDefault="0001434F" w:rsidP="00F741C8">
            <w:pPr>
              <w:suppressAutoHyphens w:val="0"/>
              <w:spacing w:line="240" w:lineRule="auto"/>
              <w:jc w:val="center"/>
              <w:rPr>
                <w:rFonts w:asciiTheme="majorBidi" w:hAnsiTheme="majorBidi" w:cstheme="majorBidi"/>
                <w:b/>
                <w:bCs/>
              </w:rPr>
            </w:pPr>
            <w:r>
              <w:rPr>
                <w:b/>
                <w:bCs/>
              </w:rPr>
              <w:t>Специальные положения</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14:paraId="44595305" w14:textId="77777777" w:rsidR="0001434F" w:rsidRPr="00C70759" w:rsidRDefault="0001434F" w:rsidP="00F741C8">
            <w:pPr>
              <w:suppressAutoHyphens w:val="0"/>
              <w:spacing w:line="240" w:lineRule="auto"/>
              <w:jc w:val="center"/>
              <w:rPr>
                <w:rFonts w:asciiTheme="majorBidi" w:hAnsiTheme="majorBidi" w:cstheme="majorBidi"/>
                <w:b/>
                <w:bCs/>
              </w:rPr>
            </w:pPr>
            <w:r>
              <w:rPr>
                <w:b/>
                <w:bCs/>
              </w:rPr>
              <w:t>Ограниченные и освобожденные количества</w:t>
            </w:r>
          </w:p>
        </w:tc>
        <w:tc>
          <w:tcPr>
            <w:tcW w:w="799" w:type="dxa"/>
            <w:tcBorders>
              <w:top w:val="single" w:sz="4" w:space="0" w:color="auto"/>
              <w:left w:val="nil"/>
              <w:bottom w:val="single" w:sz="4" w:space="0" w:color="auto"/>
              <w:right w:val="single" w:sz="4" w:space="0" w:color="auto"/>
            </w:tcBorders>
            <w:shd w:val="clear" w:color="auto" w:fill="auto"/>
            <w:textDirection w:val="tbRl"/>
            <w:vAlign w:val="center"/>
            <w:hideMark/>
          </w:tcPr>
          <w:p w14:paraId="31D2AF0C" w14:textId="6484E7CF" w:rsidR="0001434F" w:rsidRPr="00C70759" w:rsidRDefault="0001434F" w:rsidP="00F741C8">
            <w:pPr>
              <w:suppressAutoHyphens w:val="0"/>
              <w:spacing w:line="240" w:lineRule="auto"/>
              <w:jc w:val="center"/>
              <w:rPr>
                <w:rFonts w:asciiTheme="majorBidi" w:hAnsiTheme="majorBidi" w:cstheme="majorBidi"/>
                <w:b/>
                <w:bCs/>
              </w:rPr>
            </w:pPr>
            <w:r>
              <w:rPr>
                <w:b/>
                <w:bCs/>
              </w:rPr>
              <w:t xml:space="preserve">Разрешенный способ </w:t>
            </w:r>
            <w:r w:rsidR="00491A55">
              <w:rPr>
                <w:b/>
                <w:bCs/>
              </w:rPr>
              <w:br/>
            </w:r>
            <w:r>
              <w:rPr>
                <w:b/>
                <w:bCs/>
              </w:rPr>
              <w:t>перевозки</w:t>
            </w:r>
          </w:p>
        </w:tc>
        <w:tc>
          <w:tcPr>
            <w:tcW w:w="709" w:type="dxa"/>
            <w:tcBorders>
              <w:top w:val="single" w:sz="4" w:space="0" w:color="auto"/>
              <w:left w:val="nil"/>
              <w:bottom w:val="single" w:sz="4" w:space="0" w:color="auto"/>
              <w:right w:val="single" w:sz="4" w:space="0" w:color="auto"/>
            </w:tcBorders>
            <w:shd w:val="clear" w:color="auto" w:fill="auto"/>
            <w:textDirection w:val="tbRl"/>
            <w:vAlign w:val="center"/>
            <w:hideMark/>
          </w:tcPr>
          <w:p w14:paraId="7A923D17" w14:textId="77777777" w:rsidR="0001434F" w:rsidRPr="00C70759" w:rsidRDefault="0001434F" w:rsidP="00F741C8">
            <w:pPr>
              <w:suppressAutoHyphens w:val="0"/>
              <w:spacing w:line="240" w:lineRule="auto"/>
              <w:jc w:val="center"/>
              <w:rPr>
                <w:rFonts w:asciiTheme="majorBidi" w:hAnsiTheme="majorBidi" w:cstheme="majorBidi"/>
                <w:b/>
                <w:bCs/>
              </w:rPr>
            </w:pPr>
            <w:r>
              <w:rPr>
                <w:b/>
                <w:bCs/>
              </w:rPr>
              <w:t>Требуемое оборудование</w:t>
            </w:r>
          </w:p>
        </w:tc>
        <w:tc>
          <w:tcPr>
            <w:tcW w:w="567" w:type="dxa"/>
            <w:tcBorders>
              <w:top w:val="single" w:sz="4" w:space="0" w:color="auto"/>
              <w:left w:val="nil"/>
              <w:bottom w:val="single" w:sz="4" w:space="0" w:color="auto"/>
              <w:right w:val="single" w:sz="4" w:space="0" w:color="auto"/>
            </w:tcBorders>
            <w:shd w:val="clear" w:color="auto" w:fill="auto"/>
            <w:textDirection w:val="tbRl"/>
            <w:vAlign w:val="center"/>
            <w:hideMark/>
          </w:tcPr>
          <w:p w14:paraId="573EA479" w14:textId="77777777" w:rsidR="0001434F" w:rsidRPr="00C70759" w:rsidRDefault="0001434F" w:rsidP="00F741C8">
            <w:pPr>
              <w:suppressAutoHyphens w:val="0"/>
              <w:spacing w:line="240" w:lineRule="auto"/>
              <w:jc w:val="center"/>
              <w:rPr>
                <w:rFonts w:asciiTheme="majorBidi" w:hAnsiTheme="majorBidi" w:cstheme="majorBidi"/>
                <w:b/>
                <w:bCs/>
              </w:rPr>
            </w:pPr>
            <w:r>
              <w:rPr>
                <w:b/>
                <w:bCs/>
              </w:rPr>
              <w:t>Вентиляция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9389F62" w14:textId="2535E89C" w:rsidR="0001434F" w:rsidRPr="00C70759" w:rsidRDefault="0001434F" w:rsidP="00F741C8">
            <w:pPr>
              <w:suppressAutoHyphens w:val="0"/>
              <w:spacing w:line="240" w:lineRule="auto"/>
              <w:jc w:val="center"/>
              <w:rPr>
                <w:rFonts w:asciiTheme="majorBidi" w:hAnsiTheme="majorBidi" w:cstheme="majorBidi"/>
                <w:b/>
                <w:bCs/>
              </w:rPr>
            </w:pPr>
            <w:r>
              <w:rPr>
                <w:b/>
                <w:bCs/>
              </w:rPr>
              <w:t xml:space="preserve">Положения, </w:t>
            </w:r>
            <w:r w:rsidR="00491A55">
              <w:rPr>
                <w:b/>
                <w:bCs/>
              </w:rPr>
              <w:br/>
            </w:r>
            <w:r>
              <w:rPr>
                <w:b/>
                <w:bCs/>
              </w:rPr>
              <w:t xml:space="preserve">касающиеся </w:t>
            </w:r>
            <w:r w:rsidR="00491A55">
              <w:rPr>
                <w:b/>
                <w:bCs/>
              </w:rPr>
              <w:br/>
            </w:r>
            <w:r>
              <w:rPr>
                <w:b/>
                <w:bCs/>
              </w:rPr>
              <w:t xml:space="preserve">погрузки, </w:t>
            </w:r>
            <w:r w:rsidR="00131CC5">
              <w:rPr>
                <w:b/>
                <w:bCs/>
              </w:rPr>
              <w:br/>
            </w:r>
            <w:r>
              <w:rPr>
                <w:b/>
                <w:bCs/>
              </w:rPr>
              <w:t xml:space="preserve">разгрузки </w:t>
            </w:r>
            <w:r w:rsidR="00131CC5">
              <w:rPr>
                <w:b/>
                <w:bCs/>
              </w:rPr>
              <w:br/>
            </w:r>
            <w:r>
              <w:rPr>
                <w:b/>
                <w:bCs/>
              </w:rPr>
              <w:t>и перевозки</w:t>
            </w:r>
          </w:p>
        </w:tc>
        <w:tc>
          <w:tcPr>
            <w:tcW w:w="1134" w:type="dxa"/>
            <w:tcBorders>
              <w:top w:val="single" w:sz="4" w:space="0" w:color="auto"/>
              <w:left w:val="nil"/>
              <w:bottom w:val="single" w:sz="4" w:space="0" w:color="auto"/>
              <w:right w:val="single" w:sz="4" w:space="0" w:color="auto"/>
            </w:tcBorders>
            <w:shd w:val="clear" w:color="auto" w:fill="auto"/>
            <w:textDirection w:val="tbRl"/>
            <w:vAlign w:val="center"/>
            <w:hideMark/>
          </w:tcPr>
          <w:p w14:paraId="2C473BE2" w14:textId="5EE485E8" w:rsidR="0001434F" w:rsidRPr="00C70759" w:rsidRDefault="0001434F" w:rsidP="00F741C8">
            <w:pPr>
              <w:suppressAutoHyphens w:val="0"/>
              <w:spacing w:line="240" w:lineRule="auto"/>
              <w:jc w:val="center"/>
              <w:rPr>
                <w:rFonts w:asciiTheme="majorBidi" w:hAnsiTheme="majorBidi" w:cstheme="majorBidi"/>
                <w:b/>
                <w:bCs/>
              </w:rPr>
            </w:pPr>
            <w:r>
              <w:rPr>
                <w:b/>
                <w:bCs/>
              </w:rPr>
              <w:t xml:space="preserve">Количество синих </w:t>
            </w:r>
            <w:r w:rsidR="00491A55">
              <w:rPr>
                <w:b/>
                <w:bCs/>
              </w:rPr>
              <w:br/>
            </w:r>
            <w:r>
              <w:rPr>
                <w:b/>
                <w:bCs/>
              </w:rPr>
              <w:t>конусов/</w:t>
            </w:r>
            <w:r w:rsidR="00491A55">
              <w:rPr>
                <w:b/>
                <w:bCs/>
              </w:rPr>
              <w:br/>
            </w:r>
            <w:r>
              <w:rPr>
                <w:b/>
                <w:bCs/>
              </w:rPr>
              <w:t>огней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D1194E" w14:textId="77777777" w:rsidR="0001434F" w:rsidRPr="00C70759" w:rsidRDefault="0001434F" w:rsidP="00F741C8">
            <w:pPr>
              <w:suppressAutoHyphens w:val="0"/>
              <w:spacing w:line="240" w:lineRule="auto"/>
              <w:jc w:val="center"/>
              <w:rPr>
                <w:rFonts w:asciiTheme="majorBidi" w:hAnsiTheme="majorBidi" w:cstheme="majorBidi"/>
                <w:b/>
                <w:bCs/>
              </w:rPr>
            </w:pPr>
            <w:r>
              <w:rPr>
                <w:b/>
                <w:bCs/>
              </w:rPr>
              <w:t>Замечания</w:t>
            </w:r>
          </w:p>
        </w:tc>
      </w:tr>
      <w:tr w:rsidR="0001434F" w:rsidRPr="00406418" w14:paraId="4CD192CA" w14:textId="77777777" w:rsidTr="00131CC5">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8BC4FF" w14:textId="77777777" w:rsidR="0001434F" w:rsidRPr="007533CC" w:rsidRDefault="0001434F" w:rsidP="00F741C8">
            <w:pPr>
              <w:suppressAutoHyphens w:val="0"/>
              <w:spacing w:line="240" w:lineRule="auto"/>
              <w:jc w:val="center"/>
              <w:rPr>
                <w:rFonts w:asciiTheme="majorBidi" w:hAnsiTheme="majorBidi" w:cstheme="majorBidi"/>
              </w:rPr>
            </w:pPr>
            <w:r w:rsidRPr="007533CC">
              <w:rPr>
                <w:rFonts w:asciiTheme="majorBidi" w:hAnsiTheme="majorBidi" w:cstheme="majorBidi"/>
              </w:rPr>
              <w:t> </w:t>
            </w:r>
          </w:p>
        </w:tc>
        <w:tc>
          <w:tcPr>
            <w:tcW w:w="2256" w:type="dxa"/>
            <w:tcBorders>
              <w:top w:val="nil"/>
              <w:left w:val="nil"/>
              <w:bottom w:val="single" w:sz="4" w:space="0" w:color="auto"/>
              <w:right w:val="single" w:sz="4" w:space="0" w:color="auto"/>
            </w:tcBorders>
            <w:shd w:val="clear" w:color="auto" w:fill="auto"/>
            <w:vAlign w:val="bottom"/>
            <w:hideMark/>
          </w:tcPr>
          <w:p w14:paraId="1C114168" w14:textId="77777777" w:rsidR="0001434F" w:rsidRPr="007533CC" w:rsidRDefault="0001434F" w:rsidP="00F741C8">
            <w:pPr>
              <w:suppressAutoHyphens w:val="0"/>
              <w:spacing w:line="240" w:lineRule="auto"/>
              <w:jc w:val="center"/>
              <w:rPr>
                <w:rFonts w:asciiTheme="majorBidi" w:hAnsiTheme="majorBidi" w:cstheme="majorBidi"/>
              </w:rPr>
            </w:pPr>
            <w:r>
              <w:t>3.1.2</w:t>
            </w:r>
          </w:p>
        </w:tc>
        <w:tc>
          <w:tcPr>
            <w:tcW w:w="567" w:type="dxa"/>
            <w:tcBorders>
              <w:top w:val="nil"/>
              <w:left w:val="nil"/>
              <w:bottom w:val="single" w:sz="4" w:space="0" w:color="auto"/>
              <w:right w:val="single" w:sz="4" w:space="0" w:color="auto"/>
            </w:tcBorders>
            <w:shd w:val="clear" w:color="auto" w:fill="auto"/>
            <w:vAlign w:val="center"/>
            <w:hideMark/>
          </w:tcPr>
          <w:p w14:paraId="5D06F34B" w14:textId="77777777" w:rsidR="0001434F" w:rsidRPr="007533CC" w:rsidRDefault="0001434F" w:rsidP="00F741C8">
            <w:pPr>
              <w:suppressAutoHyphens w:val="0"/>
              <w:spacing w:line="240" w:lineRule="auto"/>
              <w:jc w:val="center"/>
              <w:rPr>
                <w:rFonts w:asciiTheme="majorBidi" w:hAnsiTheme="majorBidi" w:cstheme="majorBidi"/>
              </w:rPr>
            </w:pPr>
            <w:r>
              <w:t>2.2</w:t>
            </w:r>
          </w:p>
        </w:tc>
        <w:tc>
          <w:tcPr>
            <w:tcW w:w="708" w:type="dxa"/>
            <w:tcBorders>
              <w:top w:val="nil"/>
              <w:left w:val="nil"/>
              <w:bottom w:val="single" w:sz="4" w:space="0" w:color="auto"/>
              <w:right w:val="single" w:sz="4" w:space="0" w:color="auto"/>
            </w:tcBorders>
            <w:shd w:val="clear" w:color="auto" w:fill="auto"/>
            <w:vAlign w:val="center"/>
            <w:hideMark/>
          </w:tcPr>
          <w:p w14:paraId="6EB06D25" w14:textId="77777777" w:rsidR="0001434F" w:rsidRPr="007533CC" w:rsidRDefault="0001434F" w:rsidP="00F741C8">
            <w:pPr>
              <w:suppressAutoHyphens w:val="0"/>
              <w:spacing w:line="240" w:lineRule="auto"/>
              <w:jc w:val="center"/>
              <w:rPr>
                <w:rFonts w:asciiTheme="majorBidi" w:hAnsiTheme="majorBidi" w:cstheme="majorBidi"/>
              </w:rPr>
            </w:pPr>
            <w:r>
              <w:t>2.2</w:t>
            </w:r>
          </w:p>
        </w:tc>
        <w:tc>
          <w:tcPr>
            <w:tcW w:w="709" w:type="dxa"/>
            <w:tcBorders>
              <w:top w:val="nil"/>
              <w:left w:val="nil"/>
              <w:bottom w:val="single" w:sz="4" w:space="0" w:color="auto"/>
              <w:right w:val="single" w:sz="4" w:space="0" w:color="auto"/>
            </w:tcBorders>
            <w:shd w:val="clear" w:color="auto" w:fill="auto"/>
            <w:vAlign w:val="center"/>
            <w:hideMark/>
          </w:tcPr>
          <w:p w14:paraId="015809AC" w14:textId="77777777" w:rsidR="0001434F" w:rsidRPr="007533CC" w:rsidRDefault="0001434F" w:rsidP="00F741C8">
            <w:pPr>
              <w:suppressAutoHyphens w:val="0"/>
              <w:spacing w:line="240" w:lineRule="auto"/>
              <w:jc w:val="center"/>
              <w:rPr>
                <w:rFonts w:asciiTheme="majorBidi" w:hAnsiTheme="majorBidi" w:cstheme="majorBidi"/>
              </w:rPr>
            </w:pPr>
            <w:r>
              <w:t>2.1.1.3</w:t>
            </w:r>
          </w:p>
        </w:tc>
        <w:tc>
          <w:tcPr>
            <w:tcW w:w="567" w:type="dxa"/>
            <w:tcBorders>
              <w:top w:val="nil"/>
              <w:left w:val="nil"/>
              <w:bottom w:val="single" w:sz="4" w:space="0" w:color="auto"/>
              <w:right w:val="single" w:sz="4" w:space="0" w:color="auto"/>
            </w:tcBorders>
            <w:shd w:val="clear" w:color="auto" w:fill="auto"/>
            <w:vAlign w:val="center"/>
            <w:hideMark/>
          </w:tcPr>
          <w:p w14:paraId="2977CE3F" w14:textId="77777777" w:rsidR="0001434F" w:rsidRPr="007533CC" w:rsidRDefault="0001434F" w:rsidP="00F741C8">
            <w:pPr>
              <w:suppressAutoHyphens w:val="0"/>
              <w:spacing w:line="240" w:lineRule="auto"/>
              <w:jc w:val="center"/>
              <w:rPr>
                <w:rFonts w:asciiTheme="majorBidi" w:hAnsiTheme="majorBidi" w:cstheme="majorBidi"/>
              </w:rPr>
            </w:pPr>
            <w:r>
              <w:t>5.2.2</w:t>
            </w:r>
          </w:p>
        </w:tc>
        <w:tc>
          <w:tcPr>
            <w:tcW w:w="709" w:type="dxa"/>
            <w:tcBorders>
              <w:top w:val="nil"/>
              <w:left w:val="nil"/>
              <w:bottom w:val="single" w:sz="4" w:space="0" w:color="auto"/>
              <w:right w:val="single" w:sz="4" w:space="0" w:color="auto"/>
            </w:tcBorders>
            <w:shd w:val="clear" w:color="auto" w:fill="auto"/>
            <w:vAlign w:val="center"/>
            <w:hideMark/>
          </w:tcPr>
          <w:p w14:paraId="74301AA8" w14:textId="77777777" w:rsidR="0001434F" w:rsidRPr="007533CC" w:rsidRDefault="0001434F" w:rsidP="00F741C8">
            <w:pPr>
              <w:suppressAutoHyphens w:val="0"/>
              <w:spacing w:line="240" w:lineRule="auto"/>
              <w:jc w:val="center"/>
              <w:rPr>
                <w:rFonts w:asciiTheme="majorBidi" w:hAnsiTheme="majorBidi" w:cstheme="majorBidi"/>
              </w:rPr>
            </w:pPr>
            <w:r>
              <w:t>3.3</w:t>
            </w:r>
          </w:p>
        </w:tc>
        <w:tc>
          <w:tcPr>
            <w:tcW w:w="580" w:type="dxa"/>
            <w:tcBorders>
              <w:top w:val="nil"/>
              <w:left w:val="nil"/>
              <w:bottom w:val="single" w:sz="4" w:space="0" w:color="auto"/>
              <w:right w:val="single" w:sz="4" w:space="0" w:color="auto"/>
            </w:tcBorders>
            <w:shd w:val="clear" w:color="auto" w:fill="auto"/>
            <w:vAlign w:val="center"/>
            <w:hideMark/>
          </w:tcPr>
          <w:p w14:paraId="747B8737" w14:textId="77777777" w:rsidR="0001434F" w:rsidRPr="007533CC" w:rsidRDefault="0001434F" w:rsidP="00F741C8">
            <w:pPr>
              <w:suppressAutoHyphens w:val="0"/>
              <w:spacing w:line="240" w:lineRule="auto"/>
              <w:jc w:val="center"/>
              <w:rPr>
                <w:rFonts w:asciiTheme="majorBidi" w:hAnsiTheme="majorBidi" w:cstheme="majorBidi"/>
              </w:rPr>
            </w:pPr>
            <w:r>
              <w:t>3.4</w:t>
            </w:r>
          </w:p>
        </w:tc>
        <w:tc>
          <w:tcPr>
            <w:tcW w:w="759" w:type="dxa"/>
            <w:tcBorders>
              <w:top w:val="nil"/>
              <w:left w:val="nil"/>
              <w:bottom w:val="single" w:sz="4" w:space="0" w:color="auto"/>
              <w:right w:val="single" w:sz="4" w:space="0" w:color="auto"/>
            </w:tcBorders>
            <w:shd w:val="clear" w:color="auto" w:fill="auto"/>
            <w:vAlign w:val="center"/>
            <w:hideMark/>
          </w:tcPr>
          <w:p w14:paraId="41FF4C08" w14:textId="77777777" w:rsidR="0001434F" w:rsidRPr="007533CC" w:rsidRDefault="0001434F" w:rsidP="00F741C8">
            <w:pPr>
              <w:suppressAutoHyphens w:val="0"/>
              <w:spacing w:line="240" w:lineRule="auto"/>
              <w:jc w:val="center"/>
              <w:rPr>
                <w:rFonts w:asciiTheme="majorBidi" w:hAnsiTheme="majorBidi" w:cstheme="majorBidi"/>
              </w:rPr>
            </w:pPr>
            <w:r>
              <w:t>3.5.1.2</w:t>
            </w:r>
          </w:p>
        </w:tc>
        <w:tc>
          <w:tcPr>
            <w:tcW w:w="799" w:type="dxa"/>
            <w:tcBorders>
              <w:top w:val="nil"/>
              <w:left w:val="nil"/>
              <w:bottom w:val="single" w:sz="4" w:space="0" w:color="auto"/>
              <w:right w:val="single" w:sz="4" w:space="0" w:color="auto"/>
            </w:tcBorders>
            <w:shd w:val="clear" w:color="auto" w:fill="auto"/>
            <w:hideMark/>
          </w:tcPr>
          <w:p w14:paraId="7A149CE7" w14:textId="77777777" w:rsidR="0001434F" w:rsidRPr="007533CC" w:rsidRDefault="0001434F" w:rsidP="00F741C8">
            <w:pPr>
              <w:suppressAutoHyphens w:val="0"/>
              <w:spacing w:line="240" w:lineRule="auto"/>
              <w:jc w:val="center"/>
              <w:rPr>
                <w:rFonts w:asciiTheme="majorBidi" w:hAnsiTheme="majorBidi" w:cstheme="majorBidi"/>
              </w:rPr>
            </w:pPr>
            <w:r>
              <w:t>3.2.1</w:t>
            </w:r>
          </w:p>
        </w:tc>
        <w:tc>
          <w:tcPr>
            <w:tcW w:w="709" w:type="dxa"/>
            <w:tcBorders>
              <w:top w:val="nil"/>
              <w:left w:val="nil"/>
              <w:bottom w:val="single" w:sz="4" w:space="0" w:color="auto"/>
              <w:right w:val="single" w:sz="4" w:space="0" w:color="auto"/>
            </w:tcBorders>
            <w:shd w:val="clear" w:color="auto" w:fill="auto"/>
            <w:vAlign w:val="center"/>
            <w:hideMark/>
          </w:tcPr>
          <w:p w14:paraId="03D44D7F" w14:textId="77777777" w:rsidR="0001434F" w:rsidRPr="007533CC" w:rsidRDefault="0001434F" w:rsidP="00F741C8">
            <w:pPr>
              <w:suppressAutoHyphens w:val="0"/>
              <w:spacing w:line="240" w:lineRule="auto"/>
              <w:jc w:val="center"/>
              <w:rPr>
                <w:rFonts w:asciiTheme="majorBidi" w:hAnsiTheme="majorBidi" w:cstheme="majorBidi"/>
              </w:rPr>
            </w:pPr>
            <w:r>
              <w:t>8.1.5</w:t>
            </w:r>
          </w:p>
        </w:tc>
        <w:tc>
          <w:tcPr>
            <w:tcW w:w="567" w:type="dxa"/>
            <w:tcBorders>
              <w:top w:val="nil"/>
              <w:left w:val="nil"/>
              <w:bottom w:val="single" w:sz="4" w:space="0" w:color="auto"/>
              <w:right w:val="single" w:sz="4" w:space="0" w:color="auto"/>
            </w:tcBorders>
            <w:shd w:val="clear" w:color="auto" w:fill="auto"/>
            <w:vAlign w:val="center"/>
            <w:hideMark/>
          </w:tcPr>
          <w:p w14:paraId="02ADB31E" w14:textId="77777777" w:rsidR="0001434F" w:rsidRPr="007533CC" w:rsidRDefault="0001434F" w:rsidP="00F741C8">
            <w:pPr>
              <w:suppressAutoHyphens w:val="0"/>
              <w:spacing w:line="240" w:lineRule="auto"/>
              <w:jc w:val="center"/>
              <w:rPr>
                <w:rFonts w:asciiTheme="majorBidi" w:hAnsiTheme="majorBidi" w:cstheme="majorBidi"/>
              </w:rPr>
            </w:pPr>
            <w:r>
              <w:t>7.1.6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CBD3F4B" w14:textId="77777777" w:rsidR="0001434F" w:rsidRPr="007533CC" w:rsidRDefault="0001434F" w:rsidP="00F741C8">
            <w:pPr>
              <w:suppressAutoHyphens w:val="0"/>
              <w:spacing w:line="240" w:lineRule="auto"/>
              <w:jc w:val="center"/>
              <w:rPr>
                <w:rFonts w:asciiTheme="majorBidi" w:hAnsiTheme="majorBidi" w:cstheme="majorBidi"/>
              </w:rPr>
            </w:pPr>
            <w:r>
              <w:t>7.1.6</w:t>
            </w:r>
          </w:p>
        </w:tc>
        <w:tc>
          <w:tcPr>
            <w:tcW w:w="1134" w:type="dxa"/>
            <w:tcBorders>
              <w:top w:val="nil"/>
              <w:left w:val="nil"/>
              <w:bottom w:val="single" w:sz="4" w:space="0" w:color="auto"/>
              <w:right w:val="single" w:sz="4" w:space="0" w:color="auto"/>
            </w:tcBorders>
            <w:shd w:val="clear" w:color="auto" w:fill="auto"/>
            <w:noWrap/>
            <w:vAlign w:val="bottom"/>
            <w:hideMark/>
          </w:tcPr>
          <w:p w14:paraId="6331FF55" w14:textId="77777777" w:rsidR="0001434F" w:rsidRPr="007533CC" w:rsidRDefault="0001434F" w:rsidP="00F741C8">
            <w:pPr>
              <w:suppressAutoHyphens w:val="0"/>
              <w:spacing w:line="240" w:lineRule="auto"/>
              <w:jc w:val="center"/>
              <w:rPr>
                <w:rFonts w:asciiTheme="majorBidi" w:hAnsiTheme="majorBidi" w:cstheme="majorBidi"/>
              </w:rPr>
            </w:pPr>
            <w:r>
              <w:t>7.1.5</w:t>
            </w:r>
          </w:p>
        </w:tc>
        <w:tc>
          <w:tcPr>
            <w:tcW w:w="1134" w:type="dxa"/>
            <w:tcBorders>
              <w:top w:val="nil"/>
              <w:left w:val="nil"/>
              <w:bottom w:val="single" w:sz="4" w:space="0" w:color="auto"/>
              <w:right w:val="single" w:sz="4" w:space="0" w:color="auto"/>
            </w:tcBorders>
            <w:shd w:val="clear" w:color="auto" w:fill="auto"/>
            <w:vAlign w:val="center"/>
            <w:hideMark/>
          </w:tcPr>
          <w:p w14:paraId="101D3D9E" w14:textId="77777777" w:rsidR="0001434F" w:rsidRPr="007533CC" w:rsidRDefault="0001434F" w:rsidP="00F741C8">
            <w:pPr>
              <w:suppressAutoHyphens w:val="0"/>
              <w:spacing w:line="240" w:lineRule="auto"/>
              <w:jc w:val="center"/>
              <w:rPr>
                <w:rFonts w:asciiTheme="majorBidi" w:hAnsiTheme="majorBidi" w:cstheme="majorBidi"/>
              </w:rPr>
            </w:pPr>
            <w:r>
              <w:t>3.2.1</w:t>
            </w:r>
          </w:p>
        </w:tc>
      </w:tr>
      <w:tr w:rsidR="0001434F" w:rsidRPr="00406418" w14:paraId="3772AD8A" w14:textId="77777777" w:rsidTr="00131CC5">
        <w:trPr>
          <w:trHeight w:val="300"/>
        </w:trPr>
        <w:tc>
          <w:tcPr>
            <w:tcW w:w="1134" w:type="dxa"/>
            <w:tcBorders>
              <w:top w:val="nil"/>
              <w:left w:val="single" w:sz="4" w:space="0" w:color="auto"/>
              <w:bottom w:val="single" w:sz="4" w:space="0" w:color="auto"/>
              <w:right w:val="single" w:sz="4" w:space="0" w:color="auto"/>
            </w:tcBorders>
            <w:shd w:val="clear" w:color="auto" w:fill="auto"/>
            <w:noWrap/>
            <w:hideMark/>
          </w:tcPr>
          <w:p w14:paraId="1EF938A9" w14:textId="77777777" w:rsidR="0001434F" w:rsidRPr="007533CC" w:rsidRDefault="0001434F" w:rsidP="00F741C8">
            <w:pPr>
              <w:suppressAutoHyphens w:val="0"/>
              <w:spacing w:line="240" w:lineRule="auto"/>
              <w:jc w:val="center"/>
              <w:rPr>
                <w:rFonts w:asciiTheme="majorBidi" w:hAnsiTheme="majorBidi" w:cstheme="majorBidi"/>
              </w:rPr>
            </w:pPr>
            <w:r>
              <w:t>(1)</w:t>
            </w:r>
          </w:p>
        </w:tc>
        <w:tc>
          <w:tcPr>
            <w:tcW w:w="2256" w:type="dxa"/>
            <w:tcBorders>
              <w:top w:val="nil"/>
              <w:left w:val="nil"/>
              <w:bottom w:val="single" w:sz="4" w:space="0" w:color="auto"/>
              <w:right w:val="single" w:sz="4" w:space="0" w:color="auto"/>
            </w:tcBorders>
            <w:shd w:val="clear" w:color="auto" w:fill="auto"/>
            <w:vAlign w:val="bottom"/>
            <w:hideMark/>
          </w:tcPr>
          <w:p w14:paraId="59FF66BD" w14:textId="77777777" w:rsidR="0001434F" w:rsidRPr="007533CC" w:rsidRDefault="0001434F" w:rsidP="00F741C8">
            <w:pPr>
              <w:suppressAutoHyphens w:val="0"/>
              <w:spacing w:line="240" w:lineRule="auto"/>
              <w:jc w:val="center"/>
              <w:rPr>
                <w:rFonts w:asciiTheme="majorBidi" w:hAnsiTheme="majorBidi" w:cstheme="majorBidi"/>
              </w:rPr>
            </w:pPr>
            <w:r>
              <w:t>(2)</w:t>
            </w:r>
          </w:p>
        </w:tc>
        <w:tc>
          <w:tcPr>
            <w:tcW w:w="567" w:type="dxa"/>
            <w:tcBorders>
              <w:top w:val="nil"/>
              <w:left w:val="nil"/>
              <w:bottom w:val="single" w:sz="4" w:space="0" w:color="auto"/>
              <w:right w:val="single" w:sz="4" w:space="0" w:color="auto"/>
            </w:tcBorders>
            <w:shd w:val="clear" w:color="auto" w:fill="auto"/>
            <w:hideMark/>
          </w:tcPr>
          <w:p w14:paraId="3615351B" w14:textId="77777777" w:rsidR="0001434F" w:rsidRPr="007533CC" w:rsidRDefault="0001434F" w:rsidP="00F741C8">
            <w:pPr>
              <w:suppressAutoHyphens w:val="0"/>
              <w:spacing w:line="240" w:lineRule="auto"/>
              <w:jc w:val="center"/>
              <w:rPr>
                <w:rFonts w:asciiTheme="majorBidi" w:hAnsiTheme="majorBidi" w:cstheme="majorBidi"/>
              </w:rPr>
            </w:pPr>
            <w:r>
              <w:t>(3a)</w:t>
            </w:r>
          </w:p>
        </w:tc>
        <w:tc>
          <w:tcPr>
            <w:tcW w:w="708" w:type="dxa"/>
            <w:tcBorders>
              <w:top w:val="nil"/>
              <w:left w:val="nil"/>
              <w:bottom w:val="single" w:sz="4" w:space="0" w:color="auto"/>
              <w:right w:val="single" w:sz="4" w:space="0" w:color="auto"/>
            </w:tcBorders>
            <w:shd w:val="clear" w:color="auto" w:fill="auto"/>
            <w:hideMark/>
          </w:tcPr>
          <w:p w14:paraId="66A31B7B" w14:textId="77777777" w:rsidR="0001434F" w:rsidRPr="007533CC" w:rsidRDefault="0001434F" w:rsidP="00F741C8">
            <w:pPr>
              <w:suppressAutoHyphens w:val="0"/>
              <w:spacing w:line="240" w:lineRule="auto"/>
              <w:jc w:val="center"/>
              <w:rPr>
                <w:rFonts w:asciiTheme="majorBidi" w:hAnsiTheme="majorBidi" w:cstheme="majorBidi"/>
              </w:rPr>
            </w:pPr>
            <w:r>
              <w:t>(3b)</w:t>
            </w:r>
          </w:p>
        </w:tc>
        <w:tc>
          <w:tcPr>
            <w:tcW w:w="709" w:type="dxa"/>
            <w:tcBorders>
              <w:top w:val="nil"/>
              <w:left w:val="nil"/>
              <w:bottom w:val="single" w:sz="4" w:space="0" w:color="auto"/>
              <w:right w:val="single" w:sz="4" w:space="0" w:color="auto"/>
            </w:tcBorders>
            <w:shd w:val="clear" w:color="auto" w:fill="auto"/>
            <w:hideMark/>
          </w:tcPr>
          <w:p w14:paraId="1A623340" w14:textId="77777777" w:rsidR="0001434F" w:rsidRPr="007533CC" w:rsidRDefault="0001434F" w:rsidP="00F741C8">
            <w:pPr>
              <w:suppressAutoHyphens w:val="0"/>
              <w:spacing w:line="240" w:lineRule="auto"/>
              <w:jc w:val="center"/>
              <w:rPr>
                <w:rFonts w:asciiTheme="majorBidi" w:hAnsiTheme="majorBidi" w:cstheme="majorBidi"/>
              </w:rPr>
            </w:pPr>
            <w:r>
              <w:t>(4)</w:t>
            </w:r>
          </w:p>
        </w:tc>
        <w:tc>
          <w:tcPr>
            <w:tcW w:w="567" w:type="dxa"/>
            <w:tcBorders>
              <w:top w:val="nil"/>
              <w:left w:val="nil"/>
              <w:bottom w:val="single" w:sz="4" w:space="0" w:color="auto"/>
              <w:right w:val="single" w:sz="4" w:space="0" w:color="auto"/>
            </w:tcBorders>
            <w:shd w:val="clear" w:color="auto" w:fill="auto"/>
            <w:hideMark/>
          </w:tcPr>
          <w:p w14:paraId="4454D180" w14:textId="77777777" w:rsidR="0001434F" w:rsidRPr="007533CC" w:rsidRDefault="0001434F" w:rsidP="00F741C8">
            <w:pPr>
              <w:suppressAutoHyphens w:val="0"/>
              <w:spacing w:line="240" w:lineRule="auto"/>
              <w:jc w:val="center"/>
              <w:rPr>
                <w:rFonts w:asciiTheme="majorBidi" w:hAnsiTheme="majorBidi" w:cstheme="majorBidi"/>
              </w:rPr>
            </w:pPr>
            <w:r>
              <w:t>(5)</w:t>
            </w:r>
          </w:p>
        </w:tc>
        <w:tc>
          <w:tcPr>
            <w:tcW w:w="709" w:type="dxa"/>
            <w:tcBorders>
              <w:top w:val="nil"/>
              <w:left w:val="nil"/>
              <w:bottom w:val="single" w:sz="4" w:space="0" w:color="auto"/>
              <w:right w:val="single" w:sz="4" w:space="0" w:color="auto"/>
            </w:tcBorders>
            <w:shd w:val="clear" w:color="auto" w:fill="auto"/>
            <w:hideMark/>
          </w:tcPr>
          <w:p w14:paraId="04F5FEA2" w14:textId="77777777" w:rsidR="0001434F" w:rsidRPr="007533CC" w:rsidRDefault="0001434F" w:rsidP="00F741C8">
            <w:pPr>
              <w:suppressAutoHyphens w:val="0"/>
              <w:spacing w:line="240" w:lineRule="auto"/>
              <w:jc w:val="center"/>
              <w:rPr>
                <w:rFonts w:asciiTheme="majorBidi" w:hAnsiTheme="majorBidi" w:cstheme="majorBidi"/>
              </w:rPr>
            </w:pPr>
            <w:r>
              <w:t>(6)</w:t>
            </w:r>
          </w:p>
        </w:tc>
        <w:tc>
          <w:tcPr>
            <w:tcW w:w="580" w:type="dxa"/>
            <w:tcBorders>
              <w:top w:val="nil"/>
              <w:left w:val="nil"/>
              <w:bottom w:val="single" w:sz="4" w:space="0" w:color="auto"/>
              <w:right w:val="single" w:sz="4" w:space="0" w:color="auto"/>
            </w:tcBorders>
            <w:shd w:val="clear" w:color="auto" w:fill="auto"/>
            <w:hideMark/>
          </w:tcPr>
          <w:p w14:paraId="6C364C3D" w14:textId="77777777" w:rsidR="0001434F" w:rsidRPr="007533CC" w:rsidRDefault="0001434F" w:rsidP="00F741C8">
            <w:pPr>
              <w:suppressAutoHyphens w:val="0"/>
              <w:spacing w:line="240" w:lineRule="auto"/>
              <w:jc w:val="center"/>
              <w:rPr>
                <w:rFonts w:asciiTheme="majorBidi" w:hAnsiTheme="majorBidi" w:cstheme="majorBidi"/>
              </w:rPr>
            </w:pPr>
            <w:r>
              <w:t>(7a)</w:t>
            </w:r>
          </w:p>
        </w:tc>
        <w:tc>
          <w:tcPr>
            <w:tcW w:w="759" w:type="dxa"/>
            <w:tcBorders>
              <w:top w:val="nil"/>
              <w:left w:val="nil"/>
              <w:bottom w:val="single" w:sz="4" w:space="0" w:color="auto"/>
              <w:right w:val="single" w:sz="4" w:space="0" w:color="auto"/>
            </w:tcBorders>
            <w:shd w:val="clear" w:color="auto" w:fill="auto"/>
            <w:hideMark/>
          </w:tcPr>
          <w:p w14:paraId="7A17B39F" w14:textId="77777777" w:rsidR="0001434F" w:rsidRPr="007533CC" w:rsidRDefault="0001434F" w:rsidP="00F741C8">
            <w:pPr>
              <w:suppressAutoHyphens w:val="0"/>
              <w:spacing w:line="240" w:lineRule="auto"/>
              <w:jc w:val="center"/>
              <w:rPr>
                <w:rFonts w:asciiTheme="majorBidi" w:hAnsiTheme="majorBidi" w:cstheme="majorBidi"/>
              </w:rPr>
            </w:pPr>
            <w:r>
              <w:t>(7b)</w:t>
            </w:r>
          </w:p>
        </w:tc>
        <w:tc>
          <w:tcPr>
            <w:tcW w:w="799" w:type="dxa"/>
            <w:tcBorders>
              <w:top w:val="nil"/>
              <w:left w:val="nil"/>
              <w:bottom w:val="single" w:sz="4" w:space="0" w:color="auto"/>
              <w:right w:val="single" w:sz="4" w:space="0" w:color="auto"/>
            </w:tcBorders>
            <w:shd w:val="clear" w:color="auto" w:fill="auto"/>
            <w:hideMark/>
          </w:tcPr>
          <w:p w14:paraId="7A52D784" w14:textId="77777777" w:rsidR="0001434F" w:rsidRPr="007533CC" w:rsidRDefault="0001434F" w:rsidP="00F741C8">
            <w:pPr>
              <w:suppressAutoHyphens w:val="0"/>
              <w:spacing w:line="240" w:lineRule="auto"/>
              <w:jc w:val="center"/>
              <w:rPr>
                <w:rFonts w:asciiTheme="majorBidi" w:hAnsiTheme="majorBidi" w:cstheme="majorBidi"/>
              </w:rPr>
            </w:pPr>
            <w:r>
              <w:t>(8)</w:t>
            </w:r>
          </w:p>
        </w:tc>
        <w:tc>
          <w:tcPr>
            <w:tcW w:w="709" w:type="dxa"/>
            <w:tcBorders>
              <w:top w:val="nil"/>
              <w:left w:val="nil"/>
              <w:bottom w:val="single" w:sz="4" w:space="0" w:color="auto"/>
              <w:right w:val="single" w:sz="4" w:space="0" w:color="auto"/>
            </w:tcBorders>
            <w:shd w:val="clear" w:color="auto" w:fill="auto"/>
            <w:hideMark/>
          </w:tcPr>
          <w:p w14:paraId="5722CD6D" w14:textId="77777777" w:rsidR="0001434F" w:rsidRPr="007533CC" w:rsidRDefault="0001434F" w:rsidP="00F741C8">
            <w:pPr>
              <w:suppressAutoHyphens w:val="0"/>
              <w:spacing w:line="240" w:lineRule="auto"/>
              <w:jc w:val="center"/>
              <w:rPr>
                <w:rFonts w:asciiTheme="majorBidi" w:hAnsiTheme="majorBidi" w:cstheme="majorBidi"/>
              </w:rPr>
            </w:pPr>
            <w:r>
              <w:t>(9)</w:t>
            </w:r>
          </w:p>
        </w:tc>
        <w:tc>
          <w:tcPr>
            <w:tcW w:w="567" w:type="dxa"/>
            <w:tcBorders>
              <w:top w:val="nil"/>
              <w:left w:val="nil"/>
              <w:bottom w:val="single" w:sz="4" w:space="0" w:color="auto"/>
              <w:right w:val="single" w:sz="4" w:space="0" w:color="auto"/>
            </w:tcBorders>
            <w:shd w:val="clear" w:color="auto" w:fill="auto"/>
            <w:hideMark/>
          </w:tcPr>
          <w:p w14:paraId="6D2FACC8" w14:textId="77777777" w:rsidR="0001434F" w:rsidRPr="007533CC" w:rsidRDefault="0001434F" w:rsidP="00F741C8">
            <w:pPr>
              <w:suppressAutoHyphens w:val="0"/>
              <w:spacing w:line="240" w:lineRule="auto"/>
              <w:jc w:val="center"/>
              <w:rPr>
                <w:rFonts w:asciiTheme="majorBidi" w:hAnsiTheme="majorBidi" w:cstheme="majorBidi"/>
              </w:rPr>
            </w:pPr>
            <w:r>
              <w:t>(10)</w:t>
            </w:r>
          </w:p>
        </w:tc>
        <w:tc>
          <w:tcPr>
            <w:tcW w:w="1560" w:type="dxa"/>
            <w:tcBorders>
              <w:top w:val="single" w:sz="4" w:space="0" w:color="auto"/>
              <w:left w:val="nil"/>
              <w:bottom w:val="single" w:sz="4" w:space="0" w:color="auto"/>
              <w:right w:val="single" w:sz="4" w:space="0" w:color="auto"/>
            </w:tcBorders>
            <w:shd w:val="clear" w:color="auto" w:fill="auto"/>
            <w:hideMark/>
          </w:tcPr>
          <w:p w14:paraId="59045ADB" w14:textId="77777777" w:rsidR="0001434F" w:rsidRPr="007533CC" w:rsidRDefault="0001434F" w:rsidP="00F741C8">
            <w:pPr>
              <w:suppressAutoHyphens w:val="0"/>
              <w:spacing w:line="240" w:lineRule="auto"/>
              <w:jc w:val="center"/>
              <w:rPr>
                <w:rFonts w:asciiTheme="majorBidi" w:hAnsiTheme="majorBidi" w:cstheme="majorBidi"/>
              </w:rPr>
            </w:pPr>
            <w:r>
              <w:t>(11)</w:t>
            </w:r>
          </w:p>
        </w:tc>
        <w:tc>
          <w:tcPr>
            <w:tcW w:w="1134" w:type="dxa"/>
            <w:tcBorders>
              <w:top w:val="nil"/>
              <w:left w:val="nil"/>
              <w:bottom w:val="single" w:sz="4" w:space="0" w:color="auto"/>
              <w:right w:val="single" w:sz="4" w:space="0" w:color="auto"/>
            </w:tcBorders>
            <w:shd w:val="clear" w:color="auto" w:fill="auto"/>
            <w:hideMark/>
          </w:tcPr>
          <w:p w14:paraId="171E7A79" w14:textId="77777777" w:rsidR="0001434F" w:rsidRPr="007533CC" w:rsidRDefault="0001434F" w:rsidP="00F741C8">
            <w:pPr>
              <w:suppressAutoHyphens w:val="0"/>
              <w:spacing w:line="240" w:lineRule="auto"/>
              <w:jc w:val="center"/>
              <w:rPr>
                <w:rFonts w:asciiTheme="majorBidi" w:hAnsiTheme="majorBidi" w:cstheme="majorBidi"/>
              </w:rPr>
            </w:pPr>
            <w:r>
              <w:t>(12)</w:t>
            </w:r>
          </w:p>
        </w:tc>
        <w:tc>
          <w:tcPr>
            <w:tcW w:w="1134" w:type="dxa"/>
            <w:tcBorders>
              <w:top w:val="nil"/>
              <w:left w:val="nil"/>
              <w:bottom w:val="single" w:sz="4" w:space="0" w:color="auto"/>
              <w:right w:val="single" w:sz="4" w:space="0" w:color="auto"/>
            </w:tcBorders>
            <w:shd w:val="clear" w:color="auto" w:fill="auto"/>
            <w:hideMark/>
          </w:tcPr>
          <w:p w14:paraId="074D318D" w14:textId="77777777" w:rsidR="0001434F" w:rsidRPr="007533CC" w:rsidRDefault="0001434F" w:rsidP="00F741C8">
            <w:pPr>
              <w:suppressAutoHyphens w:val="0"/>
              <w:spacing w:line="240" w:lineRule="auto"/>
              <w:jc w:val="center"/>
              <w:rPr>
                <w:rFonts w:asciiTheme="majorBidi" w:hAnsiTheme="majorBidi" w:cstheme="majorBidi"/>
              </w:rPr>
            </w:pPr>
            <w:r>
              <w:t>(13)</w:t>
            </w:r>
          </w:p>
        </w:tc>
      </w:tr>
      <w:tr w:rsidR="0001434F" w:rsidRPr="00406418" w14:paraId="52AE24EC" w14:textId="77777777" w:rsidTr="00131CC5">
        <w:trPr>
          <w:trHeight w:val="732"/>
        </w:trPr>
        <w:tc>
          <w:tcPr>
            <w:tcW w:w="1134" w:type="dxa"/>
            <w:tcBorders>
              <w:top w:val="nil"/>
              <w:left w:val="single" w:sz="4" w:space="0" w:color="auto"/>
              <w:bottom w:val="single" w:sz="4" w:space="0" w:color="auto"/>
              <w:right w:val="single" w:sz="4" w:space="0" w:color="auto"/>
            </w:tcBorders>
            <w:shd w:val="clear" w:color="auto" w:fill="auto"/>
            <w:noWrap/>
            <w:hideMark/>
          </w:tcPr>
          <w:p w14:paraId="45784D44" w14:textId="77777777" w:rsidR="0001434F" w:rsidRPr="007533CC" w:rsidRDefault="0001434F" w:rsidP="00F741C8">
            <w:pPr>
              <w:suppressAutoHyphens w:val="0"/>
              <w:spacing w:line="240" w:lineRule="auto"/>
              <w:jc w:val="center"/>
              <w:rPr>
                <w:rFonts w:asciiTheme="majorBidi" w:hAnsiTheme="majorBidi" w:cstheme="majorBidi"/>
              </w:rPr>
            </w:pPr>
            <w:r>
              <w:t>9007</w:t>
            </w:r>
          </w:p>
        </w:tc>
        <w:tc>
          <w:tcPr>
            <w:tcW w:w="2256" w:type="dxa"/>
            <w:tcBorders>
              <w:top w:val="nil"/>
              <w:left w:val="nil"/>
              <w:bottom w:val="single" w:sz="4" w:space="0" w:color="auto"/>
              <w:right w:val="single" w:sz="4" w:space="0" w:color="auto"/>
            </w:tcBorders>
            <w:shd w:val="clear" w:color="auto" w:fill="auto"/>
            <w:hideMark/>
          </w:tcPr>
          <w:p w14:paraId="33390425" w14:textId="77777777" w:rsidR="0001434F" w:rsidRPr="007533CC" w:rsidRDefault="0001434F" w:rsidP="00F741C8">
            <w:pPr>
              <w:suppressAutoHyphens w:val="0"/>
              <w:spacing w:line="240" w:lineRule="auto"/>
              <w:jc w:val="center"/>
              <w:rPr>
                <w:rFonts w:asciiTheme="majorBidi" w:hAnsiTheme="majorBidi" w:cstheme="majorBidi"/>
              </w:rPr>
            </w:pPr>
            <w:r>
              <w:t>ФУМИГИРОВАННЫЙ ГРУЗ</w:t>
            </w:r>
          </w:p>
        </w:tc>
        <w:tc>
          <w:tcPr>
            <w:tcW w:w="567" w:type="dxa"/>
            <w:tcBorders>
              <w:top w:val="nil"/>
              <w:left w:val="nil"/>
              <w:bottom w:val="single" w:sz="4" w:space="0" w:color="auto"/>
              <w:right w:val="single" w:sz="4" w:space="0" w:color="auto"/>
            </w:tcBorders>
            <w:shd w:val="clear" w:color="auto" w:fill="auto"/>
            <w:noWrap/>
            <w:hideMark/>
          </w:tcPr>
          <w:p w14:paraId="2D60BC23" w14:textId="77777777" w:rsidR="0001434F" w:rsidRPr="007533CC" w:rsidRDefault="0001434F" w:rsidP="00F741C8">
            <w:pPr>
              <w:suppressAutoHyphens w:val="0"/>
              <w:spacing w:line="240" w:lineRule="auto"/>
              <w:jc w:val="center"/>
              <w:rPr>
                <w:rFonts w:asciiTheme="majorBidi" w:hAnsiTheme="majorBidi" w:cstheme="majorBidi"/>
              </w:rPr>
            </w:pPr>
            <w:r>
              <w:t>9</w:t>
            </w:r>
          </w:p>
        </w:tc>
        <w:tc>
          <w:tcPr>
            <w:tcW w:w="708" w:type="dxa"/>
            <w:tcBorders>
              <w:top w:val="nil"/>
              <w:left w:val="nil"/>
              <w:bottom w:val="single" w:sz="4" w:space="0" w:color="auto"/>
              <w:right w:val="single" w:sz="4" w:space="0" w:color="auto"/>
            </w:tcBorders>
            <w:shd w:val="clear" w:color="auto" w:fill="auto"/>
            <w:noWrap/>
            <w:hideMark/>
          </w:tcPr>
          <w:p w14:paraId="731E4322" w14:textId="77777777" w:rsidR="0001434F" w:rsidRPr="007533CC" w:rsidRDefault="0001434F" w:rsidP="00F741C8">
            <w:pPr>
              <w:suppressAutoHyphens w:val="0"/>
              <w:spacing w:line="240" w:lineRule="auto"/>
              <w:jc w:val="center"/>
              <w:rPr>
                <w:rFonts w:asciiTheme="majorBidi" w:hAnsiTheme="majorBidi" w:cstheme="majorBidi"/>
              </w:rPr>
            </w:pPr>
            <w:r>
              <w:t>M11</w:t>
            </w:r>
          </w:p>
        </w:tc>
        <w:tc>
          <w:tcPr>
            <w:tcW w:w="709" w:type="dxa"/>
            <w:tcBorders>
              <w:top w:val="nil"/>
              <w:left w:val="nil"/>
              <w:bottom w:val="single" w:sz="4" w:space="0" w:color="auto"/>
              <w:right w:val="single" w:sz="4" w:space="0" w:color="auto"/>
            </w:tcBorders>
            <w:shd w:val="clear" w:color="auto" w:fill="auto"/>
            <w:noWrap/>
            <w:hideMark/>
          </w:tcPr>
          <w:p w14:paraId="6B0266EF" w14:textId="77777777" w:rsidR="0001434F" w:rsidRPr="007533CC" w:rsidRDefault="0001434F" w:rsidP="00F741C8">
            <w:pPr>
              <w:suppressAutoHyphens w:val="0"/>
              <w:spacing w:line="240" w:lineRule="auto"/>
              <w:jc w:val="center"/>
              <w:rPr>
                <w:rFonts w:asciiTheme="majorBidi" w:hAnsiTheme="majorBidi" w:cstheme="majorBidi"/>
                <w:lang w:val="de-DE" w:eastAsia="de-DE"/>
              </w:rPr>
            </w:pPr>
          </w:p>
        </w:tc>
        <w:tc>
          <w:tcPr>
            <w:tcW w:w="567" w:type="dxa"/>
            <w:tcBorders>
              <w:top w:val="nil"/>
              <w:left w:val="nil"/>
              <w:bottom w:val="single" w:sz="4" w:space="0" w:color="auto"/>
              <w:right w:val="single" w:sz="4" w:space="0" w:color="auto"/>
            </w:tcBorders>
            <w:shd w:val="clear" w:color="auto" w:fill="auto"/>
            <w:noWrap/>
            <w:hideMark/>
          </w:tcPr>
          <w:p w14:paraId="5633DB21" w14:textId="77777777" w:rsidR="0001434F" w:rsidRPr="007533CC" w:rsidRDefault="0001434F" w:rsidP="00F741C8">
            <w:pPr>
              <w:suppressAutoHyphens w:val="0"/>
              <w:spacing w:line="240" w:lineRule="auto"/>
              <w:jc w:val="center"/>
              <w:rPr>
                <w:rFonts w:asciiTheme="majorBidi" w:hAnsiTheme="majorBidi" w:cstheme="majorBidi"/>
                <w:lang w:val="de-DE" w:eastAsia="de-DE"/>
              </w:rPr>
            </w:pPr>
          </w:p>
        </w:tc>
        <w:tc>
          <w:tcPr>
            <w:tcW w:w="709" w:type="dxa"/>
            <w:tcBorders>
              <w:top w:val="nil"/>
              <w:left w:val="nil"/>
              <w:bottom w:val="single" w:sz="4" w:space="0" w:color="auto"/>
              <w:right w:val="single" w:sz="4" w:space="0" w:color="auto"/>
            </w:tcBorders>
            <w:shd w:val="clear" w:color="auto" w:fill="auto"/>
            <w:noWrap/>
            <w:hideMark/>
          </w:tcPr>
          <w:p w14:paraId="1E6A6804" w14:textId="77777777" w:rsidR="0001434F" w:rsidRPr="007533CC" w:rsidRDefault="0001434F" w:rsidP="00F741C8">
            <w:pPr>
              <w:suppressAutoHyphens w:val="0"/>
              <w:spacing w:line="240" w:lineRule="auto"/>
              <w:jc w:val="center"/>
              <w:rPr>
                <w:rFonts w:asciiTheme="majorBidi" w:hAnsiTheme="majorBidi" w:cstheme="majorBidi"/>
              </w:rPr>
            </w:pPr>
            <w:r>
              <w:t>804</w:t>
            </w:r>
          </w:p>
        </w:tc>
        <w:tc>
          <w:tcPr>
            <w:tcW w:w="580" w:type="dxa"/>
            <w:tcBorders>
              <w:top w:val="nil"/>
              <w:left w:val="nil"/>
              <w:bottom w:val="single" w:sz="4" w:space="0" w:color="auto"/>
              <w:right w:val="single" w:sz="4" w:space="0" w:color="auto"/>
            </w:tcBorders>
            <w:shd w:val="clear" w:color="auto" w:fill="auto"/>
            <w:noWrap/>
            <w:hideMark/>
          </w:tcPr>
          <w:p w14:paraId="732531EC" w14:textId="77777777" w:rsidR="0001434F" w:rsidRPr="007533CC" w:rsidRDefault="0001434F" w:rsidP="00F741C8">
            <w:pPr>
              <w:suppressAutoHyphens w:val="0"/>
              <w:spacing w:line="240" w:lineRule="auto"/>
              <w:jc w:val="center"/>
              <w:rPr>
                <w:rFonts w:asciiTheme="majorBidi" w:hAnsiTheme="majorBidi" w:cstheme="majorBidi"/>
                <w:lang w:val="de-DE" w:eastAsia="de-DE"/>
              </w:rPr>
            </w:pPr>
          </w:p>
        </w:tc>
        <w:tc>
          <w:tcPr>
            <w:tcW w:w="759" w:type="dxa"/>
            <w:tcBorders>
              <w:top w:val="nil"/>
              <w:left w:val="nil"/>
              <w:bottom w:val="single" w:sz="4" w:space="0" w:color="auto"/>
              <w:right w:val="single" w:sz="4" w:space="0" w:color="auto"/>
            </w:tcBorders>
            <w:shd w:val="clear" w:color="auto" w:fill="auto"/>
            <w:noWrap/>
            <w:hideMark/>
          </w:tcPr>
          <w:p w14:paraId="74F92E15" w14:textId="77777777" w:rsidR="0001434F" w:rsidRPr="007533CC" w:rsidRDefault="0001434F" w:rsidP="00F741C8">
            <w:pPr>
              <w:suppressAutoHyphens w:val="0"/>
              <w:spacing w:line="240" w:lineRule="auto"/>
              <w:jc w:val="center"/>
              <w:rPr>
                <w:rFonts w:asciiTheme="majorBidi" w:hAnsiTheme="majorBidi" w:cstheme="majorBidi"/>
              </w:rPr>
            </w:pPr>
            <w:r>
              <w:t>E0</w:t>
            </w:r>
          </w:p>
        </w:tc>
        <w:tc>
          <w:tcPr>
            <w:tcW w:w="799" w:type="dxa"/>
            <w:tcBorders>
              <w:top w:val="nil"/>
              <w:left w:val="nil"/>
              <w:bottom w:val="single" w:sz="4" w:space="0" w:color="auto"/>
              <w:right w:val="single" w:sz="4" w:space="0" w:color="auto"/>
            </w:tcBorders>
            <w:shd w:val="clear" w:color="auto" w:fill="auto"/>
            <w:noWrap/>
            <w:hideMark/>
          </w:tcPr>
          <w:p w14:paraId="1669C581" w14:textId="77777777" w:rsidR="0001434F" w:rsidRPr="007533CC" w:rsidRDefault="0001434F" w:rsidP="00F741C8">
            <w:pPr>
              <w:suppressAutoHyphens w:val="0"/>
              <w:spacing w:line="240" w:lineRule="auto"/>
              <w:jc w:val="center"/>
              <w:rPr>
                <w:rFonts w:asciiTheme="majorBidi" w:hAnsiTheme="majorBidi" w:cstheme="majorBidi"/>
              </w:rPr>
            </w:pPr>
            <w:r>
              <w:t>B</w:t>
            </w:r>
          </w:p>
        </w:tc>
        <w:tc>
          <w:tcPr>
            <w:tcW w:w="709" w:type="dxa"/>
            <w:tcBorders>
              <w:top w:val="nil"/>
              <w:left w:val="nil"/>
              <w:bottom w:val="single" w:sz="4" w:space="0" w:color="auto"/>
              <w:right w:val="single" w:sz="4" w:space="0" w:color="auto"/>
            </w:tcBorders>
            <w:shd w:val="clear" w:color="auto" w:fill="auto"/>
            <w:noWrap/>
            <w:hideMark/>
          </w:tcPr>
          <w:p w14:paraId="72CAB2A9" w14:textId="77777777" w:rsidR="0001434F" w:rsidRPr="007533CC" w:rsidRDefault="0001434F" w:rsidP="00F741C8">
            <w:pPr>
              <w:suppressAutoHyphens w:val="0"/>
              <w:spacing w:line="240" w:lineRule="auto"/>
              <w:jc w:val="center"/>
              <w:rPr>
                <w:rFonts w:asciiTheme="majorBidi" w:hAnsiTheme="majorBidi" w:cstheme="majorBidi"/>
                <w:lang w:val="de-DE" w:eastAsia="de-DE"/>
              </w:rPr>
            </w:pPr>
          </w:p>
        </w:tc>
        <w:tc>
          <w:tcPr>
            <w:tcW w:w="567" w:type="dxa"/>
            <w:tcBorders>
              <w:top w:val="nil"/>
              <w:left w:val="nil"/>
              <w:bottom w:val="single" w:sz="4" w:space="0" w:color="auto"/>
              <w:right w:val="single" w:sz="4" w:space="0" w:color="auto"/>
            </w:tcBorders>
            <w:shd w:val="clear" w:color="auto" w:fill="auto"/>
            <w:noWrap/>
            <w:hideMark/>
          </w:tcPr>
          <w:p w14:paraId="65350490" w14:textId="77777777" w:rsidR="0001434F" w:rsidRPr="007533CC" w:rsidRDefault="0001434F" w:rsidP="00F741C8">
            <w:pPr>
              <w:suppressAutoHyphens w:val="0"/>
              <w:spacing w:line="240" w:lineRule="auto"/>
              <w:jc w:val="center"/>
              <w:rPr>
                <w:rFonts w:asciiTheme="majorBidi" w:hAnsiTheme="majorBidi" w:cstheme="majorBidi"/>
                <w:lang w:val="de-DE" w:eastAsia="de-DE"/>
              </w:rPr>
            </w:pPr>
          </w:p>
        </w:tc>
        <w:tc>
          <w:tcPr>
            <w:tcW w:w="1560" w:type="dxa"/>
            <w:tcBorders>
              <w:top w:val="nil"/>
              <w:left w:val="nil"/>
              <w:bottom w:val="single" w:sz="4" w:space="0" w:color="auto"/>
              <w:right w:val="single" w:sz="4" w:space="0" w:color="auto"/>
            </w:tcBorders>
            <w:shd w:val="clear" w:color="auto" w:fill="auto"/>
            <w:noWrap/>
            <w:hideMark/>
          </w:tcPr>
          <w:p w14:paraId="3DFCFC3A" w14:textId="77777777" w:rsidR="0001434F" w:rsidRPr="007533CC" w:rsidRDefault="0001434F" w:rsidP="00F741C8">
            <w:pPr>
              <w:suppressAutoHyphens w:val="0"/>
              <w:spacing w:line="240" w:lineRule="auto"/>
              <w:jc w:val="center"/>
              <w:rPr>
                <w:rFonts w:asciiTheme="majorBidi" w:hAnsiTheme="majorBidi" w:cstheme="majorBidi"/>
                <w:lang w:val="de-DE" w:eastAsia="de-DE"/>
              </w:rPr>
            </w:pPr>
          </w:p>
        </w:tc>
        <w:tc>
          <w:tcPr>
            <w:tcW w:w="1134" w:type="dxa"/>
            <w:tcBorders>
              <w:top w:val="nil"/>
              <w:left w:val="nil"/>
              <w:bottom w:val="single" w:sz="4" w:space="0" w:color="auto"/>
              <w:right w:val="single" w:sz="4" w:space="0" w:color="auto"/>
            </w:tcBorders>
            <w:shd w:val="clear" w:color="auto" w:fill="auto"/>
            <w:noWrap/>
            <w:hideMark/>
          </w:tcPr>
          <w:p w14:paraId="2D6516D6" w14:textId="77777777" w:rsidR="0001434F" w:rsidRPr="007533CC" w:rsidRDefault="0001434F" w:rsidP="00F741C8">
            <w:pPr>
              <w:suppressAutoHyphens w:val="0"/>
              <w:spacing w:line="240" w:lineRule="auto"/>
              <w:jc w:val="center"/>
              <w:rPr>
                <w:rFonts w:asciiTheme="majorBidi" w:hAnsiTheme="majorBidi" w:cstheme="majorBidi"/>
                <w:lang w:val="de-DE" w:eastAsia="de-DE"/>
              </w:rPr>
            </w:pPr>
          </w:p>
        </w:tc>
        <w:tc>
          <w:tcPr>
            <w:tcW w:w="1134" w:type="dxa"/>
            <w:tcBorders>
              <w:top w:val="nil"/>
              <w:left w:val="nil"/>
              <w:bottom w:val="single" w:sz="4" w:space="0" w:color="auto"/>
              <w:right w:val="single" w:sz="4" w:space="0" w:color="auto"/>
            </w:tcBorders>
            <w:shd w:val="clear" w:color="auto" w:fill="auto"/>
            <w:noWrap/>
            <w:hideMark/>
          </w:tcPr>
          <w:p w14:paraId="1A29DA73" w14:textId="77777777" w:rsidR="0001434F" w:rsidRPr="007533CC" w:rsidRDefault="0001434F" w:rsidP="00F741C8">
            <w:pPr>
              <w:suppressAutoHyphens w:val="0"/>
              <w:spacing w:line="240" w:lineRule="auto"/>
              <w:jc w:val="center"/>
              <w:rPr>
                <w:rFonts w:asciiTheme="majorBidi" w:hAnsiTheme="majorBidi" w:cstheme="majorBidi"/>
                <w:lang w:val="de-DE" w:eastAsia="de-DE"/>
              </w:rPr>
            </w:pPr>
          </w:p>
        </w:tc>
      </w:tr>
    </w:tbl>
    <w:p w14:paraId="1C328F25" w14:textId="77777777" w:rsidR="0001434F" w:rsidRDefault="0001434F" w:rsidP="0001434F">
      <w:pPr>
        <w:spacing w:before="240"/>
        <w:jc w:val="center"/>
        <w:rPr>
          <w:u w:val="single"/>
        </w:rPr>
      </w:pPr>
      <w:r>
        <w:rPr>
          <w:u w:val="single"/>
        </w:rPr>
        <w:tab/>
      </w:r>
      <w:r>
        <w:rPr>
          <w:u w:val="single"/>
        </w:rPr>
        <w:tab/>
      </w:r>
      <w:r>
        <w:rPr>
          <w:u w:val="single"/>
        </w:rPr>
        <w:tab/>
      </w:r>
    </w:p>
    <w:p w14:paraId="7017F7D7" w14:textId="41EF80F2" w:rsidR="008B4614" w:rsidRPr="008D53B6" w:rsidRDefault="008B4614" w:rsidP="0001434F">
      <w:pPr>
        <w:suppressAutoHyphens w:val="0"/>
        <w:spacing w:line="240" w:lineRule="auto"/>
      </w:pPr>
    </w:p>
    <w:sectPr w:rsidR="008B4614" w:rsidRPr="008D53B6" w:rsidSect="0001434F">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3420" w14:textId="77777777" w:rsidR="00B61B1D" w:rsidRPr="00A312BC" w:rsidRDefault="00B61B1D" w:rsidP="00A312BC"/>
  </w:endnote>
  <w:endnote w:type="continuationSeparator" w:id="0">
    <w:p w14:paraId="642A257E" w14:textId="77777777" w:rsidR="00B61B1D" w:rsidRPr="00A312BC" w:rsidRDefault="00B61B1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8D8F" w14:textId="763D82CA" w:rsidR="008B4614" w:rsidRPr="008B4614" w:rsidRDefault="008B4614">
    <w:pPr>
      <w:pStyle w:val="a8"/>
    </w:pPr>
    <w:r w:rsidRPr="008B4614">
      <w:rPr>
        <w:b/>
        <w:sz w:val="18"/>
      </w:rPr>
      <w:fldChar w:fldCharType="begin"/>
    </w:r>
    <w:r w:rsidRPr="008B4614">
      <w:rPr>
        <w:b/>
        <w:sz w:val="18"/>
      </w:rPr>
      <w:instrText xml:space="preserve"> PAGE  \* MERGEFORMAT </w:instrText>
    </w:r>
    <w:r w:rsidRPr="008B4614">
      <w:rPr>
        <w:b/>
        <w:sz w:val="18"/>
      </w:rPr>
      <w:fldChar w:fldCharType="separate"/>
    </w:r>
    <w:r w:rsidRPr="008B4614">
      <w:rPr>
        <w:b/>
        <w:noProof/>
        <w:sz w:val="18"/>
      </w:rPr>
      <w:t>2</w:t>
    </w:r>
    <w:r w:rsidRPr="008B4614">
      <w:rPr>
        <w:b/>
        <w:sz w:val="18"/>
      </w:rPr>
      <w:fldChar w:fldCharType="end"/>
    </w:r>
    <w:r>
      <w:rPr>
        <w:b/>
        <w:sz w:val="18"/>
      </w:rPr>
      <w:tab/>
    </w:r>
    <w:r>
      <w:t>GE.23-10894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1CE2" w14:textId="0427008C" w:rsidR="008B4614" w:rsidRPr="008B4614" w:rsidRDefault="008B4614" w:rsidP="008B4614">
    <w:pPr>
      <w:pStyle w:val="a8"/>
      <w:tabs>
        <w:tab w:val="clear" w:pos="9639"/>
        <w:tab w:val="right" w:pos="9638"/>
      </w:tabs>
      <w:rPr>
        <w:b/>
        <w:sz w:val="18"/>
      </w:rPr>
    </w:pPr>
    <w:r>
      <w:t>GE.23-10894</w:t>
    </w:r>
    <w:r>
      <w:tab/>
    </w:r>
    <w:r w:rsidRPr="008B4614">
      <w:rPr>
        <w:b/>
        <w:sz w:val="18"/>
      </w:rPr>
      <w:fldChar w:fldCharType="begin"/>
    </w:r>
    <w:r w:rsidRPr="008B4614">
      <w:rPr>
        <w:b/>
        <w:sz w:val="18"/>
      </w:rPr>
      <w:instrText xml:space="preserve"> PAGE  \* MERGEFORMAT </w:instrText>
    </w:r>
    <w:r w:rsidRPr="008B4614">
      <w:rPr>
        <w:b/>
        <w:sz w:val="18"/>
      </w:rPr>
      <w:fldChar w:fldCharType="separate"/>
    </w:r>
    <w:r w:rsidRPr="008B4614">
      <w:rPr>
        <w:b/>
        <w:noProof/>
        <w:sz w:val="18"/>
      </w:rPr>
      <w:t>3</w:t>
    </w:r>
    <w:r w:rsidRPr="008B46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EF26" w14:textId="2B9C94A2" w:rsidR="00042B72" w:rsidRPr="0001434F" w:rsidRDefault="008B4614" w:rsidP="008B461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50D12BD" wp14:editId="7306BAD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23-10894  (R)</w:t>
    </w:r>
    <w:r>
      <w:rPr>
        <w:noProof/>
      </w:rPr>
      <w:drawing>
        <wp:anchor distT="0" distB="0" distL="114300" distR="114300" simplePos="0" relativeHeight="251659264" behindDoc="0" locked="0" layoutInCell="1" allowOverlap="1" wp14:anchorId="28F79AEB" wp14:editId="24B90D5F">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34F">
      <w:rPr>
        <w:lang w:val="en-US"/>
      </w:rPr>
      <w:t xml:space="preserve">  300623  030723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2EA0" w14:textId="6CBCE42F" w:rsidR="0001434F" w:rsidRPr="0001434F" w:rsidRDefault="0001434F" w:rsidP="0001434F">
    <w:pPr>
      <w:pStyle w:val="a8"/>
    </w:pPr>
    <w:r>
      <w:rPr>
        <w:noProof/>
      </w:rPr>
      <mc:AlternateContent>
        <mc:Choice Requires="wps">
          <w:drawing>
            <wp:anchor distT="0" distB="0" distL="114300" distR="114300" simplePos="0" relativeHeight="251663360" behindDoc="0" locked="0" layoutInCell="1" allowOverlap="1" wp14:anchorId="258AD5EA" wp14:editId="536EB5C3">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E89C85B" w14:textId="77777777" w:rsidR="0001434F" w:rsidRPr="008B4614" w:rsidRDefault="0001434F" w:rsidP="0001434F">
                          <w:pPr>
                            <w:pStyle w:val="a8"/>
                          </w:pPr>
                          <w:r w:rsidRPr="008B4614">
                            <w:rPr>
                              <w:b/>
                              <w:sz w:val="18"/>
                            </w:rPr>
                            <w:fldChar w:fldCharType="begin"/>
                          </w:r>
                          <w:r w:rsidRPr="008B4614">
                            <w:rPr>
                              <w:b/>
                              <w:sz w:val="18"/>
                            </w:rPr>
                            <w:instrText xml:space="preserve"> PAGE  \* MERGEFORMAT </w:instrText>
                          </w:r>
                          <w:r w:rsidRPr="008B4614">
                            <w:rPr>
                              <w:b/>
                              <w:sz w:val="18"/>
                            </w:rPr>
                            <w:fldChar w:fldCharType="separate"/>
                          </w:r>
                          <w:r>
                            <w:rPr>
                              <w:b/>
                              <w:sz w:val="18"/>
                            </w:rPr>
                            <w:t>8</w:t>
                          </w:r>
                          <w:r w:rsidRPr="008B4614">
                            <w:rPr>
                              <w:b/>
                              <w:sz w:val="18"/>
                            </w:rPr>
                            <w:fldChar w:fldCharType="end"/>
                          </w:r>
                          <w:r>
                            <w:rPr>
                              <w:b/>
                              <w:sz w:val="18"/>
                            </w:rPr>
                            <w:tab/>
                          </w:r>
                          <w:r>
                            <w:t>GE.23-10894</w:t>
                          </w:r>
                        </w:p>
                        <w:p w14:paraId="2C21BA6D" w14:textId="77777777" w:rsidR="0001434F" w:rsidRDefault="000143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8AD5EA" id="_x0000_t202" coordsize="21600,21600" o:spt="202" path="m,l,21600r21600,l21600,xe">
              <v:stroke joinstyle="miter"/>
              <v:path gradientshapeok="t" o:connecttype="rect"/>
            </v:shapetype>
            <v:shape id="Надпись 7" o:spid="_x0000_s1028"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1E89C85B" w14:textId="77777777" w:rsidR="0001434F" w:rsidRPr="008B4614" w:rsidRDefault="0001434F" w:rsidP="0001434F">
                    <w:pPr>
                      <w:pStyle w:val="a8"/>
                    </w:pPr>
                    <w:r w:rsidRPr="008B4614">
                      <w:rPr>
                        <w:b/>
                        <w:sz w:val="18"/>
                      </w:rPr>
                      <w:fldChar w:fldCharType="begin"/>
                    </w:r>
                    <w:r w:rsidRPr="008B4614">
                      <w:rPr>
                        <w:b/>
                        <w:sz w:val="18"/>
                      </w:rPr>
                      <w:instrText xml:space="preserve"> PAGE  \* MERGEFORMAT </w:instrText>
                    </w:r>
                    <w:r w:rsidRPr="008B4614">
                      <w:rPr>
                        <w:b/>
                        <w:sz w:val="18"/>
                      </w:rPr>
                      <w:fldChar w:fldCharType="separate"/>
                    </w:r>
                    <w:r>
                      <w:rPr>
                        <w:b/>
                        <w:sz w:val="18"/>
                      </w:rPr>
                      <w:t>8</w:t>
                    </w:r>
                    <w:r w:rsidRPr="008B4614">
                      <w:rPr>
                        <w:b/>
                        <w:sz w:val="18"/>
                      </w:rPr>
                      <w:fldChar w:fldCharType="end"/>
                    </w:r>
                    <w:r>
                      <w:rPr>
                        <w:b/>
                        <w:sz w:val="18"/>
                      </w:rPr>
                      <w:tab/>
                    </w:r>
                    <w:r>
                      <w:t>GE.23-10894</w:t>
                    </w:r>
                  </w:p>
                  <w:p w14:paraId="2C21BA6D" w14:textId="77777777" w:rsidR="0001434F" w:rsidRDefault="0001434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4711" w14:textId="0149834C" w:rsidR="0001434F" w:rsidRPr="0001434F" w:rsidRDefault="0001434F" w:rsidP="0001434F">
    <w:pPr>
      <w:pStyle w:val="a8"/>
    </w:pPr>
    <w:r>
      <w:rPr>
        <w:noProof/>
      </w:rPr>
      <mc:AlternateContent>
        <mc:Choice Requires="wps">
          <w:drawing>
            <wp:anchor distT="0" distB="0" distL="114300" distR="114300" simplePos="0" relativeHeight="251661312" behindDoc="0" locked="0" layoutInCell="1" allowOverlap="1" wp14:anchorId="7C3EA637" wp14:editId="718E2353">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049D4CA" w14:textId="77777777" w:rsidR="0001434F" w:rsidRPr="008B4614" w:rsidRDefault="0001434F" w:rsidP="0001434F">
                          <w:pPr>
                            <w:pStyle w:val="a8"/>
                            <w:tabs>
                              <w:tab w:val="clear" w:pos="9639"/>
                              <w:tab w:val="right" w:pos="9638"/>
                            </w:tabs>
                            <w:rPr>
                              <w:b/>
                              <w:sz w:val="18"/>
                            </w:rPr>
                          </w:pPr>
                          <w:r>
                            <w:t>GE.23-10894</w:t>
                          </w:r>
                          <w:r>
                            <w:tab/>
                          </w:r>
                          <w:r w:rsidRPr="008B4614">
                            <w:rPr>
                              <w:b/>
                              <w:sz w:val="18"/>
                            </w:rPr>
                            <w:fldChar w:fldCharType="begin"/>
                          </w:r>
                          <w:r w:rsidRPr="008B4614">
                            <w:rPr>
                              <w:b/>
                              <w:sz w:val="18"/>
                            </w:rPr>
                            <w:instrText xml:space="preserve"> PAGE  \* MERGEFORMAT </w:instrText>
                          </w:r>
                          <w:r w:rsidRPr="008B4614">
                            <w:rPr>
                              <w:b/>
                              <w:sz w:val="18"/>
                            </w:rPr>
                            <w:fldChar w:fldCharType="separate"/>
                          </w:r>
                          <w:r>
                            <w:rPr>
                              <w:b/>
                              <w:sz w:val="18"/>
                            </w:rPr>
                            <w:t>7</w:t>
                          </w:r>
                          <w:r w:rsidRPr="008B4614">
                            <w:rPr>
                              <w:b/>
                              <w:sz w:val="18"/>
                            </w:rPr>
                            <w:fldChar w:fldCharType="end"/>
                          </w:r>
                        </w:p>
                        <w:p w14:paraId="66FA78B1" w14:textId="77777777" w:rsidR="0001434F" w:rsidRDefault="000143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C3EA637" id="_x0000_t202" coordsize="21600,21600" o:spt="202" path="m,l,21600r21600,l21600,xe">
              <v:stroke joinstyle="miter"/>
              <v:path gradientshapeok="t" o:connecttype="rect"/>
            </v:shapetype>
            <v:shape id="Надпись 5" o:spid="_x0000_s1029"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0049D4CA" w14:textId="77777777" w:rsidR="0001434F" w:rsidRPr="008B4614" w:rsidRDefault="0001434F" w:rsidP="0001434F">
                    <w:pPr>
                      <w:pStyle w:val="a8"/>
                      <w:tabs>
                        <w:tab w:val="clear" w:pos="9639"/>
                        <w:tab w:val="right" w:pos="9638"/>
                      </w:tabs>
                      <w:rPr>
                        <w:b/>
                        <w:sz w:val="18"/>
                      </w:rPr>
                    </w:pPr>
                    <w:r>
                      <w:t>GE.23-10894</w:t>
                    </w:r>
                    <w:r>
                      <w:tab/>
                    </w:r>
                    <w:r w:rsidRPr="008B4614">
                      <w:rPr>
                        <w:b/>
                        <w:sz w:val="18"/>
                      </w:rPr>
                      <w:fldChar w:fldCharType="begin"/>
                    </w:r>
                    <w:r w:rsidRPr="008B4614">
                      <w:rPr>
                        <w:b/>
                        <w:sz w:val="18"/>
                      </w:rPr>
                      <w:instrText xml:space="preserve"> PAGE  \* MERGEFORMAT </w:instrText>
                    </w:r>
                    <w:r w:rsidRPr="008B4614">
                      <w:rPr>
                        <w:b/>
                        <w:sz w:val="18"/>
                      </w:rPr>
                      <w:fldChar w:fldCharType="separate"/>
                    </w:r>
                    <w:r>
                      <w:rPr>
                        <w:b/>
                        <w:sz w:val="18"/>
                      </w:rPr>
                      <w:t>7</w:t>
                    </w:r>
                    <w:r w:rsidRPr="008B4614">
                      <w:rPr>
                        <w:b/>
                        <w:sz w:val="18"/>
                      </w:rPr>
                      <w:fldChar w:fldCharType="end"/>
                    </w:r>
                  </w:p>
                  <w:p w14:paraId="66FA78B1" w14:textId="77777777" w:rsidR="0001434F" w:rsidRDefault="0001434F"/>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864B" w14:textId="77777777" w:rsidR="00B61B1D" w:rsidRPr="001075E9" w:rsidRDefault="00B61B1D" w:rsidP="001075E9">
      <w:pPr>
        <w:tabs>
          <w:tab w:val="right" w:pos="2155"/>
        </w:tabs>
        <w:spacing w:after="80" w:line="240" w:lineRule="auto"/>
        <w:ind w:left="680"/>
        <w:rPr>
          <w:u w:val="single"/>
        </w:rPr>
      </w:pPr>
      <w:r>
        <w:rPr>
          <w:u w:val="single"/>
        </w:rPr>
        <w:tab/>
      </w:r>
    </w:p>
  </w:footnote>
  <w:footnote w:type="continuationSeparator" w:id="0">
    <w:p w14:paraId="16B8D203" w14:textId="77777777" w:rsidR="00B61B1D" w:rsidRDefault="00B61B1D" w:rsidP="00407B78">
      <w:pPr>
        <w:tabs>
          <w:tab w:val="right" w:pos="2155"/>
        </w:tabs>
        <w:spacing w:after="80"/>
        <w:ind w:left="680"/>
        <w:rPr>
          <w:u w:val="single"/>
        </w:rPr>
      </w:pPr>
      <w:r>
        <w:rPr>
          <w:u w:val="single"/>
        </w:rPr>
        <w:tab/>
      </w:r>
    </w:p>
  </w:footnote>
  <w:footnote w:id="1">
    <w:p w14:paraId="5910514F" w14:textId="77777777" w:rsidR="008B4614" w:rsidRPr="00771558" w:rsidRDefault="008B4614" w:rsidP="0001434F">
      <w:pPr>
        <w:pStyle w:val="ad"/>
      </w:pPr>
      <w:r>
        <w:tab/>
        <w:t>*</w:t>
      </w:r>
      <w:r>
        <w:tab/>
        <w:t>Распространено на немецком языке Центральной комиссией судоходства по Рейну под условным обозначением CCNR-ZKR/ADN/WP.15/AC.2/2023/39.</w:t>
      </w:r>
    </w:p>
  </w:footnote>
  <w:footnote w:id="2">
    <w:p w14:paraId="620C318B" w14:textId="77777777" w:rsidR="008B4614" w:rsidRPr="00404A27" w:rsidRDefault="008B4614" w:rsidP="0001434F">
      <w:pPr>
        <w:pStyle w:val="ad"/>
      </w:pPr>
      <w:r>
        <w:tab/>
        <w:t>**</w:t>
      </w:r>
      <w:r>
        <w:tab/>
        <w:t>A/77/6 (разд. 20), таблица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CFCC7" w14:textId="47A1C40B" w:rsidR="008B4614" w:rsidRPr="008B4614" w:rsidRDefault="008B4614">
    <w:pPr>
      <w:pStyle w:val="a5"/>
    </w:pPr>
    <w:fldSimple w:instr=" TITLE  \* MERGEFORMAT ">
      <w:r w:rsidR="007656FE">
        <w:t>ECE/TRANS/WP.15/AC.2/2023/39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32C9" w14:textId="7E4F86EB" w:rsidR="008B4614" w:rsidRPr="008B4614" w:rsidRDefault="008B4614" w:rsidP="008B4614">
    <w:pPr>
      <w:pStyle w:val="a5"/>
      <w:jc w:val="right"/>
    </w:pPr>
    <w:fldSimple w:instr=" TITLE  \* MERGEFORMAT ">
      <w:r w:rsidR="007656FE">
        <w:t>ECE/TRANS/WP.15/AC.2/2023/39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5171" w14:textId="0F87E3A4" w:rsidR="0001434F" w:rsidRPr="0001434F" w:rsidRDefault="0001434F" w:rsidP="0001434F">
    <w:r>
      <w:rPr>
        <w:noProof/>
      </w:rPr>
      <mc:AlternateContent>
        <mc:Choice Requires="wps">
          <w:drawing>
            <wp:anchor distT="0" distB="0" distL="114300" distR="114300" simplePos="0" relativeHeight="251662336" behindDoc="0" locked="0" layoutInCell="1" allowOverlap="1" wp14:anchorId="6B34C120" wp14:editId="5A506AD0">
              <wp:simplePos x="0" y="0"/>
              <wp:positionH relativeFrom="page">
                <wp:posOffset>9935845</wp:posOffset>
              </wp:positionH>
              <wp:positionV relativeFrom="margin">
                <wp:posOffset>0</wp:posOffset>
              </wp:positionV>
              <wp:extent cx="215900"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D1C5511" w14:textId="2DF2A899" w:rsidR="0001434F" w:rsidRPr="008B4614" w:rsidRDefault="0001434F" w:rsidP="0001434F">
                          <w:pPr>
                            <w:pStyle w:val="a5"/>
                          </w:pPr>
                          <w:r>
                            <w:fldChar w:fldCharType="begin"/>
                          </w:r>
                          <w:r>
                            <w:instrText xml:space="preserve"> TITLE  \* MERGEFORMAT </w:instrText>
                          </w:r>
                          <w:r>
                            <w:fldChar w:fldCharType="separate"/>
                          </w:r>
                          <w:r w:rsidR="007656FE">
                            <w:t>ECE/TRANS/WP.15/AC.2/2023/39</w:t>
                          </w:r>
                          <w:r>
                            <w:fldChar w:fldCharType="end"/>
                          </w:r>
                        </w:p>
                        <w:p w14:paraId="77759A0E" w14:textId="77777777" w:rsidR="0001434F" w:rsidRDefault="000143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B34C120" id="_x0000_t202" coordsize="21600,21600" o:spt="202" path="m,l,21600r21600,l21600,xe">
              <v:stroke joinstyle="miter"/>
              <v:path gradientshapeok="t" o:connecttype="rect"/>
            </v:shapetype>
            <v:shape id="Надпись 6" o:spid="_x0000_s1026"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6D1C5511" w14:textId="2DF2A899" w:rsidR="0001434F" w:rsidRPr="008B4614" w:rsidRDefault="0001434F" w:rsidP="0001434F">
                    <w:pPr>
                      <w:pStyle w:val="a5"/>
                    </w:pPr>
                    <w:r>
                      <w:fldChar w:fldCharType="begin"/>
                    </w:r>
                    <w:r>
                      <w:instrText xml:space="preserve"> TITLE  \* MERGEFORMAT </w:instrText>
                    </w:r>
                    <w:r>
                      <w:fldChar w:fldCharType="separate"/>
                    </w:r>
                    <w:r w:rsidR="007656FE">
                      <w:t>ECE/TRANS/WP.15/AC.2/2023/39</w:t>
                    </w:r>
                    <w:r>
                      <w:fldChar w:fldCharType="end"/>
                    </w:r>
                  </w:p>
                  <w:p w14:paraId="77759A0E" w14:textId="77777777" w:rsidR="0001434F" w:rsidRDefault="0001434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DDEC" w14:textId="0FD48A4B" w:rsidR="0001434F" w:rsidRPr="0001434F" w:rsidRDefault="0001434F" w:rsidP="0001434F">
    <w:r>
      <w:rPr>
        <w:noProof/>
      </w:rPr>
      <mc:AlternateContent>
        <mc:Choice Requires="wps">
          <w:drawing>
            <wp:anchor distT="0" distB="0" distL="114300" distR="114300" simplePos="0" relativeHeight="251660288" behindDoc="0" locked="0" layoutInCell="1" allowOverlap="1" wp14:anchorId="67CA2A66" wp14:editId="679F8CF7">
              <wp:simplePos x="0" y="0"/>
              <wp:positionH relativeFrom="page">
                <wp:posOffset>9935845</wp:posOffset>
              </wp:positionH>
              <wp:positionV relativeFrom="margin">
                <wp:posOffset>0</wp:posOffset>
              </wp:positionV>
              <wp:extent cx="215900"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FE94AE3" w14:textId="00B06442" w:rsidR="0001434F" w:rsidRPr="008B4614" w:rsidRDefault="0001434F" w:rsidP="0001434F">
                          <w:pPr>
                            <w:pStyle w:val="a5"/>
                            <w:jc w:val="right"/>
                          </w:pPr>
                          <w:r>
                            <w:fldChar w:fldCharType="begin"/>
                          </w:r>
                          <w:r>
                            <w:instrText xml:space="preserve"> TITLE  \* MERGEFORMAT </w:instrText>
                          </w:r>
                          <w:r>
                            <w:fldChar w:fldCharType="separate"/>
                          </w:r>
                          <w:r w:rsidR="007656FE">
                            <w:t>ECE/TRANS/WP.15/AC.2/2023/39</w:t>
                          </w:r>
                          <w:r>
                            <w:fldChar w:fldCharType="end"/>
                          </w:r>
                        </w:p>
                        <w:p w14:paraId="63FFDF55" w14:textId="77777777" w:rsidR="0001434F" w:rsidRDefault="0001434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7CA2A66" id="_x0000_t202" coordsize="21600,21600" o:spt="202" path="m,l,21600r21600,l21600,xe">
              <v:stroke joinstyle="miter"/>
              <v:path gradientshapeok="t" o:connecttype="rect"/>
            </v:shapetype>
            <v:shape id="Надпись 4"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2FE94AE3" w14:textId="00B06442" w:rsidR="0001434F" w:rsidRPr="008B4614" w:rsidRDefault="0001434F" w:rsidP="0001434F">
                    <w:pPr>
                      <w:pStyle w:val="a5"/>
                      <w:jc w:val="right"/>
                    </w:pPr>
                    <w:r>
                      <w:fldChar w:fldCharType="begin"/>
                    </w:r>
                    <w:r>
                      <w:instrText xml:space="preserve"> TITLE  \* MERGEFORMAT </w:instrText>
                    </w:r>
                    <w:r>
                      <w:fldChar w:fldCharType="separate"/>
                    </w:r>
                    <w:r w:rsidR="007656FE">
                      <w:t>ECE/TRANS/WP.15/AC.2/2023/39</w:t>
                    </w:r>
                    <w:r>
                      <w:fldChar w:fldCharType="end"/>
                    </w:r>
                  </w:p>
                  <w:p w14:paraId="63FFDF55" w14:textId="77777777" w:rsidR="0001434F" w:rsidRDefault="0001434F"/>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5B56EB4"/>
    <w:multiLevelType w:val="hybridMultilevel"/>
    <w:tmpl w:val="5C9AFD2E"/>
    <w:lvl w:ilvl="0" w:tplc="C5E68F6A">
      <w:start w:val="5"/>
      <w:numFmt w:val="bullet"/>
      <w:lvlText w:val="-"/>
      <w:lvlJc w:val="left"/>
      <w:pPr>
        <w:ind w:left="1854" w:hanging="360"/>
      </w:pPr>
      <w:rPr>
        <w:rFonts w:ascii="Times New Roman" w:eastAsia="Times New Roman" w:hAnsi="Times New Roman" w:cs="Times New Roman"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36253496">
    <w:abstractNumId w:val="18"/>
  </w:num>
  <w:num w:numId="2" w16cid:durableId="2091609891">
    <w:abstractNumId w:val="13"/>
  </w:num>
  <w:num w:numId="3" w16cid:durableId="491486917">
    <w:abstractNumId w:val="12"/>
  </w:num>
  <w:num w:numId="4" w16cid:durableId="2053770006">
    <w:abstractNumId w:val="19"/>
  </w:num>
  <w:num w:numId="5" w16cid:durableId="1912157931">
    <w:abstractNumId w:val="15"/>
  </w:num>
  <w:num w:numId="6" w16cid:durableId="924221067">
    <w:abstractNumId w:val="8"/>
  </w:num>
  <w:num w:numId="7" w16cid:durableId="110516613">
    <w:abstractNumId w:val="3"/>
  </w:num>
  <w:num w:numId="8" w16cid:durableId="1816289302">
    <w:abstractNumId w:val="2"/>
  </w:num>
  <w:num w:numId="9" w16cid:durableId="388380044">
    <w:abstractNumId w:val="1"/>
  </w:num>
  <w:num w:numId="10" w16cid:durableId="1581985700">
    <w:abstractNumId w:val="0"/>
  </w:num>
  <w:num w:numId="11" w16cid:durableId="1104956114">
    <w:abstractNumId w:val="9"/>
  </w:num>
  <w:num w:numId="12" w16cid:durableId="1073312221">
    <w:abstractNumId w:val="7"/>
  </w:num>
  <w:num w:numId="13" w16cid:durableId="251819794">
    <w:abstractNumId w:val="6"/>
  </w:num>
  <w:num w:numId="14" w16cid:durableId="293606389">
    <w:abstractNumId w:val="5"/>
  </w:num>
  <w:num w:numId="15" w16cid:durableId="1883127521">
    <w:abstractNumId w:val="4"/>
  </w:num>
  <w:num w:numId="16" w16cid:durableId="1316839877">
    <w:abstractNumId w:val="17"/>
  </w:num>
  <w:num w:numId="17" w16cid:durableId="79259530">
    <w:abstractNumId w:val="14"/>
  </w:num>
  <w:num w:numId="18" w16cid:durableId="342901831">
    <w:abstractNumId w:val="16"/>
  </w:num>
  <w:num w:numId="19" w16cid:durableId="2069524414">
    <w:abstractNumId w:val="17"/>
  </w:num>
  <w:num w:numId="20" w16cid:durableId="2106151501">
    <w:abstractNumId w:val="14"/>
  </w:num>
  <w:num w:numId="21" w16cid:durableId="1718509978">
    <w:abstractNumId w:val="16"/>
  </w:num>
  <w:num w:numId="22" w16cid:durableId="119036462">
    <w:abstractNumId w:val="10"/>
  </w:num>
  <w:num w:numId="23" w16cid:durableId="175690325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1D"/>
    <w:rsid w:val="0001147E"/>
    <w:rsid w:val="0001434F"/>
    <w:rsid w:val="00033EE1"/>
    <w:rsid w:val="00042B72"/>
    <w:rsid w:val="000558BD"/>
    <w:rsid w:val="000828AD"/>
    <w:rsid w:val="000B57E7"/>
    <w:rsid w:val="000B6373"/>
    <w:rsid w:val="000E4E5B"/>
    <w:rsid w:val="000F09DF"/>
    <w:rsid w:val="000F61B2"/>
    <w:rsid w:val="001075E9"/>
    <w:rsid w:val="00131CC5"/>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91A55"/>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656FE"/>
    <w:rsid w:val="00792497"/>
    <w:rsid w:val="00806737"/>
    <w:rsid w:val="00825F8D"/>
    <w:rsid w:val="00834B71"/>
    <w:rsid w:val="0086445C"/>
    <w:rsid w:val="00894693"/>
    <w:rsid w:val="008A08D7"/>
    <w:rsid w:val="008A37C8"/>
    <w:rsid w:val="008B4614"/>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1B1D"/>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D17CF"/>
    <w:rsid w:val="00EE142A"/>
    <w:rsid w:val="00EF1360"/>
    <w:rsid w:val="00EF3220"/>
    <w:rsid w:val="00F00AB2"/>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822FF"/>
  <w15:docId w15:val="{52B5342E-7604-43E1-AE30-72CB9712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locked/>
    <w:rsid w:val="008B4614"/>
    <w:rPr>
      <w:lang w:val="ru-RU" w:eastAsia="en-US"/>
    </w:rPr>
  </w:style>
  <w:style w:type="paragraph" w:customStyle="1" w:styleId="ParNoG">
    <w:name w:val="_ParNo_G"/>
    <w:basedOn w:val="SingleTxtG"/>
    <w:qFormat/>
    <w:rsid w:val="008B4614"/>
    <w:pPr>
      <w:numPr>
        <w:numId w:val="22"/>
      </w:numPr>
      <w:tabs>
        <w:tab w:val="clear" w:pos="2268"/>
        <w:tab w:val="clear" w:pos="2835"/>
      </w:tabs>
      <w:suppressAutoHyphens w:val="0"/>
    </w:pPr>
    <w:rPr>
      <w:rFonts w:eastAsia="PMingLiU"/>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59AF0-7C1F-4D68-9577-B71B8F80AB78}"/>
</file>

<file path=customXml/itemProps2.xml><?xml version="1.0" encoding="utf-8"?>
<ds:datastoreItem xmlns:ds="http://schemas.openxmlformats.org/officeDocument/2006/customXml" ds:itemID="{200A62D2-20CB-4E40-B00B-A188EA341941}"/>
</file>

<file path=docProps/app.xml><?xml version="1.0" encoding="utf-8"?>
<Properties xmlns="http://schemas.openxmlformats.org/officeDocument/2006/extended-properties" xmlns:vt="http://schemas.openxmlformats.org/officeDocument/2006/docPropsVTypes">
  <Template>ECE.dotm</Template>
  <TotalTime>1</TotalTime>
  <Pages>6</Pages>
  <Words>1419</Words>
  <Characters>9855</Characters>
  <Application>Microsoft Office Word</Application>
  <DocSecurity>0</DocSecurity>
  <Lines>290</Lines>
  <Paragraphs>130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ECE/TRANS/WP.15/AC.2/2023/39</vt:lpstr>
      <vt:lpstr>A/</vt:lpstr>
      <vt:lpstr>A/</vt:lpstr>
    </vt:vector>
  </TitlesOfParts>
  <Company>DCM</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ECE/TRANS/WP.15/AC.2/2023/39</dc:title>
  <dc:subject/>
  <dc:creator>Anna BLAGODATSKIKH</dc:creator>
  <cp:keywords/>
  <cp:lastModifiedBy>Anna Blagodatskikh</cp:lastModifiedBy>
  <cp:revision>3</cp:revision>
  <cp:lastPrinted>2023-07-03T07:13:00Z</cp:lastPrinted>
  <dcterms:created xsi:type="dcterms:W3CDTF">2023-07-03T07:13:00Z</dcterms:created>
  <dcterms:modified xsi:type="dcterms:W3CDTF">2023-07-03T07:14:00Z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