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11ADF5ED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A91E027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9514256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D6AB4FC" w14:textId="77777777" w:rsidR="001433FD" w:rsidRPr="00DB58B5" w:rsidRDefault="001A59E7" w:rsidP="001A59E7">
            <w:pPr>
              <w:jc w:val="right"/>
            </w:pPr>
            <w:r w:rsidRPr="001A59E7">
              <w:rPr>
                <w:sz w:val="40"/>
              </w:rPr>
              <w:t>ECE</w:t>
            </w:r>
            <w:r>
              <w:t>/TRANS/WP.15/AC.1/2023/54</w:t>
            </w:r>
          </w:p>
        </w:tc>
      </w:tr>
      <w:tr w:rsidR="001433FD" w:rsidRPr="00DB58B5" w14:paraId="0C525214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9C0386C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44D4404" wp14:editId="0337295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417155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FA5AB82" w14:textId="77777777" w:rsidR="0001207F" w:rsidRDefault="001A59E7" w:rsidP="001A59E7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1B18E11" w14:textId="7D3F299A" w:rsidR="001A59E7" w:rsidRDefault="001A59E7" w:rsidP="001A59E7">
            <w:pPr>
              <w:spacing w:line="240" w:lineRule="exact"/>
            </w:pPr>
            <w:r>
              <w:t>1</w:t>
            </w:r>
            <w:r w:rsidR="00D41A9E">
              <w:t>1</w:t>
            </w:r>
            <w:r>
              <w:t xml:space="preserve"> juillet 2023</w:t>
            </w:r>
          </w:p>
          <w:p w14:paraId="53A3F51F" w14:textId="77777777" w:rsidR="001A59E7" w:rsidRDefault="001A59E7" w:rsidP="001A59E7">
            <w:pPr>
              <w:spacing w:line="240" w:lineRule="exact"/>
            </w:pPr>
          </w:p>
          <w:p w14:paraId="53FF8306" w14:textId="77777777" w:rsidR="001A59E7" w:rsidRPr="00DB58B5" w:rsidRDefault="001A59E7" w:rsidP="001A59E7">
            <w:pPr>
              <w:spacing w:line="240" w:lineRule="exact"/>
            </w:pPr>
            <w:r>
              <w:t>Original : français</w:t>
            </w:r>
          </w:p>
        </w:tc>
      </w:tr>
    </w:tbl>
    <w:p w14:paraId="2CAD6A48" w14:textId="77777777" w:rsidR="008F523A" w:rsidRDefault="008F523A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13D304CE" w14:textId="77777777" w:rsidR="008F523A" w:rsidRPr="008A7BD0" w:rsidRDefault="008F523A" w:rsidP="00FD1581">
      <w:pPr>
        <w:spacing w:before="120"/>
        <w:rPr>
          <w:sz w:val="28"/>
          <w:szCs w:val="28"/>
          <w:lang w:val="fr-CA"/>
        </w:rPr>
      </w:pPr>
      <w:r w:rsidRPr="008A7BD0">
        <w:rPr>
          <w:sz w:val="28"/>
          <w:szCs w:val="28"/>
          <w:lang w:val="fr-CA"/>
        </w:rPr>
        <w:t>Comité des transports intérieurs</w:t>
      </w:r>
    </w:p>
    <w:p w14:paraId="216C129A" w14:textId="77777777" w:rsidR="008F523A" w:rsidRPr="008A7BD0" w:rsidRDefault="008F523A" w:rsidP="00FD1581">
      <w:pPr>
        <w:spacing w:before="120"/>
        <w:rPr>
          <w:b/>
          <w:sz w:val="24"/>
          <w:szCs w:val="24"/>
          <w:lang w:val="fr-CA"/>
        </w:rPr>
      </w:pPr>
      <w:r w:rsidRPr="008A7BD0">
        <w:rPr>
          <w:b/>
          <w:bCs/>
          <w:sz w:val="24"/>
          <w:szCs w:val="24"/>
          <w:lang w:val="fr-FR"/>
        </w:rPr>
        <w:t xml:space="preserve">Groupe de travail des transports </w:t>
      </w:r>
      <w:r w:rsidRPr="008A7BD0">
        <w:rPr>
          <w:b/>
          <w:bCs/>
          <w:sz w:val="24"/>
          <w:szCs w:val="24"/>
          <w:lang w:val="fr-FR"/>
        </w:rPr>
        <w:br/>
        <w:t>de marchandises dangereuses</w:t>
      </w:r>
    </w:p>
    <w:p w14:paraId="01A69063" w14:textId="77777777" w:rsidR="00387AC0" w:rsidRDefault="008F523A" w:rsidP="00082867">
      <w:pPr>
        <w:rPr>
          <w:rFonts w:eastAsiaTheme="minorHAnsi"/>
          <w:lang w:val="fr-FR" w:eastAsia="en-US"/>
        </w:rPr>
      </w:pPr>
      <w:r w:rsidRPr="008A7BD0">
        <w:rPr>
          <w:b/>
          <w:lang w:val="fr-FR"/>
        </w:rPr>
        <w:t xml:space="preserve">Réunion commune de la Commission d’experts du RID </w:t>
      </w:r>
      <w:r w:rsidRPr="008A7BD0">
        <w:rPr>
          <w:b/>
          <w:lang w:val="fr-FR"/>
        </w:rPr>
        <w:br/>
        <w:t xml:space="preserve">et du Groupe de travail des transports </w:t>
      </w:r>
      <w:r w:rsidRPr="008A7BD0">
        <w:rPr>
          <w:b/>
          <w:lang w:val="fr-FR"/>
        </w:rPr>
        <w:br/>
        <w:t>de marchandises dangereuses</w:t>
      </w:r>
      <w:r w:rsidR="00082867" w:rsidRPr="00082867">
        <w:rPr>
          <w:rFonts w:eastAsiaTheme="minorHAnsi"/>
          <w:lang w:val="fr-FR" w:eastAsia="en-US"/>
        </w:rPr>
        <w:t xml:space="preserve"> </w:t>
      </w:r>
    </w:p>
    <w:p w14:paraId="7E820B81" w14:textId="7862CEDB" w:rsidR="00082867" w:rsidRPr="00CE2861" w:rsidRDefault="00082867" w:rsidP="00082867">
      <w:pPr>
        <w:rPr>
          <w:rFonts w:eastAsiaTheme="minorHAnsi"/>
          <w:lang w:val="fr-FR" w:eastAsia="en-US"/>
        </w:rPr>
      </w:pPr>
      <w:r w:rsidRPr="00CE2861">
        <w:rPr>
          <w:rFonts w:eastAsiaTheme="minorHAnsi"/>
          <w:lang w:val="fr-FR" w:eastAsia="en-US"/>
        </w:rPr>
        <w:t>Genève, 19-29 septembre 2023</w:t>
      </w:r>
    </w:p>
    <w:p w14:paraId="4A126786" w14:textId="5E00521E" w:rsidR="008F523A" w:rsidRDefault="00082867" w:rsidP="00387AC0">
      <w:pPr>
        <w:rPr>
          <w:b/>
          <w:bCs/>
          <w:lang w:val="fr-FR"/>
        </w:rPr>
      </w:pPr>
      <w:r w:rsidRPr="00CE2861">
        <w:rPr>
          <w:lang w:val="fr-FR"/>
        </w:rPr>
        <w:t xml:space="preserve">Point </w:t>
      </w:r>
      <w:r>
        <w:rPr>
          <w:lang w:val="fr-FR"/>
        </w:rPr>
        <w:t>2</w:t>
      </w:r>
      <w:r w:rsidRPr="00CE2861">
        <w:rPr>
          <w:lang w:val="fr-FR"/>
        </w:rPr>
        <w:t xml:space="preserve"> de l’ordre du jour provisoire</w:t>
      </w:r>
      <w:r w:rsidRPr="00CE2861">
        <w:rPr>
          <w:lang w:val="fr-FR"/>
        </w:rPr>
        <w:br/>
      </w:r>
      <w:r>
        <w:rPr>
          <w:b/>
          <w:bCs/>
          <w:lang w:val="fr-FR"/>
        </w:rPr>
        <w:t>Citernes</w:t>
      </w:r>
    </w:p>
    <w:p w14:paraId="7BC5EAE7" w14:textId="77777777" w:rsidR="009E6615" w:rsidRPr="00992739" w:rsidRDefault="009E6615" w:rsidP="009E661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jc w:val="both"/>
        <w:rPr>
          <w:b/>
          <w:sz w:val="28"/>
          <w:lang w:val="fr-FR"/>
        </w:rPr>
      </w:pPr>
      <w:r w:rsidRPr="00992739">
        <w:rPr>
          <w:b/>
          <w:sz w:val="28"/>
          <w:lang w:val="fr-FR"/>
        </w:rPr>
        <w:tab/>
      </w:r>
      <w:r w:rsidRPr="00992739">
        <w:rPr>
          <w:b/>
          <w:sz w:val="28"/>
          <w:lang w:val="fr-FR"/>
        </w:rPr>
        <w:tab/>
        <w:t xml:space="preserve">Clarification du </w:t>
      </w:r>
      <w:r>
        <w:rPr>
          <w:b/>
          <w:sz w:val="28"/>
          <w:lang w:val="fr-FR"/>
        </w:rPr>
        <w:t xml:space="preserve">4.3.4.2.1 </w:t>
      </w:r>
      <w:r w:rsidRPr="00992739">
        <w:rPr>
          <w:b/>
          <w:sz w:val="28"/>
          <w:lang w:val="fr-FR"/>
        </w:rPr>
        <w:t>du RID/ADR</w:t>
      </w:r>
      <w:r>
        <w:rPr>
          <w:b/>
          <w:sz w:val="28"/>
          <w:lang w:val="fr-FR"/>
        </w:rPr>
        <w:t xml:space="preserve"> sur la température de la surface extérieure d’une citerne </w:t>
      </w:r>
    </w:p>
    <w:p w14:paraId="72D1A42A" w14:textId="77777777" w:rsidR="009E6615" w:rsidRPr="00992739" w:rsidRDefault="009E6615" w:rsidP="009E6615">
      <w:pPr>
        <w:spacing w:line="240" w:lineRule="auto"/>
        <w:rPr>
          <w:sz w:val="24"/>
          <w:szCs w:val="24"/>
          <w:lang w:val="fr-FR"/>
        </w:rPr>
      </w:pPr>
      <w:r w:rsidRPr="00992739">
        <w:rPr>
          <w:rFonts w:eastAsia="Arial"/>
          <w:sz w:val="24"/>
          <w:szCs w:val="24"/>
          <w:lang w:val="fr-FR"/>
        </w:rPr>
        <w:tab/>
      </w:r>
      <w:r w:rsidRPr="00992739">
        <w:rPr>
          <w:rFonts w:eastAsia="Arial"/>
          <w:sz w:val="24"/>
          <w:szCs w:val="24"/>
          <w:lang w:val="fr-FR"/>
        </w:rPr>
        <w:tab/>
      </w:r>
      <w:r w:rsidRPr="00992739">
        <w:rPr>
          <w:rFonts w:eastAsia="Arial"/>
          <w:b/>
          <w:sz w:val="24"/>
          <w:lang w:val="fr-FR"/>
        </w:rPr>
        <w:t>Communication du Gouvernement de la France</w:t>
      </w:r>
      <w:r w:rsidRPr="00992739">
        <w:rPr>
          <w:b/>
          <w:vertAlign w:val="superscript"/>
          <w:lang w:val="fr-FR"/>
        </w:rPr>
        <w:footnoteReference w:customMarkFollows="1" w:id="2"/>
        <w:t xml:space="preserve">*, </w:t>
      </w:r>
      <w:r w:rsidRPr="00992739">
        <w:rPr>
          <w:b/>
          <w:vertAlign w:val="superscript"/>
          <w:lang w:val="fr-FR"/>
        </w:rPr>
        <w:footnoteReference w:customMarkFollows="1" w:id="3"/>
        <w:t>**</w:t>
      </w:r>
    </w:p>
    <w:p w14:paraId="6F93D006" w14:textId="77777777" w:rsidR="009E6615" w:rsidRPr="00992739" w:rsidRDefault="009E6615" w:rsidP="009E6615">
      <w:pPr>
        <w:spacing w:after="120" w:line="240" w:lineRule="auto"/>
        <w:rPr>
          <w:lang w:val="fr-FR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629"/>
      </w:tblGrid>
      <w:tr w:rsidR="009E6615" w:rsidRPr="00992739" w14:paraId="674CC8FD" w14:textId="77777777" w:rsidTr="0066196F">
        <w:trPr>
          <w:jc w:val="cente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A05E42" w14:textId="77777777" w:rsidR="009E6615" w:rsidRPr="00992739" w:rsidRDefault="009E6615" w:rsidP="0066196F">
            <w:pPr>
              <w:spacing w:before="240" w:after="120"/>
              <w:ind w:left="255"/>
              <w:rPr>
                <w:i/>
                <w:sz w:val="24"/>
                <w:lang w:val="fr-FR"/>
              </w:rPr>
            </w:pPr>
            <w:r w:rsidRPr="00992739">
              <w:rPr>
                <w:i/>
                <w:sz w:val="24"/>
                <w:lang w:val="fr-FR"/>
              </w:rPr>
              <w:t>Résumé</w:t>
            </w:r>
          </w:p>
        </w:tc>
      </w:tr>
      <w:tr w:rsidR="009E6615" w:rsidRPr="00992739" w14:paraId="0CDBA41E" w14:textId="77777777" w:rsidTr="0066196F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C788E6" w14:textId="77777777" w:rsidR="009E6615" w:rsidRPr="00992739" w:rsidRDefault="009E6615" w:rsidP="0066196F">
            <w:pPr>
              <w:tabs>
                <w:tab w:val="left" w:pos="3686"/>
              </w:tabs>
              <w:spacing w:after="120"/>
              <w:ind w:left="3686" w:right="1134" w:hanging="2552"/>
              <w:jc w:val="both"/>
              <w:rPr>
                <w:lang w:val="fr-FR"/>
              </w:rPr>
            </w:pPr>
            <w:r w:rsidRPr="00992739">
              <w:rPr>
                <w:b/>
                <w:lang w:val="fr-FR"/>
              </w:rPr>
              <w:t>Résumé analytique :</w:t>
            </w:r>
            <w:r w:rsidRPr="00992739">
              <w:rPr>
                <w:b/>
                <w:lang w:val="fr-FR"/>
              </w:rPr>
              <w:tab/>
            </w:r>
            <w:r w:rsidRPr="00992739">
              <w:rPr>
                <w:lang w:val="fr-FR"/>
              </w:rPr>
              <w:t xml:space="preserve">Ce document vise à mieux définir </w:t>
            </w:r>
            <w:r>
              <w:rPr>
                <w:lang w:val="fr-FR"/>
              </w:rPr>
              <w:t>l’exigence du 4.3.4.2.1 sur la température de la surface extérieure d’une citerne au regard du libellé du 4.2.1.4</w:t>
            </w:r>
            <w:r w:rsidRPr="00992739">
              <w:rPr>
                <w:lang w:val="fr-FR"/>
              </w:rPr>
              <w:t>.</w:t>
            </w:r>
          </w:p>
        </w:tc>
      </w:tr>
      <w:tr w:rsidR="009E6615" w:rsidRPr="00992739" w14:paraId="1B76353B" w14:textId="77777777" w:rsidTr="0066196F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3CE17" w14:textId="77777777" w:rsidR="009E6615" w:rsidRPr="00992739" w:rsidRDefault="009E6615" w:rsidP="0066196F">
            <w:pPr>
              <w:tabs>
                <w:tab w:val="left" w:pos="3686"/>
              </w:tabs>
              <w:spacing w:after="120"/>
              <w:ind w:left="3686" w:right="1134" w:hanging="2552"/>
              <w:jc w:val="both"/>
              <w:rPr>
                <w:b/>
                <w:lang w:val="fr-FR"/>
              </w:rPr>
            </w:pPr>
            <w:r w:rsidRPr="00992739">
              <w:rPr>
                <w:b/>
                <w:lang w:val="fr-FR"/>
              </w:rPr>
              <w:t>Mesures à prendre :</w:t>
            </w:r>
            <w:r w:rsidRPr="00992739">
              <w:rPr>
                <w:b/>
                <w:lang w:val="fr-FR"/>
              </w:rPr>
              <w:tab/>
            </w:r>
            <w:r w:rsidRPr="00992739">
              <w:rPr>
                <w:lang w:val="fr-FR"/>
              </w:rPr>
              <w:t xml:space="preserve">Modifier le </w:t>
            </w:r>
            <w:r>
              <w:rPr>
                <w:lang w:val="fr-FR"/>
              </w:rPr>
              <w:t>4.3.4.2.1</w:t>
            </w:r>
            <w:r w:rsidRPr="00992739">
              <w:rPr>
                <w:lang w:val="fr-FR"/>
              </w:rPr>
              <w:t>.</w:t>
            </w:r>
          </w:p>
        </w:tc>
      </w:tr>
      <w:tr w:rsidR="009E6615" w:rsidRPr="00992739" w14:paraId="03FF605D" w14:textId="77777777" w:rsidTr="0066196F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C8FD" w14:textId="77777777" w:rsidR="009E6615" w:rsidRPr="00992739" w:rsidRDefault="009E6615" w:rsidP="0066196F">
            <w:pPr>
              <w:tabs>
                <w:tab w:val="left" w:pos="3686"/>
              </w:tabs>
              <w:spacing w:after="120"/>
              <w:ind w:left="3686" w:right="1134" w:hanging="2552"/>
              <w:jc w:val="both"/>
              <w:rPr>
                <w:b/>
                <w:lang w:val="fr-FR"/>
              </w:rPr>
            </w:pPr>
          </w:p>
        </w:tc>
      </w:tr>
    </w:tbl>
    <w:p w14:paraId="77208A14" w14:textId="77777777" w:rsidR="009E6615" w:rsidRPr="00992739" w:rsidRDefault="009E6615" w:rsidP="009E6615">
      <w:pPr>
        <w:keepNext/>
        <w:keepLines/>
        <w:tabs>
          <w:tab w:val="right" w:pos="851"/>
        </w:tabs>
        <w:spacing w:before="360" w:after="240" w:line="300" w:lineRule="exact"/>
        <w:ind w:left="1134" w:right="850" w:hanging="1134"/>
        <w:rPr>
          <w:b/>
          <w:sz w:val="28"/>
          <w:lang w:val="fr-FR"/>
        </w:rPr>
      </w:pPr>
      <w:r w:rsidRPr="00992739">
        <w:rPr>
          <w:b/>
          <w:sz w:val="28"/>
          <w:lang w:val="fr-FR"/>
        </w:rPr>
        <w:tab/>
      </w:r>
      <w:r w:rsidRPr="00992739">
        <w:rPr>
          <w:b/>
          <w:sz w:val="28"/>
          <w:lang w:val="fr-FR"/>
        </w:rPr>
        <w:tab/>
      </w:r>
      <w:r w:rsidRPr="00992739">
        <w:rPr>
          <w:b/>
          <w:sz w:val="28"/>
          <w:lang w:val="fr-FR"/>
        </w:rPr>
        <w:tab/>
        <w:t>Introduction</w:t>
      </w:r>
    </w:p>
    <w:p w14:paraId="365E073E" w14:textId="77777777" w:rsidR="009E6615" w:rsidRPr="00992739" w:rsidRDefault="009E6615" w:rsidP="009E6615">
      <w:pPr>
        <w:numPr>
          <w:ilvl w:val="0"/>
          <w:numId w:val="14"/>
        </w:numPr>
        <w:spacing w:after="120"/>
        <w:ind w:left="1134" w:right="1134" w:firstLine="0"/>
        <w:jc w:val="both"/>
        <w:rPr>
          <w:lang w:val="fr-FR"/>
        </w:rPr>
      </w:pPr>
      <w:r w:rsidRPr="00992739">
        <w:rPr>
          <w:lang w:val="fr-FR"/>
        </w:rPr>
        <w:t xml:space="preserve">Le </w:t>
      </w:r>
      <w:r>
        <w:rPr>
          <w:lang w:val="fr-FR"/>
        </w:rPr>
        <w:t>4.3.4.2.1</w:t>
      </w:r>
      <w:r w:rsidRPr="00992739">
        <w:rPr>
          <w:lang w:val="fr-FR"/>
        </w:rPr>
        <w:t xml:space="preserve"> du RID/ADR précise que </w:t>
      </w:r>
      <w:r>
        <w:rPr>
          <w:lang w:val="fr-FR"/>
        </w:rPr>
        <w:t>« dans le cas de remplissage de matières chaudes, la température à la surface extérieure de la citerne ou de l’isolation thermique ne doit pas dépasser 70 °C pendant le transport</w:t>
      </w:r>
      <w:r w:rsidRPr="00992739">
        <w:rPr>
          <w:lang w:val="fr-FR"/>
        </w:rPr>
        <w:t> ».</w:t>
      </w:r>
    </w:p>
    <w:p w14:paraId="5048B79B" w14:textId="77777777" w:rsidR="009E6615" w:rsidRPr="00992739" w:rsidRDefault="009E6615" w:rsidP="009E6615">
      <w:pPr>
        <w:numPr>
          <w:ilvl w:val="0"/>
          <w:numId w:val="14"/>
        </w:numPr>
        <w:spacing w:after="120"/>
        <w:ind w:left="1134" w:right="1134" w:firstLine="0"/>
        <w:jc w:val="both"/>
        <w:rPr>
          <w:lang w:val="fr-FR"/>
        </w:rPr>
      </w:pPr>
      <w:r w:rsidRPr="00992739">
        <w:rPr>
          <w:lang w:val="fr-FR"/>
        </w:rPr>
        <w:t xml:space="preserve">Cette exigence </w:t>
      </w:r>
      <w:r>
        <w:rPr>
          <w:lang w:val="fr-FR"/>
        </w:rPr>
        <w:t xml:space="preserve">a </w:t>
      </w:r>
      <w:r w:rsidRPr="00992739">
        <w:rPr>
          <w:lang w:val="fr-FR"/>
        </w:rPr>
        <w:t>pos</w:t>
      </w:r>
      <w:r>
        <w:rPr>
          <w:lang w:val="fr-FR"/>
        </w:rPr>
        <w:t>é</w:t>
      </w:r>
      <w:r w:rsidRPr="00992739">
        <w:rPr>
          <w:lang w:val="fr-FR"/>
        </w:rPr>
        <w:t xml:space="preserve"> des difficultés d’interprétation </w:t>
      </w:r>
      <w:r>
        <w:rPr>
          <w:lang w:val="fr-FR"/>
        </w:rPr>
        <w:t>notamment lors de mesures de températures effectuées en partie haute de citerne, à proximité d’ouvertures.</w:t>
      </w:r>
    </w:p>
    <w:p w14:paraId="10B8863C" w14:textId="77777777" w:rsidR="009E6615" w:rsidRPr="00992739" w:rsidRDefault="009E6615" w:rsidP="009E6615">
      <w:pPr>
        <w:numPr>
          <w:ilvl w:val="0"/>
          <w:numId w:val="14"/>
        </w:numPr>
        <w:spacing w:after="120"/>
        <w:ind w:left="1134" w:right="1134" w:firstLine="0"/>
        <w:jc w:val="both"/>
        <w:rPr>
          <w:lang w:val="fr-FR"/>
        </w:rPr>
      </w:pPr>
      <w:r w:rsidRPr="00992739">
        <w:rPr>
          <w:lang w:val="fr-FR"/>
        </w:rPr>
        <w:t>Le</w:t>
      </w:r>
      <w:r>
        <w:rPr>
          <w:lang w:val="fr-FR"/>
        </w:rPr>
        <w:t xml:space="preserve"> 4.2.1.4 du RID/ADR qui a été rédigé plus récemment, traite du même sujet pour les citernes mobiles en excluant les ouvertures et leurs moyens d’obturation.</w:t>
      </w:r>
    </w:p>
    <w:p w14:paraId="120265DF" w14:textId="4A938DB4" w:rsidR="009E6615" w:rsidRPr="00992739" w:rsidRDefault="009E6615" w:rsidP="009E6615">
      <w:pPr>
        <w:numPr>
          <w:ilvl w:val="0"/>
          <w:numId w:val="14"/>
        </w:numPr>
        <w:spacing w:after="120"/>
        <w:ind w:left="1134" w:right="1134" w:firstLine="0"/>
        <w:jc w:val="both"/>
        <w:rPr>
          <w:lang w:val="fr-FR"/>
        </w:rPr>
      </w:pPr>
      <w:r w:rsidRPr="00992739">
        <w:rPr>
          <w:lang w:val="fr-FR"/>
        </w:rPr>
        <w:lastRenderedPageBreak/>
        <w:t>Aussi p</w:t>
      </w:r>
      <w:r w:rsidRPr="007A4801">
        <w:rPr>
          <w:lang w:val="fr-FR"/>
        </w:rPr>
        <w:t xml:space="preserve">our clarifier cette exigence pour les citernes du chapitre 6.8 du RID/ADR, </w:t>
      </w:r>
      <w:r>
        <w:rPr>
          <w:lang w:val="fr-FR"/>
        </w:rPr>
        <w:t>la France propose</w:t>
      </w:r>
      <w:r w:rsidRPr="007A4801">
        <w:rPr>
          <w:lang w:val="fr-FR"/>
        </w:rPr>
        <w:t xml:space="preserve"> de modifier le 4.3.4.2.1 en ajoutant cette exclusion </w:t>
      </w:r>
      <w:r w:rsidRPr="00992739">
        <w:rPr>
          <w:lang w:val="fr-FR"/>
        </w:rPr>
        <w:t>comme suit.</w:t>
      </w:r>
    </w:p>
    <w:p w14:paraId="010AC6BA" w14:textId="77777777" w:rsidR="009E6615" w:rsidRPr="00992739" w:rsidRDefault="009E6615" w:rsidP="009E6615">
      <w:pPr>
        <w:keepNext/>
        <w:keepLines/>
        <w:tabs>
          <w:tab w:val="right" w:pos="851"/>
        </w:tabs>
        <w:spacing w:before="240" w:after="240" w:line="300" w:lineRule="exact"/>
        <w:ind w:left="1134" w:right="851" w:hanging="1134"/>
        <w:rPr>
          <w:b/>
          <w:sz w:val="28"/>
          <w:lang w:val="fr-FR"/>
        </w:rPr>
      </w:pPr>
      <w:r w:rsidRPr="00992739">
        <w:rPr>
          <w:b/>
          <w:sz w:val="28"/>
          <w:lang w:val="fr-FR"/>
        </w:rPr>
        <w:tab/>
      </w:r>
      <w:r w:rsidRPr="00992739">
        <w:rPr>
          <w:b/>
          <w:sz w:val="28"/>
          <w:lang w:val="fr-FR"/>
        </w:rPr>
        <w:tab/>
        <w:t>Proposition</w:t>
      </w:r>
    </w:p>
    <w:p w14:paraId="15766F37" w14:textId="77777777" w:rsidR="009E6615" w:rsidRPr="00992739" w:rsidRDefault="009E6615" w:rsidP="009E6615">
      <w:pPr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>5</w:t>
      </w:r>
      <w:r w:rsidRPr="00992739">
        <w:rPr>
          <w:lang w:val="fr-FR"/>
        </w:rPr>
        <w:t>.</w:t>
      </w:r>
      <w:r w:rsidRPr="00992739">
        <w:rPr>
          <w:lang w:val="fr-FR"/>
        </w:rPr>
        <w:tab/>
        <w:t xml:space="preserve">Modifier le </w:t>
      </w:r>
      <w:r>
        <w:rPr>
          <w:lang w:val="fr-FR"/>
        </w:rPr>
        <w:t>4.3.4.2.1</w:t>
      </w:r>
      <w:r w:rsidRPr="00992739">
        <w:rPr>
          <w:lang w:val="fr-FR"/>
        </w:rPr>
        <w:t xml:space="preserve"> pour lire comme suit</w:t>
      </w:r>
      <w:r>
        <w:rPr>
          <w:lang w:val="fr-FR"/>
        </w:rPr>
        <w:t xml:space="preserve"> (nouveau texte est souligné)</w:t>
      </w:r>
      <w:r w:rsidRPr="00992739">
        <w:rPr>
          <w:lang w:val="fr-FR"/>
        </w:rPr>
        <w:t> :</w:t>
      </w:r>
    </w:p>
    <w:p w14:paraId="7B9559CF" w14:textId="77777777" w:rsidR="009E6615" w:rsidRPr="00992739" w:rsidRDefault="009E6615" w:rsidP="009E6615">
      <w:pPr>
        <w:tabs>
          <w:tab w:val="left" w:pos="1701"/>
        </w:tabs>
        <w:spacing w:after="120"/>
        <w:ind w:left="1701" w:right="1134"/>
        <w:jc w:val="both"/>
        <w:rPr>
          <w:lang w:val="fr-FR"/>
        </w:rPr>
      </w:pPr>
      <w:r>
        <w:rPr>
          <w:lang w:val="fr-FR"/>
        </w:rPr>
        <w:t xml:space="preserve">« Dans le cas de remplissage de matières chaudes, la température </w:t>
      </w:r>
      <w:r w:rsidRPr="00E5303F">
        <w:rPr>
          <w:u w:val="single"/>
          <w:lang w:val="fr-FR"/>
        </w:rPr>
        <w:t>de</w:t>
      </w:r>
      <w:r>
        <w:rPr>
          <w:lang w:val="fr-FR"/>
        </w:rPr>
        <w:t xml:space="preserve"> la surface extérieure de la citerne</w:t>
      </w:r>
      <w:r w:rsidRPr="00E5303F">
        <w:rPr>
          <w:u w:val="single"/>
          <w:lang w:val="fr-FR"/>
        </w:rPr>
        <w:t>, à l’exclusion des ouvertures et de leurs moyens d’obturation,</w:t>
      </w:r>
      <w:r>
        <w:rPr>
          <w:lang w:val="fr-FR"/>
        </w:rPr>
        <w:t xml:space="preserve"> ou de l’isolation thermique ne doit pas dépasser 70 °C pendant le transport</w:t>
      </w:r>
      <w:r w:rsidRPr="00992739">
        <w:rPr>
          <w:lang w:val="fr-FR"/>
        </w:rPr>
        <w:t> ».</w:t>
      </w:r>
    </w:p>
    <w:p w14:paraId="2BA354D2" w14:textId="77777777" w:rsidR="009E6615" w:rsidRPr="00992739" w:rsidRDefault="009E6615" w:rsidP="009E6615">
      <w:pPr>
        <w:keepNext/>
        <w:keepLines/>
        <w:tabs>
          <w:tab w:val="right" w:pos="851"/>
        </w:tabs>
        <w:spacing w:before="240" w:after="240" w:line="300" w:lineRule="exact"/>
        <w:ind w:left="1134" w:right="851" w:hanging="1134"/>
        <w:rPr>
          <w:b/>
          <w:sz w:val="28"/>
          <w:lang w:val="fr-FR"/>
        </w:rPr>
      </w:pPr>
      <w:r w:rsidRPr="00992739">
        <w:rPr>
          <w:b/>
          <w:sz w:val="28"/>
          <w:lang w:val="fr-FR"/>
        </w:rPr>
        <w:tab/>
      </w:r>
      <w:r w:rsidRPr="00992739">
        <w:rPr>
          <w:b/>
          <w:sz w:val="28"/>
          <w:lang w:val="fr-FR"/>
        </w:rPr>
        <w:tab/>
        <w:t>Justification</w:t>
      </w:r>
    </w:p>
    <w:p w14:paraId="33F9CCD7" w14:textId="19B01A8B" w:rsidR="009E6615" w:rsidRPr="00992739" w:rsidRDefault="004B5050" w:rsidP="009E6615">
      <w:pPr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>6</w:t>
      </w:r>
      <w:r w:rsidR="009E6615" w:rsidRPr="00992739">
        <w:rPr>
          <w:lang w:val="fr-FR"/>
        </w:rPr>
        <w:t>.</w:t>
      </w:r>
      <w:r w:rsidR="009E6615" w:rsidRPr="00992739">
        <w:rPr>
          <w:lang w:val="fr-FR"/>
        </w:rPr>
        <w:tab/>
        <w:t xml:space="preserve">Cette </w:t>
      </w:r>
      <w:r w:rsidR="009E6615">
        <w:rPr>
          <w:lang w:val="fr-FR"/>
        </w:rPr>
        <w:t>clar</w:t>
      </w:r>
      <w:r w:rsidR="009E6615" w:rsidRPr="00992739">
        <w:rPr>
          <w:lang w:val="fr-FR"/>
        </w:rPr>
        <w:t>ification facilite l’application de ce</w:t>
      </w:r>
      <w:r w:rsidR="009E6615">
        <w:rPr>
          <w:lang w:val="fr-FR"/>
        </w:rPr>
        <w:t>tte exigence</w:t>
      </w:r>
      <w:r w:rsidR="009E6615" w:rsidRPr="00992739">
        <w:rPr>
          <w:lang w:val="fr-FR"/>
        </w:rPr>
        <w:t>.</w:t>
      </w:r>
    </w:p>
    <w:p w14:paraId="113411B3" w14:textId="77777777" w:rsidR="009E6615" w:rsidRPr="00992739" w:rsidRDefault="009E6615" w:rsidP="009E6615">
      <w:pPr>
        <w:spacing w:before="240"/>
        <w:jc w:val="center"/>
        <w:rPr>
          <w:u w:val="single"/>
        </w:rPr>
      </w:pPr>
      <w:r w:rsidRPr="00992739">
        <w:rPr>
          <w:u w:val="single"/>
        </w:rPr>
        <w:tab/>
      </w:r>
      <w:r w:rsidRPr="00992739">
        <w:rPr>
          <w:u w:val="single"/>
        </w:rPr>
        <w:tab/>
      </w:r>
      <w:r w:rsidRPr="00992739">
        <w:rPr>
          <w:u w:val="single"/>
        </w:rPr>
        <w:tab/>
      </w:r>
    </w:p>
    <w:p w14:paraId="5F4C18A9" w14:textId="77777777" w:rsidR="00487254" w:rsidRPr="008A7BD0" w:rsidRDefault="00487254" w:rsidP="00387AC0">
      <w:pPr>
        <w:rPr>
          <w:b/>
          <w:lang w:val="fr-FR"/>
        </w:rPr>
      </w:pPr>
    </w:p>
    <w:sectPr w:rsidR="00487254" w:rsidRPr="008A7BD0" w:rsidSect="001A59E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0B2A" w14:textId="77777777" w:rsidR="00E46B7B" w:rsidRDefault="00E46B7B" w:rsidP="00F95C08">
      <w:pPr>
        <w:spacing w:line="240" w:lineRule="auto"/>
      </w:pPr>
    </w:p>
  </w:endnote>
  <w:endnote w:type="continuationSeparator" w:id="0">
    <w:p w14:paraId="5FC8FDD7" w14:textId="77777777" w:rsidR="00E46B7B" w:rsidRPr="00AC3823" w:rsidRDefault="00E46B7B" w:rsidP="00AC3823">
      <w:pPr>
        <w:pStyle w:val="Footer"/>
      </w:pPr>
    </w:p>
  </w:endnote>
  <w:endnote w:type="continuationNotice" w:id="1">
    <w:p w14:paraId="0A70B0C1" w14:textId="77777777" w:rsidR="00E46B7B" w:rsidRDefault="00E46B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B112" w14:textId="77777777" w:rsidR="001A59E7" w:rsidRPr="001A59E7" w:rsidRDefault="001A59E7" w:rsidP="001A59E7">
    <w:pPr>
      <w:pStyle w:val="Footer"/>
      <w:tabs>
        <w:tab w:val="right" w:pos="9638"/>
      </w:tabs>
      <w:rPr>
        <w:sz w:val="18"/>
      </w:rPr>
    </w:pPr>
    <w:r w:rsidRPr="001A59E7">
      <w:rPr>
        <w:b/>
        <w:sz w:val="18"/>
      </w:rPr>
      <w:fldChar w:fldCharType="begin"/>
    </w:r>
    <w:r w:rsidRPr="001A59E7">
      <w:rPr>
        <w:b/>
        <w:sz w:val="18"/>
      </w:rPr>
      <w:instrText xml:space="preserve"> PAGE  \* MERGEFORMAT </w:instrText>
    </w:r>
    <w:r w:rsidRPr="001A59E7">
      <w:rPr>
        <w:b/>
        <w:sz w:val="18"/>
      </w:rPr>
      <w:fldChar w:fldCharType="separate"/>
    </w:r>
    <w:r w:rsidRPr="001A59E7">
      <w:rPr>
        <w:b/>
        <w:noProof/>
        <w:sz w:val="18"/>
      </w:rPr>
      <w:t>2</w:t>
    </w:r>
    <w:r w:rsidRPr="001A59E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520D" w14:textId="77777777" w:rsidR="001A59E7" w:rsidRPr="001A59E7" w:rsidRDefault="001A59E7" w:rsidP="001A59E7">
    <w:pPr>
      <w:pStyle w:val="Footer"/>
      <w:tabs>
        <w:tab w:val="right" w:pos="9638"/>
      </w:tabs>
      <w:rPr>
        <w:b/>
        <w:sz w:val="18"/>
      </w:rPr>
    </w:pPr>
    <w:r>
      <w:tab/>
    </w:r>
    <w:r w:rsidRPr="001A59E7">
      <w:rPr>
        <w:b/>
        <w:sz w:val="18"/>
      </w:rPr>
      <w:fldChar w:fldCharType="begin"/>
    </w:r>
    <w:r w:rsidRPr="001A59E7">
      <w:rPr>
        <w:b/>
        <w:sz w:val="18"/>
      </w:rPr>
      <w:instrText xml:space="preserve"> PAGE  \* MERGEFORMAT </w:instrText>
    </w:r>
    <w:r w:rsidRPr="001A59E7">
      <w:rPr>
        <w:b/>
        <w:sz w:val="18"/>
      </w:rPr>
      <w:fldChar w:fldCharType="separate"/>
    </w:r>
    <w:r w:rsidRPr="001A59E7">
      <w:rPr>
        <w:b/>
        <w:noProof/>
        <w:sz w:val="18"/>
      </w:rPr>
      <w:t>3</w:t>
    </w:r>
    <w:r w:rsidRPr="001A59E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9894" w14:textId="77777777" w:rsidR="000D3EE9" w:rsidRPr="001A59E7" w:rsidRDefault="000942EE" w:rsidP="0001207F">
    <w:pPr>
      <w:pStyle w:val="Footer"/>
      <w:spacing w:before="120"/>
      <w:rPr>
        <w:sz w:val="20"/>
      </w:rPr>
    </w:pPr>
    <w:r w:rsidRPr="000942EE">
      <w:rPr>
        <w:noProof/>
        <w:lang w:eastAsia="fr-CH"/>
      </w:rPr>
      <w:drawing>
        <wp:anchor distT="0" distB="0" distL="114300" distR="114300" simplePos="0" relativeHeight="251658752" behindDoc="0" locked="0" layoutInCell="1" allowOverlap="0" wp14:anchorId="7BA81621" wp14:editId="7A65EE2A">
          <wp:simplePos x="0" y="0"/>
          <wp:positionH relativeFrom="margin">
            <wp:posOffset>5004435</wp:posOffset>
          </wp:positionH>
          <wp:positionV relativeFrom="margin">
            <wp:posOffset>9324975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53F8" w14:textId="77777777" w:rsidR="00E46B7B" w:rsidRPr="00AC3823" w:rsidRDefault="00E46B7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8D2AD9" w14:textId="77777777" w:rsidR="00E46B7B" w:rsidRPr="00AC3823" w:rsidRDefault="00E46B7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E05BF6" w14:textId="77777777" w:rsidR="00E46B7B" w:rsidRPr="00AC3823" w:rsidRDefault="00E46B7B">
      <w:pPr>
        <w:spacing w:line="240" w:lineRule="auto"/>
        <w:rPr>
          <w:sz w:val="2"/>
          <w:szCs w:val="2"/>
        </w:rPr>
      </w:pPr>
    </w:p>
  </w:footnote>
  <w:footnote w:id="2">
    <w:p w14:paraId="79945919" w14:textId="13F70C68" w:rsidR="009E6615" w:rsidRDefault="009E6615" w:rsidP="009E6615">
      <w:pPr>
        <w:pStyle w:val="FootnoteText"/>
        <w:rPr>
          <w:lang w:val="fr-FR"/>
        </w:rPr>
      </w:pPr>
      <w:r>
        <w:rPr>
          <w:rStyle w:val="FootnoteReference"/>
          <w:sz w:val="20"/>
          <w:lang w:val="fr-FR"/>
        </w:rPr>
        <w:tab/>
      </w:r>
      <w:r>
        <w:rPr>
          <w:rStyle w:val="FootnoteReference"/>
          <w:b/>
          <w:bCs/>
          <w:sz w:val="20"/>
          <w:lang w:val="fr-FR"/>
        </w:rPr>
        <w:t>*</w:t>
      </w:r>
      <w:r>
        <w:rPr>
          <w:rStyle w:val="FootnoteReference"/>
          <w:lang w:val="fr-FR"/>
        </w:rPr>
        <w:tab/>
      </w:r>
      <w:r w:rsidR="00AC67F4" w:rsidRPr="00AC67F4">
        <w:t xml:space="preserve"> </w:t>
      </w:r>
      <w:r w:rsidR="00AC67F4" w:rsidRPr="0083055C">
        <w:t>A/77/6 (Sect. 20), table</w:t>
      </w:r>
      <w:r w:rsidR="00AC67F4">
        <w:t>au</w:t>
      </w:r>
      <w:r w:rsidR="00AC67F4" w:rsidRPr="0083055C">
        <w:t xml:space="preserve"> 20.6</w:t>
      </w:r>
      <w:r>
        <w:rPr>
          <w:lang w:val="fr-FR"/>
        </w:rPr>
        <w:t>.</w:t>
      </w:r>
    </w:p>
  </w:footnote>
  <w:footnote w:id="3">
    <w:p w14:paraId="4B2B14E2" w14:textId="07A3B752" w:rsidR="009E6615" w:rsidRDefault="009E6615" w:rsidP="009E6615">
      <w:pPr>
        <w:pStyle w:val="FootnoteText"/>
        <w:rPr>
          <w:lang w:val="fr-FR"/>
        </w:rPr>
      </w:pPr>
      <w:r>
        <w:rPr>
          <w:rStyle w:val="FootnoteReference"/>
          <w:lang w:val="fr-FR"/>
        </w:rPr>
        <w:tab/>
      </w:r>
      <w:r>
        <w:rPr>
          <w:rStyle w:val="FootnoteReference"/>
          <w:b/>
          <w:bCs/>
          <w:sz w:val="20"/>
          <w:lang w:val="fr-FR"/>
        </w:rPr>
        <w:t>**</w:t>
      </w:r>
      <w:r>
        <w:rPr>
          <w:rStyle w:val="FootnoteReference"/>
          <w:lang w:val="fr-FR"/>
        </w:rPr>
        <w:tab/>
      </w:r>
      <w:r>
        <w:rPr>
          <w:lang w:val="fr-FR"/>
        </w:rPr>
        <w:t xml:space="preserve">Diffusée par l’Organisation </w:t>
      </w:r>
      <w:proofErr w:type="spellStart"/>
      <w:r>
        <w:rPr>
          <w:lang w:val="fr-FR"/>
        </w:rPr>
        <w:t>intergouvernementale</w:t>
      </w:r>
      <w:proofErr w:type="spellEnd"/>
      <w:r>
        <w:rPr>
          <w:lang w:val="fr-FR"/>
        </w:rPr>
        <w:t xml:space="preserve"> pour les transports internationaux ferroviaires (OTIF) sous la cote OTIF/RID/RC/2023/</w:t>
      </w:r>
      <w:r w:rsidR="00F54481">
        <w:rPr>
          <w:lang w:val="fr-FR"/>
        </w:rPr>
        <w:t>54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E028" w14:textId="77777777" w:rsidR="001A59E7" w:rsidRPr="001A59E7" w:rsidRDefault="00D41A9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A59E7">
      <w:t>ECE/TRANS/WP.15/AC.1/2023/54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F84A" w14:textId="77777777" w:rsidR="001A59E7" w:rsidRPr="001A59E7" w:rsidRDefault="00D41A9E" w:rsidP="001A59E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A59E7">
      <w:t>ECE/TRANS/WP.15/AC.1/2023/54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B1D86"/>
    <w:multiLevelType w:val="hybridMultilevel"/>
    <w:tmpl w:val="EC007F88"/>
    <w:lvl w:ilvl="0" w:tplc="CAE41390">
      <w:start w:val="1"/>
      <w:numFmt w:val="decimal"/>
      <w:lvlText w:val="%1."/>
      <w:lvlJc w:val="left"/>
      <w:pPr>
        <w:ind w:left="1548" w:hanging="555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823499563">
    <w:abstractNumId w:val="13"/>
  </w:num>
  <w:num w:numId="2" w16cid:durableId="24066734">
    <w:abstractNumId w:val="12"/>
  </w:num>
  <w:num w:numId="3" w16cid:durableId="1084643782">
    <w:abstractNumId w:val="10"/>
  </w:num>
  <w:num w:numId="4" w16cid:durableId="745149624">
    <w:abstractNumId w:val="8"/>
  </w:num>
  <w:num w:numId="5" w16cid:durableId="522747575">
    <w:abstractNumId w:val="3"/>
  </w:num>
  <w:num w:numId="6" w16cid:durableId="2101102467">
    <w:abstractNumId w:val="2"/>
  </w:num>
  <w:num w:numId="7" w16cid:durableId="1101225800">
    <w:abstractNumId w:val="1"/>
  </w:num>
  <w:num w:numId="8" w16cid:durableId="1312443407">
    <w:abstractNumId w:val="0"/>
  </w:num>
  <w:num w:numId="9" w16cid:durableId="536238671">
    <w:abstractNumId w:val="9"/>
  </w:num>
  <w:num w:numId="10" w16cid:durableId="1901475149">
    <w:abstractNumId w:val="7"/>
  </w:num>
  <w:num w:numId="11" w16cid:durableId="866791473">
    <w:abstractNumId w:val="6"/>
  </w:num>
  <w:num w:numId="12" w16cid:durableId="1847480118">
    <w:abstractNumId w:val="5"/>
  </w:num>
  <w:num w:numId="13" w16cid:durableId="1825123796">
    <w:abstractNumId w:val="4"/>
  </w:num>
  <w:num w:numId="14" w16cid:durableId="11906797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trackRevision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1A59E7"/>
    <w:rsid w:val="0001207F"/>
    <w:rsid w:val="00017F94"/>
    <w:rsid w:val="00023842"/>
    <w:rsid w:val="000334F9"/>
    <w:rsid w:val="0004639C"/>
    <w:rsid w:val="0007796D"/>
    <w:rsid w:val="00082867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76178"/>
    <w:rsid w:val="00177140"/>
    <w:rsid w:val="001A59E7"/>
    <w:rsid w:val="001D400F"/>
    <w:rsid w:val="001F525A"/>
    <w:rsid w:val="00223272"/>
    <w:rsid w:val="00240333"/>
    <w:rsid w:val="0024779E"/>
    <w:rsid w:val="002832AC"/>
    <w:rsid w:val="002D7C93"/>
    <w:rsid w:val="0037241C"/>
    <w:rsid w:val="003819FF"/>
    <w:rsid w:val="00387AC0"/>
    <w:rsid w:val="00441C3B"/>
    <w:rsid w:val="00446B0A"/>
    <w:rsid w:val="00446FE5"/>
    <w:rsid w:val="00452396"/>
    <w:rsid w:val="00471288"/>
    <w:rsid w:val="00487254"/>
    <w:rsid w:val="0049687C"/>
    <w:rsid w:val="004B5050"/>
    <w:rsid w:val="004E468C"/>
    <w:rsid w:val="005316B0"/>
    <w:rsid w:val="005505B7"/>
    <w:rsid w:val="00573BE5"/>
    <w:rsid w:val="00586ED3"/>
    <w:rsid w:val="00596AA9"/>
    <w:rsid w:val="005B4D0F"/>
    <w:rsid w:val="00703D0F"/>
    <w:rsid w:val="00706363"/>
    <w:rsid w:val="007158BB"/>
    <w:rsid w:val="0071601D"/>
    <w:rsid w:val="0075410D"/>
    <w:rsid w:val="007A62E6"/>
    <w:rsid w:val="0080684C"/>
    <w:rsid w:val="008204DA"/>
    <w:rsid w:val="008535AD"/>
    <w:rsid w:val="00871C75"/>
    <w:rsid w:val="008767E8"/>
    <w:rsid w:val="008776DC"/>
    <w:rsid w:val="00883605"/>
    <w:rsid w:val="008E6043"/>
    <w:rsid w:val="008F523A"/>
    <w:rsid w:val="00961E7B"/>
    <w:rsid w:val="009705C8"/>
    <w:rsid w:val="009C1CF4"/>
    <w:rsid w:val="009E6615"/>
    <w:rsid w:val="009F02C9"/>
    <w:rsid w:val="00A30353"/>
    <w:rsid w:val="00A62D91"/>
    <w:rsid w:val="00A90D54"/>
    <w:rsid w:val="00AA113A"/>
    <w:rsid w:val="00AC3823"/>
    <w:rsid w:val="00AC67F4"/>
    <w:rsid w:val="00AE323C"/>
    <w:rsid w:val="00AF774C"/>
    <w:rsid w:val="00B00181"/>
    <w:rsid w:val="00B00B0D"/>
    <w:rsid w:val="00B40927"/>
    <w:rsid w:val="00B50E25"/>
    <w:rsid w:val="00B64918"/>
    <w:rsid w:val="00B765F7"/>
    <w:rsid w:val="00BA0CA9"/>
    <w:rsid w:val="00C02897"/>
    <w:rsid w:val="00C1626B"/>
    <w:rsid w:val="00C66A47"/>
    <w:rsid w:val="00C7616F"/>
    <w:rsid w:val="00CB16B5"/>
    <w:rsid w:val="00CE0608"/>
    <w:rsid w:val="00CF7CAD"/>
    <w:rsid w:val="00D3439C"/>
    <w:rsid w:val="00D41A9E"/>
    <w:rsid w:val="00D44CF3"/>
    <w:rsid w:val="00D46C8C"/>
    <w:rsid w:val="00DB1831"/>
    <w:rsid w:val="00DD3BFD"/>
    <w:rsid w:val="00DE239D"/>
    <w:rsid w:val="00DF431C"/>
    <w:rsid w:val="00DF6678"/>
    <w:rsid w:val="00E428C8"/>
    <w:rsid w:val="00E46B7B"/>
    <w:rsid w:val="00EF2E22"/>
    <w:rsid w:val="00F0592C"/>
    <w:rsid w:val="00F06ED4"/>
    <w:rsid w:val="00F43289"/>
    <w:rsid w:val="00F54481"/>
    <w:rsid w:val="00F660DF"/>
    <w:rsid w:val="00F95C08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EBCF7"/>
  <w15:docId w15:val="{D5C23116-C828-4F2C-90E6-52F744BC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  <w:style w:type="paragraph" w:styleId="Revision">
    <w:name w:val="Revision"/>
    <w:hidden/>
    <w:uiPriority w:val="99"/>
    <w:semiHidden/>
    <w:rsid w:val="00F54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447E6B-BA8F-43AD-8939-14A862DCA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D0510-BBAB-42C2-BC41-36E26691E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DABE2-C6BF-4517-AB44-19F2C1126B6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5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ECE/EX/22</vt:lpstr>
      <vt:lpstr>ECE/EX/22</vt:lpstr>
    </vt:vector>
  </TitlesOfParts>
  <Company>DCM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ECE/TRANS/WP.15/AC.1/2023/54</dc:title>
  <dc:subject>FINAL</dc:subject>
  <dc:creator>ND</dc:creator>
  <cp:keywords/>
  <dc:description/>
  <cp:lastModifiedBy>Isabelle Porcu</cp:lastModifiedBy>
  <cp:revision>10</cp:revision>
  <cp:lastPrinted>2014-05-14T10:59:00Z</cp:lastPrinted>
  <dcterms:created xsi:type="dcterms:W3CDTF">2023-07-10T13:12:00Z</dcterms:created>
  <dcterms:modified xsi:type="dcterms:W3CDTF">2023-07-10T15:08:00Z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