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96742B" w14:paraId="74E67D6E" w14:textId="77777777" w:rsidTr="00C97039">
        <w:trPr>
          <w:trHeight w:hRule="exact" w:val="851"/>
        </w:trPr>
        <w:tc>
          <w:tcPr>
            <w:tcW w:w="1276" w:type="dxa"/>
            <w:tcBorders>
              <w:bottom w:val="single" w:sz="4" w:space="0" w:color="auto"/>
            </w:tcBorders>
          </w:tcPr>
          <w:p w14:paraId="0BDA2A09" w14:textId="77777777" w:rsidR="00F35BAF" w:rsidRPr="0096742B" w:rsidRDefault="00F35BAF" w:rsidP="00800DB9">
            <w:pPr>
              <w:rPr>
                <w:lang w:val="fr-FR"/>
              </w:rPr>
            </w:pPr>
          </w:p>
        </w:tc>
        <w:tc>
          <w:tcPr>
            <w:tcW w:w="2268" w:type="dxa"/>
            <w:tcBorders>
              <w:bottom w:val="single" w:sz="4" w:space="0" w:color="auto"/>
            </w:tcBorders>
            <w:vAlign w:val="bottom"/>
          </w:tcPr>
          <w:p w14:paraId="4B8B5065" w14:textId="77777777" w:rsidR="00F35BAF" w:rsidRPr="0096742B" w:rsidRDefault="00F35BAF" w:rsidP="00C97039">
            <w:pPr>
              <w:spacing w:after="80" w:line="300" w:lineRule="exact"/>
              <w:rPr>
                <w:sz w:val="28"/>
                <w:lang w:val="fr-FR"/>
              </w:rPr>
            </w:pPr>
            <w:r w:rsidRPr="0096742B">
              <w:rPr>
                <w:sz w:val="28"/>
                <w:lang w:val="fr-FR"/>
              </w:rPr>
              <w:t>Nations Unies</w:t>
            </w:r>
          </w:p>
        </w:tc>
        <w:tc>
          <w:tcPr>
            <w:tcW w:w="6095" w:type="dxa"/>
            <w:gridSpan w:val="2"/>
            <w:tcBorders>
              <w:bottom w:val="single" w:sz="4" w:space="0" w:color="auto"/>
            </w:tcBorders>
            <w:vAlign w:val="bottom"/>
          </w:tcPr>
          <w:p w14:paraId="3A980437" w14:textId="62B804C3" w:rsidR="00F35BAF" w:rsidRPr="0096742B" w:rsidRDefault="00800DB9" w:rsidP="00800DB9">
            <w:pPr>
              <w:jc w:val="right"/>
              <w:rPr>
                <w:lang w:val="fr-FR"/>
              </w:rPr>
            </w:pPr>
            <w:r w:rsidRPr="0096742B">
              <w:rPr>
                <w:sz w:val="40"/>
                <w:lang w:val="fr-FR"/>
              </w:rPr>
              <w:t>ECE</w:t>
            </w:r>
            <w:r w:rsidRPr="0096742B">
              <w:rPr>
                <w:lang w:val="fr-FR"/>
              </w:rPr>
              <w:t>/TRANS/WP</w:t>
            </w:r>
            <w:r w:rsidR="00E3523D" w:rsidRPr="0096742B">
              <w:rPr>
                <w:lang w:val="fr-FR"/>
              </w:rPr>
              <w:t>.</w:t>
            </w:r>
            <w:r w:rsidRPr="0096742B">
              <w:rPr>
                <w:lang w:val="fr-FR"/>
              </w:rPr>
              <w:t>29/GRBP/2023/19</w:t>
            </w:r>
          </w:p>
        </w:tc>
      </w:tr>
      <w:tr w:rsidR="00F35BAF" w:rsidRPr="0096742B" w14:paraId="49F94014" w14:textId="77777777" w:rsidTr="00C97039">
        <w:trPr>
          <w:trHeight w:hRule="exact" w:val="2835"/>
        </w:trPr>
        <w:tc>
          <w:tcPr>
            <w:tcW w:w="1276" w:type="dxa"/>
            <w:tcBorders>
              <w:top w:val="single" w:sz="4" w:space="0" w:color="auto"/>
              <w:bottom w:val="single" w:sz="12" w:space="0" w:color="auto"/>
            </w:tcBorders>
          </w:tcPr>
          <w:p w14:paraId="4966E1CB" w14:textId="77777777" w:rsidR="00F35BAF" w:rsidRPr="0096742B" w:rsidRDefault="00F35BAF" w:rsidP="00C97039">
            <w:pPr>
              <w:spacing w:before="120"/>
              <w:jc w:val="center"/>
              <w:rPr>
                <w:lang w:val="fr-FR"/>
              </w:rPr>
            </w:pPr>
            <w:r w:rsidRPr="0096742B">
              <w:rPr>
                <w:noProof/>
                <w:lang w:val="fr-FR" w:eastAsia="fr-CH"/>
              </w:rPr>
              <w:drawing>
                <wp:inline distT="0" distB="0" distL="0" distR="0" wp14:anchorId="3383EA7E" wp14:editId="66C7B2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F0F3E7" w14:textId="77777777" w:rsidR="00F35BAF" w:rsidRPr="0096742B" w:rsidRDefault="00F35BAF" w:rsidP="00C97039">
            <w:pPr>
              <w:spacing w:before="120" w:line="420" w:lineRule="exact"/>
              <w:rPr>
                <w:b/>
                <w:sz w:val="40"/>
                <w:szCs w:val="40"/>
                <w:lang w:val="fr-FR"/>
              </w:rPr>
            </w:pPr>
            <w:r w:rsidRPr="0096742B">
              <w:rPr>
                <w:b/>
                <w:sz w:val="40"/>
                <w:szCs w:val="40"/>
                <w:lang w:val="fr-FR"/>
              </w:rPr>
              <w:t>Conseil économique et social</w:t>
            </w:r>
          </w:p>
        </w:tc>
        <w:tc>
          <w:tcPr>
            <w:tcW w:w="2835" w:type="dxa"/>
            <w:tcBorders>
              <w:top w:val="single" w:sz="4" w:space="0" w:color="auto"/>
              <w:bottom w:val="single" w:sz="12" w:space="0" w:color="auto"/>
            </w:tcBorders>
          </w:tcPr>
          <w:p w14:paraId="6A0CDA72" w14:textId="12148CAE" w:rsidR="00F35BAF" w:rsidRPr="0096742B" w:rsidRDefault="00800DB9" w:rsidP="00C97039">
            <w:pPr>
              <w:spacing w:before="240"/>
              <w:rPr>
                <w:lang w:val="fr-FR"/>
              </w:rPr>
            </w:pPr>
            <w:r w:rsidRPr="0096742B">
              <w:rPr>
                <w:lang w:val="fr-FR"/>
              </w:rPr>
              <w:t>Distr</w:t>
            </w:r>
            <w:r w:rsidR="00E3523D" w:rsidRPr="0096742B">
              <w:rPr>
                <w:lang w:val="fr-FR"/>
              </w:rPr>
              <w:t>.</w:t>
            </w:r>
            <w:r w:rsidRPr="0096742B">
              <w:rPr>
                <w:lang w:val="fr-FR"/>
              </w:rPr>
              <w:t xml:space="preserve"> générale</w:t>
            </w:r>
          </w:p>
          <w:p w14:paraId="05AADA38" w14:textId="77777777" w:rsidR="00800DB9" w:rsidRPr="0096742B" w:rsidRDefault="00800DB9" w:rsidP="00800DB9">
            <w:pPr>
              <w:spacing w:line="240" w:lineRule="exact"/>
              <w:rPr>
                <w:lang w:val="fr-FR"/>
              </w:rPr>
            </w:pPr>
            <w:r w:rsidRPr="0096742B">
              <w:rPr>
                <w:lang w:val="fr-FR"/>
              </w:rPr>
              <w:t>15 juin 2023</w:t>
            </w:r>
          </w:p>
          <w:p w14:paraId="1734E532" w14:textId="77777777" w:rsidR="00800DB9" w:rsidRPr="0096742B" w:rsidRDefault="00800DB9" w:rsidP="00800DB9">
            <w:pPr>
              <w:spacing w:line="240" w:lineRule="exact"/>
              <w:rPr>
                <w:lang w:val="fr-FR"/>
              </w:rPr>
            </w:pPr>
            <w:r w:rsidRPr="0096742B">
              <w:rPr>
                <w:lang w:val="fr-FR"/>
              </w:rPr>
              <w:t>Français</w:t>
            </w:r>
          </w:p>
          <w:p w14:paraId="58C99F83" w14:textId="1BF1CF0C" w:rsidR="00800DB9" w:rsidRPr="0096742B" w:rsidRDefault="00800DB9" w:rsidP="00800DB9">
            <w:pPr>
              <w:spacing w:line="240" w:lineRule="exact"/>
              <w:rPr>
                <w:lang w:val="fr-FR"/>
              </w:rPr>
            </w:pPr>
            <w:r w:rsidRPr="0096742B">
              <w:rPr>
                <w:lang w:val="fr-FR"/>
              </w:rPr>
              <w:t>Original</w:t>
            </w:r>
            <w:r w:rsidR="003109F6" w:rsidRPr="0096742B">
              <w:rPr>
                <w:lang w:val="fr-FR"/>
              </w:rPr>
              <w:t> :</w:t>
            </w:r>
            <w:r w:rsidRPr="0096742B">
              <w:rPr>
                <w:lang w:val="fr-FR"/>
              </w:rPr>
              <w:t xml:space="preserve"> anglais</w:t>
            </w:r>
          </w:p>
        </w:tc>
      </w:tr>
    </w:tbl>
    <w:p w14:paraId="7A1C10C9" w14:textId="6DA1993D" w:rsidR="007F20FA" w:rsidRPr="0096742B" w:rsidRDefault="007F20FA" w:rsidP="007F20FA">
      <w:pPr>
        <w:spacing w:before="120"/>
        <w:rPr>
          <w:b/>
          <w:sz w:val="28"/>
          <w:szCs w:val="28"/>
          <w:lang w:val="fr-FR"/>
        </w:rPr>
      </w:pPr>
      <w:r w:rsidRPr="0096742B">
        <w:rPr>
          <w:b/>
          <w:sz w:val="28"/>
          <w:szCs w:val="28"/>
          <w:lang w:val="fr-FR"/>
        </w:rPr>
        <w:t>Commission économique pour l</w:t>
      </w:r>
      <w:r w:rsidR="003109F6" w:rsidRPr="0096742B">
        <w:rPr>
          <w:b/>
          <w:sz w:val="28"/>
          <w:szCs w:val="28"/>
          <w:lang w:val="fr-FR"/>
        </w:rPr>
        <w:t>’</w:t>
      </w:r>
      <w:r w:rsidRPr="0096742B">
        <w:rPr>
          <w:b/>
          <w:sz w:val="28"/>
          <w:szCs w:val="28"/>
          <w:lang w:val="fr-FR"/>
        </w:rPr>
        <w:t>Europe</w:t>
      </w:r>
    </w:p>
    <w:p w14:paraId="21BCE0D6" w14:textId="77777777" w:rsidR="007F20FA" w:rsidRPr="0096742B" w:rsidRDefault="007F20FA" w:rsidP="007F20FA">
      <w:pPr>
        <w:spacing w:before="120"/>
        <w:rPr>
          <w:sz w:val="28"/>
          <w:szCs w:val="28"/>
          <w:lang w:val="fr-FR"/>
        </w:rPr>
      </w:pPr>
      <w:r w:rsidRPr="0096742B">
        <w:rPr>
          <w:sz w:val="28"/>
          <w:szCs w:val="28"/>
          <w:lang w:val="fr-FR"/>
        </w:rPr>
        <w:t>Comité des transports intérieurs</w:t>
      </w:r>
    </w:p>
    <w:p w14:paraId="409EFBCE" w14:textId="44E0D01F" w:rsidR="00800DB9" w:rsidRPr="0096742B" w:rsidRDefault="00800DB9" w:rsidP="00A3029F">
      <w:pPr>
        <w:spacing w:before="120"/>
        <w:rPr>
          <w:b/>
          <w:sz w:val="24"/>
          <w:szCs w:val="24"/>
          <w:lang w:val="fr-FR"/>
        </w:rPr>
      </w:pPr>
      <w:r w:rsidRPr="0096742B">
        <w:rPr>
          <w:b/>
          <w:sz w:val="24"/>
          <w:szCs w:val="24"/>
          <w:lang w:val="fr-FR"/>
        </w:rPr>
        <w:t>Forum mondial de l</w:t>
      </w:r>
      <w:r w:rsidR="003109F6" w:rsidRPr="0096742B">
        <w:rPr>
          <w:b/>
          <w:sz w:val="24"/>
          <w:szCs w:val="24"/>
          <w:lang w:val="fr-FR"/>
        </w:rPr>
        <w:t>’</w:t>
      </w:r>
      <w:r w:rsidRPr="0096742B">
        <w:rPr>
          <w:b/>
          <w:sz w:val="24"/>
          <w:szCs w:val="24"/>
          <w:lang w:val="fr-FR"/>
        </w:rPr>
        <w:t>harmonisation</w:t>
      </w:r>
      <w:r w:rsidRPr="0096742B">
        <w:rPr>
          <w:b/>
          <w:sz w:val="24"/>
          <w:szCs w:val="24"/>
          <w:lang w:val="fr-FR"/>
        </w:rPr>
        <w:br/>
        <w:t>des Règlements concernant les véhicules</w:t>
      </w:r>
    </w:p>
    <w:p w14:paraId="2E2EF636" w14:textId="39343584" w:rsidR="00800DB9" w:rsidRPr="0096742B" w:rsidRDefault="00800DB9" w:rsidP="00A3029F">
      <w:pPr>
        <w:spacing w:before="120"/>
        <w:rPr>
          <w:b/>
          <w:lang w:val="fr-FR"/>
        </w:rPr>
      </w:pPr>
      <w:r w:rsidRPr="0096742B">
        <w:rPr>
          <w:b/>
          <w:bCs/>
          <w:lang w:val="fr-FR"/>
        </w:rPr>
        <w:t>Groupe de travail du bruit et des pneumatiques</w:t>
      </w:r>
    </w:p>
    <w:p w14:paraId="5AA8506E" w14:textId="0ED03CFD" w:rsidR="00800DB9" w:rsidRPr="0096742B" w:rsidRDefault="00800DB9" w:rsidP="00A3029F">
      <w:pPr>
        <w:spacing w:before="120"/>
        <w:rPr>
          <w:b/>
          <w:lang w:val="fr-FR"/>
        </w:rPr>
      </w:pPr>
      <w:r w:rsidRPr="0096742B">
        <w:rPr>
          <w:b/>
          <w:bCs/>
          <w:lang w:val="fr-FR"/>
        </w:rPr>
        <w:t>Soixante-dix-huitième</w:t>
      </w:r>
      <w:r w:rsidRPr="0096742B">
        <w:rPr>
          <w:b/>
          <w:lang w:val="fr-FR"/>
        </w:rPr>
        <w:t xml:space="preserve"> session</w:t>
      </w:r>
    </w:p>
    <w:p w14:paraId="06226B80" w14:textId="7F7A5478" w:rsidR="00800DB9" w:rsidRPr="0096742B" w:rsidRDefault="00800DB9" w:rsidP="00A3029F">
      <w:pPr>
        <w:spacing w:line="240" w:lineRule="exact"/>
        <w:rPr>
          <w:lang w:val="fr-FR"/>
        </w:rPr>
      </w:pPr>
      <w:r w:rsidRPr="0096742B">
        <w:rPr>
          <w:lang w:val="fr-FR"/>
        </w:rPr>
        <w:t xml:space="preserve">Genève, </w:t>
      </w:r>
      <w:r w:rsidRPr="0096742B">
        <w:rPr>
          <w:lang w:val="fr-FR"/>
        </w:rPr>
        <w:t>30 ao</w:t>
      </w:r>
      <w:r w:rsidRPr="00515D06">
        <w:rPr>
          <w:lang w:val="fr-FR"/>
        </w:rPr>
        <w:t>ût-</w:t>
      </w:r>
      <w:r w:rsidR="003109F6" w:rsidRPr="00515D06">
        <w:rPr>
          <w:lang w:val="fr-FR"/>
        </w:rPr>
        <w:t>1</w:t>
      </w:r>
      <w:r w:rsidR="003109F6" w:rsidRPr="00515D06">
        <w:rPr>
          <w:vertAlign w:val="superscript"/>
          <w:lang w:val="fr-FR"/>
        </w:rPr>
        <w:t>er</w:t>
      </w:r>
      <w:r w:rsidRPr="00515D06">
        <w:rPr>
          <w:lang w:val="fr-FR"/>
        </w:rPr>
        <w:t xml:space="preserve"> septembre </w:t>
      </w:r>
      <w:r w:rsidRPr="0096742B">
        <w:rPr>
          <w:lang w:val="fr-FR"/>
        </w:rPr>
        <w:t>2023</w:t>
      </w:r>
    </w:p>
    <w:p w14:paraId="7182B150" w14:textId="4B42A06F" w:rsidR="00800DB9" w:rsidRPr="0096742B" w:rsidRDefault="00800DB9" w:rsidP="00A3029F">
      <w:pPr>
        <w:spacing w:line="240" w:lineRule="exact"/>
        <w:rPr>
          <w:lang w:val="fr-FR"/>
        </w:rPr>
      </w:pPr>
      <w:r w:rsidRPr="0096742B">
        <w:rPr>
          <w:lang w:val="fr-FR"/>
        </w:rPr>
        <w:t xml:space="preserve">Point </w:t>
      </w:r>
      <w:r w:rsidRPr="0096742B">
        <w:rPr>
          <w:lang w:val="fr-FR"/>
        </w:rPr>
        <w:t>7 c)</w:t>
      </w:r>
      <w:r w:rsidRPr="0096742B">
        <w:rPr>
          <w:lang w:val="fr-FR"/>
        </w:rPr>
        <w:t xml:space="preserve"> de l</w:t>
      </w:r>
      <w:r w:rsidR="003109F6" w:rsidRPr="0096742B">
        <w:rPr>
          <w:lang w:val="fr-FR"/>
        </w:rPr>
        <w:t>’</w:t>
      </w:r>
      <w:r w:rsidRPr="0096742B">
        <w:rPr>
          <w:lang w:val="fr-FR"/>
        </w:rPr>
        <w:t>ordre du jour provisoire</w:t>
      </w:r>
    </w:p>
    <w:p w14:paraId="609E6EF9" w14:textId="1D178D49" w:rsidR="00F9573C" w:rsidRPr="0096742B" w:rsidRDefault="00800DB9" w:rsidP="00800DB9">
      <w:pPr>
        <w:ind w:right="4960"/>
        <w:rPr>
          <w:b/>
          <w:bCs/>
          <w:lang w:val="fr-FR"/>
        </w:rPr>
      </w:pPr>
      <w:r w:rsidRPr="0096742B">
        <w:rPr>
          <w:b/>
          <w:bCs/>
          <w:lang w:val="fr-FR"/>
        </w:rPr>
        <w:t>Pneumatiques</w:t>
      </w:r>
      <w:r w:rsidR="003109F6" w:rsidRPr="0096742B">
        <w:rPr>
          <w:b/>
          <w:bCs/>
          <w:lang w:val="fr-FR"/>
        </w:rPr>
        <w:t> :</w:t>
      </w:r>
      <w:r w:rsidRPr="0096742B">
        <w:rPr>
          <w:b/>
          <w:bCs/>
          <w:lang w:val="fr-FR"/>
        </w:rPr>
        <w:t xml:space="preserve"> Règlement ONU </w:t>
      </w:r>
      <w:r w:rsidR="003109F6" w:rsidRPr="0096742B">
        <w:rPr>
          <w:b/>
          <w:bCs/>
          <w:lang w:val="fr-FR"/>
        </w:rPr>
        <w:t>n</w:t>
      </w:r>
      <w:r w:rsidR="003109F6" w:rsidRPr="0096742B">
        <w:rPr>
          <w:b/>
          <w:bCs/>
          <w:vertAlign w:val="superscript"/>
          <w:lang w:val="fr-FR"/>
        </w:rPr>
        <w:t>o</w:t>
      </w:r>
      <w:r w:rsidRPr="0096742B">
        <w:rPr>
          <w:b/>
          <w:bCs/>
          <w:lang w:val="fr-FR"/>
        </w:rPr>
        <w:t> </w:t>
      </w:r>
      <w:r w:rsidRPr="0096742B">
        <w:rPr>
          <w:b/>
          <w:bCs/>
          <w:lang w:val="fr-FR"/>
        </w:rPr>
        <w:t xml:space="preserve">117 (Pneumatiques </w:t>
      </w:r>
      <w:r w:rsidR="003109F6" w:rsidRPr="0096742B">
        <w:rPr>
          <w:b/>
          <w:bCs/>
          <w:lang w:val="fr-FR"/>
        </w:rPr>
        <w:t>−</w:t>
      </w:r>
      <w:r w:rsidRPr="0096742B">
        <w:rPr>
          <w:b/>
          <w:bCs/>
          <w:lang w:val="fr-FR"/>
        </w:rPr>
        <w:t xml:space="preserve"> Résistance au</w:t>
      </w:r>
      <w:r w:rsidRPr="0096742B">
        <w:rPr>
          <w:b/>
          <w:bCs/>
          <w:lang w:val="fr-FR"/>
        </w:rPr>
        <w:t> </w:t>
      </w:r>
      <w:r w:rsidRPr="0096742B">
        <w:rPr>
          <w:b/>
          <w:bCs/>
          <w:lang w:val="fr-FR"/>
        </w:rPr>
        <w:t>roulement, bruit de</w:t>
      </w:r>
      <w:r w:rsidRPr="0096742B">
        <w:rPr>
          <w:b/>
          <w:bCs/>
          <w:lang w:val="fr-FR"/>
        </w:rPr>
        <w:t> </w:t>
      </w:r>
      <w:r w:rsidRPr="0096742B">
        <w:rPr>
          <w:b/>
          <w:bCs/>
          <w:lang w:val="fr-FR"/>
        </w:rPr>
        <w:t>roulement et adhérence sur sol mouillé)</w:t>
      </w:r>
    </w:p>
    <w:p w14:paraId="2151E26B" w14:textId="3821C804" w:rsidR="00800DB9" w:rsidRPr="0096742B" w:rsidRDefault="00800DB9" w:rsidP="00800DB9">
      <w:pPr>
        <w:pStyle w:val="HChG"/>
        <w:rPr>
          <w:sz w:val="36"/>
          <w:szCs w:val="36"/>
          <w:lang w:val="fr-FR"/>
        </w:rPr>
      </w:pPr>
      <w:r w:rsidRPr="0096742B">
        <w:rPr>
          <w:lang w:val="fr-FR"/>
        </w:rPr>
        <w:tab/>
      </w:r>
      <w:r w:rsidRPr="0096742B">
        <w:rPr>
          <w:lang w:val="fr-FR"/>
        </w:rPr>
        <w:tab/>
        <w:t>Proposition de complément 2 à la série 04 d</w:t>
      </w:r>
      <w:r w:rsidR="003109F6" w:rsidRPr="0096742B">
        <w:rPr>
          <w:lang w:val="fr-FR"/>
        </w:rPr>
        <w:t>’</w:t>
      </w:r>
      <w:r w:rsidRPr="0096742B">
        <w:rPr>
          <w:lang w:val="fr-FR"/>
        </w:rPr>
        <w:t xml:space="preserve">amendements </w:t>
      </w:r>
      <w:r w:rsidRPr="0096742B">
        <w:rPr>
          <w:lang w:val="fr-FR"/>
        </w:rPr>
        <w:br/>
        <w:t xml:space="preserve">au Règlement ONU </w:t>
      </w:r>
      <w:r w:rsidR="003109F6" w:rsidRPr="0096742B">
        <w:rPr>
          <w:lang w:val="fr-FR"/>
        </w:rPr>
        <w:t>n</w:t>
      </w:r>
      <w:r w:rsidR="003109F6" w:rsidRPr="0096742B">
        <w:rPr>
          <w:vertAlign w:val="superscript"/>
          <w:lang w:val="fr-FR"/>
        </w:rPr>
        <w:t>o</w:t>
      </w:r>
      <w:r w:rsidR="0007686A" w:rsidRPr="0096742B">
        <w:rPr>
          <w:lang w:val="fr-FR"/>
        </w:rPr>
        <w:t> </w:t>
      </w:r>
      <w:r w:rsidRPr="0096742B">
        <w:rPr>
          <w:lang w:val="fr-FR"/>
        </w:rPr>
        <w:t>117</w:t>
      </w:r>
    </w:p>
    <w:p w14:paraId="5D67ECAD" w14:textId="56D50EC3" w:rsidR="00800DB9" w:rsidRPr="0096742B" w:rsidRDefault="00800DB9" w:rsidP="00800DB9">
      <w:pPr>
        <w:pStyle w:val="H1G"/>
        <w:rPr>
          <w:lang w:val="fr-FR"/>
        </w:rPr>
      </w:pPr>
      <w:r w:rsidRPr="0096742B">
        <w:rPr>
          <w:lang w:val="fr-FR"/>
        </w:rPr>
        <w:tab/>
      </w:r>
      <w:r w:rsidRPr="0096742B">
        <w:rPr>
          <w:lang w:val="fr-FR"/>
        </w:rPr>
        <w:tab/>
        <w:t>Communication du groupe de travail informel de l</w:t>
      </w:r>
      <w:r w:rsidR="003109F6" w:rsidRPr="0096742B">
        <w:rPr>
          <w:lang w:val="fr-FR"/>
        </w:rPr>
        <w:t>’</w:t>
      </w:r>
      <w:r w:rsidRPr="0096742B">
        <w:rPr>
          <w:lang w:val="fr-FR"/>
        </w:rPr>
        <w:t>incertitude de</w:t>
      </w:r>
      <w:r w:rsidRPr="0096742B">
        <w:rPr>
          <w:lang w:val="fr-FR"/>
        </w:rPr>
        <w:t> </w:t>
      </w:r>
      <w:r w:rsidRPr="0096742B">
        <w:rPr>
          <w:lang w:val="fr-FR"/>
        </w:rPr>
        <w:t>mesure</w:t>
      </w:r>
      <w:r w:rsidRPr="0096742B">
        <w:rPr>
          <w:b w:val="0"/>
          <w:bCs/>
          <w:sz w:val="20"/>
          <w:lang w:val="fr-FR"/>
        </w:rPr>
        <w:footnoteReference w:customMarkFollows="1" w:id="2"/>
        <w:t>*</w:t>
      </w:r>
    </w:p>
    <w:p w14:paraId="5745F873" w14:textId="17AFF79A" w:rsidR="00800DB9" w:rsidRPr="0096742B" w:rsidRDefault="00800DB9" w:rsidP="00800DB9">
      <w:pPr>
        <w:pStyle w:val="SingleTxtG"/>
        <w:ind w:firstLine="567"/>
        <w:rPr>
          <w:lang w:val="fr-FR"/>
        </w:rPr>
      </w:pPr>
      <w:r w:rsidRPr="0096742B">
        <w:rPr>
          <w:lang w:val="fr-FR"/>
        </w:rPr>
        <w:t>Le texte ci-après a été établi par les experts du groupe de travail informel de l</w:t>
      </w:r>
      <w:r w:rsidR="003109F6" w:rsidRPr="0096742B">
        <w:rPr>
          <w:lang w:val="fr-FR"/>
        </w:rPr>
        <w:t>’</w:t>
      </w:r>
      <w:r w:rsidRPr="0096742B">
        <w:rPr>
          <w:lang w:val="fr-FR"/>
        </w:rPr>
        <w:t>incertitude de mesure afin d</w:t>
      </w:r>
      <w:r w:rsidR="003109F6" w:rsidRPr="0096742B">
        <w:rPr>
          <w:lang w:val="fr-FR"/>
        </w:rPr>
        <w:t>’</w:t>
      </w:r>
      <w:r w:rsidRPr="0096742B">
        <w:rPr>
          <w:lang w:val="fr-FR"/>
        </w:rPr>
        <w:t>introduire des dispositions visant à réduire la variabilité</w:t>
      </w:r>
      <w:r w:rsidR="00E3523D" w:rsidRPr="0096742B">
        <w:rPr>
          <w:lang w:val="fr-FR"/>
        </w:rPr>
        <w:t>.</w:t>
      </w:r>
      <w:r w:rsidRPr="0096742B">
        <w:rPr>
          <w:lang w:val="fr-FR"/>
        </w:rPr>
        <w:t xml:space="preserve"> Les</w:t>
      </w:r>
      <w:r w:rsidRPr="0096742B">
        <w:rPr>
          <w:lang w:val="fr-FR"/>
        </w:rPr>
        <w:t> </w:t>
      </w:r>
      <w:r w:rsidRPr="0096742B">
        <w:rPr>
          <w:lang w:val="fr-FR"/>
        </w:rPr>
        <w:t>modifications qu</w:t>
      </w:r>
      <w:r w:rsidR="003109F6" w:rsidRPr="0096742B">
        <w:rPr>
          <w:lang w:val="fr-FR"/>
        </w:rPr>
        <w:t>’</w:t>
      </w:r>
      <w:r w:rsidRPr="0096742B">
        <w:rPr>
          <w:lang w:val="fr-FR"/>
        </w:rPr>
        <w:t>il est proposé d</w:t>
      </w:r>
      <w:r w:rsidR="003109F6" w:rsidRPr="0096742B">
        <w:rPr>
          <w:lang w:val="fr-FR"/>
        </w:rPr>
        <w:t>’</w:t>
      </w:r>
      <w:r w:rsidRPr="0096742B">
        <w:rPr>
          <w:lang w:val="fr-FR"/>
        </w:rPr>
        <w:t>apporter au texte actuel du Règlement ONU figurent en caractères gras pour les ajouts et biffés pour les suppressions</w:t>
      </w:r>
      <w:r w:rsidR="00E3523D" w:rsidRPr="0096742B">
        <w:rPr>
          <w:lang w:val="fr-FR"/>
        </w:rPr>
        <w:t>.</w:t>
      </w:r>
    </w:p>
    <w:p w14:paraId="4AF93EF1" w14:textId="56F06FFA" w:rsidR="00800DB9" w:rsidRPr="0096742B" w:rsidRDefault="00800DB9" w:rsidP="00800DB9">
      <w:pPr>
        <w:pStyle w:val="SingleTxtG"/>
        <w:rPr>
          <w:lang w:val="fr-FR"/>
        </w:rPr>
      </w:pPr>
      <w:r w:rsidRPr="0096742B">
        <w:rPr>
          <w:lang w:val="fr-FR"/>
        </w:rPr>
        <w:br w:type="page"/>
      </w:r>
    </w:p>
    <w:p w14:paraId="2C584848" w14:textId="153257FE" w:rsidR="00800DB9" w:rsidRPr="0096742B" w:rsidRDefault="0007686A" w:rsidP="0007686A">
      <w:pPr>
        <w:pStyle w:val="HChG"/>
        <w:rPr>
          <w:lang w:val="fr-FR"/>
        </w:rPr>
      </w:pPr>
      <w:r w:rsidRPr="0096742B">
        <w:rPr>
          <w:lang w:val="fr-FR"/>
        </w:rPr>
        <w:lastRenderedPageBreak/>
        <w:tab/>
        <w:t>I</w:t>
      </w:r>
      <w:r w:rsidR="00E3523D" w:rsidRPr="0096742B">
        <w:rPr>
          <w:lang w:val="fr-FR"/>
        </w:rPr>
        <w:t>.</w:t>
      </w:r>
      <w:r w:rsidRPr="0096742B">
        <w:rPr>
          <w:lang w:val="fr-FR"/>
        </w:rPr>
        <w:tab/>
      </w:r>
      <w:r w:rsidR="00800DB9" w:rsidRPr="0096742B">
        <w:rPr>
          <w:lang w:val="fr-FR"/>
        </w:rPr>
        <w:t>Proposition</w:t>
      </w:r>
    </w:p>
    <w:p w14:paraId="45C6BC39" w14:textId="1B6C746F" w:rsidR="003109F6" w:rsidRPr="0096742B" w:rsidRDefault="00800DB9" w:rsidP="0007686A">
      <w:pPr>
        <w:pStyle w:val="SingleTxtG"/>
        <w:rPr>
          <w:lang w:val="fr-FR"/>
        </w:rPr>
      </w:pPr>
      <w:r w:rsidRPr="0096742B">
        <w:rPr>
          <w:i/>
          <w:iCs/>
          <w:lang w:val="fr-FR"/>
        </w:rPr>
        <w:t>Table des matières, annexes</w:t>
      </w:r>
      <w:r w:rsidRPr="0096742B">
        <w:rPr>
          <w:lang w:val="fr-FR"/>
        </w:rPr>
        <w:t>, lire</w:t>
      </w:r>
      <w:r w:rsidR="003109F6" w:rsidRPr="0096742B">
        <w:rPr>
          <w:lang w:val="fr-FR"/>
        </w:rPr>
        <w:t> :</w:t>
      </w:r>
    </w:p>
    <w:p w14:paraId="64C2BA76" w14:textId="77777777" w:rsidR="003109F6" w:rsidRPr="0096742B" w:rsidRDefault="00800DB9" w:rsidP="00800DB9">
      <w:pPr>
        <w:pStyle w:val="TOC1"/>
        <w:tabs>
          <w:tab w:val="clear" w:pos="9071"/>
          <w:tab w:val="right" w:leader="dot" w:pos="8789"/>
          <w:tab w:val="right" w:pos="9498"/>
        </w:tabs>
        <w:ind w:left="1843" w:hanging="709"/>
        <w:rPr>
          <w:noProof/>
          <w:sz w:val="20"/>
          <w:szCs w:val="20"/>
          <w:lang w:val="fr-FR" w:eastAsia="en-GB"/>
        </w:rPr>
      </w:pPr>
      <w:r w:rsidRPr="0096742B">
        <w:rPr>
          <w:noProof/>
          <w:sz w:val="20"/>
          <w:szCs w:val="20"/>
          <w:lang w:val="fr-FR" w:eastAsia="en-GB"/>
        </w:rPr>
        <w:t>«</w:t>
      </w:r>
    </w:p>
    <w:p w14:paraId="6145E892" w14:textId="742FB1BE" w:rsidR="00800DB9" w:rsidRPr="0096742B" w:rsidRDefault="00800DB9" w:rsidP="00800DB9">
      <w:pPr>
        <w:pStyle w:val="TOC1"/>
        <w:tabs>
          <w:tab w:val="clear" w:pos="9071"/>
          <w:tab w:val="left" w:pos="851"/>
          <w:tab w:val="left" w:pos="2268"/>
          <w:tab w:val="right" w:leader="dot" w:pos="8789"/>
          <w:tab w:val="right" w:pos="9498"/>
        </w:tabs>
        <w:ind w:left="1843" w:hanging="709"/>
        <w:rPr>
          <w:noProof/>
          <w:sz w:val="20"/>
          <w:szCs w:val="20"/>
          <w:lang w:val="fr-FR"/>
        </w:rPr>
      </w:pPr>
      <w:r w:rsidRPr="0096742B">
        <w:rPr>
          <w:sz w:val="20"/>
          <w:szCs w:val="20"/>
          <w:lang w:val="fr-FR"/>
        </w:rPr>
        <w:t>[…]</w:t>
      </w:r>
    </w:p>
    <w:p w14:paraId="51F81B3B" w14:textId="7F46E291" w:rsidR="00800DB9" w:rsidRPr="0096742B" w:rsidRDefault="00800DB9" w:rsidP="00800DB9">
      <w:pPr>
        <w:pStyle w:val="TOC1"/>
        <w:tabs>
          <w:tab w:val="clear" w:pos="9071"/>
          <w:tab w:val="right" w:leader="dot" w:pos="8789"/>
          <w:tab w:val="right" w:pos="9498"/>
        </w:tabs>
        <w:ind w:left="1843" w:hanging="709"/>
        <w:rPr>
          <w:noProof/>
          <w:sz w:val="20"/>
          <w:szCs w:val="20"/>
          <w:lang w:val="fr-FR"/>
        </w:rPr>
      </w:pPr>
      <w:r w:rsidRPr="0096742B">
        <w:rPr>
          <w:sz w:val="20"/>
          <w:szCs w:val="20"/>
          <w:lang w:val="fr-FR"/>
        </w:rPr>
        <w:t>4</w:t>
      </w:r>
      <w:r w:rsidRPr="0096742B">
        <w:rPr>
          <w:sz w:val="20"/>
          <w:szCs w:val="20"/>
          <w:lang w:val="fr-FR"/>
        </w:rPr>
        <w:tab/>
      </w:r>
      <w:r w:rsidRPr="0096742B">
        <w:rPr>
          <w:b/>
          <w:bCs/>
          <w:sz w:val="20"/>
          <w:szCs w:val="20"/>
          <w:lang w:val="fr-FR"/>
        </w:rPr>
        <w:t>Réservé</w:t>
      </w:r>
      <w:r w:rsidR="0007686A" w:rsidRPr="0096742B">
        <w:rPr>
          <w:b/>
          <w:bCs/>
          <w:sz w:val="20"/>
          <w:szCs w:val="20"/>
          <w:lang w:val="fr-FR"/>
        </w:rPr>
        <w:t xml:space="preserve"> </w:t>
      </w:r>
      <w:r w:rsidRPr="0096742B">
        <w:rPr>
          <w:strike/>
          <w:sz w:val="20"/>
          <w:szCs w:val="20"/>
          <w:lang w:val="fr-FR"/>
        </w:rPr>
        <w:t>Caractéristiques du terrain d</w:t>
      </w:r>
      <w:r w:rsidR="003109F6" w:rsidRPr="0096742B">
        <w:rPr>
          <w:strike/>
          <w:sz w:val="20"/>
          <w:szCs w:val="20"/>
          <w:lang w:val="fr-FR"/>
        </w:rPr>
        <w:t>’</w:t>
      </w:r>
      <w:r w:rsidRPr="0096742B">
        <w:rPr>
          <w:strike/>
          <w:sz w:val="20"/>
          <w:szCs w:val="20"/>
          <w:lang w:val="fr-FR"/>
        </w:rPr>
        <w:t>essai</w:t>
      </w:r>
      <w:r w:rsidRPr="0096742B">
        <w:rPr>
          <w:noProof/>
          <w:webHidden/>
          <w:sz w:val="20"/>
          <w:szCs w:val="20"/>
          <w:lang w:val="fr-FR"/>
        </w:rPr>
        <w:tab/>
      </w:r>
    </w:p>
    <w:p w14:paraId="36397961" w14:textId="3D36BE75" w:rsidR="00800DB9" w:rsidRPr="0096742B" w:rsidRDefault="00800DB9" w:rsidP="00800DB9">
      <w:pPr>
        <w:pStyle w:val="SingleTxtG"/>
        <w:tabs>
          <w:tab w:val="left" w:pos="2268"/>
        </w:tabs>
        <w:ind w:left="1843" w:hanging="709"/>
        <w:rPr>
          <w:lang w:val="fr-FR"/>
        </w:rPr>
      </w:pPr>
      <w:r w:rsidRPr="0096742B">
        <w:rPr>
          <w:lang w:val="fr-FR"/>
        </w:rPr>
        <w:t>[…] »</w:t>
      </w:r>
      <w:r w:rsidR="00E3523D" w:rsidRPr="0096742B">
        <w:rPr>
          <w:lang w:val="fr-FR"/>
        </w:rPr>
        <w:t>.</w:t>
      </w:r>
    </w:p>
    <w:p w14:paraId="55F25B00" w14:textId="77777777" w:rsidR="00800DB9" w:rsidRPr="0096742B" w:rsidRDefault="00800DB9" w:rsidP="00800DB9">
      <w:pPr>
        <w:pStyle w:val="SingleTxtG"/>
        <w:tabs>
          <w:tab w:val="left" w:pos="2268"/>
        </w:tabs>
        <w:ind w:left="2268" w:hanging="1134"/>
        <w:rPr>
          <w:rFonts w:asciiTheme="majorBidi" w:hAnsiTheme="majorBidi" w:cstheme="majorBidi"/>
          <w:lang w:val="fr-FR"/>
        </w:rPr>
      </w:pPr>
    </w:p>
    <w:p w14:paraId="4D99E3E5" w14:textId="08049582" w:rsidR="00800DB9" w:rsidRPr="0096742B" w:rsidRDefault="00800DB9" w:rsidP="00800DB9">
      <w:pPr>
        <w:pStyle w:val="SingleTxtG"/>
        <w:tabs>
          <w:tab w:val="left" w:pos="2268"/>
        </w:tabs>
        <w:ind w:left="2268" w:hanging="1134"/>
        <w:rPr>
          <w:rFonts w:asciiTheme="majorBidi" w:hAnsiTheme="majorBidi" w:cstheme="majorBidi"/>
          <w:lang w:val="fr-FR"/>
        </w:rPr>
      </w:pPr>
      <w:r w:rsidRPr="0096742B">
        <w:rPr>
          <w:i/>
          <w:iCs/>
          <w:lang w:val="fr-FR"/>
        </w:rPr>
        <w:t>Paragraphe 8</w:t>
      </w:r>
      <w:r w:rsidR="00E3523D" w:rsidRPr="0096742B">
        <w:rPr>
          <w:i/>
          <w:iCs/>
          <w:lang w:val="fr-FR"/>
        </w:rPr>
        <w:t>.</w:t>
      </w:r>
      <w:r w:rsidRPr="0096742B">
        <w:rPr>
          <w:i/>
          <w:iCs/>
          <w:lang w:val="fr-FR"/>
        </w:rPr>
        <w:t>3</w:t>
      </w:r>
      <w:r w:rsidR="00E3523D" w:rsidRPr="0096742B">
        <w:rPr>
          <w:i/>
          <w:iCs/>
          <w:lang w:val="fr-FR"/>
        </w:rPr>
        <w:t>.</w:t>
      </w:r>
      <w:r w:rsidRPr="0096742B">
        <w:rPr>
          <w:i/>
          <w:iCs/>
          <w:lang w:val="fr-FR"/>
        </w:rPr>
        <w:t>4</w:t>
      </w:r>
      <w:r w:rsidRPr="0096742B">
        <w:rPr>
          <w:lang w:val="fr-FR"/>
        </w:rPr>
        <w:t>, lire</w:t>
      </w:r>
      <w:r w:rsidR="003109F6" w:rsidRPr="0096742B">
        <w:rPr>
          <w:lang w:val="fr-FR"/>
        </w:rPr>
        <w:t> :</w:t>
      </w:r>
    </w:p>
    <w:p w14:paraId="23C89A51" w14:textId="55DFDF10" w:rsidR="00800DB9" w:rsidRPr="0096742B" w:rsidRDefault="00800DB9" w:rsidP="00800DB9">
      <w:pPr>
        <w:pStyle w:val="ListParagraph"/>
        <w:spacing w:after="120"/>
        <w:ind w:left="2268" w:right="1134" w:hanging="1134"/>
        <w:contextualSpacing w:val="0"/>
        <w:jc w:val="both"/>
        <w:rPr>
          <w:rFonts w:asciiTheme="majorBidi" w:hAnsiTheme="majorBidi" w:cstheme="majorBidi"/>
          <w:lang w:val="fr-FR"/>
        </w:rPr>
      </w:pPr>
      <w:r w:rsidRPr="0096742B">
        <w:rPr>
          <w:lang w:val="fr-FR"/>
        </w:rPr>
        <w:t>« </w:t>
      </w:r>
      <w:r w:rsidRPr="0096742B">
        <w:rPr>
          <w:b/>
          <w:bCs/>
          <w:lang w:val="fr-FR"/>
        </w:rPr>
        <w:t>8</w:t>
      </w:r>
      <w:r w:rsidR="00E3523D" w:rsidRPr="0096742B">
        <w:rPr>
          <w:b/>
          <w:bCs/>
          <w:lang w:val="fr-FR"/>
        </w:rPr>
        <w:t>.</w:t>
      </w:r>
      <w:r w:rsidRPr="0096742B">
        <w:rPr>
          <w:b/>
          <w:bCs/>
          <w:lang w:val="fr-FR"/>
        </w:rPr>
        <w:t>3</w:t>
      </w:r>
      <w:r w:rsidR="00E3523D" w:rsidRPr="0096742B">
        <w:rPr>
          <w:b/>
          <w:bCs/>
          <w:lang w:val="fr-FR"/>
        </w:rPr>
        <w:t>.</w:t>
      </w:r>
      <w:r w:rsidRPr="0096742B">
        <w:rPr>
          <w:b/>
          <w:bCs/>
          <w:lang w:val="fr-FR"/>
        </w:rPr>
        <w:t>4</w:t>
      </w:r>
      <w:r w:rsidRPr="0096742B">
        <w:rPr>
          <w:lang w:val="fr-FR"/>
        </w:rPr>
        <w:tab/>
      </w:r>
      <w:r w:rsidRPr="0096742B">
        <w:rPr>
          <w:b/>
          <w:bCs/>
          <w:lang w:val="fr-FR"/>
        </w:rPr>
        <w:t>Pour les essais de vérification portant sur des pneumatiques homologués conformément au paragraphe</w:t>
      </w:r>
      <w:r w:rsidR="001B5704" w:rsidRPr="0096742B">
        <w:rPr>
          <w:b/>
          <w:bCs/>
          <w:lang w:val="fr-FR"/>
        </w:rPr>
        <w:t> </w:t>
      </w:r>
      <w:r w:rsidRPr="0096742B">
        <w:rPr>
          <w:b/>
          <w:bCs/>
          <w:lang w:val="fr-FR"/>
        </w:rPr>
        <w:t>6</w:t>
      </w:r>
      <w:r w:rsidR="00E3523D" w:rsidRPr="0096742B">
        <w:rPr>
          <w:b/>
          <w:bCs/>
          <w:lang w:val="fr-FR"/>
        </w:rPr>
        <w:t>.</w:t>
      </w:r>
      <w:r w:rsidRPr="0096742B">
        <w:rPr>
          <w:b/>
          <w:bCs/>
          <w:lang w:val="fr-FR"/>
        </w:rPr>
        <w:t>1 du présent Règlement, il est possible, sur demande du fabricant du pneumatique, d</w:t>
      </w:r>
      <w:r w:rsidR="003109F6" w:rsidRPr="0096742B">
        <w:rPr>
          <w:b/>
          <w:bCs/>
          <w:lang w:val="fr-FR"/>
        </w:rPr>
        <w:t>’</w:t>
      </w:r>
      <w:r w:rsidRPr="0096742B">
        <w:rPr>
          <w:b/>
          <w:bCs/>
          <w:lang w:val="fr-FR"/>
        </w:rPr>
        <w:t>appliquer la même formule de correction de température (voir l</w:t>
      </w:r>
      <w:r w:rsidR="003109F6" w:rsidRPr="0096742B">
        <w:rPr>
          <w:b/>
          <w:bCs/>
          <w:lang w:val="fr-FR"/>
        </w:rPr>
        <w:t>’</w:t>
      </w:r>
      <w:r w:rsidRPr="0096742B">
        <w:rPr>
          <w:b/>
          <w:bCs/>
          <w:lang w:val="fr-FR"/>
        </w:rPr>
        <w:t>annexe</w:t>
      </w:r>
      <w:r w:rsidR="001B5704" w:rsidRPr="0096742B">
        <w:rPr>
          <w:b/>
          <w:bCs/>
          <w:lang w:val="fr-FR"/>
        </w:rPr>
        <w:t> </w:t>
      </w:r>
      <w:r w:rsidRPr="0096742B">
        <w:rPr>
          <w:b/>
          <w:bCs/>
          <w:lang w:val="fr-FR"/>
        </w:rPr>
        <w:t>3 du présent Règlement) que celle appliquée pour l</w:t>
      </w:r>
      <w:r w:rsidR="003109F6" w:rsidRPr="0096742B">
        <w:rPr>
          <w:b/>
          <w:bCs/>
          <w:lang w:val="fr-FR"/>
        </w:rPr>
        <w:t>’</w:t>
      </w:r>
      <w:r w:rsidRPr="0096742B">
        <w:rPr>
          <w:b/>
          <w:bCs/>
          <w:lang w:val="fr-FR"/>
        </w:rPr>
        <w:t>homologation d</w:t>
      </w:r>
      <w:r w:rsidR="003109F6" w:rsidRPr="0096742B">
        <w:rPr>
          <w:b/>
          <w:bCs/>
          <w:lang w:val="fr-FR"/>
        </w:rPr>
        <w:t>’</w:t>
      </w:r>
      <w:r w:rsidRPr="0096742B">
        <w:rPr>
          <w:b/>
          <w:bCs/>
          <w:lang w:val="fr-FR"/>
        </w:rPr>
        <w:t>origine</w:t>
      </w:r>
      <w:r w:rsidR="00E3523D" w:rsidRPr="0096742B">
        <w:rPr>
          <w:b/>
          <w:bCs/>
          <w:lang w:val="fr-FR"/>
        </w:rPr>
        <w:t>.</w:t>
      </w:r>
      <w:r w:rsidRPr="0096742B">
        <w:rPr>
          <w:lang w:val="fr-FR"/>
        </w:rPr>
        <w:t> »</w:t>
      </w:r>
      <w:r w:rsidR="00E3523D" w:rsidRPr="0096742B">
        <w:rPr>
          <w:lang w:val="fr-FR"/>
        </w:rPr>
        <w:t>.</w:t>
      </w:r>
    </w:p>
    <w:p w14:paraId="61D4CBE6" w14:textId="715F2D73" w:rsidR="00800DB9" w:rsidRPr="0096742B" w:rsidRDefault="00800DB9" w:rsidP="00800DB9">
      <w:pPr>
        <w:pStyle w:val="ListParagraph"/>
        <w:spacing w:after="120"/>
        <w:ind w:left="2268" w:right="1134" w:hanging="1134"/>
        <w:contextualSpacing w:val="0"/>
        <w:jc w:val="both"/>
        <w:rPr>
          <w:lang w:val="fr-FR"/>
        </w:rPr>
      </w:pPr>
      <w:r w:rsidRPr="0096742B">
        <w:rPr>
          <w:i/>
          <w:iCs/>
          <w:lang w:val="fr-FR"/>
        </w:rPr>
        <w:t>Ajouter les nouveaux paragraphes 12</w:t>
      </w:r>
      <w:r w:rsidR="00E3523D" w:rsidRPr="0096742B">
        <w:rPr>
          <w:i/>
          <w:iCs/>
          <w:lang w:val="fr-FR"/>
        </w:rPr>
        <w:t>.</w:t>
      </w:r>
      <w:r w:rsidRPr="0096742B">
        <w:rPr>
          <w:i/>
          <w:iCs/>
          <w:lang w:val="fr-FR"/>
        </w:rPr>
        <w:t>18 à 12</w:t>
      </w:r>
      <w:r w:rsidR="00E3523D" w:rsidRPr="0096742B">
        <w:rPr>
          <w:i/>
          <w:iCs/>
          <w:lang w:val="fr-FR"/>
        </w:rPr>
        <w:t>.</w:t>
      </w:r>
      <w:r w:rsidRPr="0096742B">
        <w:rPr>
          <w:i/>
          <w:iCs/>
          <w:lang w:val="fr-FR"/>
        </w:rPr>
        <w:t>20</w:t>
      </w:r>
      <w:r w:rsidRPr="0096742B">
        <w:rPr>
          <w:lang w:val="fr-FR"/>
        </w:rPr>
        <w:t>, libellés comme suit</w:t>
      </w:r>
      <w:r w:rsidR="003109F6" w:rsidRPr="0096742B">
        <w:rPr>
          <w:lang w:val="fr-FR"/>
        </w:rPr>
        <w:t> :</w:t>
      </w:r>
    </w:p>
    <w:p w14:paraId="3B9F126B" w14:textId="01EAB735" w:rsidR="00800DB9" w:rsidRPr="0096742B" w:rsidRDefault="00800DB9" w:rsidP="00800DB9">
      <w:pPr>
        <w:spacing w:after="120"/>
        <w:ind w:left="2268" w:right="1134" w:hanging="1134"/>
        <w:jc w:val="both"/>
        <w:rPr>
          <w:b/>
          <w:bCs/>
          <w:lang w:val="fr-FR"/>
        </w:rPr>
      </w:pPr>
      <w:r w:rsidRPr="0096742B">
        <w:rPr>
          <w:lang w:val="fr-FR"/>
        </w:rPr>
        <w:t>« </w:t>
      </w:r>
      <w:r w:rsidRPr="0096742B">
        <w:rPr>
          <w:b/>
          <w:bCs/>
          <w:lang w:val="fr-FR"/>
        </w:rPr>
        <w:t>12</w:t>
      </w:r>
      <w:r w:rsidR="00E3523D" w:rsidRPr="0096742B">
        <w:rPr>
          <w:b/>
          <w:bCs/>
          <w:lang w:val="fr-FR"/>
        </w:rPr>
        <w:t>.</w:t>
      </w:r>
      <w:r w:rsidRPr="0096742B">
        <w:rPr>
          <w:b/>
          <w:bCs/>
          <w:lang w:val="fr-FR"/>
        </w:rPr>
        <w:t>18</w:t>
      </w:r>
      <w:r w:rsidRPr="0096742B">
        <w:rPr>
          <w:lang w:val="fr-FR"/>
        </w:rPr>
        <w:tab/>
      </w:r>
      <w:r w:rsidRPr="0096742B">
        <w:rPr>
          <w:b/>
          <w:bCs/>
          <w:lang w:val="fr-FR"/>
        </w:rPr>
        <w:t>Jusqu</w:t>
      </w:r>
      <w:r w:rsidR="003109F6" w:rsidRPr="0096742B">
        <w:rPr>
          <w:b/>
          <w:bCs/>
          <w:lang w:val="fr-FR"/>
        </w:rPr>
        <w:t>’</w:t>
      </w:r>
      <w:r w:rsidRPr="0096742B">
        <w:rPr>
          <w:b/>
          <w:bCs/>
          <w:lang w:val="fr-FR"/>
        </w:rPr>
        <w:t>au [6 juillet</w:t>
      </w:r>
      <w:r w:rsidR="005F28A9" w:rsidRPr="0096742B">
        <w:rPr>
          <w:b/>
          <w:bCs/>
          <w:lang w:val="fr-FR"/>
        </w:rPr>
        <w:t xml:space="preserve"> </w:t>
      </w:r>
      <w:r w:rsidRPr="0096742B">
        <w:rPr>
          <w:b/>
          <w:bCs/>
          <w:lang w:val="fr-FR"/>
        </w:rPr>
        <w:t>2025], les Parties contractantes appliquant le présent Règlement continueront d</w:t>
      </w:r>
      <w:r w:rsidR="003109F6" w:rsidRPr="0096742B">
        <w:rPr>
          <w:b/>
          <w:bCs/>
          <w:lang w:val="fr-FR"/>
        </w:rPr>
        <w:t>’</w:t>
      </w:r>
      <w:r w:rsidRPr="0096742B">
        <w:rPr>
          <w:b/>
          <w:bCs/>
          <w:lang w:val="fr-FR"/>
        </w:rPr>
        <w:t>accorder des homologations de type fondées sur les émissions de bruit de roulement des pneumatiques déterminées uniquement au moyen de la formule de correction de température énoncée au paragraphe 4</w:t>
      </w:r>
      <w:r w:rsidR="00E3523D" w:rsidRPr="0096742B">
        <w:rPr>
          <w:b/>
          <w:bCs/>
          <w:lang w:val="fr-FR"/>
        </w:rPr>
        <w:t>.</w:t>
      </w:r>
      <w:r w:rsidRPr="0096742B">
        <w:rPr>
          <w:b/>
          <w:bCs/>
          <w:lang w:val="fr-FR"/>
        </w:rPr>
        <w:t>2</w:t>
      </w:r>
      <w:r w:rsidR="00E3523D" w:rsidRPr="0096742B">
        <w:rPr>
          <w:b/>
          <w:bCs/>
          <w:lang w:val="fr-FR"/>
        </w:rPr>
        <w:t>.</w:t>
      </w:r>
      <w:r w:rsidRPr="0096742B">
        <w:rPr>
          <w:b/>
          <w:bCs/>
          <w:lang w:val="fr-FR"/>
        </w:rPr>
        <w:t>1 de l</w:t>
      </w:r>
      <w:r w:rsidR="003109F6" w:rsidRPr="0096742B">
        <w:rPr>
          <w:b/>
          <w:bCs/>
          <w:lang w:val="fr-FR"/>
        </w:rPr>
        <w:t>’</w:t>
      </w:r>
      <w:r w:rsidRPr="0096742B">
        <w:rPr>
          <w:b/>
          <w:bCs/>
          <w:lang w:val="fr-FR"/>
        </w:rPr>
        <w:t>annexe 3</w:t>
      </w:r>
      <w:r w:rsidR="00E3523D" w:rsidRPr="0096742B">
        <w:rPr>
          <w:b/>
          <w:bCs/>
          <w:lang w:val="fr-FR"/>
        </w:rPr>
        <w:t>.</w:t>
      </w:r>
    </w:p>
    <w:p w14:paraId="609260DF" w14:textId="6B7A472D" w:rsidR="00800DB9" w:rsidRPr="0096742B" w:rsidRDefault="00800DB9" w:rsidP="00800DB9">
      <w:pPr>
        <w:spacing w:after="120"/>
        <w:ind w:left="2268" w:right="1134" w:hanging="1134"/>
        <w:jc w:val="both"/>
        <w:rPr>
          <w:b/>
          <w:bCs/>
          <w:lang w:val="fr-FR"/>
        </w:rPr>
      </w:pPr>
      <w:r w:rsidRPr="0096742B">
        <w:rPr>
          <w:b/>
          <w:bCs/>
          <w:lang w:val="fr-FR"/>
        </w:rPr>
        <w:t>12</w:t>
      </w:r>
      <w:r w:rsidR="00E3523D" w:rsidRPr="0096742B">
        <w:rPr>
          <w:b/>
          <w:bCs/>
          <w:lang w:val="fr-FR"/>
        </w:rPr>
        <w:t>.</w:t>
      </w:r>
      <w:r w:rsidRPr="0096742B">
        <w:rPr>
          <w:b/>
          <w:bCs/>
          <w:lang w:val="fr-FR"/>
        </w:rPr>
        <w:t>19</w:t>
      </w:r>
      <w:r w:rsidRPr="0096742B">
        <w:rPr>
          <w:lang w:val="fr-FR"/>
        </w:rPr>
        <w:tab/>
      </w:r>
      <w:r w:rsidRPr="0096742B">
        <w:rPr>
          <w:b/>
          <w:bCs/>
          <w:lang w:val="fr-FR"/>
        </w:rPr>
        <w:t>À compter du [7</w:t>
      </w:r>
      <w:r w:rsidR="005F28A9" w:rsidRPr="0096742B">
        <w:rPr>
          <w:b/>
          <w:bCs/>
          <w:lang w:val="fr-FR"/>
        </w:rPr>
        <w:t> </w:t>
      </w:r>
      <w:r w:rsidRPr="0096742B">
        <w:rPr>
          <w:b/>
          <w:bCs/>
          <w:lang w:val="fr-FR"/>
        </w:rPr>
        <w:t>juillet 2025], les Parties contractantes appliquant le présent Règlement devront accorder des homologations de type fondées sur les émissions de bruit de roulement des pneumatiques déterminées uniquement au moyen de la formule de correction de température énoncée au paragraphe</w:t>
      </w:r>
      <w:r w:rsidR="005F28A9" w:rsidRPr="0096742B">
        <w:rPr>
          <w:b/>
          <w:bCs/>
          <w:lang w:val="fr-FR"/>
        </w:rPr>
        <w:t> </w:t>
      </w:r>
      <w:r w:rsidRPr="0096742B">
        <w:rPr>
          <w:b/>
          <w:bCs/>
          <w:lang w:val="fr-FR"/>
        </w:rPr>
        <w:t>4</w:t>
      </w:r>
      <w:r w:rsidR="00E3523D" w:rsidRPr="0096742B">
        <w:rPr>
          <w:b/>
          <w:bCs/>
          <w:lang w:val="fr-FR"/>
        </w:rPr>
        <w:t>.</w:t>
      </w:r>
      <w:r w:rsidRPr="0096742B">
        <w:rPr>
          <w:b/>
          <w:bCs/>
          <w:lang w:val="fr-FR"/>
        </w:rPr>
        <w:t>2</w:t>
      </w:r>
      <w:r w:rsidR="00E3523D" w:rsidRPr="0096742B">
        <w:rPr>
          <w:b/>
          <w:bCs/>
          <w:lang w:val="fr-FR"/>
        </w:rPr>
        <w:t>.</w:t>
      </w:r>
      <w:r w:rsidRPr="0096742B">
        <w:rPr>
          <w:b/>
          <w:bCs/>
          <w:lang w:val="fr-FR"/>
        </w:rPr>
        <w:t>2 de l</w:t>
      </w:r>
      <w:r w:rsidR="003109F6" w:rsidRPr="0096742B">
        <w:rPr>
          <w:b/>
          <w:bCs/>
          <w:lang w:val="fr-FR"/>
        </w:rPr>
        <w:t>’</w:t>
      </w:r>
      <w:r w:rsidRPr="0096742B">
        <w:rPr>
          <w:b/>
          <w:bCs/>
          <w:lang w:val="fr-FR"/>
        </w:rPr>
        <w:t>annexe</w:t>
      </w:r>
      <w:r w:rsidR="005F28A9" w:rsidRPr="0096742B">
        <w:rPr>
          <w:b/>
          <w:bCs/>
          <w:lang w:val="fr-FR"/>
        </w:rPr>
        <w:t> </w:t>
      </w:r>
      <w:r w:rsidRPr="0096742B">
        <w:rPr>
          <w:b/>
          <w:bCs/>
          <w:lang w:val="fr-FR"/>
        </w:rPr>
        <w:t>3</w:t>
      </w:r>
      <w:r w:rsidR="00E3523D" w:rsidRPr="0096742B">
        <w:rPr>
          <w:b/>
          <w:bCs/>
          <w:lang w:val="fr-FR"/>
        </w:rPr>
        <w:t>.</w:t>
      </w:r>
    </w:p>
    <w:p w14:paraId="6A9B2838" w14:textId="65F26EB5" w:rsidR="00800DB9" w:rsidRPr="0096742B" w:rsidRDefault="00800DB9" w:rsidP="00800DB9">
      <w:pPr>
        <w:pStyle w:val="ListParagraph"/>
        <w:spacing w:after="120"/>
        <w:ind w:left="2268" w:right="1134" w:hanging="1134"/>
        <w:contextualSpacing w:val="0"/>
        <w:jc w:val="both"/>
        <w:rPr>
          <w:lang w:val="fr-FR"/>
        </w:rPr>
      </w:pPr>
      <w:r w:rsidRPr="0096742B">
        <w:rPr>
          <w:b/>
          <w:bCs/>
          <w:lang w:val="fr-FR"/>
        </w:rPr>
        <w:t>12</w:t>
      </w:r>
      <w:r w:rsidR="00E3523D" w:rsidRPr="0096742B">
        <w:rPr>
          <w:b/>
          <w:bCs/>
          <w:lang w:val="fr-FR"/>
        </w:rPr>
        <w:t>.</w:t>
      </w:r>
      <w:r w:rsidRPr="0096742B">
        <w:rPr>
          <w:b/>
          <w:bCs/>
          <w:lang w:val="fr-FR"/>
        </w:rPr>
        <w:t>20</w:t>
      </w:r>
      <w:r w:rsidRPr="0096742B">
        <w:rPr>
          <w:lang w:val="fr-FR"/>
        </w:rPr>
        <w:tab/>
      </w:r>
      <w:r w:rsidRPr="0096742B">
        <w:rPr>
          <w:b/>
          <w:bCs/>
          <w:lang w:val="fr-FR"/>
        </w:rPr>
        <w:t>Les Parties contractantes appliquant le présent Règlement continueront d</w:t>
      </w:r>
      <w:r w:rsidR="003109F6" w:rsidRPr="0096742B">
        <w:rPr>
          <w:b/>
          <w:bCs/>
          <w:lang w:val="fr-FR"/>
        </w:rPr>
        <w:t>’</w:t>
      </w:r>
      <w:r w:rsidRPr="0096742B">
        <w:rPr>
          <w:b/>
          <w:bCs/>
          <w:lang w:val="fr-FR"/>
        </w:rPr>
        <w:t>accorder des extensions aux homologations de type délivrées avant le [7 juillet</w:t>
      </w:r>
      <w:r w:rsidR="005F28A9" w:rsidRPr="0096742B">
        <w:rPr>
          <w:b/>
          <w:bCs/>
          <w:lang w:val="fr-FR"/>
        </w:rPr>
        <w:t> </w:t>
      </w:r>
      <w:r w:rsidRPr="0096742B">
        <w:rPr>
          <w:b/>
          <w:bCs/>
          <w:lang w:val="fr-FR"/>
        </w:rPr>
        <w:t>2025] fondées sur les émissions de bruit de roulement des pneumatiques déterminées uniquement au moyen de la formule de correction de température énoncée au paragraphe 4</w:t>
      </w:r>
      <w:r w:rsidR="00E3523D" w:rsidRPr="0096742B">
        <w:rPr>
          <w:b/>
          <w:bCs/>
          <w:lang w:val="fr-FR"/>
        </w:rPr>
        <w:t>.</w:t>
      </w:r>
      <w:r w:rsidRPr="0096742B">
        <w:rPr>
          <w:b/>
          <w:bCs/>
          <w:lang w:val="fr-FR"/>
        </w:rPr>
        <w:t>2</w:t>
      </w:r>
      <w:r w:rsidR="00E3523D" w:rsidRPr="0096742B">
        <w:rPr>
          <w:b/>
          <w:bCs/>
          <w:lang w:val="fr-FR"/>
        </w:rPr>
        <w:t>.</w:t>
      </w:r>
      <w:r w:rsidRPr="0096742B">
        <w:rPr>
          <w:b/>
          <w:bCs/>
          <w:lang w:val="fr-FR"/>
        </w:rPr>
        <w:t>1 de l</w:t>
      </w:r>
      <w:r w:rsidR="003109F6" w:rsidRPr="0096742B">
        <w:rPr>
          <w:b/>
          <w:bCs/>
          <w:lang w:val="fr-FR"/>
        </w:rPr>
        <w:t>’</w:t>
      </w:r>
      <w:r w:rsidRPr="0096742B">
        <w:rPr>
          <w:b/>
          <w:bCs/>
          <w:lang w:val="fr-FR"/>
        </w:rPr>
        <w:t>annexe</w:t>
      </w:r>
      <w:r w:rsidR="005F28A9" w:rsidRPr="0096742B">
        <w:rPr>
          <w:b/>
          <w:bCs/>
          <w:lang w:val="fr-FR"/>
        </w:rPr>
        <w:t> </w:t>
      </w:r>
      <w:r w:rsidRPr="0096742B">
        <w:rPr>
          <w:b/>
          <w:bCs/>
          <w:lang w:val="fr-FR"/>
        </w:rPr>
        <w:t>3</w:t>
      </w:r>
      <w:r w:rsidR="00E3523D" w:rsidRPr="0096742B">
        <w:rPr>
          <w:b/>
          <w:bCs/>
          <w:lang w:val="fr-FR"/>
        </w:rPr>
        <w:t>.</w:t>
      </w:r>
      <w:r w:rsidRPr="0096742B">
        <w:rPr>
          <w:lang w:val="fr-FR"/>
        </w:rPr>
        <w:t xml:space="preserve"> </w:t>
      </w:r>
      <w:r w:rsidRPr="0096742B">
        <w:rPr>
          <w:b/>
          <w:bCs/>
          <w:lang w:val="fr-FR"/>
        </w:rPr>
        <w:t>Si</w:t>
      </w:r>
      <w:r w:rsidR="00DE5233" w:rsidRPr="0096742B">
        <w:rPr>
          <w:b/>
          <w:bCs/>
          <w:lang w:val="fr-FR"/>
        </w:rPr>
        <w:t> </w:t>
      </w:r>
      <w:r w:rsidRPr="0096742B">
        <w:rPr>
          <w:b/>
          <w:bCs/>
          <w:lang w:val="fr-FR"/>
        </w:rPr>
        <w:t>un nouvel essai doit être effectué sur une taille de pneu représentative différente pour une extension à accorder après le [6</w:t>
      </w:r>
      <w:r w:rsidR="005F28A9" w:rsidRPr="0096742B">
        <w:rPr>
          <w:b/>
          <w:bCs/>
          <w:lang w:val="fr-FR"/>
        </w:rPr>
        <w:t> </w:t>
      </w:r>
      <w:r w:rsidRPr="0096742B">
        <w:rPr>
          <w:b/>
          <w:bCs/>
          <w:lang w:val="fr-FR"/>
        </w:rPr>
        <w:t>juillet 2025], la formule de correction de température énoncée au paragraphe 4</w:t>
      </w:r>
      <w:r w:rsidR="00E3523D" w:rsidRPr="0096742B">
        <w:rPr>
          <w:b/>
          <w:bCs/>
          <w:lang w:val="fr-FR"/>
        </w:rPr>
        <w:t>.</w:t>
      </w:r>
      <w:r w:rsidRPr="0096742B">
        <w:rPr>
          <w:b/>
          <w:bCs/>
          <w:lang w:val="fr-FR"/>
        </w:rPr>
        <w:t>2</w:t>
      </w:r>
      <w:r w:rsidR="00E3523D" w:rsidRPr="0096742B">
        <w:rPr>
          <w:b/>
          <w:bCs/>
          <w:lang w:val="fr-FR"/>
        </w:rPr>
        <w:t>.</w:t>
      </w:r>
      <w:r w:rsidRPr="0096742B">
        <w:rPr>
          <w:b/>
          <w:bCs/>
          <w:lang w:val="fr-FR"/>
        </w:rPr>
        <w:t>2 de l</w:t>
      </w:r>
      <w:r w:rsidR="003109F6" w:rsidRPr="0096742B">
        <w:rPr>
          <w:b/>
          <w:bCs/>
          <w:lang w:val="fr-FR"/>
        </w:rPr>
        <w:t>’</w:t>
      </w:r>
      <w:r w:rsidRPr="0096742B">
        <w:rPr>
          <w:b/>
          <w:bCs/>
          <w:lang w:val="fr-FR"/>
        </w:rPr>
        <w:t>annexe 3 devra être appliquée</w:t>
      </w:r>
      <w:r w:rsidR="00E3523D" w:rsidRPr="0096742B">
        <w:rPr>
          <w:b/>
          <w:bCs/>
          <w:lang w:val="fr-FR"/>
        </w:rPr>
        <w:t>.</w:t>
      </w:r>
      <w:r w:rsidRPr="0096742B">
        <w:rPr>
          <w:lang w:val="fr-FR"/>
        </w:rPr>
        <w:t> »</w:t>
      </w:r>
      <w:r w:rsidR="00E3523D" w:rsidRPr="0096742B">
        <w:rPr>
          <w:lang w:val="fr-FR"/>
        </w:rPr>
        <w:t>.</w:t>
      </w:r>
    </w:p>
    <w:p w14:paraId="5D62EB0C" w14:textId="77777777" w:rsidR="00800DB9" w:rsidRPr="0096742B" w:rsidRDefault="00800DB9" w:rsidP="00800DB9">
      <w:pPr>
        <w:pStyle w:val="ListParagraph"/>
        <w:spacing w:after="120"/>
        <w:ind w:left="2268" w:right="1134" w:hanging="1134"/>
        <w:contextualSpacing w:val="0"/>
        <w:jc w:val="both"/>
        <w:rPr>
          <w:i/>
          <w:iCs/>
          <w:lang w:val="fr-FR"/>
        </w:rPr>
      </w:pPr>
      <w:r w:rsidRPr="0096742B">
        <w:rPr>
          <w:i/>
          <w:iCs/>
          <w:lang w:val="fr-FR"/>
        </w:rPr>
        <w:t>Annexe 3</w:t>
      </w:r>
      <w:r w:rsidRPr="0096742B">
        <w:rPr>
          <w:lang w:val="fr-FR"/>
        </w:rPr>
        <w:t>,</w:t>
      </w:r>
    </w:p>
    <w:p w14:paraId="36E00B1E" w14:textId="032169E2" w:rsidR="00800DB9" w:rsidRPr="0096742B" w:rsidRDefault="00800DB9" w:rsidP="00800DB9">
      <w:pPr>
        <w:pStyle w:val="ListParagraph"/>
        <w:spacing w:after="120"/>
        <w:ind w:left="2268" w:right="1134" w:hanging="1134"/>
        <w:contextualSpacing w:val="0"/>
        <w:jc w:val="both"/>
        <w:rPr>
          <w:lang w:val="fr-FR"/>
        </w:rPr>
      </w:pPr>
      <w:r w:rsidRPr="0096742B">
        <w:rPr>
          <w:i/>
          <w:iCs/>
          <w:lang w:val="fr-FR"/>
        </w:rPr>
        <w:t>Paragraphe 2</w:t>
      </w:r>
      <w:r w:rsidR="00E3523D" w:rsidRPr="0096742B">
        <w:rPr>
          <w:i/>
          <w:iCs/>
          <w:lang w:val="fr-FR"/>
        </w:rPr>
        <w:t>.</w:t>
      </w:r>
      <w:r w:rsidRPr="0096742B">
        <w:rPr>
          <w:i/>
          <w:iCs/>
          <w:lang w:val="fr-FR"/>
        </w:rPr>
        <w:t>1</w:t>
      </w:r>
      <w:r w:rsidRPr="0096742B">
        <w:rPr>
          <w:lang w:val="fr-FR"/>
        </w:rPr>
        <w:t>, lire</w:t>
      </w:r>
      <w:r w:rsidR="003109F6" w:rsidRPr="0096742B">
        <w:rPr>
          <w:lang w:val="fr-FR"/>
        </w:rPr>
        <w:t> :</w:t>
      </w:r>
    </w:p>
    <w:p w14:paraId="4C175CFB" w14:textId="59D00EE6" w:rsidR="00800DB9" w:rsidRPr="0096742B" w:rsidRDefault="00800DB9" w:rsidP="00800DB9">
      <w:pPr>
        <w:pStyle w:val="SingleTxtG"/>
        <w:ind w:left="2268" w:hanging="1134"/>
        <w:rPr>
          <w:bCs/>
          <w:lang w:val="fr-FR"/>
        </w:rPr>
      </w:pPr>
      <w:r w:rsidRPr="0096742B">
        <w:rPr>
          <w:lang w:val="fr-FR"/>
        </w:rPr>
        <w:t>« 2</w:t>
      </w:r>
      <w:r w:rsidR="00E3523D" w:rsidRPr="0096742B">
        <w:rPr>
          <w:lang w:val="fr-FR"/>
        </w:rPr>
        <w:t>.</w:t>
      </w:r>
      <w:r w:rsidRPr="0096742B">
        <w:rPr>
          <w:lang w:val="fr-FR"/>
        </w:rPr>
        <w:t>1</w:t>
      </w:r>
      <w:r w:rsidRPr="0096742B">
        <w:rPr>
          <w:lang w:val="fr-FR"/>
        </w:rPr>
        <w:tab/>
        <w:t>Terrain d</w:t>
      </w:r>
      <w:r w:rsidR="003109F6" w:rsidRPr="0096742B">
        <w:rPr>
          <w:lang w:val="fr-FR"/>
        </w:rPr>
        <w:t>’</w:t>
      </w:r>
      <w:r w:rsidRPr="0096742B">
        <w:rPr>
          <w:lang w:val="fr-FR"/>
        </w:rPr>
        <w:t>essai</w:t>
      </w:r>
    </w:p>
    <w:p w14:paraId="3756F648" w14:textId="77777777" w:rsidR="00800DB9" w:rsidRPr="0096742B" w:rsidRDefault="00800DB9" w:rsidP="00800DB9">
      <w:pPr>
        <w:pStyle w:val="SingleTxtG"/>
        <w:ind w:left="2268" w:hanging="1134"/>
        <w:rPr>
          <w:bCs/>
          <w:lang w:val="fr-FR"/>
        </w:rPr>
      </w:pPr>
      <w:r w:rsidRPr="0096742B">
        <w:rPr>
          <w:lang w:val="fr-FR"/>
        </w:rPr>
        <w:tab/>
        <w:t>[…]</w:t>
      </w:r>
    </w:p>
    <w:p w14:paraId="1E32ED9E" w14:textId="3A8F0CC0" w:rsidR="00800DB9" w:rsidRPr="0096742B" w:rsidRDefault="00800DB9" w:rsidP="00800DB9">
      <w:pPr>
        <w:spacing w:after="120"/>
        <w:ind w:left="2268" w:right="1134"/>
        <w:jc w:val="both"/>
        <w:rPr>
          <w:bCs/>
          <w:lang w:val="fr-FR"/>
        </w:rPr>
      </w:pPr>
      <w:r w:rsidRPr="0096742B">
        <w:rPr>
          <w:lang w:val="fr-FR"/>
        </w:rPr>
        <w:tab/>
        <w:t>La zone d</w:t>
      </w:r>
      <w:r w:rsidR="003109F6" w:rsidRPr="0096742B">
        <w:rPr>
          <w:lang w:val="fr-FR"/>
        </w:rPr>
        <w:t>’</w:t>
      </w:r>
      <w:r w:rsidRPr="0096742B">
        <w:rPr>
          <w:lang w:val="fr-FR"/>
        </w:rPr>
        <w:t>essai doit offrir, entre la source sonore et le microphone, les conditions d</w:t>
      </w:r>
      <w:r w:rsidR="003109F6" w:rsidRPr="0096742B">
        <w:rPr>
          <w:lang w:val="fr-FR"/>
        </w:rPr>
        <w:t>’</w:t>
      </w:r>
      <w:r w:rsidRPr="0096742B">
        <w:rPr>
          <w:lang w:val="fr-FR"/>
        </w:rPr>
        <w:t>un champ acoustique dégagé à 1 dB(A) près</w:t>
      </w:r>
      <w:r w:rsidR="00E3523D" w:rsidRPr="0096742B">
        <w:rPr>
          <w:lang w:val="fr-FR"/>
        </w:rPr>
        <w:t>.</w:t>
      </w:r>
      <w:r w:rsidRPr="0096742B">
        <w:rPr>
          <w:lang w:val="fr-FR"/>
        </w:rPr>
        <w:t xml:space="preserve"> Ces conditions sont réputées satisfaites si aucun objet de grande taille réfléchissant les sons, tel que clôture, rocher, pont ou bâtiment, ne se trouve dans un rayon de 50 m autour du centre de l</w:t>
      </w:r>
      <w:r w:rsidR="003109F6" w:rsidRPr="0096742B">
        <w:rPr>
          <w:lang w:val="fr-FR"/>
        </w:rPr>
        <w:t>’</w:t>
      </w:r>
      <w:r w:rsidRPr="0096742B">
        <w:rPr>
          <w:lang w:val="fr-FR"/>
        </w:rPr>
        <w:t>aire de mesurage</w:t>
      </w:r>
      <w:r w:rsidR="00E3523D" w:rsidRPr="0096742B">
        <w:rPr>
          <w:lang w:val="fr-FR"/>
        </w:rPr>
        <w:t>.</w:t>
      </w:r>
      <w:r w:rsidRPr="0096742B">
        <w:rPr>
          <w:lang w:val="fr-FR"/>
        </w:rPr>
        <w:t xml:space="preserve"> Le revêtement de la zone d</w:t>
      </w:r>
      <w:r w:rsidR="003109F6" w:rsidRPr="0096742B">
        <w:rPr>
          <w:lang w:val="fr-FR"/>
        </w:rPr>
        <w:t>’</w:t>
      </w:r>
      <w:r w:rsidRPr="0096742B">
        <w:rPr>
          <w:lang w:val="fr-FR"/>
        </w:rPr>
        <w:t>essai et les dimensions du terrain d</w:t>
      </w:r>
      <w:r w:rsidR="003109F6" w:rsidRPr="0096742B">
        <w:rPr>
          <w:lang w:val="fr-FR"/>
        </w:rPr>
        <w:t>’</w:t>
      </w:r>
      <w:r w:rsidRPr="0096742B">
        <w:rPr>
          <w:lang w:val="fr-FR"/>
        </w:rPr>
        <w:t>essai doivent être conformes à la norme ISO</w:t>
      </w:r>
      <w:r w:rsidR="007E13D8" w:rsidRPr="0096742B">
        <w:rPr>
          <w:lang w:val="fr-FR"/>
        </w:rPr>
        <w:t> </w:t>
      </w:r>
      <w:r w:rsidRPr="0096742B">
        <w:rPr>
          <w:lang w:val="fr-FR"/>
        </w:rPr>
        <w:t>10844</w:t>
      </w:r>
      <w:r w:rsidR="003109F6" w:rsidRPr="0096742B">
        <w:rPr>
          <w:lang w:val="fr-FR"/>
        </w:rPr>
        <w:t>:</w:t>
      </w:r>
      <w:r w:rsidRPr="0096742B">
        <w:rPr>
          <w:lang w:val="fr-FR"/>
        </w:rPr>
        <w:t>2021</w:t>
      </w:r>
      <w:r w:rsidR="00E3523D" w:rsidRPr="0096742B">
        <w:rPr>
          <w:lang w:val="fr-FR"/>
        </w:rPr>
        <w:t>.</w:t>
      </w:r>
      <w:r w:rsidRPr="0096742B">
        <w:rPr>
          <w:lang w:val="fr-FR"/>
        </w:rPr>
        <w:t xml:space="preserve"> </w:t>
      </w:r>
      <w:r w:rsidRPr="0096742B">
        <w:rPr>
          <w:strike/>
          <w:lang w:val="fr-FR"/>
        </w:rPr>
        <w:t>Jusqu</w:t>
      </w:r>
      <w:r w:rsidR="003109F6" w:rsidRPr="0096742B">
        <w:rPr>
          <w:strike/>
          <w:lang w:val="fr-FR"/>
        </w:rPr>
        <w:t>’</w:t>
      </w:r>
      <w:r w:rsidRPr="0096742B">
        <w:rPr>
          <w:strike/>
          <w:lang w:val="fr-FR"/>
        </w:rPr>
        <w:t>à la fin de la période indiquée au paragraphe</w:t>
      </w:r>
      <w:r w:rsidR="007E13D8" w:rsidRPr="0096742B">
        <w:rPr>
          <w:strike/>
          <w:lang w:val="fr-FR"/>
        </w:rPr>
        <w:t> </w:t>
      </w:r>
      <w:r w:rsidRPr="0096742B">
        <w:rPr>
          <w:strike/>
          <w:lang w:val="fr-FR"/>
        </w:rPr>
        <w:t>12</w:t>
      </w:r>
      <w:r w:rsidR="00E3523D" w:rsidRPr="0096742B">
        <w:rPr>
          <w:strike/>
          <w:lang w:val="fr-FR"/>
        </w:rPr>
        <w:t>.</w:t>
      </w:r>
      <w:r w:rsidRPr="0096742B">
        <w:rPr>
          <w:strike/>
          <w:lang w:val="fr-FR"/>
        </w:rPr>
        <w:t>8 du présent Règlement, les caractéristiques du terrain d</w:t>
      </w:r>
      <w:r w:rsidR="003109F6" w:rsidRPr="0096742B">
        <w:rPr>
          <w:strike/>
          <w:lang w:val="fr-FR"/>
        </w:rPr>
        <w:t>’</w:t>
      </w:r>
      <w:r w:rsidRPr="0096742B">
        <w:rPr>
          <w:strike/>
          <w:lang w:val="fr-FR"/>
        </w:rPr>
        <w:t>essai peuvent être conformes aux prescriptions de l</w:t>
      </w:r>
      <w:r w:rsidR="003109F6" w:rsidRPr="0096742B">
        <w:rPr>
          <w:strike/>
          <w:lang w:val="fr-FR"/>
        </w:rPr>
        <w:t>’</w:t>
      </w:r>
      <w:r w:rsidRPr="0096742B">
        <w:rPr>
          <w:strike/>
          <w:lang w:val="fr-FR"/>
        </w:rPr>
        <w:t>annexe</w:t>
      </w:r>
      <w:r w:rsidR="007E13D8" w:rsidRPr="0096742B">
        <w:rPr>
          <w:strike/>
          <w:lang w:val="fr-FR"/>
        </w:rPr>
        <w:t> </w:t>
      </w:r>
      <w:r w:rsidRPr="0096742B">
        <w:rPr>
          <w:strike/>
          <w:lang w:val="fr-FR"/>
        </w:rPr>
        <w:t>4 du Règlement</w:t>
      </w:r>
      <w:r w:rsidR="00E3523D" w:rsidRPr="0096742B">
        <w:rPr>
          <w:strike/>
          <w:lang w:val="fr-FR"/>
        </w:rPr>
        <w:t>.</w:t>
      </w:r>
      <w:bookmarkStart w:id="0" w:name="_Hlk132970054"/>
      <w:bookmarkEnd w:id="0"/>
    </w:p>
    <w:p w14:paraId="22D2887D" w14:textId="2F67D448" w:rsidR="00800DB9" w:rsidRPr="0096742B" w:rsidRDefault="00800DB9" w:rsidP="00800DB9">
      <w:pPr>
        <w:pStyle w:val="SingleTxtG"/>
        <w:ind w:left="2268"/>
        <w:rPr>
          <w:lang w:val="fr-FR"/>
        </w:rPr>
      </w:pPr>
      <w:r w:rsidRPr="0096742B">
        <w:rPr>
          <w:lang w:val="fr-FR"/>
        </w:rPr>
        <w:t>[…] »</w:t>
      </w:r>
      <w:r w:rsidR="00E3523D" w:rsidRPr="0096742B">
        <w:rPr>
          <w:lang w:val="fr-FR"/>
        </w:rPr>
        <w:t>.</w:t>
      </w:r>
    </w:p>
    <w:p w14:paraId="01CADED5" w14:textId="7E83B025" w:rsidR="00800DB9" w:rsidRPr="0096742B" w:rsidRDefault="00800DB9" w:rsidP="0007686A">
      <w:pPr>
        <w:pStyle w:val="ListParagraph"/>
        <w:keepNext/>
        <w:keepLines/>
        <w:spacing w:after="120"/>
        <w:ind w:left="2268" w:right="1134" w:hanging="1134"/>
        <w:contextualSpacing w:val="0"/>
        <w:jc w:val="both"/>
        <w:rPr>
          <w:lang w:val="fr-FR"/>
        </w:rPr>
      </w:pPr>
      <w:r w:rsidRPr="0096742B">
        <w:rPr>
          <w:i/>
          <w:iCs/>
          <w:lang w:val="fr-FR"/>
        </w:rPr>
        <w:lastRenderedPageBreak/>
        <w:t>Paragraphe 4</w:t>
      </w:r>
      <w:r w:rsidR="00E3523D" w:rsidRPr="0096742B">
        <w:rPr>
          <w:i/>
          <w:iCs/>
          <w:lang w:val="fr-FR"/>
        </w:rPr>
        <w:t>.</w:t>
      </w:r>
      <w:r w:rsidRPr="0096742B">
        <w:rPr>
          <w:i/>
          <w:iCs/>
          <w:lang w:val="fr-FR"/>
        </w:rPr>
        <w:t>2</w:t>
      </w:r>
      <w:r w:rsidRPr="0096742B">
        <w:rPr>
          <w:lang w:val="fr-FR"/>
        </w:rPr>
        <w:t>, lire</w:t>
      </w:r>
      <w:r w:rsidR="003109F6" w:rsidRPr="0096742B">
        <w:rPr>
          <w:lang w:val="fr-FR"/>
        </w:rPr>
        <w:t> :</w:t>
      </w:r>
    </w:p>
    <w:p w14:paraId="5ED3466D" w14:textId="0F85DE84" w:rsidR="00800DB9" w:rsidRPr="0096742B" w:rsidRDefault="00800DB9" w:rsidP="00800DB9">
      <w:pPr>
        <w:pStyle w:val="SingleTxtG"/>
        <w:ind w:left="2268" w:hanging="1134"/>
        <w:rPr>
          <w:bCs/>
          <w:lang w:val="fr-FR"/>
        </w:rPr>
      </w:pPr>
      <w:r w:rsidRPr="0096742B">
        <w:rPr>
          <w:lang w:val="fr-FR"/>
        </w:rPr>
        <w:t>« 4</w:t>
      </w:r>
      <w:r w:rsidR="00E3523D" w:rsidRPr="0096742B">
        <w:rPr>
          <w:lang w:val="fr-FR"/>
        </w:rPr>
        <w:t>.</w:t>
      </w:r>
      <w:r w:rsidRPr="0096742B">
        <w:rPr>
          <w:lang w:val="fr-FR"/>
        </w:rPr>
        <w:t>2</w:t>
      </w:r>
      <w:r w:rsidRPr="0096742B">
        <w:rPr>
          <w:lang w:val="fr-FR"/>
        </w:rPr>
        <w:tab/>
        <w:t>Correction de température</w:t>
      </w:r>
    </w:p>
    <w:p w14:paraId="6A41B484" w14:textId="5DC226A1" w:rsidR="00800DB9" w:rsidRPr="0096742B" w:rsidRDefault="00800DB9" w:rsidP="00800DB9">
      <w:pPr>
        <w:pStyle w:val="SingleTxtG"/>
        <w:ind w:left="2268" w:hanging="1134"/>
        <w:rPr>
          <w:bCs/>
          <w:lang w:val="fr-FR"/>
        </w:rPr>
      </w:pPr>
      <w:r w:rsidRPr="0096742B">
        <w:rPr>
          <w:b/>
          <w:bCs/>
          <w:lang w:val="fr-FR"/>
        </w:rPr>
        <w:t>4</w:t>
      </w:r>
      <w:r w:rsidR="00E3523D" w:rsidRPr="0096742B">
        <w:rPr>
          <w:b/>
          <w:bCs/>
          <w:lang w:val="fr-FR"/>
        </w:rPr>
        <w:t>.</w:t>
      </w:r>
      <w:r w:rsidRPr="0096742B">
        <w:rPr>
          <w:b/>
          <w:bCs/>
          <w:lang w:val="fr-FR"/>
        </w:rPr>
        <w:t>2</w:t>
      </w:r>
      <w:r w:rsidR="00E3523D" w:rsidRPr="0096742B">
        <w:rPr>
          <w:b/>
          <w:bCs/>
          <w:lang w:val="fr-FR"/>
        </w:rPr>
        <w:t>.</w:t>
      </w:r>
      <w:r w:rsidRPr="0096742B">
        <w:rPr>
          <w:b/>
          <w:bCs/>
          <w:lang w:val="fr-FR"/>
        </w:rPr>
        <w:t>1</w:t>
      </w:r>
      <w:r w:rsidRPr="0096742B">
        <w:rPr>
          <w:lang w:val="fr-FR"/>
        </w:rPr>
        <w:tab/>
      </w:r>
      <w:r w:rsidRPr="0096742B">
        <w:rPr>
          <w:b/>
          <w:bCs/>
          <w:lang w:val="fr-FR"/>
        </w:rPr>
        <w:t>Jusqu</w:t>
      </w:r>
      <w:r w:rsidR="003109F6" w:rsidRPr="0096742B">
        <w:rPr>
          <w:b/>
          <w:bCs/>
          <w:lang w:val="fr-FR"/>
        </w:rPr>
        <w:t>’</w:t>
      </w:r>
      <w:r w:rsidRPr="0096742B">
        <w:rPr>
          <w:b/>
          <w:bCs/>
          <w:lang w:val="fr-FR"/>
        </w:rPr>
        <w:t>à la date indiquée au paragraphe 12</w:t>
      </w:r>
      <w:r w:rsidR="00E3523D" w:rsidRPr="0096742B">
        <w:rPr>
          <w:b/>
          <w:bCs/>
          <w:lang w:val="fr-FR"/>
        </w:rPr>
        <w:t>.</w:t>
      </w:r>
      <w:r w:rsidRPr="0096742B">
        <w:rPr>
          <w:b/>
          <w:bCs/>
          <w:lang w:val="fr-FR"/>
        </w:rPr>
        <w:t xml:space="preserve">18 du présent Règlement, pour </w:t>
      </w:r>
      <w:r w:rsidRPr="0096742B">
        <w:rPr>
          <w:strike/>
          <w:lang w:val="fr-FR"/>
        </w:rPr>
        <w:t xml:space="preserve">Pour </w:t>
      </w:r>
      <w:r w:rsidRPr="0096742B">
        <w:rPr>
          <w:lang w:val="fr-FR"/>
        </w:rPr>
        <w:t>les pneumatiques des classes C1 et C2, les niveaux sonores L</w:t>
      </w:r>
      <w:r w:rsidRPr="0096742B">
        <w:rPr>
          <w:vertAlign w:val="subscript"/>
          <w:lang w:val="fr-FR"/>
        </w:rPr>
        <w:t>i</w:t>
      </w:r>
      <w:r w:rsidRPr="0096742B">
        <w:rPr>
          <w:lang w:val="fr-FR"/>
        </w:rPr>
        <w:t>(ϑ</w:t>
      </w:r>
      <w:r w:rsidRPr="0096742B">
        <w:rPr>
          <w:vertAlign w:val="subscript"/>
          <w:lang w:val="fr-FR"/>
        </w:rPr>
        <w:t>i</w:t>
      </w:r>
      <w:r w:rsidRPr="0096742B">
        <w:rPr>
          <w:lang w:val="fr-FR"/>
        </w:rPr>
        <w:t>) mesurés à la température du revêtement d</w:t>
      </w:r>
      <w:r w:rsidR="003109F6" w:rsidRPr="0096742B">
        <w:rPr>
          <w:lang w:val="fr-FR"/>
        </w:rPr>
        <w:t>’</w:t>
      </w:r>
      <w:r w:rsidRPr="0096742B">
        <w:rPr>
          <w:lang w:val="fr-FR"/>
        </w:rPr>
        <w:t>essai ϑ</w:t>
      </w:r>
      <w:r w:rsidRPr="0096742B">
        <w:rPr>
          <w:vertAlign w:val="subscript"/>
          <w:lang w:val="fr-FR"/>
        </w:rPr>
        <w:t>i</w:t>
      </w:r>
      <w:r w:rsidRPr="0096742B">
        <w:rPr>
          <w:lang w:val="fr-FR"/>
        </w:rPr>
        <w:t xml:space="preserve"> (où i représente la valeur obtenue lors d</w:t>
      </w:r>
      <w:r w:rsidR="003109F6" w:rsidRPr="0096742B">
        <w:rPr>
          <w:lang w:val="fr-FR"/>
        </w:rPr>
        <w:t>’</w:t>
      </w:r>
      <w:r w:rsidRPr="0096742B">
        <w:rPr>
          <w:lang w:val="fr-FR"/>
        </w:rPr>
        <w:t>une mesure unique) doivent être normalisés à une température de référence du revêtement ϑ</w:t>
      </w:r>
      <w:r w:rsidRPr="0096742B">
        <w:rPr>
          <w:vertAlign w:val="subscript"/>
          <w:lang w:val="fr-FR"/>
        </w:rPr>
        <w:t>ref</w:t>
      </w:r>
      <w:r w:rsidRPr="0096742B">
        <w:rPr>
          <w:lang w:val="fr-FR"/>
        </w:rPr>
        <w:t xml:space="preserve"> en appliquant une correction de température, selon la formule suivante</w:t>
      </w:r>
      <w:r w:rsidR="003109F6" w:rsidRPr="0096742B">
        <w:rPr>
          <w:lang w:val="fr-FR"/>
        </w:rPr>
        <w:t> :</w:t>
      </w:r>
    </w:p>
    <w:p w14:paraId="75B71287" w14:textId="77777777" w:rsidR="00800DB9" w:rsidRPr="0096742B" w:rsidRDefault="00800DB9" w:rsidP="00800DB9">
      <w:pPr>
        <w:pStyle w:val="SingleTxtG"/>
        <w:ind w:left="2268"/>
        <w:jc w:val="center"/>
        <w:rPr>
          <w:bCs/>
          <w:lang w:val="fr-FR"/>
        </w:rPr>
      </w:pPr>
      <m:oMathPara>
        <m:oMath>
          <m:sSub>
            <m:sSubPr>
              <m:ctrlPr>
                <w:rPr>
                  <w:rFonts w:ascii="Cambria Math" w:eastAsia="Calibri" w:hAnsi="Cambria Math" w:cs="Arial"/>
                  <w:bCs/>
                  <w:i/>
                  <w:lang w:val="fr-FR"/>
                </w:rPr>
              </m:ctrlPr>
            </m:sSubPr>
            <m:e>
              <m:r>
                <w:rPr>
                  <w:rFonts w:ascii="Cambria Math" w:eastAsia="Calibri" w:hAnsi="Cambria Math" w:cs="Arial"/>
                  <w:lang w:val="fr-FR"/>
                </w:rPr>
                <m:t>L</m:t>
              </m:r>
            </m:e>
            <m:sub>
              <m:r>
                <w:rPr>
                  <w:rFonts w:ascii="Cambria Math" w:eastAsia="Calibri" w:hAnsi="Cambria Math" w:cs="Arial"/>
                  <w:lang w:val="fr-FR"/>
                </w:rPr>
                <m:t>i</m:t>
              </m:r>
            </m:sub>
          </m:sSub>
          <m:d>
            <m:dPr>
              <m:ctrlPr>
                <w:rPr>
                  <w:rFonts w:ascii="Cambria Math" w:eastAsia="Calibri" w:hAnsi="Cambria Math" w:cs="Arial"/>
                  <w:bCs/>
                  <w:i/>
                  <w:lang w:val="fr-FR"/>
                </w:rPr>
              </m:ctrlPr>
            </m:dPr>
            <m:e>
              <m:sSub>
                <m:sSubPr>
                  <m:ctrlPr>
                    <w:rPr>
                      <w:rFonts w:ascii="Cambria Math" w:eastAsia="Calibri" w:hAnsi="Cambria Math" w:cs="Arial"/>
                      <w:bCs/>
                      <w:i/>
                      <w:lang w:val="fr-FR"/>
                    </w:rPr>
                  </m:ctrlPr>
                </m:sSubPr>
                <m:e>
                  <m:r>
                    <w:rPr>
                      <w:rFonts w:ascii="Cambria Math" w:eastAsia="Calibri" w:hAnsi="Cambria Math" w:cs="Arial"/>
                      <w:lang w:val="fr-FR"/>
                    </w:rPr>
                    <m:t>ϑ</m:t>
                  </m:r>
                </m:e>
                <m:sub>
                  <m:r>
                    <m:rPr>
                      <m:nor/>
                    </m:rPr>
                    <w:rPr>
                      <w:rFonts w:ascii="Cambria Math" w:eastAsia="Calibri" w:hAnsi="Cambria Math" w:cs="Arial"/>
                      <w:bCs/>
                      <w:i/>
                      <w:lang w:val="fr-FR"/>
                    </w:rPr>
                    <m:t>ref</m:t>
                  </m:r>
                </m:sub>
              </m:sSub>
            </m:e>
          </m:d>
          <m:r>
            <w:rPr>
              <w:rFonts w:ascii="Cambria Math" w:eastAsia="Calibri" w:hAnsi="Cambria Math" w:cs="Arial"/>
              <w:lang w:val="fr-FR"/>
            </w:rPr>
            <m:t>=</m:t>
          </m:r>
          <m:sSub>
            <m:sSubPr>
              <m:ctrlPr>
                <w:rPr>
                  <w:rFonts w:ascii="Cambria Math" w:eastAsia="Calibri" w:hAnsi="Cambria Math" w:cs="Arial"/>
                  <w:bCs/>
                  <w:i/>
                  <w:lang w:val="fr-FR"/>
                </w:rPr>
              </m:ctrlPr>
            </m:sSubPr>
            <m:e>
              <m:r>
                <w:rPr>
                  <w:rFonts w:ascii="Cambria Math" w:eastAsia="Calibri" w:hAnsi="Cambria Math" w:cs="Arial"/>
                  <w:lang w:val="fr-FR"/>
                </w:rPr>
                <m:t>L</m:t>
              </m:r>
            </m:e>
            <m:sub>
              <m:r>
                <w:rPr>
                  <w:rFonts w:ascii="Cambria Math" w:eastAsia="Calibri" w:hAnsi="Cambria Math" w:cs="Arial"/>
                  <w:lang w:val="fr-FR"/>
                </w:rPr>
                <m:t>i</m:t>
              </m:r>
            </m:sub>
          </m:sSub>
          <m:d>
            <m:dPr>
              <m:ctrlPr>
                <w:rPr>
                  <w:rFonts w:ascii="Cambria Math" w:eastAsia="Calibri" w:hAnsi="Cambria Math" w:cs="Arial"/>
                  <w:bCs/>
                  <w:i/>
                  <w:lang w:val="fr-FR"/>
                </w:rPr>
              </m:ctrlPr>
            </m:dPr>
            <m:e>
              <m:sSub>
                <m:sSubPr>
                  <m:ctrlPr>
                    <w:rPr>
                      <w:rFonts w:ascii="Cambria Math" w:eastAsia="Calibri" w:hAnsi="Cambria Math" w:cs="Arial"/>
                      <w:bCs/>
                      <w:i/>
                      <w:lang w:val="fr-FR"/>
                    </w:rPr>
                  </m:ctrlPr>
                </m:sSubPr>
                <m:e>
                  <m:r>
                    <w:rPr>
                      <w:rFonts w:ascii="Cambria Math" w:eastAsia="Calibri" w:hAnsi="Cambria Math" w:cs="Arial"/>
                      <w:lang w:val="fr-FR"/>
                    </w:rPr>
                    <m:t>ϑ</m:t>
                  </m:r>
                </m:e>
                <m:sub>
                  <m:r>
                    <w:rPr>
                      <w:rFonts w:ascii="Cambria Math" w:eastAsia="Calibri" w:hAnsi="Cambria Math" w:cs="Arial"/>
                      <w:lang w:val="fr-FR"/>
                    </w:rPr>
                    <m:t>i</m:t>
                  </m:r>
                </m:sub>
              </m:sSub>
            </m:e>
          </m:d>
          <m:r>
            <w:rPr>
              <w:rFonts w:ascii="Cambria Math" w:eastAsia="Calibri" w:hAnsi="Cambria Math" w:cs="Arial"/>
              <w:lang w:val="fr-FR"/>
            </w:rPr>
            <m:t>+K</m:t>
          </m:r>
          <m:d>
            <m:dPr>
              <m:ctrlPr>
                <w:rPr>
                  <w:rFonts w:ascii="Cambria Math" w:eastAsia="Calibri" w:hAnsi="Cambria Math" w:cs="Arial"/>
                  <w:bCs/>
                  <w:i/>
                  <w:lang w:val="fr-FR"/>
                </w:rPr>
              </m:ctrlPr>
            </m:dPr>
            <m:e>
              <m:sSub>
                <m:sSubPr>
                  <m:ctrlPr>
                    <w:rPr>
                      <w:rFonts w:ascii="Cambria Math" w:eastAsia="Calibri" w:hAnsi="Cambria Math" w:cs="Arial"/>
                      <w:bCs/>
                      <w:i/>
                      <w:lang w:val="fr-FR"/>
                    </w:rPr>
                  </m:ctrlPr>
                </m:sSubPr>
                <m:e>
                  <m:r>
                    <w:rPr>
                      <w:rFonts w:ascii="Cambria Math" w:eastAsia="Calibri" w:hAnsi="Cambria Math" w:cs="Arial"/>
                      <w:lang w:val="fr-FR"/>
                    </w:rPr>
                    <m:t>ϑ</m:t>
                  </m:r>
                </m:e>
                <m:sub>
                  <m:r>
                    <m:rPr>
                      <m:nor/>
                    </m:rPr>
                    <w:rPr>
                      <w:rFonts w:ascii="Cambria Math" w:eastAsia="Calibri" w:hAnsi="Cambria Math" w:cs="Arial"/>
                      <w:bCs/>
                      <w:i/>
                      <w:lang w:val="fr-FR"/>
                    </w:rPr>
                    <m:t>ref</m:t>
                  </m:r>
                </m:sub>
              </m:sSub>
              <m:r>
                <w:rPr>
                  <w:rFonts w:ascii="Cambria Math" w:eastAsia="Calibri" w:hAnsi="Cambria Math" w:cs="Arial"/>
                  <w:lang w:val="fr-FR"/>
                </w:rPr>
                <m:t>-</m:t>
              </m:r>
              <m:sSub>
                <m:sSubPr>
                  <m:ctrlPr>
                    <w:rPr>
                      <w:rFonts w:ascii="Cambria Math" w:eastAsia="Calibri" w:hAnsi="Cambria Math" w:cs="Arial"/>
                      <w:bCs/>
                      <w:i/>
                      <w:lang w:val="fr-FR"/>
                    </w:rPr>
                  </m:ctrlPr>
                </m:sSubPr>
                <m:e>
                  <m:r>
                    <w:rPr>
                      <w:rFonts w:ascii="Cambria Math" w:eastAsia="Calibri" w:hAnsi="Cambria Math" w:cs="Arial"/>
                      <w:lang w:val="fr-FR"/>
                    </w:rPr>
                    <m:t>ϑ</m:t>
                  </m:r>
                </m:e>
                <m:sub>
                  <m:r>
                    <w:rPr>
                      <w:rFonts w:ascii="Cambria Math" w:eastAsia="Calibri" w:hAnsi="Cambria Math" w:cs="Arial"/>
                      <w:lang w:val="fr-FR"/>
                    </w:rPr>
                    <m:t>i</m:t>
                  </m:r>
                </m:sub>
              </m:sSub>
            </m:e>
          </m:d>
        </m:oMath>
      </m:oMathPara>
    </w:p>
    <w:p w14:paraId="0B4EB870" w14:textId="7A98AAD1" w:rsidR="00800DB9" w:rsidRPr="0096742B" w:rsidRDefault="00800DB9" w:rsidP="00800DB9">
      <w:pPr>
        <w:spacing w:after="120"/>
        <w:ind w:left="2268" w:right="1134"/>
        <w:rPr>
          <w:rFonts w:eastAsia="Calibri" w:cs="Arial"/>
          <w:lang w:val="fr-FR"/>
        </w:rPr>
      </w:pPr>
      <w:r w:rsidRPr="0096742B">
        <w:rPr>
          <w:lang w:val="fr-FR"/>
        </w:rPr>
        <w:t>où</w:t>
      </w:r>
      <w:r w:rsidR="003109F6" w:rsidRPr="0096742B">
        <w:rPr>
          <w:lang w:val="fr-FR"/>
        </w:rPr>
        <w:t> :</w:t>
      </w:r>
    </w:p>
    <w:p w14:paraId="660649AC" w14:textId="11F92D74" w:rsidR="00800DB9" w:rsidRPr="0096742B" w:rsidRDefault="00800DB9" w:rsidP="00800DB9">
      <w:pPr>
        <w:tabs>
          <w:tab w:val="left" w:pos="2977"/>
          <w:tab w:val="left" w:pos="3261"/>
        </w:tabs>
        <w:spacing w:after="120"/>
        <w:ind w:left="2552"/>
        <w:rPr>
          <w:bCs/>
          <w:lang w:val="fr-FR"/>
        </w:rPr>
      </w:pPr>
      <w:r w:rsidRPr="0096742B">
        <w:rPr>
          <w:lang w:val="fr-FR"/>
        </w:rPr>
        <w:tab/>
        <w:t>ϑ</w:t>
      </w:r>
      <w:r w:rsidRPr="0096742B">
        <w:rPr>
          <w:vertAlign w:val="subscript"/>
          <w:lang w:val="fr-FR"/>
        </w:rPr>
        <w:t>ref</w:t>
      </w:r>
      <w:r w:rsidRPr="0096742B">
        <w:rPr>
          <w:lang w:val="fr-FR"/>
        </w:rPr>
        <w:tab/>
        <w:t> = 20 </w:t>
      </w:r>
      <w:r w:rsidR="00ED6E7E" w:rsidRPr="0096742B">
        <w:rPr>
          <w:szCs w:val="18"/>
          <w:lang w:val="fr-FR"/>
        </w:rPr>
        <w:t>°</w:t>
      </w:r>
      <w:r w:rsidRPr="0096742B">
        <w:rPr>
          <w:lang w:val="fr-FR"/>
        </w:rPr>
        <w:t>C,</w:t>
      </w:r>
    </w:p>
    <w:p w14:paraId="1A45330A" w14:textId="436121D5" w:rsidR="00800DB9" w:rsidRPr="0096742B" w:rsidRDefault="00800DB9" w:rsidP="00800DB9">
      <w:pPr>
        <w:spacing w:before="120" w:after="120"/>
        <w:ind w:left="2268" w:right="1134" w:hanging="1134"/>
        <w:rPr>
          <w:rFonts w:eastAsia="Calibri" w:cs="Arial"/>
          <w:bCs/>
          <w:lang w:val="fr-FR"/>
        </w:rPr>
      </w:pPr>
      <w:r w:rsidRPr="0096742B">
        <w:rPr>
          <w:lang w:val="fr-FR"/>
        </w:rPr>
        <w:tab/>
        <w:t>Pour les pneumatiques de la classe C1, le coefficient K est de</w:t>
      </w:r>
      <w:r w:rsidR="003109F6" w:rsidRPr="0096742B">
        <w:rPr>
          <w:lang w:val="fr-FR"/>
        </w:rPr>
        <w:t> :</w:t>
      </w:r>
      <w:r w:rsidRPr="0096742B">
        <w:rPr>
          <w:lang w:val="fr-FR"/>
        </w:rPr>
        <w:br/>
      </w:r>
      <w:r w:rsidRPr="0096742B">
        <w:rPr>
          <w:lang w:val="fr-FR"/>
        </w:rPr>
        <w:tab/>
      </w:r>
      <w:r w:rsidRPr="0096742B">
        <w:rPr>
          <w:lang w:val="fr-FR"/>
        </w:rPr>
        <w:tab/>
        <w:t>− 0,03 dB(A)/°C lorsque ϑ</w:t>
      </w:r>
      <w:r w:rsidRPr="0096742B">
        <w:rPr>
          <w:vertAlign w:val="subscript"/>
          <w:lang w:val="fr-FR"/>
        </w:rPr>
        <w:t>i</w:t>
      </w:r>
      <w:r w:rsidRPr="0096742B">
        <w:rPr>
          <w:lang w:val="fr-FR"/>
        </w:rPr>
        <w:t xml:space="preserve"> &gt; ϑ</w:t>
      </w:r>
      <w:r w:rsidRPr="0096742B">
        <w:rPr>
          <w:vertAlign w:val="subscript"/>
          <w:lang w:val="fr-FR"/>
        </w:rPr>
        <w:t>ref</w:t>
      </w:r>
      <w:r w:rsidRPr="0096742B">
        <w:rPr>
          <w:lang w:val="fr-FR"/>
        </w:rPr>
        <w:t xml:space="preserve"> et</w:t>
      </w:r>
      <w:r w:rsidRPr="0096742B">
        <w:rPr>
          <w:lang w:val="fr-FR"/>
        </w:rPr>
        <w:br/>
      </w:r>
      <w:r w:rsidRPr="0096742B">
        <w:rPr>
          <w:lang w:val="fr-FR"/>
        </w:rPr>
        <w:tab/>
      </w:r>
      <w:r w:rsidRPr="0096742B">
        <w:rPr>
          <w:lang w:val="fr-FR"/>
        </w:rPr>
        <w:tab/>
        <w:t>− 0,06 dB(A)/°C lorsque ϑ</w:t>
      </w:r>
      <w:r w:rsidRPr="0096742B">
        <w:rPr>
          <w:vertAlign w:val="subscript"/>
          <w:lang w:val="fr-FR"/>
        </w:rPr>
        <w:t>i</w:t>
      </w:r>
      <w:r w:rsidRPr="0096742B">
        <w:rPr>
          <w:lang w:val="fr-FR"/>
        </w:rPr>
        <w:t xml:space="preserve"> &lt; ϑ</w:t>
      </w:r>
      <w:r w:rsidRPr="0096742B">
        <w:rPr>
          <w:vertAlign w:val="subscript"/>
          <w:lang w:val="fr-FR"/>
        </w:rPr>
        <w:t>ref</w:t>
      </w:r>
      <w:r w:rsidR="00E3523D" w:rsidRPr="0096742B">
        <w:rPr>
          <w:lang w:val="fr-FR"/>
        </w:rPr>
        <w:t>.</w:t>
      </w:r>
    </w:p>
    <w:p w14:paraId="6BC3BB28" w14:textId="5B986B9E" w:rsidR="00800DB9" w:rsidRPr="0096742B" w:rsidRDefault="00800DB9" w:rsidP="00800DB9">
      <w:pPr>
        <w:pStyle w:val="SingleTxtG"/>
        <w:ind w:left="2268" w:hanging="1134"/>
        <w:rPr>
          <w:bCs/>
          <w:lang w:val="fr-FR"/>
        </w:rPr>
      </w:pPr>
      <w:r w:rsidRPr="0096742B">
        <w:rPr>
          <w:lang w:val="fr-FR"/>
        </w:rPr>
        <w:tab/>
        <w:t>Pour les pneumatiques de la classe C2, le coefficient K est de -0,02 dB(A)/°C</w:t>
      </w:r>
      <w:r w:rsidR="00E3523D" w:rsidRPr="0096742B">
        <w:rPr>
          <w:lang w:val="fr-FR"/>
        </w:rPr>
        <w:t>.</w:t>
      </w:r>
    </w:p>
    <w:p w14:paraId="4EEFD408" w14:textId="5653F083" w:rsidR="00800DB9" w:rsidRPr="0096742B" w:rsidRDefault="00800DB9" w:rsidP="00800DB9">
      <w:pPr>
        <w:spacing w:before="120" w:after="120"/>
        <w:ind w:left="2268" w:right="1134" w:hanging="1134"/>
        <w:jc w:val="both"/>
        <w:rPr>
          <w:bCs/>
          <w:lang w:val="fr-FR"/>
        </w:rPr>
      </w:pPr>
      <w:r w:rsidRPr="0096742B">
        <w:rPr>
          <w:b/>
          <w:bCs/>
          <w:lang w:val="fr-FR"/>
        </w:rPr>
        <w:t>4</w:t>
      </w:r>
      <w:r w:rsidR="00E3523D" w:rsidRPr="0096742B">
        <w:rPr>
          <w:b/>
          <w:bCs/>
          <w:lang w:val="fr-FR"/>
        </w:rPr>
        <w:t>.</w:t>
      </w:r>
      <w:r w:rsidRPr="0096742B">
        <w:rPr>
          <w:b/>
          <w:bCs/>
          <w:lang w:val="fr-FR"/>
        </w:rPr>
        <w:t>2</w:t>
      </w:r>
      <w:r w:rsidR="00E3523D" w:rsidRPr="0096742B">
        <w:rPr>
          <w:b/>
          <w:bCs/>
          <w:lang w:val="fr-FR"/>
        </w:rPr>
        <w:t>.</w:t>
      </w:r>
      <w:r w:rsidRPr="0096742B">
        <w:rPr>
          <w:b/>
          <w:bCs/>
          <w:lang w:val="fr-FR"/>
        </w:rPr>
        <w:t>2</w:t>
      </w:r>
      <w:r w:rsidRPr="0096742B">
        <w:rPr>
          <w:lang w:val="fr-FR"/>
        </w:rPr>
        <w:tab/>
      </w:r>
      <w:r w:rsidRPr="0096742B">
        <w:rPr>
          <w:lang w:val="fr-FR"/>
        </w:rPr>
        <w:tab/>
      </w:r>
      <w:r w:rsidRPr="0096742B">
        <w:rPr>
          <w:b/>
          <w:bCs/>
          <w:lang w:val="fr-FR"/>
        </w:rPr>
        <w:t>À compter de la date indiquée au paragraphe</w:t>
      </w:r>
      <w:r w:rsidR="00565127" w:rsidRPr="0096742B">
        <w:rPr>
          <w:b/>
          <w:bCs/>
          <w:lang w:val="fr-FR"/>
        </w:rPr>
        <w:t> </w:t>
      </w:r>
      <w:r w:rsidRPr="0096742B">
        <w:rPr>
          <w:b/>
          <w:bCs/>
          <w:lang w:val="fr-FR"/>
        </w:rPr>
        <w:t>12</w:t>
      </w:r>
      <w:r w:rsidR="00E3523D" w:rsidRPr="0096742B">
        <w:rPr>
          <w:b/>
          <w:bCs/>
          <w:lang w:val="fr-FR"/>
        </w:rPr>
        <w:t>.</w:t>
      </w:r>
      <w:r w:rsidRPr="0096742B">
        <w:rPr>
          <w:b/>
          <w:bCs/>
          <w:lang w:val="fr-FR"/>
        </w:rPr>
        <w:t>19 du présent Règlement, pour les pneumatiques des classes</w:t>
      </w:r>
      <w:r w:rsidR="00565127" w:rsidRPr="0096742B">
        <w:rPr>
          <w:b/>
          <w:bCs/>
          <w:lang w:val="fr-FR"/>
        </w:rPr>
        <w:t> </w:t>
      </w:r>
      <w:r w:rsidRPr="0096742B">
        <w:rPr>
          <w:b/>
          <w:bCs/>
          <w:lang w:val="fr-FR"/>
        </w:rPr>
        <w:t>C1 et C2, les niveaux sonores L</w:t>
      </w:r>
      <w:r w:rsidRPr="0096742B">
        <w:rPr>
          <w:b/>
          <w:bCs/>
          <w:vertAlign w:val="subscript"/>
          <w:lang w:val="fr-FR"/>
        </w:rPr>
        <w:t>i</w:t>
      </w:r>
      <w:r w:rsidRPr="0096742B">
        <w:rPr>
          <w:b/>
          <w:bCs/>
          <w:lang w:val="fr-FR"/>
        </w:rPr>
        <w:t>(ϑ</w:t>
      </w:r>
      <w:r w:rsidRPr="0096742B">
        <w:rPr>
          <w:b/>
          <w:bCs/>
          <w:vertAlign w:val="subscript"/>
          <w:lang w:val="fr-FR"/>
        </w:rPr>
        <w:t>i</w:t>
      </w:r>
      <w:r w:rsidRPr="0096742B">
        <w:rPr>
          <w:b/>
          <w:bCs/>
          <w:lang w:val="fr-FR"/>
        </w:rPr>
        <w:t>) mesurés à la température du revêtement d</w:t>
      </w:r>
      <w:r w:rsidR="003109F6" w:rsidRPr="0096742B">
        <w:rPr>
          <w:b/>
          <w:bCs/>
          <w:lang w:val="fr-FR"/>
        </w:rPr>
        <w:t>’</w:t>
      </w:r>
      <w:r w:rsidRPr="0096742B">
        <w:rPr>
          <w:b/>
          <w:bCs/>
          <w:lang w:val="fr-FR"/>
        </w:rPr>
        <w:t>essai ϑ</w:t>
      </w:r>
      <w:r w:rsidRPr="0096742B">
        <w:rPr>
          <w:b/>
          <w:bCs/>
          <w:vertAlign w:val="subscript"/>
          <w:lang w:val="fr-FR"/>
        </w:rPr>
        <w:t>i</w:t>
      </w:r>
      <w:r w:rsidRPr="0096742B">
        <w:rPr>
          <w:b/>
          <w:bCs/>
          <w:lang w:val="fr-FR"/>
        </w:rPr>
        <w:t xml:space="preserve"> (où i représente la valeur obtenue lors d</w:t>
      </w:r>
      <w:r w:rsidR="003109F6" w:rsidRPr="0096742B">
        <w:rPr>
          <w:b/>
          <w:bCs/>
          <w:lang w:val="fr-FR"/>
        </w:rPr>
        <w:t>’</w:t>
      </w:r>
      <w:r w:rsidRPr="0096742B">
        <w:rPr>
          <w:b/>
          <w:bCs/>
          <w:lang w:val="fr-FR"/>
        </w:rPr>
        <w:t>une mesure unique) doivent être normalisés à une température de référence du revêtement ϑ</w:t>
      </w:r>
      <w:r w:rsidRPr="0096742B">
        <w:rPr>
          <w:b/>
          <w:bCs/>
          <w:vertAlign w:val="subscript"/>
          <w:lang w:val="fr-FR"/>
        </w:rPr>
        <w:t>ref</w:t>
      </w:r>
      <w:r w:rsidRPr="0096742B">
        <w:rPr>
          <w:b/>
          <w:bCs/>
          <w:lang w:val="fr-FR"/>
        </w:rPr>
        <w:t xml:space="preserve"> en appliquant une correction de température, selon la formule suivante</w:t>
      </w:r>
      <w:r w:rsidR="003109F6" w:rsidRPr="0096742B">
        <w:rPr>
          <w:b/>
          <w:bCs/>
          <w:lang w:val="fr-FR"/>
        </w:rPr>
        <w:t> :</w:t>
      </w:r>
    </w:p>
    <w:bookmarkStart w:id="1" w:name="_Hlk124170188"/>
    <w:p w14:paraId="61A62353" w14:textId="77777777" w:rsidR="00800DB9" w:rsidRPr="0096742B" w:rsidRDefault="00800DB9" w:rsidP="00800DB9">
      <w:pPr>
        <w:pStyle w:val="SingleTxtG"/>
        <w:ind w:left="2268"/>
        <w:jc w:val="center"/>
        <w:rPr>
          <w:b/>
          <w:lang w:val="fr-FR"/>
        </w:rPr>
      </w:pPr>
      <m:oMathPara>
        <m:oMath>
          <m:sSub>
            <m:sSubPr>
              <m:ctrlPr>
                <w:rPr>
                  <w:rFonts w:ascii="Cambria Math" w:eastAsia="Calibri" w:hAnsi="Cambria Math" w:cs="Arial"/>
                  <w:b/>
                  <w:i/>
                  <w:lang w:val="fr-FR"/>
                </w:rPr>
              </m:ctrlPr>
            </m:sSubPr>
            <m:e>
              <m:r>
                <m:rPr>
                  <m:sty m:val="bi"/>
                </m:rPr>
                <w:rPr>
                  <w:rFonts w:ascii="Cambria Math" w:eastAsia="Calibri" w:hAnsi="Cambria Math" w:cs="Arial"/>
                  <w:lang w:val="fr-FR"/>
                </w:rPr>
                <m:t>L</m:t>
              </m:r>
            </m:e>
            <m:sub>
              <m:r>
                <m:rPr>
                  <m:sty m:val="bi"/>
                </m:rPr>
                <w:rPr>
                  <w:rFonts w:ascii="Cambria Math" w:eastAsia="Calibri" w:hAnsi="Cambria Math" w:cs="Arial"/>
                  <w:lang w:val="fr-FR"/>
                </w:rPr>
                <m:t>i</m:t>
              </m:r>
            </m:sub>
          </m:sSub>
          <m:d>
            <m:dPr>
              <m:ctrlPr>
                <w:rPr>
                  <w:rFonts w:ascii="Cambria Math" w:eastAsia="Calibri" w:hAnsi="Cambria Math" w:cs="Arial"/>
                  <w:b/>
                  <w:i/>
                  <w:lang w:val="fr-FR"/>
                </w:rPr>
              </m:ctrlPr>
            </m:dPr>
            <m:e>
              <m:sSub>
                <m:sSubPr>
                  <m:ctrlPr>
                    <w:rPr>
                      <w:rFonts w:ascii="Cambria Math" w:eastAsia="Calibri" w:hAnsi="Cambria Math" w:cs="Arial"/>
                      <w:b/>
                      <w:i/>
                      <w:lang w:val="fr-FR"/>
                    </w:rPr>
                  </m:ctrlPr>
                </m:sSubPr>
                <m:e>
                  <m:r>
                    <m:rPr>
                      <m:sty m:val="bi"/>
                    </m:rPr>
                    <w:rPr>
                      <w:rFonts w:ascii="Cambria Math" w:eastAsia="Calibri" w:hAnsi="Cambria Math" w:cs="Arial"/>
                      <w:lang w:val="fr-FR"/>
                    </w:rPr>
                    <m:t>ϑ</m:t>
                  </m:r>
                </m:e>
                <m:sub>
                  <m:r>
                    <m:rPr>
                      <m:nor/>
                    </m:rPr>
                    <w:rPr>
                      <w:rFonts w:ascii="Cambria Math" w:eastAsia="Calibri" w:hAnsi="Cambria Math" w:cs="Arial"/>
                      <w:b/>
                      <w:i/>
                      <w:lang w:val="fr-FR"/>
                    </w:rPr>
                    <m:t>ref</m:t>
                  </m:r>
                </m:sub>
              </m:sSub>
            </m:e>
          </m:d>
          <m:r>
            <m:rPr>
              <m:sty m:val="bi"/>
            </m:rPr>
            <w:rPr>
              <w:rFonts w:ascii="Cambria Math" w:eastAsia="Calibri" w:hAnsi="Cambria Math" w:cs="Arial"/>
              <w:lang w:val="fr-FR"/>
            </w:rPr>
            <m:t>=</m:t>
          </m:r>
          <m:sSub>
            <m:sSubPr>
              <m:ctrlPr>
                <w:rPr>
                  <w:rFonts w:ascii="Cambria Math" w:eastAsia="Calibri" w:hAnsi="Cambria Math" w:cs="Arial"/>
                  <w:b/>
                  <w:i/>
                  <w:lang w:val="fr-FR"/>
                </w:rPr>
              </m:ctrlPr>
            </m:sSubPr>
            <m:e>
              <m:r>
                <m:rPr>
                  <m:sty m:val="bi"/>
                </m:rPr>
                <w:rPr>
                  <w:rFonts w:ascii="Cambria Math" w:eastAsia="Calibri" w:hAnsi="Cambria Math" w:cs="Arial"/>
                  <w:lang w:val="fr-FR"/>
                </w:rPr>
                <m:t>L</m:t>
              </m:r>
            </m:e>
            <m:sub>
              <m:r>
                <m:rPr>
                  <m:sty m:val="bi"/>
                </m:rPr>
                <w:rPr>
                  <w:rFonts w:ascii="Cambria Math" w:eastAsia="Calibri" w:hAnsi="Cambria Math" w:cs="Arial"/>
                  <w:lang w:val="fr-FR"/>
                </w:rPr>
                <m:t>i</m:t>
              </m:r>
            </m:sub>
          </m:sSub>
          <m:d>
            <m:dPr>
              <m:ctrlPr>
                <w:rPr>
                  <w:rFonts w:ascii="Cambria Math" w:eastAsia="Calibri" w:hAnsi="Cambria Math" w:cs="Arial"/>
                  <w:b/>
                  <w:i/>
                  <w:lang w:val="fr-FR"/>
                </w:rPr>
              </m:ctrlPr>
            </m:dPr>
            <m:e>
              <m:sSub>
                <m:sSubPr>
                  <m:ctrlPr>
                    <w:rPr>
                      <w:rFonts w:ascii="Cambria Math" w:eastAsia="Calibri" w:hAnsi="Cambria Math" w:cs="Arial"/>
                      <w:b/>
                      <w:i/>
                      <w:lang w:val="fr-FR"/>
                    </w:rPr>
                  </m:ctrlPr>
                </m:sSubPr>
                <m:e>
                  <m:r>
                    <m:rPr>
                      <m:sty m:val="bi"/>
                    </m:rPr>
                    <w:rPr>
                      <w:rFonts w:ascii="Cambria Math" w:eastAsia="Calibri" w:hAnsi="Cambria Math" w:cs="Arial"/>
                      <w:lang w:val="fr-FR"/>
                    </w:rPr>
                    <m:t>ϑ</m:t>
                  </m:r>
                </m:e>
                <m:sub>
                  <m:r>
                    <m:rPr>
                      <m:sty m:val="bi"/>
                    </m:rPr>
                    <w:rPr>
                      <w:rFonts w:ascii="Cambria Math" w:eastAsia="Calibri" w:hAnsi="Cambria Math" w:cs="Arial"/>
                      <w:lang w:val="fr-FR"/>
                    </w:rPr>
                    <m:t>i</m:t>
                  </m:r>
                </m:sub>
              </m:sSub>
            </m:e>
          </m:d>
          <m:r>
            <m:rPr>
              <m:sty m:val="bi"/>
            </m:rPr>
            <w:rPr>
              <w:rFonts w:ascii="Cambria Math" w:eastAsia="Calibri" w:hAnsi="Cambria Math" w:cs="Arial"/>
              <w:lang w:val="fr-FR"/>
            </w:rPr>
            <m:t>-</m:t>
          </m:r>
          <m:sSub>
            <m:sSubPr>
              <m:ctrlPr>
                <w:rPr>
                  <w:rFonts w:ascii="Cambria Math" w:eastAsia="Calibri" w:hAnsi="Cambria Math" w:cs="Arial"/>
                  <w:b/>
                  <w:i/>
                  <w:lang w:val="fr-FR"/>
                </w:rPr>
              </m:ctrlPr>
            </m:sSubPr>
            <m:e>
              <m:r>
                <m:rPr>
                  <m:sty m:val="bi"/>
                </m:rPr>
                <w:rPr>
                  <w:rFonts w:ascii="Cambria Math" w:eastAsia="Calibri" w:hAnsi="Cambria Math" w:cs="Arial"/>
                  <w:lang w:val="fr-FR"/>
                </w:rPr>
                <m:t>K</m:t>
              </m:r>
            </m:e>
            <m:sub>
              <m:r>
                <m:rPr>
                  <m:sty m:val="bi"/>
                </m:rPr>
                <w:rPr>
                  <w:rFonts w:ascii="Cambria Math" w:eastAsia="Calibri" w:hAnsi="Cambria Math" w:cs="Arial"/>
                  <w:lang w:val="fr-FR"/>
                </w:rPr>
                <m:t>1</m:t>
              </m:r>
            </m:sub>
          </m:sSub>
          <m:r>
            <m:rPr>
              <m:sty m:val="bi"/>
            </m:rPr>
            <w:rPr>
              <w:rFonts w:ascii="Cambria Math" w:eastAsia="Calibri" w:hAnsi="Cambria Math" w:cs="Arial"/>
              <w:lang w:val="fr-FR"/>
            </w:rPr>
            <m:t>∙</m:t>
          </m:r>
          <m:func>
            <m:funcPr>
              <m:ctrlPr>
                <w:rPr>
                  <w:rFonts w:ascii="Cambria Math" w:eastAsia="Calibri" w:hAnsi="Cambria Math" w:cs="Arial"/>
                  <w:b/>
                  <w:i/>
                  <w:lang w:val="fr-FR"/>
                </w:rPr>
              </m:ctrlPr>
            </m:funcPr>
            <m:fName>
              <m:r>
                <m:rPr>
                  <m:sty m:val="bi"/>
                </m:rPr>
                <w:rPr>
                  <w:rFonts w:ascii="Cambria Math" w:eastAsia="Calibri" w:hAnsi="Cambria Math" w:cs="Arial"/>
                  <w:lang w:val="fr-FR"/>
                </w:rPr>
                <m:t>lg</m:t>
              </m:r>
            </m:fName>
            <m:e>
              <m:d>
                <m:dPr>
                  <m:ctrlPr>
                    <w:rPr>
                      <w:rFonts w:ascii="Cambria Math" w:eastAsia="Calibri" w:hAnsi="Cambria Math" w:cs="Arial"/>
                      <w:b/>
                      <w:i/>
                      <w:lang w:val="fr-FR"/>
                    </w:rPr>
                  </m:ctrlPr>
                </m:dPr>
                <m:e>
                  <m:f>
                    <m:fPr>
                      <m:ctrlPr>
                        <w:rPr>
                          <w:rFonts w:ascii="Cambria Math" w:eastAsia="Calibri" w:hAnsi="Cambria Math" w:cs="Arial"/>
                          <w:b/>
                          <w:i/>
                          <w:lang w:val="fr-FR"/>
                        </w:rPr>
                      </m:ctrlPr>
                    </m:fPr>
                    <m:num>
                      <m:sSub>
                        <m:sSubPr>
                          <m:ctrlPr>
                            <w:rPr>
                              <w:rFonts w:ascii="Cambria Math" w:eastAsia="Calibri" w:hAnsi="Cambria Math" w:cs="Arial"/>
                              <w:b/>
                              <w:i/>
                              <w:lang w:val="fr-FR"/>
                            </w:rPr>
                          </m:ctrlPr>
                        </m:sSubPr>
                        <m:e>
                          <m:r>
                            <m:rPr>
                              <m:sty m:val="bi"/>
                            </m:rPr>
                            <w:rPr>
                              <w:rFonts w:ascii="Cambria Math" w:eastAsia="Calibri" w:hAnsi="Cambria Math" w:cs="Arial"/>
                              <w:lang w:val="fr-FR"/>
                            </w:rPr>
                            <m:t>ϑ</m:t>
                          </m:r>
                        </m:e>
                        <m:sub>
                          <m:r>
                            <m:rPr>
                              <m:nor/>
                            </m:rPr>
                            <w:rPr>
                              <w:rFonts w:ascii="Cambria Math" w:eastAsia="Calibri" w:hAnsi="Cambria Math" w:cs="Arial"/>
                              <w:b/>
                              <w:i/>
                              <w:lang w:val="fr-FR"/>
                            </w:rPr>
                            <m:t>ref</m:t>
                          </m:r>
                        </m:sub>
                      </m:sSub>
                      <m:r>
                        <m:rPr>
                          <m:sty m:val="bi"/>
                        </m:rPr>
                        <w:rPr>
                          <w:rFonts w:ascii="Cambria Math" w:eastAsia="Calibri" w:hAnsi="Cambria Math" w:cs="Arial"/>
                          <w:lang w:val="fr-FR"/>
                        </w:rPr>
                        <m:t>+</m:t>
                      </m:r>
                      <m:sSub>
                        <m:sSubPr>
                          <m:ctrlPr>
                            <w:rPr>
                              <w:rFonts w:ascii="Cambria Math" w:eastAsia="Calibri" w:hAnsi="Cambria Math" w:cs="Arial"/>
                              <w:b/>
                              <w:i/>
                              <w:lang w:val="fr-FR"/>
                            </w:rPr>
                          </m:ctrlPr>
                        </m:sSubPr>
                        <m:e>
                          <m:r>
                            <m:rPr>
                              <m:sty m:val="bi"/>
                            </m:rPr>
                            <w:rPr>
                              <w:rFonts w:ascii="Cambria Math" w:eastAsia="Calibri" w:hAnsi="Cambria Math" w:cs="Arial"/>
                              <w:lang w:val="fr-FR"/>
                            </w:rPr>
                            <m:t>K</m:t>
                          </m:r>
                        </m:e>
                        <m:sub>
                          <m:r>
                            <m:rPr>
                              <m:sty m:val="bi"/>
                            </m:rPr>
                            <w:rPr>
                              <w:rFonts w:ascii="Cambria Math" w:eastAsia="Calibri" w:hAnsi="Cambria Math" w:cs="Arial"/>
                              <w:lang w:val="fr-FR"/>
                            </w:rPr>
                            <m:t>2</m:t>
                          </m:r>
                        </m:sub>
                      </m:sSub>
                    </m:num>
                    <m:den>
                      <m:sSub>
                        <m:sSubPr>
                          <m:ctrlPr>
                            <w:rPr>
                              <w:rFonts w:ascii="Cambria Math" w:eastAsia="Calibri" w:hAnsi="Cambria Math" w:cs="Arial"/>
                              <w:b/>
                              <w:i/>
                              <w:lang w:val="fr-FR"/>
                            </w:rPr>
                          </m:ctrlPr>
                        </m:sSubPr>
                        <m:e>
                          <m:r>
                            <m:rPr>
                              <m:sty m:val="bi"/>
                            </m:rPr>
                            <w:rPr>
                              <w:rFonts w:ascii="Cambria Math" w:eastAsia="Calibri" w:hAnsi="Cambria Math" w:cs="Arial"/>
                              <w:lang w:val="fr-FR"/>
                            </w:rPr>
                            <m:t>ϑ</m:t>
                          </m:r>
                        </m:e>
                        <m:sub>
                          <m:r>
                            <m:rPr>
                              <m:sty m:val="bi"/>
                            </m:rPr>
                            <w:rPr>
                              <w:rFonts w:ascii="Cambria Math" w:eastAsia="Calibri" w:hAnsi="Cambria Math" w:cs="Arial"/>
                              <w:lang w:val="fr-FR"/>
                            </w:rPr>
                            <m:t>i</m:t>
                          </m:r>
                        </m:sub>
                      </m:sSub>
                      <m:r>
                        <m:rPr>
                          <m:sty m:val="bi"/>
                        </m:rPr>
                        <w:rPr>
                          <w:rFonts w:ascii="Cambria Math" w:eastAsia="Calibri" w:hAnsi="Cambria Math" w:cs="Arial"/>
                          <w:lang w:val="fr-FR"/>
                        </w:rPr>
                        <m:t>+</m:t>
                      </m:r>
                      <m:sSub>
                        <m:sSubPr>
                          <m:ctrlPr>
                            <w:rPr>
                              <w:rFonts w:ascii="Cambria Math" w:eastAsia="Calibri" w:hAnsi="Cambria Math" w:cs="Arial"/>
                              <w:b/>
                              <w:i/>
                              <w:lang w:val="fr-FR"/>
                            </w:rPr>
                          </m:ctrlPr>
                        </m:sSubPr>
                        <m:e>
                          <m:r>
                            <m:rPr>
                              <m:sty m:val="bi"/>
                            </m:rPr>
                            <w:rPr>
                              <w:rFonts w:ascii="Cambria Math" w:eastAsia="Calibri" w:hAnsi="Cambria Math" w:cs="Arial"/>
                              <w:lang w:val="fr-FR"/>
                            </w:rPr>
                            <m:t>K</m:t>
                          </m:r>
                        </m:e>
                        <m:sub>
                          <m:r>
                            <m:rPr>
                              <m:sty m:val="bi"/>
                            </m:rPr>
                            <w:rPr>
                              <w:rFonts w:ascii="Cambria Math" w:eastAsia="Calibri" w:hAnsi="Cambria Math" w:cs="Arial"/>
                              <w:lang w:val="fr-FR"/>
                            </w:rPr>
                            <m:t>2</m:t>
                          </m:r>
                        </m:sub>
                      </m:sSub>
                    </m:den>
                  </m:f>
                </m:e>
              </m:d>
            </m:e>
          </m:func>
        </m:oMath>
      </m:oMathPara>
      <w:bookmarkEnd w:id="1"/>
    </w:p>
    <w:p w14:paraId="3DA620FC" w14:textId="572A4BB6" w:rsidR="00800DB9" w:rsidRPr="0096742B" w:rsidRDefault="00800DB9" w:rsidP="00800DB9">
      <w:pPr>
        <w:spacing w:after="120"/>
        <w:ind w:left="2268" w:right="1134"/>
        <w:rPr>
          <w:rFonts w:eastAsia="Calibri" w:cs="Arial"/>
          <w:b/>
          <w:lang w:val="fr-FR"/>
        </w:rPr>
      </w:pPr>
      <w:r w:rsidRPr="0096742B">
        <w:rPr>
          <w:b/>
          <w:bCs/>
          <w:lang w:val="fr-FR"/>
        </w:rPr>
        <w:t>où</w:t>
      </w:r>
      <w:r w:rsidR="003109F6" w:rsidRPr="0096742B">
        <w:rPr>
          <w:b/>
          <w:bCs/>
          <w:lang w:val="fr-FR"/>
        </w:rPr>
        <w:t> :</w:t>
      </w:r>
    </w:p>
    <w:p w14:paraId="294C4ABA" w14:textId="33B0A360" w:rsidR="00800DB9" w:rsidRPr="0096742B" w:rsidRDefault="00800DB9" w:rsidP="00800DB9">
      <w:pPr>
        <w:tabs>
          <w:tab w:val="left" w:pos="2977"/>
          <w:tab w:val="left" w:pos="3261"/>
        </w:tabs>
        <w:spacing w:after="120"/>
        <w:ind w:left="2552"/>
        <w:rPr>
          <w:rFonts w:eastAsia="Calibri" w:cs="Arial"/>
          <w:b/>
          <w:strike/>
          <w:lang w:val="fr-FR"/>
        </w:rPr>
      </w:pPr>
      <w:r w:rsidRPr="0096742B">
        <w:rPr>
          <w:lang w:val="fr-FR"/>
        </w:rPr>
        <w:tab/>
      </w:r>
      <w:r w:rsidRPr="0096742B">
        <w:rPr>
          <w:b/>
          <w:bCs/>
          <w:lang w:val="fr-FR"/>
        </w:rPr>
        <w:t>ϑ</w:t>
      </w:r>
      <w:r w:rsidRPr="0096742B">
        <w:rPr>
          <w:b/>
          <w:bCs/>
          <w:vertAlign w:val="subscript"/>
          <w:lang w:val="fr-FR"/>
        </w:rPr>
        <w:t>ref </w:t>
      </w:r>
      <w:r w:rsidRPr="0096742B">
        <w:rPr>
          <w:b/>
          <w:bCs/>
          <w:lang w:val="fr-FR"/>
        </w:rPr>
        <w:t>= 20</w:t>
      </w:r>
      <w:r w:rsidR="00565127" w:rsidRPr="0096742B">
        <w:rPr>
          <w:b/>
          <w:bCs/>
          <w:lang w:val="fr-FR"/>
        </w:rPr>
        <w:t> </w:t>
      </w:r>
      <w:r w:rsidR="00565127" w:rsidRPr="0096742B">
        <w:rPr>
          <w:b/>
          <w:bCs/>
          <w:szCs w:val="18"/>
          <w:lang w:val="fr-FR"/>
        </w:rPr>
        <w:t>°</w:t>
      </w:r>
      <w:r w:rsidRPr="0096742B">
        <w:rPr>
          <w:b/>
          <w:bCs/>
          <w:lang w:val="fr-FR"/>
        </w:rPr>
        <w:t>C,</w:t>
      </w:r>
    </w:p>
    <w:p w14:paraId="6EDB799D" w14:textId="1B31AAE2" w:rsidR="00800DB9" w:rsidRPr="0096742B" w:rsidRDefault="00800DB9" w:rsidP="00800DB9">
      <w:pPr>
        <w:spacing w:before="120" w:after="120"/>
        <w:ind w:left="2268" w:right="1134"/>
        <w:rPr>
          <w:rFonts w:eastAsia="Calibri" w:cs="Arial"/>
          <w:b/>
          <w:lang w:val="fr-FR"/>
        </w:rPr>
      </w:pPr>
      <w:r w:rsidRPr="0096742B">
        <w:rPr>
          <w:b/>
          <w:bCs/>
          <w:lang w:val="fr-FR"/>
        </w:rPr>
        <w:t>et les coefficients K</w:t>
      </w:r>
      <w:r w:rsidRPr="0096742B">
        <w:rPr>
          <w:b/>
          <w:bCs/>
          <w:vertAlign w:val="subscript"/>
          <w:lang w:val="fr-FR"/>
        </w:rPr>
        <w:t>1</w:t>
      </w:r>
      <w:r w:rsidRPr="0096742B">
        <w:rPr>
          <w:b/>
          <w:bCs/>
          <w:lang w:val="fr-FR"/>
        </w:rPr>
        <w:t xml:space="preserve"> et K</w:t>
      </w:r>
      <w:r w:rsidRPr="0096742B">
        <w:rPr>
          <w:b/>
          <w:bCs/>
          <w:vertAlign w:val="subscript"/>
          <w:lang w:val="fr-FR"/>
        </w:rPr>
        <w:t>2</w:t>
      </w:r>
      <w:r w:rsidRPr="0096742B">
        <w:rPr>
          <w:b/>
          <w:bCs/>
          <w:lang w:val="fr-FR"/>
        </w:rPr>
        <w:t xml:space="preserve"> sont indiqués dans les tableaux ci-dessous</w:t>
      </w:r>
      <w:r w:rsidR="00E3523D" w:rsidRPr="0096742B">
        <w:rPr>
          <w:b/>
          <w:bCs/>
          <w:lang w:val="fr-FR"/>
        </w:rPr>
        <w:t>.</w:t>
      </w:r>
    </w:p>
    <w:p w14:paraId="74D57724" w14:textId="77777777" w:rsidR="00800DB9" w:rsidRPr="0096742B" w:rsidRDefault="00800DB9" w:rsidP="00800DB9">
      <w:pPr>
        <w:pStyle w:val="SingleTxtG"/>
        <w:ind w:left="2268"/>
        <w:rPr>
          <w:rFonts w:eastAsia="Calibri" w:cs="Arial"/>
          <w:b/>
          <w:lang w:val="fr-FR"/>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800DB9" w:rsidRPr="0096742B" w14:paraId="4ED2C9F9" w14:textId="77777777" w:rsidTr="00F818F9">
        <w:tc>
          <w:tcPr>
            <w:tcW w:w="3114" w:type="dxa"/>
          </w:tcPr>
          <w:p w14:paraId="3C488AB4" w14:textId="77777777" w:rsidR="00800DB9" w:rsidRPr="0096742B" w:rsidRDefault="00800DB9" w:rsidP="00F818F9">
            <w:pPr>
              <w:pStyle w:val="SingleTxtG"/>
              <w:ind w:left="0" w:right="140"/>
              <w:jc w:val="center"/>
              <w:rPr>
                <w:rFonts w:eastAsia="Calibri"/>
                <w:b/>
                <w:i/>
                <w:iCs/>
                <w:sz w:val="18"/>
                <w:szCs w:val="18"/>
                <w:lang w:val="fr-FR"/>
              </w:rPr>
            </w:pPr>
            <w:bookmarkStart w:id="2" w:name="_Hlk134804333"/>
            <w:r w:rsidRPr="0096742B">
              <w:rPr>
                <w:b/>
                <w:bCs/>
                <w:i/>
                <w:iCs/>
                <w:sz w:val="18"/>
                <w:szCs w:val="18"/>
                <w:lang w:val="fr-FR"/>
              </w:rPr>
              <w:t>Pneumatiques de la classe C1</w:t>
            </w:r>
          </w:p>
        </w:tc>
        <w:tc>
          <w:tcPr>
            <w:tcW w:w="992" w:type="dxa"/>
            <w:vAlign w:val="center"/>
          </w:tcPr>
          <w:p w14:paraId="45FDE126"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i/>
                <w:iCs/>
                <w:sz w:val="18"/>
                <w:szCs w:val="18"/>
                <w:vertAlign w:val="subscript"/>
                <w:lang w:val="fr-FR"/>
              </w:rPr>
            </w:pPr>
            <w:r w:rsidRPr="0096742B">
              <w:rPr>
                <w:rFonts w:ascii="Times New Roman" w:hAnsi="Times New Roman"/>
                <w:b/>
                <w:bCs/>
                <w:i/>
                <w:iCs/>
                <w:sz w:val="18"/>
                <w:szCs w:val="18"/>
                <w:lang w:val="fr-FR"/>
              </w:rPr>
              <w:t>K</w:t>
            </w:r>
            <w:r w:rsidRPr="0096742B">
              <w:rPr>
                <w:rFonts w:ascii="Times New Roman" w:hAnsi="Times New Roman"/>
                <w:b/>
                <w:bCs/>
                <w:i/>
                <w:iCs/>
                <w:sz w:val="18"/>
                <w:szCs w:val="18"/>
                <w:vertAlign w:val="subscript"/>
                <w:lang w:val="fr-FR"/>
              </w:rPr>
              <w:t>1</w:t>
            </w:r>
          </w:p>
          <w:p w14:paraId="37B34CC4" w14:textId="77777777" w:rsidR="00800DB9" w:rsidRPr="0096742B" w:rsidRDefault="00800DB9" w:rsidP="00F818F9">
            <w:pPr>
              <w:pStyle w:val="SingleTxtG"/>
              <w:ind w:left="0" w:right="0"/>
              <w:jc w:val="center"/>
              <w:rPr>
                <w:rFonts w:eastAsia="Calibri"/>
                <w:b/>
                <w:sz w:val="18"/>
                <w:szCs w:val="18"/>
                <w:lang w:val="fr-FR"/>
              </w:rPr>
            </w:pPr>
            <w:r w:rsidRPr="0096742B">
              <w:rPr>
                <w:b/>
                <w:bCs/>
                <w:i/>
                <w:iCs/>
                <w:sz w:val="18"/>
                <w:szCs w:val="18"/>
                <w:lang w:val="fr-FR"/>
              </w:rPr>
              <w:t>(°C)</w:t>
            </w:r>
          </w:p>
        </w:tc>
        <w:tc>
          <w:tcPr>
            <w:tcW w:w="992" w:type="dxa"/>
            <w:vAlign w:val="center"/>
          </w:tcPr>
          <w:p w14:paraId="7494CC7F"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i/>
                <w:iCs/>
                <w:sz w:val="18"/>
                <w:szCs w:val="18"/>
                <w:vertAlign w:val="subscript"/>
                <w:lang w:val="fr-FR"/>
              </w:rPr>
            </w:pPr>
            <w:r w:rsidRPr="0096742B">
              <w:rPr>
                <w:rFonts w:ascii="Times New Roman" w:hAnsi="Times New Roman"/>
                <w:b/>
                <w:bCs/>
                <w:i/>
                <w:iCs/>
                <w:sz w:val="18"/>
                <w:szCs w:val="18"/>
                <w:lang w:val="fr-FR"/>
              </w:rPr>
              <w:t>K</w:t>
            </w:r>
            <w:r w:rsidRPr="0096742B">
              <w:rPr>
                <w:rFonts w:ascii="Times New Roman" w:hAnsi="Times New Roman"/>
                <w:b/>
                <w:bCs/>
                <w:i/>
                <w:iCs/>
                <w:sz w:val="18"/>
                <w:szCs w:val="18"/>
                <w:vertAlign w:val="subscript"/>
                <w:lang w:val="fr-FR"/>
              </w:rPr>
              <w:t>2</w:t>
            </w:r>
          </w:p>
          <w:p w14:paraId="0B76276A" w14:textId="77777777" w:rsidR="00800DB9" w:rsidRPr="0096742B" w:rsidRDefault="00800DB9" w:rsidP="00F818F9">
            <w:pPr>
              <w:pStyle w:val="SingleTxtG"/>
              <w:ind w:left="0" w:right="0"/>
              <w:jc w:val="center"/>
              <w:rPr>
                <w:rFonts w:eastAsia="Calibri"/>
                <w:b/>
                <w:sz w:val="18"/>
                <w:szCs w:val="18"/>
                <w:lang w:val="fr-FR"/>
              </w:rPr>
            </w:pPr>
            <w:r w:rsidRPr="0096742B">
              <w:rPr>
                <w:b/>
                <w:bCs/>
                <w:i/>
                <w:iCs/>
                <w:sz w:val="18"/>
                <w:szCs w:val="18"/>
                <w:lang w:val="fr-FR"/>
              </w:rPr>
              <w:t>(°C)</w:t>
            </w:r>
          </w:p>
        </w:tc>
      </w:tr>
      <w:tr w:rsidR="00800DB9" w:rsidRPr="0096742B" w14:paraId="1EEE34B7" w14:textId="77777777" w:rsidTr="00F818F9">
        <w:tc>
          <w:tcPr>
            <w:tcW w:w="3114" w:type="dxa"/>
          </w:tcPr>
          <w:p w14:paraId="079B45B4" w14:textId="2A0AF91B" w:rsidR="00800DB9" w:rsidRPr="0096742B" w:rsidRDefault="00800DB9" w:rsidP="00F818F9">
            <w:pPr>
              <w:pStyle w:val="SingleTxtG"/>
              <w:ind w:left="137" w:right="140"/>
              <w:jc w:val="center"/>
              <w:rPr>
                <w:rFonts w:eastAsia="Calibri"/>
                <w:b/>
                <w:sz w:val="18"/>
                <w:szCs w:val="18"/>
                <w:lang w:val="fr-FR"/>
              </w:rPr>
            </w:pPr>
            <w:r w:rsidRPr="0096742B">
              <w:rPr>
                <w:b/>
                <w:bCs/>
                <w:sz w:val="18"/>
                <w:szCs w:val="18"/>
                <w:lang w:val="fr-FR"/>
              </w:rPr>
              <w:t>Pneumatiques classés comme pneumatiques pour conditions de</w:t>
            </w:r>
            <w:r w:rsidR="00565127" w:rsidRPr="0096742B">
              <w:rPr>
                <w:b/>
                <w:bCs/>
                <w:sz w:val="18"/>
                <w:szCs w:val="18"/>
                <w:lang w:val="fr-FR"/>
              </w:rPr>
              <w:t> </w:t>
            </w:r>
            <w:r w:rsidRPr="0096742B">
              <w:rPr>
                <w:b/>
                <w:bCs/>
                <w:sz w:val="18"/>
                <w:szCs w:val="18"/>
                <w:lang w:val="fr-FR"/>
              </w:rPr>
              <w:t>neige extrêmes</w:t>
            </w:r>
          </w:p>
        </w:tc>
        <w:tc>
          <w:tcPr>
            <w:tcW w:w="992" w:type="dxa"/>
            <w:vAlign w:val="center"/>
          </w:tcPr>
          <w:p w14:paraId="6ACDC19C"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1,35</w:t>
            </w:r>
          </w:p>
        </w:tc>
        <w:tc>
          <w:tcPr>
            <w:tcW w:w="992" w:type="dxa"/>
            <w:vAlign w:val="center"/>
          </w:tcPr>
          <w:p w14:paraId="728978DA"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2,29</w:t>
            </w:r>
          </w:p>
        </w:tc>
      </w:tr>
      <w:tr w:rsidR="00800DB9" w:rsidRPr="0096742B" w14:paraId="5DDECAD9" w14:textId="77777777" w:rsidTr="00F818F9">
        <w:tc>
          <w:tcPr>
            <w:tcW w:w="3114" w:type="dxa"/>
          </w:tcPr>
          <w:p w14:paraId="33690B27" w14:textId="77777777" w:rsidR="00800DB9" w:rsidRPr="0096742B" w:rsidRDefault="00800DB9" w:rsidP="00F818F9">
            <w:pPr>
              <w:pStyle w:val="SingleTxtG"/>
              <w:ind w:left="137" w:right="134"/>
              <w:jc w:val="center"/>
              <w:rPr>
                <w:rFonts w:eastAsia="Calibri"/>
                <w:b/>
                <w:sz w:val="18"/>
                <w:szCs w:val="18"/>
                <w:lang w:val="fr-FR"/>
              </w:rPr>
            </w:pPr>
            <w:r w:rsidRPr="0096742B">
              <w:rPr>
                <w:b/>
                <w:bCs/>
                <w:sz w:val="18"/>
                <w:szCs w:val="18"/>
                <w:lang w:val="fr-FR"/>
              </w:rPr>
              <w:t>Autres pneumatiques</w:t>
            </w:r>
          </w:p>
        </w:tc>
        <w:tc>
          <w:tcPr>
            <w:tcW w:w="992" w:type="dxa"/>
            <w:vAlign w:val="center"/>
          </w:tcPr>
          <w:p w14:paraId="5FDD9342"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[2,18]</w:t>
            </w:r>
          </w:p>
        </w:tc>
        <w:tc>
          <w:tcPr>
            <w:tcW w:w="992" w:type="dxa"/>
            <w:vAlign w:val="center"/>
          </w:tcPr>
          <w:p w14:paraId="52673EBD"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0</w:t>
            </w:r>
          </w:p>
        </w:tc>
      </w:tr>
      <w:bookmarkEnd w:id="2"/>
    </w:tbl>
    <w:p w14:paraId="4718E024" w14:textId="77777777" w:rsidR="00800DB9" w:rsidRPr="0096742B" w:rsidRDefault="00800DB9" w:rsidP="00800DB9">
      <w:pPr>
        <w:pStyle w:val="SingleTxtG"/>
        <w:ind w:left="2268"/>
        <w:rPr>
          <w:rFonts w:eastAsia="Calibri"/>
          <w:b/>
          <w:lang w:val="fr-FR"/>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800DB9" w:rsidRPr="0096742B" w14:paraId="5130D9EA" w14:textId="77777777" w:rsidTr="00F818F9">
        <w:tc>
          <w:tcPr>
            <w:tcW w:w="3114" w:type="dxa"/>
          </w:tcPr>
          <w:p w14:paraId="205BA1D7" w14:textId="77777777" w:rsidR="00800DB9" w:rsidRPr="0096742B" w:rsidRDefault="00800DB9" w:rsidP="00F818F9">
            <w:pPr>
              <w:pStyle w:val="SingleTxtG"/>
              <w:ind w:left="0" w:right="140"/>
              <w:jc w:val="center"/>
              <w:rPr>
                <w:rFonts w:eastAsia="Calibri"/>
                <w:b/>
                <w:i/>
                <w:iCs/>
                <w:sz w:val="18"/>
                <w:szCs w:val="18"/>
                <w:lang w:val="fr-FR"/>
              </w:rPr>
            </w:pPr>
            <w:r w:rsidRPr="0096742B">
              <w:rPr>
                <w:b/>
                <w:bCs/>
                <w:i/>
                <w:iCs/>
                <w:sz w:val="18"/>
                <w:szCs w:val="18"/>
                <w:lang w:val="fr-FR"/>
              </w:rPr>
              <w:t>Pneumatiques de la classe C2</w:t>
            </w:r>
          </w:p>
        </w:tc>
        <w:tc>
          <w:tcPr>
            <w:tcW w:w="992" w:type="dxa"/>
            <w:vAlign w:val="center"/>
          </w:tcPr>
          <w:p w14:paraId="765C89FF"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i/>
                <w:iCs/>
                <w:sz w:val="18"/>
                <w:szCs w:val="18"/>
                <w:vertAlign w:val="subscript"/>
                <w:lang w:val="fr-FR"/>
              </w:rPr>
            </w:pPr>
            <w:r w:rsidRPr="0096742B">
              <w:rPr>
                <w:rFonts w:ascii="Times New Roman" w:hAnsi="Times New Roman"/>
                <w:b/>
                <w:bCs/>
                <w:i/>
                <w:iCs/>
                <w:sz w:val="18"/>
                <w:szCs w:val="18"/>
                <w:lang w:val="fr-FR"/>
              </w:rPr>
              <w:t>K</w:t>
            </w:r>
            <w:r w:rsidRPr="0096742B">
              <w:rPr>
                <w:rFonts w:ascii="Times New Roman" w:hAnsi="Times New Roman"/>
                <w:b/>
                <w:bCs/>
                <w:i/>
                <w:iCs/>
                <w:sz w:val="18"/>
                <w:szCs w:val="18"/>
                <w:vertAlign w:val="subscript"/>
                <w:lang w:val="fr-FR"/>
              </w:rPr>
              <w:t>1</w:t>
            </w:r>
          </w:p>
          <w:p w14:paraId="5726F41F" w14:textId="77777777" w:rsidR="00800DB9" w:rsidRPr="0096742B" w:rsidRDefault="00800DB9" w:rsidP="00F818F9">
            <w:pPr>
              <w:pStyle w:val="SingleTxtG"/>
              <w:ind w:left="0" w:right="0"/>
              <w:jc w:val="center"/>
              <w:rPr>
                <w:rFonts w:eastAsia="Calibri"/>
                <w:b/>
                <w:sz w:val="18"/>
                <w:szCs w:val="18"/>
                <w:lang w:val="fr-FR"/>
              </w:rPr>
            </w:pPr>
            <w:r w:rsidRPr="0096742B">
              <w:rPr>
                <w:b/>
                <w:bCs/>
                <w:i/>
                <w:iCs/>
                <w:sz w:val="18"/>
                <w:szCs w:val="18"/>
                <w:lang w:val="fr-FR"/>
              </w:rPr>
              <w:t>(°C)</w:t>
            </w:r>
          </w:p>
        </w:tc>
        <w:tc>
          <w:tcPr>
            <w:tcW w:w="992" w:type="dxa"/>
            <w:vAlign w:val="center"/>
          </w:tcPr>
          <w:p w14:paraId="0C70261A"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i/>
                <w:iCs/>
                <w:sz w:val="18"/>
                <w:szCs w:val="18"/>
                <w:vertAlign w:val="subscript"/>
                <w:lang w:val="fr-FR"/>
              </w:rPr>
            </w:pPr>
            <w:r w:rsidRPr="0096742B">
              <w:rPr>
                <w:rFonts w:ascii="Times New Roman" w:hAnsi="Times New Roman"/>
                <w:b/>
                <w:bCs/>
                <w:i/>
                <w:iCs/>
                <w:sz w:val="18"/>
                <w:szCs w:val="18"/>
                <w:lang w:val="fr-FR"/>
              </w:rPr>
              <w:t>K</w:t>
            </w:r>
            <w:r w:rsidRPr="0096742B">
              <w:rPr>
                <w:rFonts w:ascii="Times New Roman" w:hAnsi="Times New Roman"/>
                <w:b/>
                <w:bCs/>
                <w:i/>
                <w:iCs/>
                <w:sz w:val="18"/>
                <w:szCs w:val="18"/>
                <w:vertAlign w:val="subscript"/>
                <w:lang w:val="fr-FR"/>
              </w:rPr>
              <w:t>2</w:t>
            </w:r>
          </w:p>
          <w:p w14:paraId="457268F2" w14:textId="77777777" w:rsidR="00800DB9" w:rsidRPr="0096742B" w:rsidRDefault="00800DB9" w:rsidP="00F818F9">
            <w:pPr>
              <w:pStyle w:val="SingleTxtG"/>
              <w:ind w:left="0" w:right="0"/>
              <w:jc w:val="center"/>
              <w:rPr>
                <w:rFonts w:eastAsia="Calibri"/>
                <w:b/>
                <w:sz w:val="18"/>
                <w:szCs w:val="18"/>
                <w:lang w:val="fr-FR"/>
              </w:rPr>
            </w:pPr>
            <w:r w:rsidRPr="0096742B">
              <w:rPr>
                <w:b/>
                <w:bCs/>
                <w:i/>
                <w:iCs/>
                <w:sz w:val="18"/>
                <w:szCs w:val="18"/>
                <w:lang w:val="fr-FR"/>
              </w:rPr>
              <w:t>(°C)</w:t>
            </w:r>
          </w:p>
        </w:tc>
      </w:tr>
      <w:tr w:rsidR="00800DB9" w:rsidRPr="0096742B" w14:paraId="2F0B9BF7" w14:textId="77777777" w:rsidTr="00F818F9">
        <w:tc>
          <w:tcPr>
            <w:tcW w:w="3114" w:type="dxa"/>
          </w:tcPr>
          <w:p w14:paraId="5A24C338" w14:textId="55F8A121" w:rsidR="00800DB9" w:rsidRPr="0096742B" w:rsidRDefault="00800DB9" w:rsidP="00F818F9">
            <w:pPr>
              <w:pStyle w:val="SingleTxtG"/>
              <w:ind w:left="137" w:right="140"/>
              <w:jc w:val="center"/>
              <w:rPr>
                <w:rFonts w:eastAsia="Calibri"/>
                <w:b/>
                <w:sz w:val="18"/>
                <w:szCs w:val="18"/>
                <w:lang w:val="fr-FR"/>
              </w:rPr>
            </w:pPr>
            <w:r w:rsidRPr="0096742B">
              <w:rPr>
                <w:b/>
                <w:bCs/>
                <w:sz w:val="18"/>
                <w:szCs w:val="18"/>
                <w:lang w:val="fr-FR"/>
              </w:rPr>
              <w:t>Pneumatiques classés comme pneumatiques pour conditions de</w:t>
            </w:r>
            <w:r w:rsidR="00565127" w:rsidRPr="0096742B">
              <w:rPr>
                <w:b/>
                <w:bCs/>
                <w:sz w:val="18"/>
                <w:szCs w:val="18"/>
                <w:lang w:val="fr-FR"/>
              </w:rPr>
              <w:t> </w:t>
            </w:r>
            <w:r w:rsidRPr="0096742B">
              <w:rPr>
                <w:b/>
                <w:bCs/>
                <w:sz w:val="18"/>
                <w:szCs w:val="18"/>
                <w:lang w:val="fr-FR"/>
              </w:rPr>
              <w:t>neige extrêmes</w:t>
            </w:r>
          </w:p>
        </w:tc>
        <w:tc>
          <w:tcPr>
            <w:tcW w:w="992" w:type="dxa"/>
            <w:vAlign w:val="center"/>
          </w:tcPr>
          <w:p w14:paraId="4F6213AF"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0</w:t>
            </w:r>
          </w:p>
        </w:tc>
        <w:tc>
          <w:tcPr>
            <w:tcW w:w="992" w:type="dxa"/>
            <w:vAlign w:val="center"/>
          </w:tcPr>
          <w:p w14:paraId="009A0056"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0</w:t>
            </w:r>
          </w:p>
        </w:tc>
      </w:tr>
      <w:tr w:rsidR="00800DB9" w:rsidRPr="0096742B" w14:paraId="14A614C6" w14:textId="77777777" w:rsidTr="00F818F9">
        <w:tc>
          <w:tcPr>
            <w:tcW w:w="3114" w:type="dxa"/>
          </w:tcPr>
          <w:p w14:paraId="6B6B1976" w14:textId="77777777" w:rsidR="00800DB9" w:rsidRPr="0096742B" w:rsidRDefault="00800DB9" w:rsidP="00F818F9">
            <w:pPr>
              <w:pStyle w:val="SingleTxtG"/>
              <w:ind w:left="137" w:right="134"/>
              <w:jc w:val="center"/>
              <w:rPr>
                <w:rFonts w:eastAsia="Calibri"/>
                <w:b/>
                <w:sz w:val="18"/>
                <w:szCs w:val="18"/>
                <w:lang w:val="fr-FR"/>
              </w:rPr>
            </w:pPr>
            <w:r w:rsidRPr="0096742B">
              <w:rPr>
                <w:b/>
                <w:bCs/>
                <w:sz w:val="18"/>
                <w:szCs w:val="18"/>
                <w:lang w:val="fr-FR"/>
              </w:rPr>
              <w:t>Autres pneumatiques</w:t>
            </w:r>
          </w:p>
        </w:tc>
        <w:tc>
          <w:tcPr>
            <w:tcW w:w="992" w:type="dxa"/>
            <w:vAlign w:val="center"/>
          </w:tcPr>
          <w:p w14:paraId="06BCBB32"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1,22</w:t>
            </w:r>
          </w:p>
        </w:tc>
        <w:tc>
          <w:tcPr>
            <w:tcW w:w="992" w:type="dxa"/>
            <w:vAlign w:val="center"/>
          </w:tcPr>
          <w:p w14:paraId="116617A7" w14:textId="77777777" w:rsidR="00800DB9" w:rsidRPr="0096742B" w:rsidRDefault="00800DB9" w:rsidP="00F818F9">
            <w:pPr>
              <w:pStyle w:val="Tableheader"/>
              <w:autoSpaceDE w:val="0"/>
              <w:autoSpaceDN w:val="0"/>
              <w:adjustRightInd w:val="0"/>
              <w:spacing w:before="0" w:after="120" w:line="240" w:lineRule="atLeast"/>
              <w:jc w:val="center"/>
              <w:rPr>
                <w:rFonts w:ascii="Times New Roman" w:hAnsi="Times New Roman"/>
                <w:b/>
                <w:sz w:val="18"/>
                <w:szCs w:val="18"/>
                <w:lang w:val="fr-FR"/>
              </w:rPr>
            </w:pPr>
            <w:r w:rsidRPr="0096742B">
              <w:rPr>
                <w:rFonts w:ascii="Times New Roman" w:hAnsi="Times New Roman"/>
                <w:b/>
                <w:bCs/>
                <w:sz w:val="18"/>
                <w:szCs w:val="18"/>
                <w:lang w:val="fr-FR"/>
              </w:rPr>
              <w:t>0</w:t>
            </w:r>
          </w:p>
        </w:tc>
      </w:tr>
    </w:tbl>
    <w:p w14:paraId="42779EC3" w14:textId="77777777" w:rsidR="00800DB9" w:rsidRPr="0096742B" w:rsidRDefault="00800DB9" w:rsidP="00800DB9">
      <w:pPr>
        <w:pStyle w:val="SingleTxtG"/>
        <w:ind w:left="2268"/>
        <w:rPr>
          <w:bCs/>
          <w:lang w:val="fr-FR"/>
        </w:rPr>
      </w:pPr>
    </w:p>
    <w:p w14:paraId="0212667A" w14:textId="03E83E23" w:rsidR="00800DB9" w:rsidRPr="0096742B" w:rsidRDefault="00800DB9" w:rsidP="00800DB9">
      <w:pPr>
        <w:keepNext/>
        <w:keepLines/>
        <w:spacing w:after="120"/>
        <w:ind w:left="2268" w:right="1134" w:hanging="1134"/>
        <w:jc w:val="both"/>
        <w:rPr>
          <w:rFonts w:eastAsia="Calibri" w:cs="Arial"/>
          <w:b/>
          <w:bCs/>
          <w:lang w:val="fr-FR"/>
        </w:rPr>
      </w:pPr>
      <w:r w:rsidRPr="0096742B">
        <w:rPr>
          <w:b/>
          <w:bCs/>
          <w:lang w:val="fr-FR"/>
        </w:rPr>
        <w:lastRenderedPageBreak/>
        <w:t>4</w:t>
      </w:r>
      <w:r w:rsidR="00E3523D" w:rsidRPr="0096742B">
        <w:rPr>
          <w:b/>
          <w:bCs/>
          <w:lang w:val="fr-FR"/>
        </w:rPr>
        <w:t>.</w:t>
      </w:r>
      <w:r w:rsidRPr="0096742B">
        <w:rPr>
          <w:b/>
          <w:bCs/>
          <w:lang w:val="fr-FR"/>
        </w:rPr>
        <w:t>2</w:t>
      </w:r>
      <w:r w:rsidR="00E3523D" w:rsidRPr="0096742B">
        <w:rPr>
          <w:b/>
          <w:bCs/>
          <w:lang w:val="fr-FR"/>
        </w:rPr>
        <w:t>.</w:t>
      </w:r>
      <w:r w:rsidRPr="0096742B">
        <w:rPr>
          <w:b/>
          <w:bCs/>
          <w:lang w:val="fr-FR"/>
        </w:rPr>
        <w:t>3</w:t>
      </w:r>
      <w:r w:rsidRPr="0096742B">
        <w:rPr>
          <w:lang w:val="fr-FR"/>
        </w:rPr>
        <w:tab/>
        <w:t>Nonobstant la procédure ci-dessus, la correction de température peut n</w:t>
      </w:r>
      <w:r w:rsidR="003109F6" w:rsidRPr="0096742B">
        <w:rPr>
          <w:lang w:val="fr-FR"/>
        </w:rPr>
        <w:t>’</w:t>
      </w:r>
      <w:r w:rsidRPr="0096742B">
        <w:rPr>
          <w:lang w:val="fr-FR"/>
        </w:rPr>
        <w:t>être appliquée qu</w:t>
      </w:r>
      <w:r w:rsidR="003109F6" w:rsidRPr="0096742B">
        <w:rPr>
          <w:lang w:val="fr-FR"/>
        </w:rPr>
        <w:t>’</w:t>
      </w:r>
      <w:r w:rsidRPr="0096742B">
        <w:rPr>
          <w:lang w:val="fr-FR"/>
        </w:rPr>
        <w:t>au niveau final du bruit de roulement enregistré L</w:t>
      </w:r>
      <w:r w:rsidRPr="0096742B">
        <w:rPr>
          <w:vertAlign w:val="subscript"/>
          <w:lang w:val="fr-FR"/>
        </w:rPr>
        <w:t>R</w:t>
      </w:r>
      <w:r w:rsidRPr="0096742B">
        <w:rPr>
          <w:lang w:val="fr-FR"/>
        </w:rPr>
        <w:t>, en retenant la moyenne arithmétique des températures mesurées, si la température mesurée du revêtement ne varie pas de plus de 5 </w:t>
      </w:r>
      <w:r w:rsidR="00565127" w:rsidRPr="0096742B">
        <w:rPr>
          <w:szCs w:val="18"/>
          <w:lang w:val="fr-FR"/>
        </w:rPr>
        <w:t>°</w:t>
      </w:r>
      <w:r w:rsidRPr="0096742B">
        <w:rPr>
          <w:lang w:val="fr-FR"/>
        </w:rPr>
        <w:t>C dans toutes les mesures nécessaires pour déterminer le niveau sonore d</w:t>
      </w:r>
      <w:r w:rsidR="003109F6" w:rsidRPr="0096742B">
        <w:rPr>
          <w:lang w:val="fr-FR"/>
        </w:rPr>
        <w:t>’</w:t>
      </w:r>
      <w:r w:rsidRPr="0096742B">
        <w:rPr>
          <w:lang w:val="fr-FR"/>
        </w:rPr>
        <w:t>un jeu de pneumatiques</w:t>
      </w:r>
      <w:r w:rsidR="00E3523D" w:rsidRPr="0096742B">
        <w:rPr>
          <w:lang w:val="fr-FR"/>
        </w:rPr>
        <w:t>.</w:t>
      </w:r>
      <w:r w:rsidRPr="0096742B">
        <w:rPr>
          <w:lang w:val="fr-FR"/>
        </w:rPr>
        <w:t xml:space="preserve"> Dans ce cas, l</w:t>
      </w:r>
      <w:r w:rsidR="003109F6" w:rsidRPr="0096742B">
        <w:rPr>
          <w:lang w:val="fr-FR"/>
        </w:rPr>
        <w:t>’</w:t>
      </w:r>
      <w:r w:rsidRPr="0096742B">
        <w:rPr>
          <w:lang w:val="fr-FR"/>
        </w:rPr>
        <w:t>analyse de régression décrite ci-après doit être fondée sur les niveaux sonores non corrigés L</w:t>
      </w:r>
      <w:r w:rsidRPr="0096742B">
        <w:rPr>
          <w:vertAlign w:val="subscript"/>
          <w:lang w:val="fr-FR"/>
        </w:rPr>
        <w:t>i</w:t>
      </w:r>
      <w:r w:rsidRPr="0096742B">
        <w:rPr>
          <w:lang w:val="fr-FR"/>
        </w:rPr>
        <w:t>(ϑ</w:t>
      </w:r>
      <w:r w:rsidRPr="0096742B">
        <w:rPr>
          <w:vertAlign w:val="subscript"/>
          <w:lang w:val="fr-FR"/>
        </w:rPr>
        <w:t>i</w:t>
      </w:r>
      <w:r w:rsidRPr="0096742B">
        <w:rPr>
          <w:lang w:val="fr-FR"/>
        </w:rPr>
        <w:t>)</w:t>
      </w:r>
      <w:r w:rsidR="00E3523D" w:rsidRPr="0096742B">
        <w:rPr>
          <w:lang w:val="fr-FR"/>
        </w:rPr>
        <w:t>.</w:t>
      </w:r>
    </w:p>
    <w:p w14:paraId="16F1FC50" w14:textId="085989F2" w:rsidR="00800DB9" w:rsidRPr="0096742B" w:rsidRDefault="00800DB9" w:rsidP="00800DB9">
      <w:pPr>
        <w:pStyle w:val="ListParagraph"/>
        <w:spacing w:after="120"/>
        <w:ind w:left="2268" w:right="1134" w:hanging="1134"/>
        <w:contextualSpacing w:val="0"/>
        <w:jc w:val="both"/>
        <w:rPr>
          <w:spacing w:val="-3"/>
          <w:lang w:val="fr-FR"/>
        </w:rPr>
      </w:pPr>
      <w:r w:rsidRPr="0096742B">
        <w:rPr>
          <w:lang w:val="fr-FR"/>
        </w:rPr>
        <w:tab/>
      </w:r>
      <w:r w:rsidRPr="0096742B">
        <w:rPr>
          <w:spacing w:val="-3"/>
          <w:lang w:val="fr-FR"/>
        </w:rPr>
        <w:t>Il n</w:t>
      </w:r>
      <w:r w:rsidR="003109F6" w:rsidRPr="0096742B">
        <w:rPr>
          <w:spacing w:val="-3"/>
          <w:lang w:val="fr-FR"/>
        </w:rPr>
        <w:t>’</w:t>
      </w:r>
      <w:r w:rsidRPr="0096742B">
        <w:rPr>
          <w:spacing w:val="-3"/>
          <w:lang w:val="fr-FR"/>
        </w:rPr>
        <w:t>y a pas de correction de température pour les pneumatiques de la classe</w:t>
      </w:r>
      <w:r w:rsidR="00565127" w:rsidRPr="0096742B">
        <w:rPr>
          <w:spacing w:val="-3"/>
          <w:lang w:val="fr-FR"/>
        </w:rPr>
        <w:t> </w:t>
      </w:r>
      <w:r w:rsidRPr="0096742B">
        <w:rPr>
          <w:spacing w:val="-3"/>
          <w:lang w:val="fr-FR"/>
        </w:rPr>
        <w:t>C3</w:t>
      </w:r>
      <w:r w:rsidR="00E3523D" w:rsidRPr="0096742B">
        <w:rPr>
          <w:spacing w:val="-3"/>
          <w:lang w:val="fr-FR"/>
        </w:rPr>
        <w:t>.</w:t>
      </w:r>
      <w:r w:rsidRPr="0096742B">
        <w:rPr>
          <w:spacing w:val="-3"/>
          <w:lang w:val="fr-FR"/>
        </w:rPr>
        <w:t> »</w:t>
      </w:r>
      <w:r w:rsidR="00E3523D" w:rsidRPr="0096742B">
        <w:rPr>
          <w:spacing w:val="-3"/>
          <w:lang w:val="fr-FR"/>
        </w:rPr>
        <w:t>.</w:t>
      </w:r>
    </w:p>
    <w:p w14:paraId="5C694010" w14:textId="0E0F165E" w:rsidR="00800DB9" w:rsidRPr="0096742B" w:rsidRDefault="00800DB9" w:rsidP="00800DB9">
      <w:pPr>
        <w:pStyle w:val="HChG"/>
        <w:spacing w:before="0" w:after="120" w:line="240" w:lineRule="exact"/>
        <w:ind w:left="2268" w:right="521"/>
        <w:rPr>
          <w:b w:val="0"/>
          <w:bCs/>
          <w:sz w:val="14"/>
          <w:szCs w:val="14"/>
          <w:lang w:val="fr-FR"/>
        </w:rPr>
      </w:pPr>
      <w:r w:rsidRPr="0096742B">
        <w:rPr>
          <w:b w:val="0"/>
          <w:bCs/>
          <w:i/>
          <w:iCs/>
          <w:sz w:val="20"/>
          <w:szCs w:val="14"/>
          <w:lang w:val="fr-FR"/>
        </w:rPr>
        <w:t>Annexe 4</w:t>
      </w:r>
      <w:r w:rsidRPr="0096742B">
        <w:rPr>
          <w:b w:val="0"/>
          <w:bCs/>
          <w:sz w:val="20"/>
          <w:szCs w:val="14"/>
          <w:lang w:val="fr-FR"/>
        </w:rPr>
        <w:t>, lire</w:t>
      </w:r>
      <w:r w:rsidR="003109F6" w:rsidRPr="0096742B">
        <w:rPr>
          <w:b w:val="0"/>
          <w:bCs/>
          <w:sz w:val="20"/>
          <w:szCs w:val="14"/>
          <w:lang w:val="fr-FR"/>
        </w:rPr>
        <w:t> :</w:t>
      </w:r>
    </w:p>
    <w:p w14:paraId="4CCB7CBB" w14:textId="77777777" w:rsidR="00800DB9" w:rsidRPr="0096742B" w:rsidRDefault="00800DB9" w:rsidP="00800DB9">
      <w:pPr>
        <w:pStyle w:val="HChG"/>
        <w:rPr>
          <w:lang w:val="fr-FR"/>
        </w:rPr>
      </w:pPr>
      <w:r w:rsidRPr="0096742B">
        <w:rPr>
          <w:b w:val="0"/>
          <w:bCs/>
          <w:sz w:val="20"/>
          <w:szCs w:val="14"/>
          <w:lang w:val="fr-FR"/>
        </w:rPr>
        <w:t>« </w:t>
      </w:r>
      <w:r w:rsidRPr="0096742B">
        <w:rPr>
          <w:bCs/>
          <w:lang w:val="fr-FR"/>
        </w:rPr>
        <w:t>Annexe 4</w:t>
      </w:r>
    </w:p>
    <w:p w14:paraId="357CE062" w14:textId="2DFEEA8A" w:rsidR="00800DB9" w:rsidRPr="0096742B" w:rsidRDefault="00800DB9" w:rsidP="00800DB9">
      <w:pPr>
        <w:pStyle w:val="HChG"/>
        <w:rPr>
          <w:rFonts w:asciiTheme="majorBidi" w:hAnsiTheme="majorBidi" w:cstheme="majorBidi"/>
          <w:strike/>
          <w:lang w:val="fr-FR"/>
        </w:rPr>
      </w:pPr>
      <w:r w:rsidRPr="0096742B">
        <w:rPr>
          <w:lang w:val="fr-FR"/>
        </w:rPr>
        <w:tab/>
      </w:r>
      <w:r w:rsidRPr="0096742B">
        <w:rPr>
          <w:lang w:val="fr-FR"/>
        </w:rPr>
        <w:tab/>
      </w:r>
      <w:r w:rsidRPr="0096742B">
        <w:rPr>
          <w:bCs/>
          <w:lang w:val="fr-FR"/>
        </w:rPr>
        <w:t xml:space="preserve">Réservé </w:t>
      </w:r>
      <w:r w:rsidRPr="0096742B">
        <w:rPr>
          <w:rFonts w:asciiTheme="majorBidi" w:hAnsiTheme="majorBidi" w:cstheme="majorBidi"/>
          <w:strike/>
          <w:lang w:val="fr-FR"/>
        </w:rPr>
        <w:t>Caractéristiques du terrain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Pr="0096742B">
        <w:rPr>
          <w:rStyle w:val="FootnoteReference"/>
          <w:b w:val="0"/>
          <w:bCs/>
          <w:strike/>
          <w:lang w:val="fr-FR"/>
        </w:rPr>
        <w:footnoteReference w:id="3"/>
      </w:r>
    </w:p>
    <w:p w14:paraId="12B8F043" w14:textId="1D8E7632"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ab/>
        <w:t>Introduction</w:t>
      </w:r>
    </w:p>
    <w:p w14:paraId="5BE5F9F4" w14:textId="1F5593B9"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La présente annexe contient les prescriptions applicables aux caractéristiques physiques et à la construction du terrain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Ces prescriptions, fondées sur une norme particulière</w:t>
      </w:r>
      <w:r w:rsidRPr="0096742B">
        <w:rPr>
          <w:rStyle w:val="FootnoteReference"/>
          <w:lang w:val="fr-FR"/>
        </w:rPr>
        <w:footnoteReference w:id="4"/>
      </w:r>
      <w:r w:rsidRPr="0096742B">
        <w:rPr>
          <w:rFonts w:asciiTheme="majorBidi" w:hAnsiTheme="majorBidi" w:cstheme="majorBidi"/>
          <w:strike/>
          <w:lang w:val="fr-FR"/>
        </w:rPr>
        <w:t>, précisent les caractéristiques physiques requises ainsi que les méthodes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permettant de les vérifier</w:t>
      </w:r>
      <w:r w:rsidR="00E3523D" w:rsidRPr="0096742B">
        <w:rPr>
          <w:rFonts w:asciiTheme="majorBidi" w:hAnsiTheme="majorBidi" w:cstheme="majorBidi"/>
          <w:strike/>
          <w:lang w:val="fr-FR"/>
        </w:rPr>
        <w:t>.</w:t>
      </w:r>
    </w:p>
    <w:p w14:paraId="20B2E7A6" w14:textId="6F789C84"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ab/>
        <w:t>Caractéristiques de revêtement requises</w:t>
      </w:r>
    </w:p>
    <w:p w14:paraId="0A6D9543" w14:textId="3F1FD9A8"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Un revêtement est considéré comme conforme à la norme susmentionnée si sa texture et sa teneur en vides ou son coefficient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ont été mesurés et satisfont à toutes les exigences énoncées aux paragraphes 2</w:t>
      </w:r>
      <w:r w:rsidR="00E3523D" w:rsidRPr="0096742B">
        <w:rPr>
          <w:rFonts w:asciiTheme="majorBidi" w:hAnsiTheme="majorBidi" w:cstheme="majorBidi"/>
          <w:strike/>
          <w:lang w:val="fr-FR"/>
        </w:rPr>
        <w:t>.</w:t>
      </w:r>
      <w:r w:rsidRPr="0096742B">
        <w:rPr>
          <w:rFonts w:asciiTheme="majorBidi" w:hAnsiTheme="majorBidi" w:cstheme="majorBidi"/>
          <w:strike/>
          <w:lang w:val="fr-FR"/>
        </w:rPr>
        <w:t>1 à 2</w:t>
      </w:r>
      <w:r w:rsidR="00E3523D" w:rsidRPr="0096742B">
        <w:rPr>
          <w:rFonts w:asciiTheme="majorBidi" w:hAnsiTheme="majorBidi" w:cstheme="majorBidi"/>
          <w:strike/>
          <w:lang w:val="fr-FR"/>
        </w:rPr>
        <w:t>.</w:t>
      </w:r>
      <w:r w:rsidRPr="0096742B">
        <w:rPr>
          <w:rFonts w:asciiTheme="majorBidi" w:hAnsiTheme="majorBidi" w:cstheme="majorBidi"/>
          <w:strike/>
          <w:lang w:val="fr-FR"/>
        </w:rPr>
        <w:t>4 ci-après, ainsi qu</w:t>
      </w:r>
      <w:r w:rsidR="003109F6" w:rsidRPr="0096742B">
        <w:rPr>
          <w:rFonts w:asciiTheme="majorBidi" w:hAnsiTheme="majorBidi" w:cstheme="majorBidi"/>
          <w:strike/>
          <w:lang w:val="fr-FR"/>
        </w:rPr>
        <w:t>’</w:t>
      </w:r>
      <w:r w:rsidRPr="0096742B">
        <w:rPr>
          <w:rFonts w:asciiTheme="majorBidi" w:hAnsiTheme="majorBidi" w:cstheme="majorBidi"/>
          <w:strike/>
          <w:lang w:val="fr-FR"/>
        </w:rPr>
        <w:t>aux prescriptions de conception (par</w:t>
      </w:r>
      <w:r w:rsidR="00E3523D" w:rsidRPr="0096742B">
        <w:rPr>
          <w:rFonts w:asciiTheme="majorBidi" w:hAnsiTheme="majorBidi" w:cstheme="majorBidi"/>
          <w:strike/>
          <w:lang w:val="fr-FR"/>
        </w:rPr>
        <w:t>.</w:t>
      </w:r>
      <w:r w:rsidRPr="0096742B">
        <w:rPr>
          <w:rFonts w:asciiTheme="majorBidi" w:hAnsiTheme="majorBidi" w:cstheme="majorBidi"/>
          <w:strike/>
          <w:lang w:val="fr-FR"/>
        </w:rPr>
        <w:t> 3</w:t>
      </w:r>
      <w:r w:rsidR="00E3523D" w:rsidRPr="0096742B">
        <w:rPr>
          <w:rFonts w:asciiTheme="majorBidi" w:hAnsiTheme="majorBidi" w:cstheme="majorBidi"/>
          <w:strike/>
          <w:lang w:val="fr-FR"/>
        </w:rPr>
        <w:t>.</w:t>
      </w:r>
      <w:r w:rsidRPr="0096742B">
        <w:rPr>
          <w:rFonts w:asciiTheme="majorBidi" w:hAnsiTheme="majorBidi" w:cstheme="majorBidi"/>
          <w:strike/>
          <w:lang w:val="fr-FR"/>
        </w:rPr>
        <w:t>2 ci-dessous)</w:t>
      </w:r>
      <w:r w:rsidR="00E3523D" w:rsidRPr="0096742B">
        <w:rPr>
          <w:rFonts w:asciiTheme="majorBidi" w:hAnsiTheme="majorBidi" w:cstheme="majorBidi"/>
          <w:strike/>
          <w:lang w:val="fr-FR"/>
        </w:rPr>
        <w:t>.</w:t>
      </w:r>
    </w:p>
    <w:p w14:paraId="2903E988" w14:textId="16FC0CFB"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Teneur en vides résiduels</w:t>
      </w:r>
    </w:p>
    <w:p w14:paraId="1622D71B" w14:textId="0B304679"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La teneur en vides résiduels VC du mélange utilisé pour le revêtement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ne peut dépasser 8</w:t>
      </w:r>
      <w:r w:rsidR="003109F6" w:rsidRPr="0096742B">
        <w:rPr>
          <w:rFonts w:asciiTheme="majorBidi" w:hAnsiTheme="majorBidi" w:cstheme="majorBidi"/>
          <w:strike/>
          <w:lang w:val="fr-FR"/>
        </w:rPr>
        <w:t> %</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Voir le paragraphe 4</w:t>
      </w:r>
      <w:r w:rsidR="00E3523D" w:rsidRPr="0096742B">
        <w:rPr>
          <w:rFonts w:asciiTheme="majorBidi" w:hAnsiTheme="majorBidi" w:cstheme="majorBidi"/>
          <w:strike/>
          <w:lang w:val="fr-FR"/>
        </w:rPr>
        <w:t>.</w:t>
      </w:r>
      <w:r w:rsidRPr="0096742B">
        <w:rPr>
          <w:rFonts w:asciiTheme="majorBidi" w:hAnsiTheme="majorBidi" w:cstheme="majorBidi"/>
          <w:strike/>
          <w:lang w:val="fr-FR"/>
        </w:rPr>
        <w:t>1 de la présente annexe pour la procédure de mesurage</w:t>
      </w:r>
      <w:r w:rsidR="00E3523D" w:rsidRPr="0096742B">
        <w:rPr>
          <w:rFonts w:asciiTheme="majorBidi" w:hAnsiTheme="majorBidi" w:cstheme="majorBidi"/>
          <w:strike/>
          <w:lang w:val="fr-FR"/>
        </w:rPr>
        <w:t>.</w:t>
      </w:r>
    </w:p>
    <w:p w14:paraId="51A2F256" w14:textId="2E0E1BCF"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Coefficient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w:t>
      </w:r>
    </w:p>
    <w:p w14:paraId="7337AAAD" w14:textId="2FA0F3CF"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Si le revêtement ne satisfait pas à l</w:t>
      </w:r>
      <w:r w:rsidR="003109F6" w:rsidRPr="0096742B">
        <w:rPr>
          <w:rFonts w:asciiTheme="majorBidi" w:hAnsiTheme="majorBidi" w:cstheme="majorBidi"/>
          <w:strike/>
          <w:lang w:val="fr-FR"/>
        </w:rPr>
        <w:t>’</w:t>
      </w:r>
      <w:r w:rsidRPr="0096742B">
        <w:rPr>
          <w:rFonts w:asciiTheme="majorBidi" w:hAnsiTheme="majorBidi" w:cstheme="majorBidi"/>
          <w:strike/>
          <w:lang w:val="fr-FR"/>
        </w:rPr>
        <w:t>exigence de teneur en vides résiduels, il n</w:t>
      </w:r>
      <w:r w:rsidR="003109F6" w:rsidRPr="0096742B">
        <w:rPr>
          <w:rFonts w:asciiTheme="majorBidi" w:hAnsiTheme="majorBidi" w:cstheme="majorBidi"/>
          <w:strike/>
          <w:lang w:val="fr-FR"/>
        </w:rPr>
        <w:t>’</w:t>
      </w:r>
      <w:r w:rsidRPr="0096742B">
        <w:rPr>
          <w:rFonts w:asciiTheme="majorBidi" w:hAnsiTheme="majorBidi" w:cstheme="majorBidi"/>
          <w:strike/>
          <w:lang w:val="fr-FR"/>
        </w:rPr>
        <w:t>est acceptable que si son coefficient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α est inférieur ou égal à 0,10</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Voir le paragraphe 4</w:t>
      </w:r>
      <w:r w:rsidR="00E3523D" w:rsidRPr="0096742B">
        <w:rPr>
          <w:rFonts w:asciiTheme="majorBidi" w:hAnsiTheme="majorBidi" w:cstheme="majorBidi"/>
          <w:strike/>
          <w:lang w:val="fr-FR"/>
        </w:rPr>
        <w:t>.</w:t>
      </w:r>
      <w:r w:rsidRPr="0096742B">
        <w:rPr>
          <w:rFonts w:asciiTheme="majorBidi" w:hAnsiTheme="majorBidi" w:cstheme="majorBidi"/>
          <w:strike/>
          <w:lang w:val="fr-FR"/>
        </w:rPr>
        <w:t>2 ci-dessous pour la procédure de mesurage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Les prescriptions énoncées au présent paragraphe et au paragraphe 2</w:t>
      </w:r>
      <w:r w:rsidR="00E3523D" w:rsidRPr="0096742B">
        <w:rPr>
          <w:rFonts w:asciiTheme="majorBidi" w:hAnsiTheme="majorBidi" w:cstheme="majorBidi"/>
          <w:strike/>
          <w:lang w:val="fr-FR"/>
        </w:rPr>
        <w:t>.</w:t>
      </w:r>
      <w:r w:rsidRPr="0096742B">
        <w:rPr>
          <w:rFonts w:asciiTheme="majorBidi" w:hAnsiTheme="majorBidi" w:cstheme="majorBidi"/>
          <w:strike/>
          <w:lang w:val="fr-FR"/>
        </w:rPr>
        <w:t>1 ci-dessus sont également respectées si seule l</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a été mesurée et qu</w:t>
      </w:r>
      <w:r w:rsidR="003109F6" w:rsidRPr="0096742B">
        <w:rPr>
          <w:rFonts w:asciiTheme="majorBidi" w:hAnsiTheme="majorBidi" w:cstheme="majorBidi"/>
          <w:strike/>
          <w:lang w:val="fr-FR"/>
        </w:rPr>
        <w:t>’</w:t>
      </w:r>
      <w:r w:rsidRPr="0096742B">
        <w:rPr>
          <w:rFonts w:asciiTheme="majorBidi" w:hAnsiTheme="majorBidi" w:cstheme="majorBidi"/>
          <w:strike/>
          <w:lang w:val="fr-FR"/>
        </w:rPr>
        <w:t>elle est inférieure ou égale à 0,10</w:t>
      </w:r>
      <w:r w:rsidR="00E3523D" w:rsidRPr="0096742B">
        <w:rPr>
          <w:rFonts w:asciiTheme="majorBidi" w:hAnsiTheme="majorBidi" w:cstheme="majorBidi"/>
          <w:strike/>
          <w:lang w:val="fr-FR"/>
        </w:rPr>
        <w:t>.</w:t>
      </w:r>
    </w:p>
    <w:p w14:paraId="399B9C18" w14:textId="57055FBA"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i/>
          <w:strike/>
          <w:lang w:val="fr-FR"/>
        </w:rPr>
        <w:t>Note</w:t>
      </w:r>
      <w:r w:rsidR="003109F6" w:rsidRPr="0096742B">
        <w:rPr>
          <w:rFonts w:asciiTheme="majorBidi" w:hAnsiTheme="majorBidi" w:cstheme="majorBidi"/>
          <w:strike/>
          <w:lang w:val="fr-FR"/>
        </w:rPr>
        <w:t> :</w:t>
      </w:r>
      <w:r w:rsidRPr="0096742B">
        <w:rPr>
          <w:rFonts w:asciiTheme="majorBidi" w:hAnsiTheme="majorBidi" w:cstheme="majorBidi"/>
          <w:strike/>
          <w:lang w:val="fr-FR"/>
        </w:rPr>
        <w:t xml:space="preserve"> Le paramètre le plus significatif est l</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bien que la teneur en vides résiduels soit plus familière aux entrepreneurs</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Toutefois, l</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ne doit être mesurée que si le revêtement ne satisfait pas aux exigences en matière de vides</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Ceci est dû au fait que ce dernier paramètre est relativement incertain tant à cause du mesurage que de sa pertinence, de sorte que certains revêtements peuvent être refusés par erreur, uniquement sur la base du mesurage des vides</w:t>
      </w:r>
      <w:r w:rsidR="00E3523D" w:rsidRPr="0096742B">
        <w:rPr>
          <w:rFonts w:asciiTheme="majorBidi" w:hAnsiTheme="majorBidi" w:cstheme="majorBidi"/>
          <w:strike/>
          <w:lang w:val="fr-FR"/>
        </w:rPr>
        <w:t>.</w:t>
      </w:r>
    </w:p>
    <w:p w14:paraId="21C01844" w14:textId="32225E03"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3</w:t>
      </w:r>
      <w:r w:rsidRPr="0096742B">
        <w:rPr>
          <w:rFonts w:asciiTheme="majorBidi" w:hAnsiTheme="majorBidi" w:cstheme="majorBidi"/>
          <w:strike/>
          <w:lang w:val="fr-FR"/>
        </w:rPr>
        <w:tab/>
        <w:t>Profondeur de texture</w:t>
      </w:r>
    </w:p>
    <w:p w14:paraId="616FB07C" w14:textId="1E320EF8"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La profondeur de texture (PT) mesurée conformément à la méthode volumétrique (voir par</w:t>
      </w:r>
      <w:r w:rsidR="00E3523D" w:rsidRPr="0096742B">
        <w:rPr>
          <w:rFonts w:asciiTheme="majorBidi" w:hAnsiTheme="majorBidi" w:cstheme="majorBidi"/>
          <w:strike/>
          <w:lang w:val="fr-FR"/>
        </w:rPr>
        <w:t>.</w:t>
      </w:r>
      <w:r w:rsidRPr="0096742B">
        <w:rPr>
          <w:rFonts w:asciiTheme="majorBidi" w:hAnsiTheme="majorBidi" w:cstheme="majorBidi"/>
          <w:strike/>
          <w:lang w:val="fr-FR"/>
        </w:rPr>
        <w:t> 4</w:t>
      </w:r>
      <w:r w:rsidR="00E3523D" w:rsidRPr="0096742B">
        <w:rPr>
          <w:rFonts w:asciiTheme="majorBidi" w:hAnsiTheme="majorBidi" w:cstheme="majorBidi"/>
          <w:strike/>
          <w:lang w:val="fr-FR"/>
        </w:rPr>
        <w:t>.</w:t>
      </w:r>
      <w:r w:rsidRPr="0096742B">
        <w:rPr>
          <w:rFonts w:asciiTheme="majorBidi" w:hAnsiTheme="majorBidi" w:cstheme="majorBidi"/>
          <w:strike/>
          <w:lang w:val="fr-FR"/>
        </w:rPr>
        <w:t>3 ci-après) s</w:t>
      </w:r>
      <w:r w:rsidR="003109F6" w:rsidRPr="0096742B">
        <w:rPr>
          <w:rFonts w:asciiTheme="majorBidi" w:hAnsiTheme="majorBidi" w:cstheme="majorBidi"/>
          <w:strike/>
          <w:lang w:val="fr-FR"/>
        </w:rPr>
        <w:t>’</w:t>
      </w:r>
      <w:r w:rsidRPr="0096742B">
        <w:rPr>
          <w:rFonts w:asciiTheme="majorBidi" w:hAnsiTheme="majorBidi" w:cstheme="majorBidi"/>
          <w:strike/>
          <w:lang w:val="fr-FR"/>
        </w:rPr>
        <w:t>établit comme suit</w:t>
      </w:r>
      <w:r w:rsidR="003109F6" w:rsidRPr="0096742B">
        <w:rPr>
          <w:rFonts w:asciiTheme="majorBidi" w:hAnsiTheme="majorBidi" w:cstheme="majorBidi"/>
          <w:strike/>
          <w:lang w:val="fr-FR"/>
        </w:rPr>
        <w:t> :</w:t>
      </w:r>
    </w:p>
    <w:p w14:paraId="14D25F57" w14:textId="01FE13B1" w:rsidR="00800DB9" w:rsidRPr="0096742B" w:rsidRDefault="00800DB9" w:rsidP="00800DB9">
      <w:pPr>
        <w:pStyle w:val="SingleTxtG"/>
        <w:ind w:left="2268"/>
        <w:rPr>
          <w:rFonts w:asciiTheme="majorBidi" w:hAnsiTheme="majorBidi" w:cstheme="majorBidi"/>
          <w:bCs/>
          <w:strike/>
          <w:lang w:val="fr-FR"/>
        </w:rPr>
      </w:pPr>
      <w:r w:rsidRPr="0096742B">
        <w:rPr>
          <w:rFonts w:asciiTheme="majorBidi" w:hAnsiTheme="majorBidi" w:cstheme="majorBidi"/>
          <w:bCs/>
          <w:strike/>
          <w:lang w:val="fr-FR"/>
        </w:rPr>
        <w:t>PT </w:t>
      </w:r>
      <w:r w:rsidRPr="0096742B">
        <w:rPr>
          <w:rFonts w:asciiTheme="majorBidi" w:hAnsiTheme="majorBidi" w:cstheme="majorBidi"/>
          <w:bCs/>
          <w:strike/>
          <w:lang w:val="fr-FR"/>
        </w:rPr>
        <w:sym w:font="Symbol" w:char="F0B3"/>
      </w:r>
      <w:r w:rsidRPr="0096742B">
        <w:rPr>
          <w:rFonts w:asciiTheme="majorBidi" w:hAnsiTheme="majorBidi" w:cstheme="majorBidi"/>
          <w:bCs/>
          <w:strike/>
          <w:lang w:val="fr-FR"/>
        </w:rPr>
        <w:t> 0,4 mm</w:t>
      </w:r>
      <w:r w:rsidR="00E3523D" w:rsidRPr="0096742B">
        <w:rPr>
          <w:rFonts w:asciiTheme="majorBidi" w:hAnsiTheme="majorBidi" w:cstheme="majorBidi"/>
          <w:bCs/>
          <w:strike/>
          <w:lang w:val="fr-FR"/>
        </w:rPr>
        <w:t>.</w:t>
      </w:r>
    </w:p>
    <w:p w14:paraId="65A03B5C" w14:textId="1EBA3491"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lastRenderedPageBreak/>
        <w:t>2</w:t>
      </w:r>
      <w:r w:rsidR="00E3523D" w:rsidRPr="0096742B">
        <w:rPr>
          <w:rFonts w:asciiTheme="majorBidi" w:hAnsiTheme="majorBidi" w:cstheme="majorBidi"/>
          <w:strike/>
          <w:lang w:val="fr-FR"/>
        </w:rPr>
        <w:t>.</w:t>
      </w:r>
      <w:r w:rsidRPr="0096742B">
        <w:rPr>
          <w:rFonts w:asciiTheme="majorBidi" w:hAnsiTheme="majorBidi" w:cstheme="majorBidi"/>
          <w:strike/>
          <w:lang w:val="fr-FR"/>
        </w:rPr>
        <w:t>4</w:t>
      </w:r>
      <w:r w:rsidRPr="0096742B">
        <w:rPr>
          <w:rFonts w:asciiTheme="majorBidi" w:hAnsiTheme="majorBidi" w:cstheme="majorBidi"/>
          <w:strike/>
          <w:lang w:val="fr-FR"/>
        </w:rPr>
        <w:tab/>
        <w:t>Homogénéité du revêtement</w:t>
      </w:r>
    </w:p>
    <w:p w14:paraId="4F121F73" w14:textId="36407F88"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Tout doit être fait pour que le revêtement soit aussi homogène que possible sur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Cela s</w:t>
      </w:r>
      <w:r w:rsidR="003109F6" w:rsidRPr="0096742B">
        <w:rPr>
          <w:rFonts w:asciiTheme="majorBidi" w:hAnsiTheme="majorBidi" w:cstheme="majorBidi"/>
          <w:strike/>
          <w:lang w:val="fr-FR"/>
        </w:rPr>
        <w:t>’</w:t>
      </w:r>
      <w:r w:rsidRPr="0096742B">
        <w:rPr>
          <w:rFonts w:asciiTheme="majorBidi" w:hAnsiTheme="majorBidi" w:cstheme="majorBidi"/>
          <w:strike/>
          <w:lang w:val="fr-FR"/>
        </w:rPr>
        <w:t>applique à la texture et à la teneur en vides, mais il convient également d</w:t>
      </w:r>
      <w:r w:rsidR="003109F6" w:rsidRPr="0096742B">
        <w:rPr>
          <w:rFonts w:asciiTheme="majorBidi" w:hAnsiTheme="majorBidi" w:cstheme="majorBidi"/>
          <w:strike/>
          <w:lang w:val="fr-FR"/>
        </w:rPr>
        <w:t>’</w:t>
      </w:r>
      <w:r w:rsidRPr="0096742B">
        <w:rPr>
          <w:rFonts w:asciiTheme="majorBidi" w:hAnsiTheme="majorBidi" w:cstheme="majorBidi"/>
          <w:strike/>
          <w:lang w:val="fr-FR"/>
        </w:rPr>
        <w:t>observer que si certains endroits sont plus roulants que d</w:t>
      </w:r>
      <w:r w:rsidR="003109F6" w:rsidRPr="0096742B">
        <w:rPr>
          <w:rFonts w:asciiTheme="majorBidi" w:hAnsiTheme="majorBidi" w:cstheme="majorBidi"/>
          <w:strike/>
          <w:lang w:val="fr-FR"/>
        </w:rPr>
        <w:t>’</w:t>
      </w:r>
      <w:r w:rsidRPr="0096742B">
        <w:rPr>
          <w:rFonts w:asciiTheme="majorBidi" w:hAnsiTheme="majorBidi" w:cstheme="majorBidi"/>
          <w:strike/>
          <w:lang w:val="fr-FR"/>
        </w:rPr>
        <w:t>autres, cela peut être dû à une différence de texture ou à des irrégularités du revêtement</w:t>
      </w:r>
      <w:r w:rsidR="00E3523D" w:rsidRPr="0096742B">
        <w:rPr>
          <w:rFonts w:asciiTheme="majorBidi" w:hAnsiTheme="majorBidi" w:cstheme="majorBidi"/>
          <w:strike/>
          <w:lang w:val="fr-FR"/>
        </w:rPr>
        <w:t>.</w:t>
      </w:r>
    </w:p>
    <w:p w14:paraId="054D4F41" w14:textId="5AD8D980"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5</w:t>
      </w:r>
      <w:r w:rsidRPr="0096742B">
        <w:rPr>
          <w:rFonts w:asciiTheme="majorBidi" w:hAnsiTheme="majorBidi" w:cstheme="majorBidi"/>
          <w:strike/>
          <w:lang w:val="fr-FR"/>
        </w:rPr>
        <w:tab/>
        <w:t>Période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p>
    <w:p w14:paraId="01E6273D" w14:textId="61014FC9"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Pour s</w:t>
      </w:r>
      <w:r w:rsidR="003109F6" w:rsidRPr="0096742B">
        <w:rPr>
          <w:rFonts w:asciiTheme="majorBidi" w:hAnsiTheme="majorBidi" w:cstheme="majorBidi"/>
          <w:strike/>
          <w:lang w:val="fr-FR"/>
        </w:rPr>
        <w:t>’</w:t>
      </w:r>
      <w:r w:rsidRPr="0096742B">
        <w:rPr>
          <w:rFonts w:asciiTheme="majorBidi" w:hAnsiTheme="majorBidi" w:cstheme="majorBidi"/>
          <w:strike/>
          <w:lang w:val="fr-FR"/>
        </w:rPr>
        <w:t>assurer que le revêtement reste conforme aux prescriptions en matière de texture et de teneur en vides ou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stipulées dans la norme susmentionnée, il doit être périodiquement contrôlé selon les intervalles suivants</w:t>
      </w:r>
      <w:r w:rsidR="003109F6" w:rsidRPr="0096742B">
        <w:rPr>
          <w:rFonts w:asciiTheme="majorBidi" w:hAnsiTheme="majorBidi" w:cstheme="majorBidi"/>
          <w:strike/>
          <w:lang w:val="fr-FR"/>
        </w:rPr>
        <w:t> :</w:t>
      </w:r>
    </w:p>
    <w:p w14:paraId="757C1298" w14:textId="7182F416" w:rsidR="00800DB9" w:rsidRPr="0096742B" w:rsidRDefault="00800DB9" w:rsidP="00800DB9">
      <w:pPr>
        <w:pStyle w:val="SingleTxtG"/>
        <w:keepNext/>
        <w:ind w:left="2268"/>
        <w:rPr>
          <w:rFonts w:asciiTheme="majorBidi" w:hAnsiTheme="majorBidi" w:cstheme="majorBidi"/>
          <w:strike/>
          <w:lang w:val="fr-FR"/>
        </w:rPr>
      </w:pPr>
      <w:r w:rsidRPr="0096742B">
        <w:rPr>
          <w:rFonts w:asciiTheme="majorBidi" w:hAnsiTheme="majorBidi" w:cstheme="majorBidi"/>
          <w:strike/>
          <w:lang w:val="fr-FR"/>
        </w:rPr>
        <w:t>a)</w:t>
      </w:r>
      <w:r w:rsidRPr="0096742B">
        <w:rPr>
          <w:rFonts w:asciiTheme="majorBidi" w:hAnsiTheme="majorBidi" w:cstheme="majorBidi"/>
          <w:strike/>
          <w:lang w:val="fr-FR"/>
        </w:rPr>
        <w:tab/>
        <w:t>Pour la teneur en vides résiduels (VC) ou l</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(α) acoustique</w:t>
      </w:r>
      <w:r w:rsidR="003109F6" w:rsidRPr="0096742B">
        <w:rPr>
          <w:rFonts w:asciiTheme="majorBidi" w:hAnsiTheme="majorBidi" w:cstheme="majorBidi"/>
          <w:strike/>
          <w:lang w:val="fr-FR"/>
        </w:rPr>
        <w:t> :</w:t>
      </w:r>
    </w:p>
    <w:p w14:paraId="33E23D58" w14:textId="72B833CA" w:rsidR="00800DB9" w:rsidRPr="0096742B" w:rsidRDefault="00800DB9" w:rsidP="00800DB9">
      <w:pPr>
        <w:pStyle w:val="SingleTxtG"/>
        <w:ind w:left="2835"/>
        <w:rPr>
          <w:rFonts w:asciiTheme="majorBidi" w:hAnsiTheme="majorBidi" w:cstheme="majorBidi"/>
          <w:strike/>
          <w:lang w:val="fr-FR"/>
        </w:rPr>
      </w:pPr>
      <w:r w:rsidRPr="0096742B">
        <w:rPr>
          <w:rFonts w:asciiTheme="majorBidi" w:hAnsiTheme="majorBidi" w:cstheme="majorBidi"/>
          <w:strike/>
          <w:lang w:val="fr-FR"/>
        </w:rPr>
        <w:t>Lorsque le revêtement est neuf</w:t>
      </w:r>
      <w:r w:rsidR="003109F6" w:rsidRPr="0096742B">
        <w:rPr>
          <w:rFonts w:asciiTheme="majorBidi" w:hAnsiTheme="majorBidi" w:cstheme="majorBidi"/>
          <w:strike/>
          <w:lang w:val="fr-FR"/>
        </w:rPr>
        <w:t> ;</w:t>
      </w:r>
    </w:p>
    <w:p w14:paraId="09582792" w14:textId="0ABD4046" w:rsidR="00800DB9" w:rsidRPr="0096742B" w:rsidRDefault="00800DB9" w:rsidP="00800DB9">
      <w:pPr>
        <w:pStyle w:val="SingleTxtG"/>
        <w:ind w:left="2835"/>
        <w:rPr>
          <w:rFonts w:asciiTheme="majorBidi" w:hAnsiTheme="majorBidi" w:cstheme="majorBidi"/>
          <w:strike/>
          <w:lang w:val="fr-FR"/>
        </w:rPr>
      </w:pPr>
      <w:r w:rsidRPr="0096742B">
        <w:rPr>
          <w:rFonts w:asciiTheme="majorBidi" w:hAnsiTheme="majorBidi" w:cstheme="majorBidi"/>
          <w:strike/>
          <w:lang w:val="fr-FR"/>
        </w:rPr>
        <w:t>Si le revêtement satisfait aux prescriptions lorsqu</w:t>
      </w:r>
      <w:r w:rsidR="003109F6" w:rsidRPr="0096742B">
        <w:rPr>
          <w:rFonts w:asciiTheme="majorBidi" w:hAnsiTheme="majorBidi" w:cstheme="majorBidi"/>
          <w:strike/>
          <w:lang w:val="fr-FR"/>
        </w:rPr>
        <w:t>’</w:t>
      </w:r>
      <w:r w:rsidRPr="0096742B">
        <w:rPr>
          <w:rFonts w:asciiTheme="majorBidi" w:hAnsiTheme="majorBidi" w:cstheme="majorBidi"/>
          <w:strike/>
          <w:lang w:val="fr-FR"/>
        </w:rPr>
        <w:t>il est neuf, aucun autre essai périodique n</w:t>
      </w:r>
      <w:r w:rsidR="003109F6" w:rsidRPr="0096742B">
        <w:rPr>
          <w:rFonts w:asciiTheme="majorBidi" w:hAnsiTheme="majorBidi" w:cstheme="majorBidi"/>
          <w:strike/>
          <w:lang w:val="fr-FR"/>
        </w:rPr>
        <w:t>’</w:t>
      </w:r>
      <w:r w:rsidRPr="0096742B">
        <w:rPr>
          <w:rFonts w:asciiTheme="majorBidi" w:hAnsiTheme="majorBidi" w:cstheme="majorBidi"/>
          <w:strike/>
          <w:lang w:val="fr-FR"/>
        </w:rPr>
        <w:t>est nécessaire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S</w:t>
      </w:r>
      <w:r w:rsidR="003109F6" w:rsidRPr="0096742B">
        <w:rPr>
          <w:rFonts w:asciiTheme="majorBidi" w:hAnsiTheme="majorBidi" w:cstheme="majorBidi"/>
          <w:strike/>
          <w:lang w:val="fr-FR"/>
        </w:rPr>
        <w:t>’</w:t>
      </w:r>
      <w:r w:rsidRPr="0096742B">
        <w:rPr>
          <w:rFonts w:asciiTheme="majorBidi" w:hAnsiTheme="majorBidi" w:cstheme="majorBidi"/>
          <w:strike/>
          <w:lang w:val="fr-FR"/>
        </w:rPr>
        <w:t>il n</w:t>
      </w:r>
      <w:r w:rsidR="003109F6" w:rsidRPr="0096742B">
        <w:rPr>
          <w:rFonts w:asciiTheme="majorBidi" w:hAnsiTheme="majorBidi" w:cstheme="majorBidi"/>
          <w:strike/>
          <w:lang w:val="fr-FR"/>
        </w:rPr>
        <w:t>’</w:t>
      </w:r>
      <w:r w:rsidRPr="0096742B">
        <w:rPr>
          <w:rFonts w:asciiTheme="majorBidi" w:hAnsiTheme="majorBidi" w:cstheme="majorBidi"/>
          <w:strike/>
          <w:lang w:val="fr-FR"/>
        </w:rPr>
        <w:t>y satisfait pas lorsqu</w:t>
      </w:r>
      <w:r w:rsidR="003109F6" w:rsidRPr="0096742B">
        <w:rPr>
          <w:rFonts w:asciiTheme="majorBidi" w:hAnsiTheme="majorBidi" w:cstheme="majorBidi"/>
          <w:strike/>
          <w:lang w:val="fr-FR"/>
        </w:rPr>
        <w:t>’</w:t>
      </w:r>
      <w:r w:rsidRPr="0096742B">
        <w:rPr>
          <w:rFonts w:asciiTheme="majorBidi" w:hAnsiTheme="majorBidi" w:cstheme="majorBidi"/>
          <w:strike/>
          <w:lang w:val="fr-FR"/>
        </w:rPr>
        <w:t>il est neuf, il peut le faire ultérieurement étant donné que les revêtements tendent à s</w:t>
      </w:r>
      <w:r w:rsidR="003109F6" w:rsidRPr="0096742B">
        <w:rPr>
          <w:rFonts w:asciiTheme="majorBidi" w:hAnsiTheme="majorBidi" w:cstheme="majorBidi"/>
          <w:strike/>
          <w:lang w:val="fr-FR"/>
        </w:rPr>
        <w:t>’</w:t>
      </w:r>
      <w:r w:rsidRPr="0096742B">
        <w:rPr>
          <w:rFonts w:asciiTheme="majorBidi" w:hAnsiTheme="majorBidi" w:cstheme="majorBidi"/>
          <w:strike/>
          <w:lang w:val="fr-FR"/>
        </w:rPr>
        <w:t>encrasser et à se compacter avec le temps</w:t>
      </w:r>
      <w:r w:rsidR="003109F6" w:rsidRPr="0096742B">
        <w:rPr>
          <w:rFonts w:asciiTheme="majorBidi" w:hAnsiTheme="majorBidi" w:cstheme="majorBidi"/>
          <w:strike/>
          <w:lang w:val="fr-FR"/>
        </w:rPr>
        <w:t> ;</w:t>
      </w:r>
    </w:p>
    <w:p w14:paraId="15F2D446" w14:textId="31A5A94C" w:rsidR="00800DB9" w:rsidRPr="0096742B" w:rsidRDefault="00800DB9" w:rsidP="00800DB9">
      <w:pPr>
        <w:pStyle w:val="SingleTxtG"/>
        <w:keepNext/>
        <w:ind w:left="2268"/>
        <w:rPr>
          <w:rFonts w:asciiTheme="majorBidi" w:hAnsiTheme="majorBidi" w:cstheme="majorBidi"/>
          <w:strike/>
          <w:lang w:val="fr-FR"/>
        </w:rPr>
      </w:pPr>
      <w:r w:rsidRPr="0096742B">
        <w:rPr>
          <w:rFonts w:asciiTheme="majorBidi" w:hAnsiTheme="majorBidi" w:cstheme="majorBidi"/>
          <w:strike/>
          <w:lang w:val="fr-FR"/>
        </w:rPr>
        <w:t>b)</w:t>
      </w:r>
      <w:r w:rsidRPr="0096742B">
        <w:rPr>
          <w:rFonts w:asciiTheme="majorBidi" w:hAnsiTheme="majorBidi" w:cstheme="majorBidi"/>
          <w:strike/>
          <w:lang w:val="fr-FR"/>
        </w:rPr>
        <w:tab/>
        <w:t>Pour la profondeur de texture (PT)</w:t>
      </w:r>
      <w:r w:rsidR="003109F6" w:rsidRPr="0096742B">
        <w:rPr>
          <w:rFonts w:asciiTheme="majorBidi" w:hAnsiTheme="majorBidi" w:cstheme="majorBidi"/>
          <w:strike/>
          <w:lang w:val="fr-FR"/>
        </w:rPr>
        <w:t> :</w:t>
      </w:r>
    </w:p>
    <w:p w14:paraId="1FC638CE" w14:textId="19185463" w:rsidR="00800DB9" w:rsidRPr="0096742B" w:rsidRDefault="00800DB9" w:rsidP="00800DB9">
      <w:pPr>
        <w:pStyle w:val="SingleTxtG"/>
        <w:ind w:left="2835"/>
        <w:rPr>
          <w:rFonts w:asciiTheme="majorBidi" w:hAnsiTheme="majorBidi" w:cstheme="majorBidi"/>
          <w:strike/>
          <w:lang w:val="fr-FR"/>
        </w:rPr>
      </w:pPr>
      <w:r w:rsidRPr="0096742B">
        <w:rPr>
          <w:rFonts w:asciiTheme="majorBidi" w:hAnsiTheme="majorBidi" w:cstheme="majorBidi"/>
          <w:strike/>
          <w:lang w:val="fr-FR"/>
        </w:rPr>
        <w:t>Lorsque le revêtement est neuf</w:t>
      </w:r>
      <w:r w:rsidR="003109F6" w:rsidRPr="0096742B">
        <w:rPr>
          <w:rFonts w:asciiTheme="majorBidi" w:hAnsiTheme="majorBidi" w:cstheme="majorBidi"/>
          <w:strike/>
          <w:lang w:val="fr-FR"/>
        </w:rPr>
        <w:t> ;</w:t>
      </w:r>
    </w:p>
    <w:p w14:paraId="127DF33B" w14:textId="63234C2B" w:rsidR="00800DB9" w:rsidRPr="0096742B" w:rsidRDefault="00800DB9" w:rsidP="00800DB9">
      <w:pPr>
        <w:pStyle w:val="SingleTxtG"/>
        <w:ind w:left="2835"/>
        <w:rPr>
          <w:rFonts w:asciiTheme="majorBidi" w:hAnsiTheme="majorBidi" w:cstheme="majorBidi"/>
          <w:strike/>
          <w:lang w:val="fr-FR"/>
        </w:rPr>
      </w:pPr>
      <w:r w:rsidRPr="0096742B">
        <w:rPr>
          <w:rFonts w:asciiTheme="majorBidi" w:hAnsiTheme="majorBidi" w:cstheme="majorBidi"/>
          <w:strike/>
          <w:lang w:val="fr-FR"/>
        </w:rPr>
        <w:t>Lorsque l</w:t>
      </w:r>
      <w:r w:rsidR="003109F6" w:rsidRPr="0096742B">
        <w:rPr>
          <w:rFonts w:asciiTheme="majorBidi" w:hAnsiTheme="majorBidi" w:cstheme="majorBidi"/>
          <w:strike/>
          <w:lang w:val="fr-FR"/>
        </w:rPr>
        <w:t>’</w:t>
      </w:r>
      <w:r w:rsidRPr="0096742B">
        <w:rPr>
          <w:rFonts w:asciiTheme="majorBidi" w:hAnsiTheme="majorBidi" w:cstheme="majorBidi"/>
          <w:strike/>
          <w:lang w:val="fr-FR"/>
        </w:rPr>
        <w:t>essai de bruit débute (</w:t>
      </w:r>
      <w:r w:rsidRPr="0096742B">
        <w:rPr>
          <w:rFonts w:asciiTheme="majorBidi" w:hAnsiTheme="majorBidi" w:cstheme="majorBidi"/>
          <w:i/>
          <w:strike/>
          <w:lang w:val="fr-FR"/>
        </w:rPr>
        <w:t>Note</w:t>
      </w:r>
      <w:r w:rsidR="003109F6" w:rsidRPr="0096742B">
        <w:rPr>
          <w:rFonts w:asciiTheme="majorBidi" w:hAnsiTheme="majorBidi" w:cstheme="majorBidi"/>
          <w:strike/>
          <w:lang w:val="fr-FR"/>
        </w:rPr>
        <w:t> :</w:t>
      </w:r>
      <w:r w:rsidRPr="0096742B">
        <w:rPr>
          <w:rFonts w:asciiTheme="majorBidi" w:hAnsiTheme="majorBidi" w:cstheme="majorBidi"/>
          <w:strike/>
          <w:lang w:val="fr-FR"/>
        </w:rPr>
        <w:t xml:space="preserve"> quatre semaines au moins après la pose du revêtement)</w:t>
      </w:r>
      <w:r w:rsidR="003109F6" w:rsidRPr="0096742B">
        <w:rPr>
          <w:rFonts w:asciiTheme="majorBidi" w:hAnsiTheme="majorBidi" w:cstheme="majorBidi"/>
          <w:strike/>
          <w:lang w:val="fr-FR"/>
        </w:rPr>
        <w:t> ;</w:t>
      </w:r>
    </w:p>
    <w:p w14:paraId="04E8E159" w14:textId="489C3C96" w:rsidR="00800DB9" w:rsidRPr="0096742B" w:rsidRDefault="00800DB9" w:rsidP="00800DB9">
      <w:pPr>
        <w:pStyle w:val="SingleTxtG"/>
        <w:ind w:left="2835"/>
        <w:rPr>
          <w:rFonts w:asciiTheme="majorBidi" w:hAnsiTheme="majorBidi" w:cstheme="majorBidi"/>
          <w:strike/>
          <w:lang w:val="fr-FR"/>
        </w:rPr>
      </w:pPr>
      <w:r w:rsidRPr="0096742B">
        <w:rPr>
          <w:rFonts w:asciiTheme="majorBidi" w:hAnsiTheme="majorBidi" w:cstheme="majorBidi"/>
          <w:strike/>
          <w:lang w:val="fr-FR"/>
        </w:rPr>
        <w:t>Par la suite tous les douze mois</w:t>
      </w:r>
      <w:r w:rsidR="00E3523D" w:rsidRPr="0096742B">
        <w:rPr>
          <w:rFonts w:asciiTheme="majorBidi" w:hAnsiTheme="majorBidi" w:cstheme="majorBidi"/>
          <w:strike/>
          <w:lang w:val="fr-FR"/>
        </w:rPr>
        <w:t>.</w:t>
      </w:r>
    </w:p>
    <w:p w14:paraId="7519CEAC" w14:textId="5324DCA5"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ab/>
        <w:t>Tracé et dimensions du revêtement</w:t>
      </w:r>
    </w:p>
    <w:p w14:paraId="7A1A974A" w14:textId="32021F29"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Aire</w:t>
      </w:r>
    </w:p>
    <w:p w14:paraId="692AE6FE" w14:textId="29F2D82F"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Lors de la conception du terrain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il faut au minimum s</w:t>
      </w:r>
      <w:r w:rsidR="003109F6" w:rsidRPr="0096742B">
        <w:rPr>
          <w:rFonts w:asciiTheme="majorBidi" w:hAnsiTheme="majorBidi" w:cstheme="majorBidi"/>
          <w:strike/>
          <w:lang w:val="fr-FR"/>
        </w:rPr>
        <w:t>’</w:t>
      </w:r>
      <w:r w:rsidRPr="0096742B">
        <w:rPr>
          <w:rFonts w:asciiTheme="majorBidi" w:hAnsiTheme="majorBidi" w:cstheme="majorBidi"/>
          <w:strike/>
          <w:lang w:val="fr-FR"/>
        </w:rPr>
        <w:t>assurer que l</w:t>
      </w:r>
      <w:r w:rsidR="003109F6" w:rsidRPr="0096742B">
        <w:rPr>
          <w:rFonts w:asciiTheme="majorBidi" w:hAnsiTheme="majorBidi" w:cstheme="majorBidi"/>
          <w:strike/>
          <w:lang w:val="fr-FR"/>
        </w:rPr>
        <w:t>’</w:t>
      </w:r>
      <w:r w:rsidRPr="0096742B">
        <w:rPr>
          <w:rFonts w:asciiTheme="majorBidi" w:hAnsiTheme="majorBidi" w:cstheme="majorBidi"/>
          <w:strike/>
          <w:lang w:val="fr-FR"/>
        </w:rPr>
        <w:t>aire traversée par les véhicules qui se déplacent sur la piste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soit recouverte du revêtement spécifié, avec des marges appropriées pour une conduite sûre et pratique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Cela exige que la largeur de la piste soit de 3 m au moins et que sa longueur s</w:t>
      </w:r>
      <w:r w:rsidR="003109F6" w:rsidRPr="0096742B">
        <w:rPr>
          <w:rFonts w:asciiTheme="majorBidi" w:hAnsiTheme="majorBidi" w:cstheme="majorBidi"/>
          <w:strike/>
          <w:lang w:val="fr-FR"/>
        </w:rPr>
        <w:t>’</w:t>
      </w:r>
      <w:r w:rsidRPr="0096742B">
        <w:rPr>
          <w:rFonts w:asciiTheme="majorBidi" w:hAnsiTheme="majorBidi" w:cstheme="majorBidi"/>
          <w:strike/>
          <w:lang w:val="fr-FR"/>
        </w:rPr>
        <w:t>étende au-delà des lignes AA et BB de 10 m au moins à chaque extrémité</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La figure 1 représente le plan d</w:t>
      </w:r>
      <w:r w:rsidR="003109F6" w:rsidRPr="0096742B">
        <w:rPr>
          <w:rFonts w:asciiTheme="majorBidi" w:hAnsiTheme="majorBidi" w:cstheme="majorBidi"/>
          <w:strike/>
          <w:lang w:val="fr-FR"/>
        </w:rPr>
        <w:t>’</w:t>
      </w:r>
      <w:r w:rsidRPr="0096742B">
        <w:rPr>
          <w:rFonts w:asciiTheme="majorBidi" w:hAnsiTheme="majorBidi" w:cstheme="majorBidi"/>
          <w:strike/>
          <w:lang w:val="fr-FR"/>
        </w:rPr>
        <w:t>un terrain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conforme et définit la partie minimum qui doit être préparée et compactée à la machine et recouverte du revêtement spécifié</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Le paragraphe 3</w:t>
      </w:r>
      <w:r w:rsidR="00E3523D" w:rsidRPr="0096742B">
        <w:rPr>
          <w:rFonts w:asciiTheme="majorBidi" w:hAnsiTheme="majorBidi" w:cstheme="majorBidi"/>
          <w:strike/>
          <w:lang w:val="fr-FR"/>
        </w:rPr>
        <w:t>.</w:t>
      </w:r>
      <w:r w:rsidRPr="0096742B">
        <w:rPr>
          <w:rFonts w:asciiTheme="majorBidi" w:hAnsiTheme="majorBidi" w:cstheme="majorBidi"/>
          <w:strike/>
          <w:lang w:val="fr-FR"/>
        </w:rPr>
        <w:t>2 de l</w:t>
      </w:r>
      <w:r w:rsidR="003109F6" w:rsidRPr="0096742B">
        <w:rPr>
          <w:rFonts w:asciiTheme="majorBidi" w:hAnsiTheme="majorBidi" w:cstheme="majorBidi"/>
          <w:strike/>
          <w:lang w:val="fr-FR"/>
        </w:rPr>
        <w:t>’</w:t>
      </w:r>
      <w:r w:rsidRPr="0096742B">
        <w:rPr>
          <w:rFonts w:asciiTheme="majorBidi" w:hAnsiTheme="majorBidi" w:cstheme="majorBidi"/>
          <w:strike/>
          <w:lang w:val="fr-FR"/>
        </w:rPr>
        <w:t>a</w:t>
      </w:r>
      <w:r w:rsidRPr="0096742B">
        <w:rPr>
          <w:rFonts w:asciiTheme="majorBidi" w:hAnsiTheme="majorBidi" w:cstheme="majorBidi"/>
          <w:iCs/>
          <w:strike/>
          <w:lang w:val="fr-FR"/>
        </w:rPr>
        <w:t xml:space="preserve">nnexe 3 </w:t>
      </w:r>
      <w:r w:rsidRPr="0096742B">
        <w:rPr>
          <w:rFonts w:asciiTheme="majorBidi" w:hAnsiTheme="majorBidi" w:cstheme="majorBidi"/>
          <w:strike/>
          <w:lang w:val="fr-FR"/>
        </w:rPr>
        <w:t>exige que le mesurage soit effectué de part et d</w:t>
      </w:r>
      <w:r w:rsidR="003109F6" w:rsidRPr="0096742B">
        <w:rPr>
          <w:rFonts w:asciiTheme="majorBidi" w:hAnsiTheme="majorBidi" w:cstheme="majorBidi"/>
          <w:strike/>
          <w:lang w:val="fr-FR"/>
        </w:rPr>
        <w:t>’</w:t>
      </w:r>
      <w:r w:rsidRPr="0096742B">
        <w:rPr>
          <w:rFonts w:asciiTheme="majorBidi" w:hAnsiTheme="majorBidi" w:cstheme="majorBidi"/>
          <w:strike/>
          <w:lang w:val="fr-FR"/>
        </w:rPr>
        <w:t>autre du véhicule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Ceci peut se faire soit en plaçant un microphone de chaque côté de la piste, avec déplacement du véhicule dans un seul sens, soit en plaçant le microphone uniquement d</w:t>
      </w:r>
      <w:r w:rsidR="003109F6" w:rsidRPr="0096742B">
        <w:rPr>
          <w:rFonts w:asciiTheme="majorBidi" w:hAnsiTheme="majorBidi" w:cstheme="majorBidi"/>
          <w:strike/>
          <w:lang w:val="fr-FR"/>
        </w:rPr>
        <w:t>’</w:t>
      </w:r>
      <w:r w:rsidRPr="0096742B">
        <w:rPr>
          <w:rFonts w:asciiTheme="majorBidi" w:hAnsiTheme="majorBidi" w:cstheme="majorBidi"/>
          <w:strike/>
          <w:lang w:val="fr-FR"/>
        </w:rPr>
        <w:t>un côté de la piste, mais avec déplacement du véhicule dans les deux sens</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Si l</w:t>
      </w:r>
      <w:r w:rsidR="003109F6" w:rsidRPr="0096742B">
        <w:rPr>
          <w:rFonts w:asciiTheme="majorBidi" w:hAnsiTheme="majorBidi" w:cstheme="majorBidi"/>
          <w:strike/>
          <w:lang w:val="fr-FR"/>
        </w:rPr>
        <w:t>’</w:t>
      </w:r>
      <w:r w:rsidRPr="0096742B">
        <w:rPr>
          <w:rFonts w:asciiTheme="majorBidi" w:hAnsiTheme="majorBidi" w:cstheme="majorBidi"/>
          <w:strike/>
          <w:lang w:val="fr-FR"/>
        </w:rPr>
        <w:t>on utilise la deuxième méthode, il n</w:t>
      </w:r>
      <w:r w:rsidR="003109F6" w:rsidRPr="0096742B">
        <w:rPr>
          <w:rFonts w:asciiTheme="majorBidi" w:hAnsiTheme="majorBidi" w:cstheme="majorBidi"/>
          <w:strike/>
          <w:lang w:val="fr-FR"/>
        </w:rPr>
        <w:t>’</w:t>
      </w:r>
      <w:r w:rsidRPr="0096742B">
        <w:rPr>
          <w:rFonts w:asciiTheme="majorBidi" w:hAnsiTheme="majorBidi" w:cstheme="majorBidi"/>
          <w:strike/>
          <w:lang w:val="fr-FR"/>
        </w:rPr>
        <w:t>existe pas alors de prescriptions applicables au revêtement situé du côté de la piste non pourvu de microphone</w:t>
      </w:r>
      <w:r w:rsidR="00E3523D" w:rsidRPr="0096742B">
        <w:rPr>
          <w:rFonts w:asciiTheme="majorBidi" w:hAnsiTheme="majorBidi" w:cstheme="majorBidi"/>
          <w:strike/>
          <w:lang w:val="fr-FR"/>
        </w:rPr>
        <w:t>.</w:t>
      </w:r>
    </w:p>
    <w:p w14:paraId="1D82540E" w14:textId="2BDF4F97" w:rsidR="0075628E" w:rsidRPr="0096742B" w:rsidRDefault="0075628E">
      <w:pPr>
        <w:suppressAutoHyphens w:val="0"/>
        <w:kinsoku/>
        <w:overflowPunct/>
        <w:autoSpaceDE/>
        <w:autoSpaceDN/>
        <w:adjustRightInd/>
        <w:snapToGrid/>
        <w:spacing w:after="200" w:line="276" w:lineRule="auto"/>
        <w:rPr>
          <w:rFonts w:asciiTheme="majorBidi" w:hAnsiTheme="majorBidi" w:cstheme="majorBidi"/>
          <w:strike/>
          <w:lang w:val="fr-FR"/>
        </w:rPr>
      </w:pPr>
      <w:r w:rsidRPr="0096742B">
        <w:rPr>
          <w:rFonts w:asciiTheme="majorBidi" w:hAnsiTheme="majorBidi" w:cstheme="majorBidi"/>
          <w:strike/>
          <w:lang w:val="fr-FR"/>
        </w:rPr>
        <w:br w:type="page"/>
      </w:r>
    </w:p>
    <w:p w14:paraId="2DEC9AE1" w14:textId="196845B4" w:rsidR="00800DB9" w:rsidRPr="0096742B" w:rsidRDefault="00800DB9" w:rsidP="00800DB9">
      <w:pPr>
        <w:pStyle w:val="H23G"/>
        <w:rPr>
          <w:rFonts w:asciiTheme="majorBidi" w:hAnsiTheme="majorBidi" w:cstheme="majorBidi"/>
          <w:strike/>
          <w:lang w:val="fr-FR"/>
        </w:rPr>
      </w:pPr>
      <w:r w:rsidRPr="0096742B">
        <w:rPr>
          <w:rFonts w:asciiTheme="majorBidi" w:hAnsiTheme="majorBidi" w:cstheme="majorBidi"/>
          <w:strike/>
          <w:lang w:val="fr-FR"/>
        </w:rPr>
        <w:lastRenderedPageBreak/>
        <w:tab/>
      </w:r>
      <w:r w:rsidRPr="0096742B">
        <w:rPr>
          <w:rFonts w:asciiTheme="majorBidi" w:hAnsiTheme="majorBidi" w:cstheme="majorBidi"/>
          <w:strike/>
          <w:lang w:val="fr-FR"/>
        </w:rPr>
        <w:tab/>
      </w:r>
      <w:r w:rsidRPr="0096742B">
        <w:rPr>
          <w:rFonts w:asciiTheme="majorBidi" w:hAnsiTheme="majorBidi" w:cstheme="majorBidi"/>
          <w:b w:val="0"/>
          <w:strike/>
          <w:lang w:val="fr-FR"/>
        </w:rPr>
        <w:t>Figure 1</w:t>
      </w:r>
      <w:r w:rsidRPr="0096742B">
        <w:rPr>
          <w:rFonts w:asciiTheme="majorBidi" w:hAnsiTheme="majorBidi" w:cstheme="majorBidi"/>
          <w:strike/>
          <w:lang w:val="fr-FR"/>
        </w:rPr>
        <w:br/>
        <w:t>Dimensions minimales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(représentée par la partie ombrée)</w:t>
      </w:r>
    </w:p>
    <w:p w14:paraId="68FE8633" w14:textId="77777777" w:rsidR="00800DB9" w:rsidRPr="0096742B" w:rsidRDefault="00800DB9" w:rsidP="00800DB9">
      <w:pPr>
        <w:pStyle w:val="SingleTxtG"/>
        <w:spacing w:line="240" w:lineRule="auto"/>
        <w:ind w:right="0"/>
        <w:rPr>
          <w:rFonts w:asciiTheme="majorBidi" w:hAnsiTheme="majorBidi" w:cstheme="majorBidi"/>
          <w:strike/>
          <w:lang w:val="fr-FR"/>
        </w:rPr>
      </w:pPr>
      <w:bookmarkStart w:id="3" w:name="_MON_1468675956"/>
      <w:bookmarkStart w:id="4" w:name="_MON_1468675980"/>
      <w:bookmarkStart w:id="5" w:name="_MON_1468675991"/>
      <w:bookmarkStart w:id="6" w:name="_MON_1468839897"/>
      <w:bookmarkStart w:id="7" w:name="_MON_1354363355"/>
      <w:bookmarkStart w:id="8" w:name="_MON_1354363376"/>
      <w:bookmarkStart w:id="9" w:name="_MON_1354363394"/>
      <w:bookmarkStart w:id="10" w:name="_MON_1354365291"/>
      <w:bookmarkStart w:id="11" w:name="_MON_1354514397"/>
      <w:bookmarkStart w:id="12" w:name="_MON_1354514787"/>
      <w:bookmarkStart w:id="13" w:name="_MON_1354518867"/>
      <w:bookmarkStart w:id="14" w:name="_MON_1393234437"/>
      <w:bookmarkStart w:id="15" w:name="_MON_1393673944"/>
      <w:bookmarkStart w:id="16" w:name="_MON_1393765959"/>
      <w:bookmarkStart w:id="17" w:name="_MON_1393766312"/>
      <w:bookmarkStart w:id="18" w:name="_MON_146753995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96742B">
        <w:rPr>
          <w:b/>
          <w:bCs/>
          <w:strike/>
          <w:noProof/>
          <w:lang w:val="fr-FR"/>
        </w:rPr>
        <mc:AlternateContent>
          <mc:Choice Requires="wps">
            <w:drawing>
              <wp:anchor distT="0" distB="0" distL="114300" distR="114300" simplePos="0" relativeHeight="251659264" behindDoc="0" locked="0" layoutInCell="1" allowOverlap="1" wp14:anchorId="5104C607" wp14:editId="3F2DDBA7">
                <wp:simplePos x="0" y="0"/>
                <wp:positionH relativeFrom="margin">
                  <wp:posOffset>380909</wp:posOffset>
                </wp:positionH>
                <wp:positionV relativeFrom="paragraph">
                  <wp:posOffset>24946</wp:posOffset>
                </wp:positionV>
                <wp:extent cx="5412922" cy="3018064"/>
                <wp:effectExtent l="19050" t="19050" r="35560" b="30480"/>
                <wp:wrapNone/>
                <wp:docPr id="4" name="Straight Connector 4"/>
                <wp:cNvGraphicFramePr/>
                <a:graphic xmlns:a="http://schemas.openxmlformats.org/drawingml/2006/main">
                  <a:graphicData uri="http://schemas.microsoft.com/office/word/2010/wordprocessingShape">
                    <wps:wsp>
                      <wps:cNvCnPr/>
                      <wps:spPr>
                        <a:xfrm>
                          <a:off x="0" y="0"/>
                          <a:ext cx="5412922" cy="301806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8C4B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1.95pt" to="456.2pt,2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" strokecolor="black [3040]" strokeweight="2.25pt">
                <w10:wrap anchorx="margin"/>
              </v:line>
            </w:pict>
          </mc:Fallback>
        </mc:AlternateContent>
      </w:r>
      <w:bookmarkStart w:id="19" w:name="_MON_1467540551"/>
      <w:bookmarkEnd w:id="19"/>
      <w:r w:rsidRPr="0096742B">
        <w:rPr>
          <w:rFonts w:asciiTheme="majorBidi" w:hAnsiTheme="majorBidi" w:cstheme="majorBidi"/>
          <w:strike/>
          <w:lang w:val="fr-FR"/>
        </w:rPr>
        <w:object w:dxaOrig="7394" w:dyaOrig="5699" w14:anchorId="6E396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85pt;height:285.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Word.Picture.8" ShapeID="_x0000_i1025" DrawAspect="Content" ObjectID="_1750515232" r:id="rId9"/>
        </w:object>
      </w:r>
    </w:p>
    <w:p w14:paraId="2537D152" w14:textId="46768DE7" w:rsidR="003109F6" w:rsidRPr="0096742B" w:rsidRDefault="00800DB9" w:rsidP="00800DB9">
      <w:pPr>
        <w:pStyle w:val="SingleTxtG"/>
        <w:ind w:firstLine="170"/>
        <w:jc w:val="left"/>
        <w:rPr>
          <w:b/>
          <w:bCs/>
          <w:strike/>
          <w:noProof/>
          <w:lang w:val="fr-FR"/>
        </w:rPr>
      </w:pPr>
      <w:r w:rsidRPr="0096742B">
        <w:rPr>
          <w:rFonts w:asciiTheme="majorBidi" w:hAnsiTheme="majorBidi" w:cstheme="majorBidi"/>
          <w:i/>
          <w:strike/>
          <w:sz w:val="18"/>
          <w:szCs w:val="18"/>
          <w:lang w:val="fr-FR"/>
        </w:rPr>
        <w:t>Note</w:t>
      </w:r>
      <w:r w:rsidR="003109F6" w:rsidRPr="0096742B">
        <w:rPr>
          <w:rFonts w:asciiTheme="majorBidi" w:hAnsiTheme="majorBidi" w:cstheme="majorBidi"/>
          <w:strike/>
          <w:sz w:val="18"/>
          <w:szCs w:val="18"/>
          <w:lang w:val="fr-FR"/>
        </w:rPr>
        <w:t> :</w:t>
      </w:r>
      <w:r w:rsidRPr="0096742B">
        <w:rPr>
          <w:rFonts w:asciiTheme="majorBidi" w:hAnsiTheme="majorBidi" w:cstheme="majorBidi"/>
          <w:strike/>
          <w:sz w:val="18"/>
          <w:szCs w:val="18"/>
          <w:lang w:val="fr-FR"/>
        </w:rPr>
        <w:t xml:space="preserve"> Aucun objet acoustiquement réfléchissant de grande taille ne doit se situer dans la limite du rayon représenté à la figure 1</w:t>
      </w:r>
      <w:r w:rsidR="00E3523D" w:rsidRPr="0096742B">
        <w:rPr>
          <w:rFonts w:asciiTheme="majorBidi" w:hAnsiTheme="majorBidi" w:cstheme="majorBidi"/>
          <w:strike/>
          <w:sz w:val="18"/>
          <w:szCs w:val="18"/>
          <w:lang w:val="fr-FR"/>
        </w:rPr>
        <w:t>.</w:t>
      </w:r>
    </w:p>
    <w:p w14:paraId="4FDA9A40" w14:textId="1539BD64" w:rsidR="00800DB9" w:rsidRPr="0096742B" w:rsidRDefault="00800DB9" w:rsidP="00800DB9">
      <w:pPr>
        <w:pStyle w:val="SingleTxtG"/>
        <w:keepNext/>
        <w:spacing w:before="240"/>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r>
      <w:r w:rsidRPr="0096742B">
        <w:rPr>
          <w:rFonts w:asciiTheme="majorBidi" w:hAnsiTheme="majorBidi" w:cstheme="majorBidi"/>
          <w:strike/>
          <w:lang w:val="fr-FR"/>
        </w:rPr>
        <w:tab/>
        <w:t>Conception et préparation du revêtement</w:t>
      </w:r>
    </w:p>
    <w:p w14:paraId="105C6497" w14:textId="478E1024"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Prescriptions de base concernant le revêtement</w:t>
      </w:r>
    </w:p>
    <w:p w14:paraId="438BB871" w14:textId="1181E846"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Le revêtement doit satisfaire à quatre exigences</w:t>
      </w:r>
      <w:r w:rsidR="003109F6" w:rsidRPr="0096742B">
        <w:rPr>
          <w:rFonts w:asciiTheme="majorBidi" w:hAnsiTheme="majorBidi" w:cstheme="majorBidi"/>
          <w:strike/>
          <w:lang w:val="fr-FR"/>
        </w:rPr>
        <w:t> :</w:t>
      </w:r>
    </w:p>
    <w:p w14:paraId="622F9ABE" w14:textId="4D36EA73"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Il doit être en béton bitumineux dense</w:t>
      </w:r>
      <w:r w:rsidR="00E3523D" w:rsidRPr="0096742B">
        <w:rPr>
          <w:rFonts w:asciiTheme="majorBidi" w:hAnsiTheme="majorBidi" w:cstheme="majorBidi"/>
          <w:strike/>
          <w:lang w:val="fr-FR"/>
        </w:rPr>
        <w:t>.</w:t>
      </w:r>
    </w:p>
    <w:p w14:paraId="5750671B" w14:textId="41851585"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La dimension maximale du gravier concassé doit être de 8 mm (les tolérances permettent entre 6,3 et 10 mm)</w:t>
      </w:r>
      <w:r w:rsidR="00E3523D" w:rsidRPr="0096742B">
        <w:rPr>
          <w:rFonts w:asciiTheme="majorBidi" w:hAnsiTheme="majorBidi" w:cstheme="majorBidi"/>
          <w:strike/>
          <w:lang w:val="fr-FR"/>
        </w:rPr>
        <w:t>.</w:t>
      </w:r>
    </w:p>
    <w:p w14:paraId="429048DB" w14:textId="0E9BBDBD"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3</w:t>
      </w:r>
      <w:r w:rsidRPr="0096742B">
        <w:rPr>
          <w:rFonts w:asciiTheme="majorBidi" w:hAnsiTheme="majorBidi" w:cstheme="majorBidi"/>
          <w:strike/>
          <w:lang w:val="fr-FR"/>
        </w:rPr>
        <w:tab/>
        <w:t>L</w:t>
      </w:r>
      <w:r w:rsidR="003109F6" w:rsidRPr="0096742B">
        <w:rPr>
          <w:rFonts w:asciiTheme="majorBidi" w:hAnsiTheme="majorBidi" w:cstheme="majorBidi"/>
          <w:strike/>
          <w:lang w:val="fr-FR"/>
        </w:rPr>
        <w:t>’</w:t>
      </w:r>
      <w:r w:rsidRPr="0096742B">
        <w:rPr>
          <w:rFonts w:asciiTheme="majorBidi" w:hAnsiTheme="majorBidi" w:cstheme="majorBidi"/>
          <w:strike/>
          <w:lang w:val="fr-FR"/>
        </w:rPr>
        <w:t>épaisseur de la couche de roulement doit être au moins égale à 30 mm</w:t>
      </w:r>
      <w:r w:rsidR="00E3523D" w:rsidRPr="0096742B">
        <w:rPr>
          <w:rFonts w:asciiTheme="majorBidi" w:hAnsiTheme="majorBidi" w:cstheme="majorBidi"/>
          <w:strike/>
          <w:lang w:val="fr-FR"/>
        </w:rPr>
        <w:t>.</w:t>
      </w:r>
    </w:p>
    <w:p w14:paraId="3447CF6D" w14:textId="52998D32"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4</w:t>
      </w:r>
      <w:r w:rsidRPr="0096742B">
        <w:rPr>
          <w:rFonts w:asciiTheme="majorBidi" w:hAnsiTheme="majorBidi" w:cstheme="majorBidi"/>
          <w:strike/>
          <w:lang w:val="fr-FR"/>
        </w:rPr>
        <w:tab/>
        <w:t>Le liant doit être un bitume à pénétration directe non modifié</w:t>
      </w:r>
      <w:r w:rsidR="00E3523D" w:rsidRPr="0096742B">
        <w:rPr>
          <w:rFonts w:asciiTheme="majorBidi" w:hAnsiTheme="majorBidi" w:cstheme="majorBidi"/>
          <w:strike/>
          <w:lang w:val="fr-FR"/>
        </w:rPr>
        <w:t>.</w:t>
      </w:r>
    </w:p>
    <w:p w14:paraId="41ED6895" w14:textId="124475DC"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3</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Caractéristiques du revêtement</w:t>
      </w:r>
    </w:p>
    <w:p w14:paraId="4BD1E9C1" w14:textId="164B6058"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Une courbe granulométrique des granulats donnant les caractéristiques souhaitées est illustrée sur la figure 2 à l</w:t>
      </w:r>
      <w:r w:rsidR="003109F6" w:rsidRPr="0096742B">
        <w:rPr>
          <w:rFonts w:asciiTheme="majorBidi" w:hAnsiTheme="majorBidi" w:cstheme="majorBidi"/>
          <w:strike/>
          <w:lang w:val="fr-FR"/>
        </w:rPr>
        <w:t>’</w:t>
      </w:r>
      <w:r w:rsidRPr="0096742B">
        <w:rPr>
          <w:rFonts w:asciiTheme="majorBidi" w:hAnsiTheme="majorBidi" w:cstheme="majorBidi"/>
          <w:strike/>
          <w:lang w:val="fr-FR"/>
        </w:rPr>
        <w:t>intention du constructeur du revêtement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En outre, le tableau 1 fournit certaines indications pour obtenir la texture et la durabilité souhaitées</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La courbe granulométrique obéit à la formule suivante</w:t>
      </w:r>
      <w:r w:rsidR="003109F6" w:rsidRPr="0096742B">
        <w:rPr>
          <w:rFonts w:asciiTheme="majorBidi" w:hAnsiTheme="majorBidi" w:cstheme="majorBidi"/>
          <w:strike/>
          <w:lang w:val="fr-FR"/>
        </w:rPr>
        <w:t> :</w:t>
      </w:r>
    </w:p>
    <w:p w14:paraId="4F0171D8" w14:textId="5AE3DC52" w:rsidR="00800DB9" w:rsidRPr="0096742B" w:rsidRDefault="00800DB9" w:rsidP="00800DB9">
      <w:pPr>
        <w:pStyle w:val="SingleTxtG"/>
        <w:spacing w:after="80"/>
        <w:ind w:left="2268"/>
        <w:rPr>
          <w:rFonts w:asciiTheme="majorBidi" w:hAnsiTheme="majorBidi" w:cstheme="majorBidi"/>
          <w:strike/>
          <w:lang w:val="fr-FR"/>
        </w:rPr>
      </w:pPr>
      <w:r w:rsidRPr="0096742B">
        <w:rPr>
          <w:rFonts w:asciiTheme="majorBidi" w:hAnsiTheme="majorBidi" w:cstheme="majorBidi"/>
          <w:strike/>
          <w:lang w:val="fr-FR"/>
        </w:rPr>
        <w:t xml:space="preserve">P </w:t>
      </w:r>
      <w:r w:rsidR="003109F6" w:rsidRPr="0096742B">
        <w:rPr>
          <w:rFonts w:asciiTheme="majorBidi" w:hAnsiTheme="majorBidi" w:cstheme="majorBidi"/>
          <w:strike/>
          <w:lang w:val="fr-FR"/>
        </w:rPr>
        <w:t>(%</w:t>
      </w:r>
      <w:r w:rsidRPr="0096742B">
        <w:rPr>
          <w:rFonts w:asciiTheme="majorBidi" w:hAnsiTheme="majorBidi" w:cstheme="majorBidi"/>
          <w:strike/>
          <w:lang w:val="fr-FR"/>
        </w:rPr>
        <w:t xml:space="preserve"> passant) = 100 • (d/d</w:t>
      </w:r>
      <w:r w:rsidRPr="0096742B">
        <w:rPr>
          <w:rFonts w:asciiTheme="majorBidi" w:hAnsiTheme="majorBidi" w:cstheme="majorBidi"/>
          <w:strike/>
          <w:vertAlign w:val="subscript"/>
          <w:lang w:val="fr-FR"/>
        </w:rPr>
        <w:t>max</w:t>
      </w:r>
      <w:r w:rsidRPr="0096742B">
        <w:rPr>
          <w:rFonts w:asciiTheme="majorBidi" w:hAnsiTheme="majorBidi" w:cstheme="majorBidi"/>
          <w:strike/>
          <w:lang w:val="fr-FR"/>
        </w:rPr>
        <w:t>) 1/2</w:t>
      </w:r>
    </w:p>
    <w:p w14:paraId="0579586B" w14:textId="73F1D40E" w:rsidR="00800DB9" w:rsidRPr="0096742B" w:rsidRDefault="00800DB9" w:rsidP="00800DB9">
      <w:pPr>
        <w:pStyle w:val="SingleTxtG"/>
        <w:keepNext/>
        <w:spacing w:after="80"/>
        <w:ind w:left="2268"/>
        <w:rPr>
          <w:rFonts w:asciiTheme="majorBidi" w:hAnsiTheme="majorBidi" w:cstheme="majorBidi"/>
          <w:strike/>
          <w:lang w:val="fr-FR"/>
        </w:rPr>
      </w:pPr>
      <w:r w:rsidRPr="0096742B">
        <w:rPr>
          <w:rFonts w:asciiTheme="majorBidi" w:hAnsiTheme="majorBidi" w:cstheme="majorBidi"/>
          <w:strike/>
          <w:lang w:val="fr-FR"/>
        </w:rPr>
        <w:t>Où</w:t>
      </w:r>
      <w:r w:rsidR="003109F6" w:rsidRPr="0096742B">
        <w:rPr>
          <w:rFonts w:asciiTheme="majorBidi" w:hAnsiTheme="majorBidi" w:cstheme="majorBidi"/>
          <w:strike/>
          <w:lang w:val="fr-FR"/>
        </w:rPr>
        <w:t> :</w:t>
      </w:r>
    </w:p>
    <w:p w14:paraId="1B41B865" w14:textId="77777777" w:rsidR="00800DB9" w:rsidRPr="0096742B" w:rsidRDefault="00800DB9" w:rsidP="00800DB9">
      <w:pPr>
        <w:pStyle w:val="SingleTxtG"/>
        <w:spacing w:after="80"/>
        <w:ind w:left="2268"/>
        <w:rPr>
          <w:rFonts w:asciiTheme="majorBidi" w:hAnsiTheme="majorBidi" w:cstheme="majorBidi"/>
          <w:strike/>
          <w:lang w:val="fr-FR"/>
        </w:rPr>
      </w:pPr>
      <w:r w:rsidRPr="0096742B">
        <w:rPr>
          <w:rFonts w:asciiTheme="majorBidi" w:hAnsiTheme="majorBidi" w:cstheme="majorBidi"/>
          <w:strike/>
          <w:lang w:val="fr-FR"/>
        </w:rPr>
        <w:t>d</w:t>
      </w:r>
      <w:r w:rsidRPr="0096742B">
        <w:rPr>
          <w:rFonts w:asciiTheme="majorBidi" w:hAnsiTheme="majorBidi" w:cstheme="majorBidi"/>
          <w:strike/>
          <w:lang w:val="fr-FR"/>
        </w:rPr>
        <w:tab/>
        <w:t>=</w:t>
      </w:r>
      <w:r w:rsidRPr="0096742B">
        <w:rPr>
          <w:rFonts w:asciiTheme="majorBidi" w:hAnsiTheme="majorBidi" w:cstheme="majorBidi"/>
          <w:strike/>
          <w:lang w:val="fr-FR"/>
        </w:rPr>
        <w:tab/>
        <w:t>maillage (carré) du tamis en mm</w:t>
      </w:r>
    </w:p>
    <w:p w14:paraId="434BC505" w14:textId="77777777" w:rsidR="00800DB9" w:rsidRPr="0096742B" w:rsidRDefault="00800DB9" w:rsidP="00800DB9">
      <w:pPr>
        <w:pStyle w:val="SingleTxtG"/>
        <w:spacing w:after="80"/>
        <w:ind w:left="2268"/>
        <w:rPr>
          <w:rFonts w:asciiTheme="majorBidi" w:hAnsiTheme="majorBidi" w:cstheme="majorBidi"/>
          <w:strike/>
          <w:lang w:val="fr-FR"/>
        </w:rPr>
      </w:pPr>
      <w:r w:rsidRPr="0096742B">
        <w:rPr>
          <w:rFonts w:asciiTheme="majorBidi" w:hAnsiTheme="majorBidi" w:cstheme="majorBidi"/>
          <w:strike/>
          <w:lang w:val="fr-FR"/>
        </w:rPr>
        <w:t>d</w:t>
      </w:r>
      <w:r w:rsidRPr="0096742B">
        <w:rPr>
          <w:rFonts w:asciiTheme="majorBidi" w:hAnsiTheme="majorBidi" w:cstheme="majorBidi"/>
          <w:strike/>
          <w:vertAlign w:val="subscript"/>
          <w:lang w:val="fr-FR"/>
        </w:rPr>
        <w:t>max</w:t>
      </w:r>
      <w:r w:rsidRPr="0096742B">
        <w:rPr>
          <w:rFonts w:asciiTheme="majorBidi" w:hAnsiTheme="majorBidi" w:cstheme="majorBidi"/>
          <w:strike/>
          <w:lang w:val="fr-FR"/>
        </w:rPr>
        <w:tab/>
        <w:t>=</w:t>
      </w:r>
      <w:r w:rsidRPr="0096742B">
        <w:rPr>
          <w:rFonts w:asciiTheme="majorBidi" w:hAnsiTheme="majorBidi" w:cstheme="majorBidi"/>
          <w:strike/>
          <w:lang w:val="fr-FR"/>
        </w:rPr>
        <w:tab/>
        <w:t>8 mm pour la courbe moyenne</w:t>
      </w:r>
    </w:p>
    <w:p w14:paraId="4CD231D9" w14:textId="77777777" w:rsidR="00800DB9" w:rsidRPr="0096742B" w:rsidRDefault="00800DB9" w:rsidP="00800DB9">
      <w:pPr>
        <w:pStyle w:val="SingleTxtG"/>
        <w:keepNext/>
        <w:spacing w:after="80"/>
        <w:ind w:left="2268"/>
        <w:rPr>
          <w:rFonts w:asciiTheme="majorBidi" w:hAnsiTheme="majorBidi" w:cstheme="majorBidi"/>
          <w:strike/>
          <w:lang w:val="fr-FR"/>
        </w:rPr>
      </w:pPr>
      <w:r w:rsidRPr="0096742B">
        <w:rPr>
          <w:rFonts w:asciiTheme="majorBidi" w:hAnsiTheme="majorBidi" w:cstheme="majorBidi"/>
          <w:strike/>
          <w:lang w:val="fr-FR"/>
        </w:rPr>
        <w:t>d</w:t>
      </w:r>
      <w:r w:rsidRPr="0096742B">
        <w:rPr>
          <w:rFonts w:asciiTheme="majorBidi" w:hAnsiTheme="majorBidi" w:cstheme="majorBidi"/>
          <w:strike/>
          <w:vertAlign w:val="subscript"/>
          <w:lang w:val="fr-FR"/>
        </w:rPr>
        <w:t>max</w:t>
      </w:r>
      <w:r w:rsidRPr="0096742B">
        <w:rPr>
          <w:rFonts w:asciiTheme="majorBidi" w:hAnsiTheme="majorBidi" w:cstheme="majorBidi"/>
          <w:strike/>
          <w:lang w:val="fr-FR"/>
        </w:rPr>
        <w:tab/>
        <w:t>=</w:t>
      </w:r>
      <w:r w:rsidRPr="0096742B">
        <w:rPr>
          <w:rFonts w:asciiTheme="majorBidi" w:hAnsiTheme="majorBidi" w:cstheme="majorBidi"/>
          <w:strike/>
          <w:lang w:val="fr-FR"/>
        </w:rPr>
        <w:tab/>
        <w:t>10 mm pour la courbe de tolérance inférieure</w:t>
      </w:r>
    </w:p>
    <w:p w14:paraId="36CF344A" w14:textId="127C5BA2" w:rsidR="00800DB9" w:rsidRPr="0096742B" w:rsidRDefault="00800DB9" w:rsidP="00800DB9">
      <w:pPr>
        <w:pStyle w:val="SingleTxtG"/>
        <w:spacing w:after="80"/>
        <w:ind w:left="2268"/>
        <w:rPr>
          <w:rFonts w:asciiTheme="majorBidi" w:hAnsiTheme="majorBidi" w:cstheme="majorBidi"/>
          <w:strike/>
          <w:lang w:val="fr-FR"/>
        </w:rPr>
      </w:pPr>
      <w:r w:rsidRPr="0096742B">
        <w:rPr>
          <w:rFonts w:asciiTheme="majorBidi" w:hAnsiTheme="majorBidi" w:cstheme="majorBidi"/>
          <w:strike/>
          <w:lang w:val="fr-FR"/>
        </w:rPr>
        <w:t>d</w:t>
      </w:r>
      <w:r w:rsidRPr="0096742B">
        <w:rPr>
          <w:rFonts w:asciiTheme="majorBidi" w:hAnsiTheme="majorBidi" w:cstheme="majorBidi"/>
          <w:strike/>
          <w:vertAlign w:val="subscript"/>
          <w:lang w:val="fr-FR"/>
        </w:rPr>
        <w:t>max</w:t>
      </w:r>
      <w:r w:rsidRPr="0096742B">
        <w:rPr>
          <w:rFonts w:asciiTheme="majorBidi" w:hAnsiTheme="majorBidi" w:cstheme="majorBidi"/>
          <w:strike/>
          <w:lang w:val="fr-FR"/>
        </w:rPr>
        <w:tab/>
        <w:t>=</w:t>
      </w:r>
      <w:r w:rsidRPr="0096742B">
        <w:rPr>
          <w:rFonts w:asciiTheme="majorBidi" w:hAnsiTheme="majorBidi" w:cstheme="majorBidi"/>
          <w:strike/>
          <w:lang w:val="fr-FR"/>
        </w:rPr>
        <w:tab/>
        <w:t>6,3 mm pour la courbe de tolérance supérieure</w:t>
      </w:r>
      <w:r w:rsidR="00E3523D" w:rsidRPr="0096742B">
        <w:rPr>
          <w:rFonts w:asciiTheme="majorBidi" w:hAnsiTheme="majorBidi" w:cstheme="majorBidi"/>
          <w:strike/>
          <w:lang w:val="fr-FR"/>
        </w:rPr>
        <w:t>.</w:t>
      </w:r>
    </w:p>
    <w:p w14:paraId="4615C849" w14:textId="4AA453EE" w:rsidR="00800DB9" w:rsidRPr="0096742B" w:rsidRDefault="00800DB9" w:rsidP="00800DB9">
      <w:pPr>
        <w:pStyle w:val="H23G"/>
        <w:rPr>
          <w:rFonts w:asciiTheme="majorBidi" w:hAnsiTheme="majorBidi" w:cstheme="majorBidi"/>
          <w:strike/>
          <w:lang w:val="fr-FR"/>
        </w:rPr>
      </w:pPr>
      <w:r w:rsidRPr="0096742B">
        <w:rPr>
          <w:rFonts w:asciiTheme="majorBidi" w:hAnsiTheme="majorBidi" w:cstheme="majorBidi"/>
          <w:strike/>
          <w:lang w:val="fr-FR"/>
        </w:rPr>
        <w:tab/>
      </w:r>
      <w:r w:rsidRPr="0096742B">
        <w:rPr>
          <w:rFonts w:asciiTheme="majorBidi" w:hAnsiTheme="majorBidi" w:cstheme="majorBidi"/>
          <w:strike/>
          <w:lang w:val="fr-FR"/>
        </w:rPr>
        <w:tab/>
      </w:r>
      <w:r w:rsidRPr="0096742B">
        <w:rPr>
          <w:rFonts w:asciiTheme="majorBidi" w:hAnsiTheme="majorBidi" w:cstheme="majorBidi"/>
          <w:b w:val="0"/>
          <w:strike/>
          <w:lang w:val="fr-FR"/>
        </w:rPr>
        <w:t xml:space="preserve">Figure 2 </w:t>
      </w:r>
      <w:r w:rsidRPr="0096742B">
        <w:rPr>
          <w:rFonts w:asciiTheme="majorBidi" w:hAnsiTheme="majorBidi" w:cstheme="majorBidi"/>
          <w:b w:val="0"/>
          <w:strike/>
          <w:lang w:val="fr-FR"/>
        </w:rPr>
        <w:br/>
      </w:r>
      <w:r w:rsidRPr="0096742B">
        <w:rPr>
          <w:rFonts w:asciiTheme="majorBidi" w:hAnsiTheme="majorBidi" w:cstheme="majorBidi"/>
          <w:strike/>
          <w:lang w:val="fr-FR"/>
        </w:rPr>
        <w:t>Courbe granulométrique de l</w:t>
      </w:r>
      <w:r w:rsidR="003109F6" w:rsidRPr="0096742B">
        <w:rPr>
          <w:rFonts w:asciiTheme="majorBidi" w:hAnsiTheme="majorBidi" w:cstheme="majorBidi"/>
          <w:strike/>
          <w:lang w:val="fr-FR"/>
        </w:rPr>
        <w:t>’</w:t>
      </w:r>
      <w:r w:rsidRPr="0096742B">
        <w:rPr>
          <w:rFonts w:asciiTheme="majorBidi" w:hAnsiTheme="majorBidi" w:cstheme="majorBidi"/>
          <w:strike/>
          <w:lang w:val="fr-FR"/>
        </w:rPr>
        <w:t>agrégat dans le mélange asphaltique, avec tolérances</w:t>
      </w:r>
    </w:p>
    <w:p w14:paraId="4CB16459" w14:textId="77777777" w:rsidR="00800DB9" w:rsidRPr="0096742B" w:rsidRDefault="00800DB9" w:rsidP="00800DB9">
      <w:pPr>
        <w:pStyle w:val="SingleTxtG"/>
        <w:spacing w:after="240" w:line="240" w:lineRule="auto"/>
        <w:rPr>
          <w:rFonts w:asciiTheme="majorBidi" w:hAnsiTheme="majorBidi" w:cstheme="majorBidi"/>
          <w:strike/>
          <w:lang w:val="fr-FR"/>
        </w:rPr>
      </w:pPr>
      <w:bookmarkStart w:id="20" w:name="_MON_1354360465"/>
      <w:bookmarkStart w:id="21" w:name="_MON_1354361808"/>
      <w:bookmarkStart w:id="22" w:name="_MON_1354362667"/>
      <w:bookmarkStart w:id="23" w:name="_MON_1354362896"/>
      <w:bookmarkStart w:id="24" w:name="_MON_1393234518"/>
      <w:bookmarkStart w:id="25" w:name="_MON_1393234573"/>
      <w:bookmarkStart w:id="26" w:name="_MON_1393234601"/>
      <w:bookmarkStart w:id="27" w:name="_MON_1393234627"/>
      <w:bookmarkEnd w:id="20"/>
      <w:bookmarkEnd w:id="21"/>
      <w:bookmarkEnd w:id="22"/>
      <w:bookmarkEnd w:id="23"/>
      <w:bookmarkEnd w:id="24"/>
      <w:bookmarkEnd w:id="25"/>
      <w:bookmarkEnd w:id="26"/>
      <w:bookmarkEnd w:id="27"/>
      <w:r w:rsidRPr="0096742B">
        <w:rPr>
          <w:b/>
          <w:bCs/>
          <w:strike/>
          <w:noProof/>
          <w:lang w:val="fr-FR"/>
        </w:rPr>
        <mc:AlternateContent>
          <mc:Choice Requires="wps">
            <w:drawing>
              <wp:anchor distT="0" distB="0" distL="114300" distR="114300" simplePos="0" relativeHeight="251660288" behindDoc="0" locked="0" layoutInCell="1" allowOverlap="1" wp14:anchorId="5D5058BA" wp14:editId="6E68C736">
                <wp:simplePos x="0" y="0"/>
                <wp:positionH relativeFrom="margin">
                  <wp:posOffset>343989</wp:posOffset>
                </wp:positionH>
                <wp:positionV relativeFrom="paragraph">
                  <wp:posOffset>362</wp:posOffset>
                </wp:positionV>
                <wp:extent cx="5380264" cy="3834493"/>
                <wp:effectExtent l="19050" t="19050" r="30480" b="33020"/>
                <wp:wrapNone/>
                <wp:docPr id="5" name="Straight Connector 4"/>
                <wp:cNvGraphicFramePr/>
                <a:graphic xmlns:a="http://schemas.openxmlformats.org/drawingml/2006/main">
                  <a:graphicData uri="http://schemas.microsoft.com/office/word/2010/wordprocessingShape">
                    <wps:wsp>
                      <wps:cNvCnPr/>
                      <wps:spPr>
                        <a:xfrm>
                          <a:off x="0" y="0"/>
                          <a:ext cx="5380264" cy="383449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70C9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pt,.05pt" to="450.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" strokecolor="black [3040]" strokeweight="2.25pt">
                <w10:wrap anchorx="margin"/>
              </v:line>
            </w:pict>
          </mc:Fallback>
        </mc:AlternateContent>
      </w:r>
      <w:r w:rsidRPr="0096742B">
        <w:rPr>
          <w:rFonts w:asciiTheme="majorBidi" w:hAnsiTheme="majorBidi" w:cstheme="majorBidi"/>
          <w:strike/>
          <w:noProof/>
          <w:lang w:val="fr-FR" w:eastAsia="fr-CH"/>
        </w:rPr>
        <w:drawing>
          <wp:inline distT="0" distB="0" distL="0" distR="0" wp14:anchorId="44AF552F" wp14:editId="1563BB93">
            <wp:extent cx="4672800" cy="3751200"/>
            <wp:effectExtent l="19050" t="19050" r="13970" b="209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3751200"/>
                    </a:xfrm>
                    <a:prstGeom prst="rect">
                      <a:avLst/>
                    </a:prstGeom>
                    <a:noFill/>
                    <a:ln w="6350" cmpd="sng">
                      <a:solidFill>
                        <a:srgbClr val="000000"/>
                      </a:solidFill>
                      <a:miter lim="800000"/>
                      <a:headEnd/>
                      <a:tailEnd/>
                    </a:ln>
                    <a:effectLst/>
                  </pic:spPr>
                </pic:pic>
              </a:graphicData>
            </a:graphic>
          </wp:inline>
        </w:drawing>
      </w:r>
    </w:p>
    <w:p w14:paraId="0B4E0587" w14:textId="6A12640C" w:rsidR="003109F6" w:rsidRPr="0096742B" w:rsidRDefault="00800DB9" w:rsidP="00800DB9">
      <w:pPr>
        <w:pStyle w:val="SingleTxtG"/>
        <w:keepNext/>
        <w:spacing w:before="240"/>
        <w:ind w:left="2268"/>
        <w:rPr>
          <w:b/>
          <w:bCs/>
          <w:strike/>
          <w:noProof/>
          <w:lang w:val="fr-FR"/>
        </w:rPr>
      </w:pPr>
      <w:r w:rsidRPr="0096742B">
        <w:rPr>
          <w:rFonts w:asciiTheme="majorBidi" w:hAnsiTheme="majorBidi" w:cstheme="majorBidi"/>
          <w:strike/>
          <w:lang w:val="fr-FR"/>
        </w:rPr>
        <w:t>Outre les dispositions qui précèdent, les recommandations suivantes sont à suivre</w:t>
      </w:r>
      <w:r w:rsidR="003109F6" w:rsidRPr="0096742B">
        <w:rPr>
          <w:rFonts w:asciiTheme="majorBidi" w:hAnsiTheme="majorBidi" w:cstheme="majorBidi"/>
          <w:strike/>
          <w:lang w:val="fr-FR"/>
        </w:rPr>
        <w:t> :</w:t>
      </w:r>
    </w:p>
    <w:p w14:paraId="1FC9E98E" w14:textId="5CE7462B"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a)</w:t>
      </w:r>
      <w:r w:rsidRPr="0096742B">
        <w:rPr>
          <w:rFonts w:asciiTheme="majorBidi" w:hAnsiTheme="majorBidi" w:cstheme="majorBidi"/>
          <w:strike/>
          <w:lang w:val="fr-FR"/>
        </w:rPr>
        <w:tab/>
        <w:t>La fraction de sable (0,063 mm &lt; maillage du tamis &lt; 2 mm) ne peut comporter plus de 55</w:t>
      </w:r>
      <w:r w:rsidR="003109F6" w:rsidRPr="0096742B">
        <w:rPr>
          <w:rFonts w:asciiTheme="majorBidi" w:hAnsiTheme="majorBidi" w:cstheme="majorBidi"/>
          <w:strike/>
          <w:lang w:val="fr-FR"/>
        </w:rPr>
        <w:t> %</w:t>
      </w:r>
      <w:r w:rsidRPr="0096742B">
        <w:rPr>
          <w:rFonts w:asciiTheme="majorBidi" w:hAnsiTheme="majorBidi" w:cstheme="majorBidi"/>
          <w:strike/>
          <w:lang w:val="fr-FR"/>
        </w:rPr>
        <w:t xml:space="preserve"> de sable naturel et doit comporter au moins 45</w:t>
      </w:r>
      <w:r w:rsidR="003109F6" w:rsidRPr="0096742B">
        <w:rPr>
          <w:rFonts w:asciiTheme="majorBidi" w:hAnsiTheme="majorBidi" w:cstheme="majorBidi"/>
          <w:strike/>
          <w:lang w:val="fr-FR"/>
        </w:rPr>
        <w:t> %</w:t>
      </w:r>
      <w:r w:rsidRPr="0096742B">
        <w:rPr>
          <w:rFonts w:asciiTheme="majorBidi" w:hAnsiTheme="majorBidi" w:cstheme="majorBidi"/>
          <w:strike/>
          <w:lang w:val="fr-FR"/>
        </w:rPr>
        <w:t xml:space="preserve"> de sable fin</w:t>
      </w:r>
      <w:r w:rsidR="003109F6" w:rsidRPr="0096742B">
        <w:rPr>
          <w:rFonts w:asciiTheme="majorBidi" w:hAnsiTheme="majorBidi" w:cstheme="majorBidi"/>
          <w:strike/>
          <w:lang w:val="fr-FR"/>
        </w:rPr>
        <w:t> ;</w:t>
      </w:r>
    </w:p>
    <w:p w14:paraId="2011C17B" w14:textId="072442D8"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b)</w:t>
      </w:r>
      <w:r w:rsidRPr="0096742B">
        <w:rPr>
          <w:rFonts w:asciiTheme="majorBidi" w:hAnsiTheme="majorBidi" w:cstheme="majorBidi"/>
          <w:strike/>
          <w:lang w:val="fr-FR"/>
        </w:rPr>
        <w:tab/>
        <w:t>Les soubassements doivent assurer une bonne stabilité et une bonne uniformité, conformément aux meilleures pratiques de construction routière</w:t>
      </w:r>
      <w:r w:rsidR="003109F6" w:rsidRPr="0096742B">
        <w:rPr>
          <w:rFonts w:asciiTheme="majorBidi" w:hAnsiTheme="majorBidi" w:cstheme="majorBidi"/>
          <w:strike/>
          <w:lang w:val="fr-FR"/>
        </w:rPr>
        <w:t> ;</w:t>
      </w:r>
    </w:p>
    <w:p w14:paraId="64385DCE" w14:textId="3CB9C52C"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c)</w:t>
      </w:r>
      <w:r w:rsidRPr="0096742B">
        <w:rPr>
          <w:rFonts w:asciiTheme="majorBidi" w:hAnsiTheme="majorBidi" w:cstheme="majorBidi"/>
          <w:strike/>
          <w:lang w:val="fr-FR"/>
        </w:rPr>
        <w:tab/>
        <w:t>Les graviers doivent être concassés (100</w:t>
      </w:r>
      <w:r w:rsidR="003109F6" w:rsidRPr="0096742B">
        <w:rPr>
          <w:rFonts w:asciiTheme="majorBidi" w:hAnsiTheme="majorBidi" w:cstheme="majorBidi"/>
          <w:strike/>
          <w:lang w:val="fr-FR"/>
        </w:rPr>
        <w:t> %</w:t>
      </w:r>
      <w:r w:rsidRPr="0096742B">
        <w:rPr>
          <w:rFonts w:asciiTheme="majorBidi" w:hAnsiTheme="majorBidi" w:cstheme="majorBidi"/>
          <w:strike/>
          <w:lang w:val="fr-FR"/>
        </w:rPr>
        <w:t xml:space="preserve"> de faces concassées) et être constitués d</w:t>
      </w:r>
      <w:r w:rsidR="003109F6" w:rsidRPr="0096742B">
        <w:rPr>
          <w:rFonts w:asciiTheme="majorBidi" w:hAnsiTheme="majorBidi" w:cstheme="majorBidi"/>
          <w:strike/>
          <w:lang w:val="fr-FR"/>
        </w:rPr>
        <w:t>’</w:t>
      </w:r>
      <w:r w:rsidRPr="0096742B">
        <w:rPr>
          <w:rFonts w:asciiTheme="majorBidi" w:hAnsiTheme="majorBidi" w:cstheme="majorBidi"/>
          <w:strike/>
          <w:lang w:val="fr-FR"/>
        </w:rPr>
        <w:t>un matériau offrant une résistance élevée au concassage</w:t>
      </w:r>
      <w:r w:rsidR="003109F6" w:rsidRPr="0096742B">
        <w:rPr>
          <w:rFonts w:asciiTheme="majorBidi" w:hAnsiTheme="majorBidi" w:cstheme="majorBidi"/>
          <w:strike/>
          <w:lang w:val="fr-FR"/>
        </w:rPr>
        <w:t> ;</w:t>
      </w:r>
    </w:p>
    <w:p w14:paraId="617384AC" w14:textId="53B4D5F2"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d)</w:t>
      </w:r>
      <w:r w:rsidRPr="0096742B">
        <w:rPr>
          <w:rFonts w:asciiTheme="majorBidi" w:hAnsiTheme="majorBidi" w:cstheme="majorBidi"/>
          <w:strike/>
          <w:lang w:val="fr-FR"/>
        </w:rPr>
        <w:tab/>
        <w:t>Les graviers utilisés dans le mélange doivent être lavés</w:t>
      </w:r>
      <w:r w:rsidR="003109F6" w:rsidRPr="0096742B">
        <w:rPr>
          <w:rFonts w:asciiTheme="majorBidi" w:hAnsiTheme="majorBidi" w:cstheme="majorBidi"/>
          <w:strike/>
          <w:lang w:val="fr-FR"/>
        </w:rPr>
        <w:t> ;</w:t>
      </w:r>
    </w:p>
    <w:p w14:paraId="27B59659" w14:textId="6A3E12C9"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e)</w:t>
      </w:r>
      <w:r w:rsidRPr="0096742B">
        <w:rPr>
          <w:rFonts w:asciiTheme="majorBidi" w:hAnsiTheme="majorBidi" w:cstheme="majorBidi"/>
          <w:strike/>
          <w:lang w:val="fr-FR"/>
        </w:rPr>
        <w:tab/>
        <w:t>Aucun gravier supplémentaire ne doit être ajouté au revêtement</w:t>
      </w:r>
      <w:r w:rsidR="003109F6" w:rsidRPr="0096742B">
        <w:rPr>
          <w:rFonts w:asciiTheme="majorBidi" w:hAnsiTheme="majorBidi" w:cstheme="majorBidi"/>
          <w:strike/>
          <w:lang w:val="fr-FR"/>
        </w:rPr>
        <w:t> ;</w:t>
      </w:r>
    </w:p>
    <w:p w14:paraId="7C55A254" w14:textId="2C2910AE"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f)</w:t>
      </w:r>
      <w:r w:rsidRPr="0096742B">
        <w:rPr>
          <w:rFonts w:asciiTheme="majorBidi" w:hAnsiTheme="majorBidi" w:cstheme="majorBidi"/>
          <w:strike/>
          <w:lang w:val="fr-FR"/>
        </w:rPr>
        <w:tab/>
        <w:t>La dureté du liant exprimée en valeur PEN doit être comprise entre 40 et 60, 60 et 80, ou même 80 et 100, selon les conditions climatiques du pays considéré</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La règle est que le liant utilisé doit être aussi dur que possible, à condition que ceci soit en conformité avec la pratique courante</w:t>
      </w:r>
      <w:r w:rsidR="003109F6" w:rsidRPr="0096742B">
        <w:rPr>
          <w:rFonts w:asciiTheme="majorBidi" w:hAnsiTheme="majorBidi" w:cstheme="majorBidi"/>
          <w:strike/>
          <w:lang w:val="fr-FR"/>
        </w:rPr>
        <w:t> ;</w:t>
      </w:r>
    </w:p>
    <w:p w14:paraId="7C417416" w14:textId="779E31DA" w:rsidR="00800DB9" w:rsidRPr="0096742B" w:rsidRDefault="00800DB9" w:rsidP="00800DB9">
      <w:pPr>
        <w:pStyle w:val="SingleTxtG"/>
        <w:ind w:left="2835" w:hanging="567"/>
        <w:rPr>
          <w:rFonts w:asciiTheme="majorBidi" w:hAnsiTheme="majorBidi" w:cstheme="majorBidi"/>
          <w:strike/>
          <w:lang w:val="fr-FR"/>
        </w:rPr>
      </w:pPr>
      <w:r w:rsidRPr="0096742B">
        <w:rPr>
          <w:rFonts w:asciiTheme="majorBidi" w:hAnsiTheme="majorBidi" w:cstheme="majorBidi"/>
          <w:strike/>
          <w:lang w:val="fr-FR"/>
        </w:rPr>
        <w:t>g)</w:t>
      </w:r>
      <w:r w:rsidRPr="0096742B">
        <w:rPr>
          <w:rFonts w:asciiTheme="majorBidi" w:hAnsiTheme="majorBidi" w:cstheme="majorBidi"/>
          <w:strike/>
          <w:lang w:val="fr-FR"/>
        </w:rPr>
        <w:tab/>
        <w:t>La température du mélange avant roulage doit être choisie de manière à obtenir, après roulage, la teneur en vides prescrite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La conformité aux prescriptions des paragraphes 2</w:t>
      </w:r>
      <w:r w:rsidR="00E3523D" w:rsidRPr="0096742B">
        <w:rPr>
          <w:rFonts w:asciiTheme="majorBidi" w:hAnsiTheme="majorBidi" w:cstheme="majorBidi"/>
          <w:strike/>
          <w:lang w:val="fr-FR"/>
        </w:rPr>
        <w:t>.</w:t>
      </w:r>
      <w:r w:rsidRPr="0096742B">
        <w:rPr>
          <w:rFonts w:asciiTheme="majorBidi" w:hAnsiTheme="majorBidi" w:cstheme="majorBidi"/>
          <w:strike/>
          <w:lang w:val="fr-FR"/>
        </w:rPr>
        <w:t>1 à 2</w:t>
      </w:r>
      <w:r w:rsidR="00E3523D" w:rsidRPr="0096742B">
        <w:rPr>
          <w:rFonts w:asciiTheme="majorBidi" w:hAnsiTheme="majorBidi" w:cstheme="majorBidi"/>
          <w:strike/>
          <w:lang w:val="fr-FR"/>
        </w:rPr>
        <w:t>.</w:t>
      </w:r>
      <w:r w:rsidRPr="0096742B">
        <w:rPr>
          <w:rFonts w:asciiTheme="majorBidi" w:hAnsiTheme="majorBidi" w:cstheme="majorBidi"/>
          <w:strike/>
          <w:lang w:val="fr-FR"/>
        </w:rPr>
        <w:t>4 ci-dessus dépend non seulement de la température du mélange, mais aussi du nombre de passes et du choix du véhicule de compactage</w:t>
      </w:r>
      <w:r w:rsidR="00E3523D" w:rsidRPr="0096742B">
        <w:rPr>
          <w:rFonts w:asciiTheme="majorBidi" w:hAnsiTheme="majorBidi" w:cstheme="majorBidi"/>
          <w:strike/>
          <w:lang w:val="fr-FR"/>
        </w:rPr>
        <w:t>.</w:t>
      </w:r>
    </w:p>
    <w:p w14:paraId="760F6EB1" w14:textId="77777777" w:rsidR="00800DB9" w:rsidRPr="0096742B" w:rsidRDefault="00800DB9" w:rsidP="00800DB9">
      <w:pPr>
        <w:pStyle w:val="H23G"/>
        <w:rPr>
          <w:rFonts w:asciiTheme="majorBidi" w:hAnsiTheme="majorBidi" w:cstheme="majorBidi"/>
          <w:strike/>
          <w:lang w:val="fr-FR"/>
        </w:rPr>
      </w:pPr>
      <w:r w:rsidRPr="0096742B">
        <w:rPr>
          <w:rFonts w:asciiTheme="majorBidi" w:hAnsiTheme="majorBidi" w:cstheme="majorBidi"/>
          <w:strike/>
          <w:lang w:val="fr-FR"/>
        </w:rPr>
        <w:tab/>
      </w:r>
      <w:r w:rsidRPr="0096742B">
        <w:rPr>
          <w:rFonts w:asciiTheme="majorBidi" w:hAnsiTheme="majorBidi" w:cstheme="majorBidi"/>
          <w:strike/>
          <w:lang w:val="fr-FR"/>
        </w:rPr>
        <w:tab/>
      </w:r>
      <w:r w:rsidRPr="0096742B">
        <w:rPr>
          <w:rFonts w:asciiTheme="majorBidi" w:hAnsiTheme="majorBidi" w:cstheme="majorBidi"/>
          <w:b w:val="0"/>
          <w:strike/>
          <w:lang w:val="fr-FR"/>
        </w:rPr>
        <w:t xml:space="preserve">Tableau 1 </w:t>
      </w:r>
      <w:r w:rsidRPr="0096742B">
        <w:rPr>
          <w:rFonts w:asciiTheme="majorBidi" w:hAnsiTheme="majorBidi" w:cstheme="majorBidi"/>
          <w:b w:val="0"/>
          <w:strike/>
          <w:lang w:val="fr-FR"/>
        </w:rPr>
        <w:br/>
      </w:r>
      <w:r w:rsidRPr="0096742B">
        <w:rPr>
          <w:rFonts w:asciiTheme="majorBidi" w:hAnsiTheme="majorBidi" w:cstheme="majorBidi"/>
          <w:strike/>
          <w:lang w:val="fr-FR"/>
        </w:rPr>
        <w:t>Valeurs-guides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0"/>
        <w:gridCol w:w="1124"/>
        <w:gridCol w:w="1124"/>
        <w:gridCol w:w="1043"/>
      </w:tblGrid>
      <w:tr w:rsidR="00800DB9" w:rsidRPr="0096742B" w14:paraId="7554EC61" w14:textId="77777777" w:rsidTr="00F818F9">
        <w:trPr>
          <w:tblHeader/>
        </w:trPr>
        <w:tc>
          <w:tcPr>
            <w:tcW w:w="4080" w:type="dxa"/>
            <w:vMerge w:val="restart"/>
            <w:shd w:val="clear" w:color="auto" w:fill="auto"/>
          </w:tcPr>
          <w:p w14:paraId="4916827F" w14:textId="77777777" w:rsidR="00800DB9" w:rsidRPr="0096742B" w:rsidRDefault="00800DB9" w:rsidP="00F818F9">
            <w:pPr>
              <w:spacing w:before="80" w:after="80" w:line="200" w:lineRule="exact"/>
              <w:ind w:left="57" w:right="57"/>
              <w:rPr>
                <w:rFonts w:asciiTheme="majorBidi" w:hAnsiTheme="majorBidi" w:cstheme="majorBidi"/>
                <w:i/>
                <w:strike/>
                <w:sz w:val="16"/>
                <w:lang w:val="fr-FR"/>
              </w:rPr>
            </w:pPr>
          </w:p>
        </w:tc>
        <w:tc>
          <w:tcPr>
            <w:tcW w:w="2248" w:type="dxa"/>
            <w:gridSpan w:val="2"/>
            <w:shd w:val="clear" w:color="auto" w:fill="auto"/>
            <w:vAlign w:val="bottom"/>
          </w:tcPr>
          <w:p w14:paraId="7F992843" w14:textId="77777777" w:rsidR="00800DB9" w:rsidRPr="0096742B" w:rsidRDefault="00800DB9" w:rsidP="00F818F9">
            <w:pPr>
              <w:spacing w:before="80" w:after="80" w:line="200" w:lineRule="exact"/>
              <w:ind w:left="57" w:right="57"/>
              <w:jc w:val="center"/>
              <w:rPr>
                <w:rFonts w:asciiTheme="majorBidi" w:hAnsiTheme="majorBidi" w:cstheme="majorBidi"/>
                <w:i/>
                <w:strike/>
                <w:sz w:val="16"/>
                <w:lang w:val="fr-FR"/>
              </w:rPr>
            </w:pPr>
            <w:r w:rsidRPr="0096742B">
              <w:rPr>
                <w:rFonts w:asciiTheme="majorBidi" w:hAnsiTheme="majorBidi" w:cstheme="majorBidi"/>
                <w:i/>
                <w:strike/>
                <w:sz w:val="16"/>
                <w:lang w:val="fr-FR"/>
              </w:rPr>
              <w:t>Valeurs-guides</w:t>
            </w:r>
          </w:p>
        </w:tc>
        <w:tc>
          <w:tcPr>
            <w:tcW w:w="1043" w:type="dxa"/>
            <w:vMerge w:val="restart"/>
            <w:shd w:val="clear" w:color="auto" w:fill="auto"/>
            <w:vAlign w:val="bottom"/>
          </w:tcPr>
          <w:p w14:paraId="31AA8249" w14:textId="77777777" w:rsidR="00800DB9" w:rsidRPr="0096742B" w:rsidRDefault="00800DB9" w:rsidP="00F818F9">
            <w:pPr>
              <w:spacing w:before="80" w:after="80" w:line="200" w:lineRule="exact"/>
              <w:ind w:left="57" w:right="57"/>
              <w:jc w:val="center"/>
              <w:rPr>
                <w:rFonts w:asciiTheme="majorBidi" w:hAnsiTheme="majorBidi" w:cstheme="majorBidi"/>
                <w:i/>
                <w:strike/>
                <w:sz w:val="16"/>
                <w:lang w:val="fr-FR"/>
              </w:rPr>
            </w:pPr>
            <w:r w:rsidRPr="0096742B">
              <w:rPr>
                <w:rFonts w:asciiTheme="majorBidi" w:hAnsiTheme="majorBidi" w:cstheme="majorBidi"/>
                <w:i/>
                <w:strike/>
                <w:sz w:val="16"/>
                <w:lang w:val="fr-FR"/>
              </w:rPr>
              <w:t>Tolérances</w:t>
            </w:r>
          </w:p>
        </w:tc>
      </w:tr>
      <w:tr w:rsidR="00800DB9" w:rsidRPr="0096742B" w14:paraId="45974C43" w14:textId="77777777" w:rsidTr="00F818F9">
        <w:trPr>
          <w:tblHeader/>
        </w:trPr>
        <w:tc>
          <w:tcPr>
            <w:tcW w:w="4080" w:type="dxa"/>
            <w:vMerge/>
            <w:tcBorders>
              <w:bottom w:val="single" w:sz="12" w:space="0" w:color="auto"/>
            </w:tcBorders>
            <w:shd w:val="clear" w:color="auto" w:fill="auto"/>
          </w:tcPr>
          <w:p w14:paraId="55FD387A" w14:textId="77777777" w:rsidR="00800DB9" w:rsidRPr="0096742B" w:rsidRDefault="00800DB9" w:rsidP="00F818F9">
            <w:pPr>
              <w:spacing w:before="80" w:after="80" w:line="200" w:lineRule="exact"/>
              <w:ind w:left="57" w:right="57"/>
              <w:rPr>
                <w:rFonts w:asciiTheme="majorBidi" w:hAnsiTheme="majorBidi" w:cstheme="majorBidi"/>
                <w:i/>
                <w:strike/>
                <w:sz w:val="16"/>
                <w:lang w:val="fr-FR"/>
              </w:rPr>
            </w:pPr>
          </w:p>
        </w:tc>
        <w:tc>
          <w:tcPr>
            <w:tcW w:w="1124" w:type="dxa"/>
            <w:tcBorders>
              <w:bottom w:val="single" w:sz="12" w:space="0" w:color="auto"/>
            </w:tcBorders>
            <w:shd w:val="clear" w:color="auto" w:fill="auto"/>
            <w:vAlign w:val="bottom"/>
          </w:tcPr>
          <w:p w14:paraId="6E6C883E" w14:textId="77777777" w:rsidR="00800DB9" w:rsidRPr="0096742B" w:rsidRDefault="00800DB9" w:rsidP="00F818F9">
            <w:pPr>
              <w:spacing w:before="80" w:after="80" w:line="200" w:lineRule="exact"/>
              <w:ind w:left="57" w:right="57"/>
              <w:jc w:val="center"/>
              <w:rPr>
                <w:rFonts w:asciiTheme="majorBidi" w:hAnsiTheme="majorBidi" w:cstheme="majorBidi"/>
                <w:i/>
                <w:strike/>
                <w:sz w:val="16"/>
                <w:lang w:val="fr-FR"/>
              </w:rPr>
            </w:pPr>
            <w:r w:rsidRPr="0096742B">
              <w:rPr>
                <w:rFonts w:asciiTheme="majorBidi" w:hAnsiTheme="majorBidi" w:cstheme="majorBidi"/>
                <w:i/>
                <w:strike/>
                <w:sz w:val="16"/>
                <w:lang w:val="fr-FR"/>
              </w:rPr>
              <w:t>En masse totale du mélange</w:t>
            </w:r>
          </w:p>
        </w:tc>
        <w:tc>
          <w:tcPr>
            <w:tcW w:w="1124" w:type="dxa"/>
            <w:tcBorders>
              <w:bottom w:val="single" w:sz="12" w:space="0" w:color="auto"/>
            </w:tcBorders>
            <w:shd w:val="clear" w:color="auto" w:fill="auto"/>
            <w:vAlign w:val="bottom"/>
          </w:tcPr>
          <w:p w14:paraId="54B3B041" w14:textId="77777777" w:rsidR="00800DB9" w:rsidRPr="0096742B" w:rsidRDefault="00800DB9" w:rsidP="00F818F9">
            <w:pPr>
              <w:spacing w:before="80" w:after="80" w:line="200" w:lineRule="exact"/>
              <w:ind w:left="57" w:right="57"/>
              <w:jc w:val="center"/>
              <w:rPr>
                <w:rFonts w:asciiTheme="majorBidi" w:hAnsiTheme="majorBidi" w:cstheme="majorBidi"/>
                <w:i/>
                <w:strike/>
                <w:sz w:val="16"/>
                <w:lang w:val="fr-FR"/>
              </w:rPr>
            </w:pPr>
            <w:r w:rsidRPr="0096742B">
              <w:rPr>
                <w:rFonts w:asciiTheme="majorBidi" w:hAnsiTheme="majorBidi" w:cstheme="majorBidi"/>
                <w:i/>
                <w:strike/>
                <w:sz w:val="16"/>
                <w:lang w:val="fr-FR"/>
              </w:rPr>
              <w:t xml:space="preserve">En masse </w:t>
            </w:r>
            <w:r w:rsidRPr="0096742B">
              <w:rPr>
                <w:rFonts w:asciiTheme="majorBidi" w:hAnsiTheme="majorBidi" w:cstheme="majorBidi"/>
                <w:i/>
                <w:strike/>
                <w:sz w:val="16"/>
                <w:lang w:val="fr-FR"/>
              </w:rPr>
              <w:br/>
              <w:t>du granulat</w:t>
            </w:r>
          </w:p>
        </w:tc>
        <w:tc>
          <w:tcPr>
            <w:tcW w:w="1043" w:type="dxa"/>
            <w:vMerge/>
            <w:tcBorders>
              <w:bottom w:val="single" w:sz="12" w:space="0" w:color="auto"/>
            </w:tcBorders>
            <w:shd w:val="clear" w:color="auto" w:fill="auto"/>
          </w:tcPr>
          <w:p w14:paraId="0C7D7FAA" w14:textId="77777777" w:rsidR="00800DB9" w:rsidRPr="0096742B" w:rsidRDefault="00800DB9" w:rsidP="00F818F9">
            <w:pPr>
              <w:spacing w:before="80" w:after="80" w:line="200" w:lineRule="exact"/>
              <w:ind w:left="57" w:right="57"/>
              <w:jc w:val="right"/>
              <w:rPr>
                <w:rFonts w:asciiTheme="majorBidi" w:hAnsiTheme="majorBidi" w:cstheme="majorBidi"/>
                <w:i/>
                <w:strike/>
                <w:sz w:val="16"/>
                <w:lang w:val="fr-FR"/>
              </w:rPr>
            </w:pPr>
          </w:p>
        </w:tc>
      </w:tr>
      <w:tr w:rsidR="00800DB9" w:rsidRPr="0096742B" w14:paraId="30F97283" w14:textId="77777777" w:rsidTr="00F818F9">
        <w:tc>
          <w:tcPr>
            <w:tcW w:w="4080" w:type="dxa"/>
            <w:tcBorders>
              <w:top w:val="single" w:sz="12" w:space="0" w:color="auto"/>
            </w:tcBorders>
          </w:tcPr>
          <w:p w14:paraId="58558652"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Masse des gravillons, maillage du tamis</w:t>
            </w:r>
            <w:r w:rsidRPr="0096742B">
              <w:rPr>
                <w:rFonts w:asciiTheme="majorBidi" w:hAnsiTheme="majorBidi" w:cstheme="majorBidi"/>
                <w:strike/>
                <w:sz w:val="18"/>
                <w:szCs w:val="18"/>
                <w:lang w:val="fr-FR"/>
              </w:rPr>
              <w:br/>
              <w:t>(SM) &gt; 2 mm</w:t>
            </w:r>
          </w:p>
        </w:tc>
        <w:tc>
          <w:tcPr>
            <w:tcW w:w="1124" w:type="dxa"/>
            <w:tcBorders>
              <w:top w:val="single" w:sz="12" w:space="0" w:color="auto"/>
            </w:tcBorders>
            <w:vAlign w:val="bottom"/>
          </w:tcPr>
          <w:p w14:paraId="640EEBC7" w14:textId="223B36BE"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47,6</w:t>
            </w:r>
            <w:r w:rsidR="003109F6" w:rsidRPr="0096742B">
              <w:rPr>
                <w:rFonts w:asciiTheme="majorBidi" w:hAnsiTheme="majorBidi" w:cstheme="majorBidi"/>
                <w:strike/>
                <w:sz w:val="18"/>
                <w:szCs w:val="18"/>
                <w:lang w:val="fr-FR"/>
              </w:rPr>
              <w:t> %</w:t>
            </w:r>
          </w:p>
        </w:tc>
        <w:tc>
          <w:tcPr>
            <w:tcW w:w="1124" w:type="dxa"/>
            <w:tcBorders>
              <w:top w:val="single" w:sz="12" w:space="0" w:color="auto"/>
            </w:tcBorders>
            <w:vAlign w:val="bottom"/>
          </w:tcPr>
          <w:p w14:paraId="2B781207" w14:textId="78B30E41"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50,5</w:t>
            </w:r>
            <w:r w:rsidR="003109F6" w:rsidRPr="0096742B">
              <w:rPr>
                <w:rFonts w:asciiTheme="majorBidi" w:hAnsiTheme="majorBidi" w:cstheme="majorBidi"/>
                <w:strike/>
                <w:sz w:val="18"/>
                <w:szCs w:val="18"/>
                <w:lang w:val="fr-FR"/>
              </w:rPr>
              <w:t> %</w:t>
            </w:r>
          </w:p>
        </w:tc>
        <w:tc>
          <w:tcPr>
            <w:tcW w:w="1043" w:type="dxa"/>
            <w:tcBorders>
              <w:top w:val="single" w:sz="12" w:space="0" w:color="auto"/>
            </w:tcBorders>
            <w:vAlign w:val="bottom"/>
          </w:tcPr>
          <w:p w14:paraId="38585D20" w14:textId="37386F67"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sym w:font="Symbol" w:char="F0B1"/>
            </w:r>
            <w:r w:rsidRPr="0096742B">
              <w:rPr>
                <w:rFonts w:asciiTheme="majorBidi" w:hAnsiTheme="majorBidi" w:cstheme="majorBidi"/>
                <w:strike/>
                <w:sz w:val="18"/>
                <w:szCs w:val="18"/>
                <w:lang w:val="fr-FR"/>
              </w:rPr>
              <w:t>5</w:t>
            </w:r>
            <w:r w:rsidR="003109F6" w:rsidRPr="0096742B">
              <w:rPr>
                <w:rFonts w:asciiTheme="majorBidi" w:hAnsiTheme="majorBidi" w:cstheme="majorBidi"/>
                <w:strike/>
                <w:sz w:val="18"/>
                <w:szCs w:val="18"/>
                <w:lang w:val="fr-FR"/>
              </w:rPr>
              <w:t> %</w:t>
            </w:r>
          </w:p>
        </w:tc>
      </w:tr>
      <w:tr w:rsidR="00800DB9" w:rsidRPr="0096742B" w14:paraId="612403F4" w14:textId="77777777" w:rsidTr="00F818F9">
        <w:tc>
          <w:tcPr>
            <w:tcW w:w="4080" w:type="dxa"/>
          </w:tcPr>
          <w:p w14:paraId="6CAAD5EB"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Masse du sable 0,063 &lt; SM &lt; 2 mm</w:t>
            </w:r>
          </w:p>
        </w:tc>
        <w:tc>
          <w:tcPr>
            <w:tcW w:w="1124" w:type="dxa"/>
          </w:tcPr>
          <w:p w14:paraId="70DD7967" w14:textId="7B9B16FC"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38,0</w:t>
            </w:r>
            <w:r w:rsidR="003109F6" w:rsidRPr="0096742B">
              <w:rPr>
                <w:rFonts w:asciiTheme="majorBidi" w:hAnsiTheme="majorBidi" w:cstheme="majorBidi"/>
                <w:strike/>
                <w:sz w:val="18"/>
                <w:szCs w:val="18"/>
                <w:lang w:val="fr-FR"/>
              </w:rPr>
              <w:t> %</w:t>
            </w:r>
          </w:p>
        </w:tc>
        <w:tc>
          <w:tcPr>
            <w:tcW w:w="1124" w:type="dxa"/>
          </w:tcPr>
          <w:p w14:paraId="7B8746F2" w14:textId="79E8276E"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40,2</w:t>
            </w:r>
            <w:r w:rsidR="003109F6" w:rsidRPr="0096742B">
              <w:rPr>
                <w:rFonts w:asciiTheme="majorBidi" w:hAnsiTheme="majorBidi" w:cstheme="majorBidi"/>
                <w:strike/>
                <w:sz w:val="18"/>
                <w:szCs w:val="18"/>
                <w:lang w:val="fr-FR"/>
              </w:rPr>
              <w:t> %</w:t>
            </w:r>
          </w:p>
        </w:tc>
        <w:tc>
          <w:tcPr>
            <w:tcW w:w="1043" w:type="dxa"/>
          </w:tcPr>
          <w:p w14:paraId="0FB9ACBA" w14:textId="08FDF6B2"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sym w:font="Symbol" w:char="F0B1"/>
            </w:r>
            <w:r w:rsidRPr="0096742B">
              <w:rPr>
                <w:rFonts w:asciiTheme="majorBidi" w:hAnsiTheme="majorBidi" w:cstheme="majorBidi"/>
                <w:strike/>
                <w:sz w:val="18"/>
                <w:szCs w:val="18"/>
                <w:lang w:val="fr-FR"/>
              </w:rPr>
              <w:t>5</w:t>
            </w:r>
            <w:r w:rsidR="003109F6" w:rsidRPr="0096742B">
              <w:rPr>
                <w:rFonts w:asciiTheme="majorBidi" w:hAnsiTheme="majorBidi" w:cstheme="majorBidi"/>
                <w:strike/>
                <w:sz w:val="18"/>
                <w:szCs w:val="18"/>
                <w:lang w:val="fr-FR"/>
              </w:rPr>
              <w:t> %</w:t>
            </w:r>
          </w:p>
        </w:tc>
      </w:tr>
      <w:tr w:rsidR="00800DB9" w:rsidRPr="0096742B" w14:paraId="31D40509" w14:textId="77777777" w:rsidTr="00F818F9">
        <w:tc>
          <w:tcPr>
            <w:tcW w:w="4080" w:type="dxa"/>
          </w:tcPr>
          <w:p w14:paraId="3DB8A42C"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Masse des fines SM &lt; 0,063 mm</w:t>
            </w:r>
          </w:p>
        </w:tc>
        <w:tc>
          <w:tcPr>
            <w:tcW w:w="1124" w:type="dxa"/>
          </w:tcPr>
          <w:p w14:paraId="6F7F017A" w14:textId="6B75BC49"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8,8</w:t>
            </w:r>
            <w:r w:rsidR="003109F6" w:rsidRPr="0096742B">
              <w:rPr>
                <w:rFonts w:asciiTheme="majorBidi" w:hAnsiTheme="majorBidi" w:cstheme="majorBidi"/>
                <w:strike/>
                <w:sz w:val="18"/>
                <w:szCs w:val="18"/>
                <w:lang w:val="fr-FR"/>
              </w:rPr>
              <w:t> %</w:t>
            </w:r>
          </w:p>
        </w:tc>
        <w:tc>
          <w:tcPr>
            <w:tcW w:w="1124" w:type="dxa"/>
          </w:tcPr>
          <w:p w14:paraId="766888D2" w14:textId="0FDCB533"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9,3</w:t>
            </w:r>
            <w:r w:rsidR="003109F6" w:rsidRPr="0096742B">
              <w:rPr>
                <w:rFonts w:asciiTheme="majorBidi" w:hAnsiTheme="majorBidi" w:cstheme="majorBidi"/>
                <w:strike/>
                <w:sz w:val="18"/>
                <w:szCs w:val="18"/>
                <w:lang w:val="fr-FR"/>
              </w:rPr>
              <w:t> %</w:t>
            </w:r>
          </w:p>
        </w:tc>
        <w:tc>
          <w:tcPr>
            <w:tcW w:w="1043" w:type="dxa"/>
          </w:tcPr>
          <w:p w14:paraId="2355E8E3" w14:textId="6AD305D9"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sym w:font="Symbol" w:char="F0B1"/>
            </w:r>
            <w:r w:rsidRPr="0096742B">
              <w:rPr>
                <w:rFonts w:asciiTheme="majorBidi" w:hAnsiTheme="majorBidi" w:cstheme="majorBidi"/>
                <w:strike/>
                <w:sz w:val="18"/>
                <w:szCs w:val="18"/>
                <w:lang w:val="fr-FR"/>
              </w:rPr>
              <w:t>5</w:t>
            </w:r>
            <w:r w:rsidR="003109F6" w:rsidRPr="0096742B">
              <w:rPr>
                <w:rFonts w:asciiTheme="majorBidi" w:hAnsiTheme="majorBidi" w:cstheme="majorBidi"/>
                <w:strike/>
                <w:sz w:val="18"/>
                <w:szCs w:val="18"/>
                <w:lang w:val="fr-FR"/>
              </w:rPr>
              <w:t> %</w:t>
            </w:r>
          </w:p>
        </w:tc>
      </w:tr>
      <w:tr w:rsidR="00800DB9" w:rsidRPr="0096742B" w14:paraId="108CA8C2" w14:textId="77777777" w:rsidTr="00F818F9">
        <w:tc>
          <w:tcPr>
            <w:tcW w:w="4080" w:type="dxa"/>
          </w:tcPr>
          <w:p w14:paraId="2DD2096E"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Masse du liant (bitume)</w:t>
            </w:r>
          </w:p>
        </w:tc>
        <w:tc>
          <w:tcPr>
            <w:tcW w:w="1124" w:type="dxa"/>
          </w:tcPr>
          <w:p w14:paraId="6DC08EA9" w14:textId="1E7C6E0F"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5,8</w:t>
            </w:r>
            <w:r w:rsidR="003109F6" w:rsidRPr="0096742B">
              <w:rPr>
                <w:rFonts w:asciiTheme="majorBidi" w:hAnsiTheme="majorBidi" w:cstheme="majorBidi"/>
                <w:strike/>
                <w:sz w:val="18"/>
                <w:szCs w:val="18"/>
                <w:lang w:val="fr-FR"/>
              </w:rPr>
              <w:t> %</w:t>
            </w:r>
          </w:p>
        </w:tc>
        <w:tc>
          <w:tcPr>
            <w:tcW w:w="1124" w:type="dxa"/>
          </w:tcPr>
          <w:p w14:paraId="0F2DD119" w14:textId="2B63C5EE"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n</w:t>
            </w:r>
            <w:r w:rsidR="00E3523D" w:rsidRPr="0096742B">
              <w:rPr>
                <w:rFonts w:asciiTheme="majorBidi" w:hAnsiTheme="majorBidi" w:cstheme="majorBidi"/>
                <w:strike/>
                <w:sz w:val="18"/>
                <w:szCs w:val="18"/>
                <w:lang w:val="fr-FR"/>
              </w:rPr>
              <w:t>.</w:t>
            </w:r>
            <w:r w:rsidRPr="0096742B">
              <w:rPr>
                <w:rFonts w:asciiTheme="majorBidi" w:hAnsiTheme="majorBidi" w:cstheme="majorBidi"/>
                <w:strike/>
                <w:sz w:val="18"/>
                <w:szCs w:val="18"/>
                <w:lang w:val="fr-FR"/>
              </w:rPr>
              <w:t>d</w:t>
            </w:r>
            <w:r w:rsidR="00E3523D" w:rsidRPr="0096742B">
              <w:rPr>
                <w:rFonts w:asciiTheme="majorBidi" w:hAnsiTheme="majorBidi" w:cstheme="majorBidi"/>
                <w:strike/>
                <w:sz w:val="18"/>
                <w:szCs w:val="18"/>
                <w:lang w:val="fr-FR"/>
              </w:rPr>
              <w:t>.</w:t>
            </w:r>
          </w:p>
        </w:tc>
        <w:tc>
          <w:tcPr>
            <w:tcW w:w="1043" w:type="dxa"/>
          </w:tcPr>
          <w:p w14:paraId="6BBB6E8B" w14:textId="0B270796"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sym w:font="Symbol" w:char="F0B1"/>
            </w:r>
            <w:r w:rsidRPr="0096742B">
              <w:rPr>
                <w:rFonts w:asciiTheme="majorBidi" w:hAnsiTheme="majorBidi" w:cstheme="majorBidi"/>
                <w:strike/>
                <w:sz w:val="18"/>
                <w:szCs w:val="18"/>
                <w:lang w:val="fr-FR"/>
              </w:rPr>
              <w:t>0,5</w:t>
            </w:r>
            <w:r w:rsidR="003109F6" w:rsidRPr="0096742B">
              <w:rPr>
                <w:rFonts w:asciiTheme="majorBidi" w:hAnsiTheme="majorBidi" w:cstheme="majorBidi"/>
                <w:strike/>
                <w:sz w:val="18"/>
                <w:szCs w:val="18"/>
                <w:lang w:val="fr-FR"/>
              </w:rPr>
              <w:t> %</w:t>
            </w:r>
          </w:p>
        </w:tc>
      </w:tr>
      <w:tr w:rsidR="00800DB9" w:rsidRPr="0096742B" w14:paraId="0CB515D4" w14:textId="77777777" w:rsidTr="00F818F9">
        <w:tc>
          <w:tcPr>
            <w:tcW w:w="4080" w:type="dxa"/>
          </w:tcPr>
          <w:p w14:paraId="7F32E16E"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Dimension maximale des graviers concassés</w:t>
            </w:r>
          </w:p>
        </w:tc>
        <w:tc>
          <w:tcPr>
            <w:tcW w:w="2248" w:type="dxa"/>
            <w:gridSpan w:val="2"/>
          </w:tcPr>
          <w:p w14:paraId="5DFF39B0" w14:textId="77777777" w:rsidR="00800DB9" w:rsidRPr="0096742B" w:rsidRDefault="00800DB9" w:rsidP="00F818F9">
            <w:pPr>
              <w:spacing w:before="60" w:after="60" w:line="220" w:lineRule="exact"/>
              <w:ind w:left="57" w:right="57"/>
              <w:jc w:val="center"/>
              <w:rPr>
                <w:rFonts w:asciiTheme="majorBidi" w:hAnsiTheme="majorBidi" w:cstheme="majorBidi"/>
                <w:strike/>
                <w:sz w:val="18"/>
                <w:szCs w:val="18"/>
                <w:lang w:val="fr-FR"/>
              </w:rPr>
            </w:pPr>
            <w:r w:rsidRPr="0096742B">
              <w:rPr>
                <w:rFonts w:asciiTheme="majorBidi" w:hAnsiTheme="majorBidi" w:cstheme="majorBidi"/>
                <w:strike/>
                <w:sz w:val="18"/>
                <w:szCs w:val="18"/>
                <w:lang w:val="fr-FR"/>
              </w:rPr>
              <w:t>8 mm</w:t>
            </w:r>
          </w:p>
        </w:tc>
        <w:tc>
          <w:tcPr>
            <w:tcW w:w="1043" w:type="dxa"/>
          </w:tcPr>
          <w:p w14:paraId="2354F12D" w14:textId="77777777" w:rsidR="00800DB9" w:rsidRPr="0096742B" w:rsidRDefault="00800DB9" w:rsidP="00F818F9">
            <w:pPr>
              <w:spacing w:before="60" w:after="60" w:line="220" w:lineRule="exact"/>
              <w:ind w:left="57" w:right="57"/>
              <w:jc w:val="right"/>
              <w:rPr>
                <w:rFonts w:asciiTheme="majorBidi" w:hAnsiTheme="majorBidi" w:cstheme="majorBidi"/>
                <w:strike/>
                <w:sz w:val="18"/>
                <w:szCs w:val="18"/>
                <w:lang w:val="fr-FR"/>
              </w:rPr>
            </w:pPr>
            <w:r w:rsidRPr="0096742B">
              <w:rPr>
                <w:rFonts w:asciiTheme="majorBidi" w:hAnsiTheme="majorBidi" w:cstheme="majorBidi"/>
                <w:strike/>
                <w:sz w:val="18"/>
                <w:szCs w:val="18"/>
                <w:lang w:val="fr-FR"/>
              </w:rPr>
              <w:t>6,3-10 mm</w:t>
            </w:r>
          </w:p>
        </w:tc>
      </w:tr>
      <w:tr w:rsidR="00800DB9" w:rsidRPr="0096742B" w14:paraId="51618451" w14:textId="77777777" w:rsidTr="00F818F9">
        <w:tc>
          <w:tcPr>
            <w:tcW w:w="4080" w:type="dxa"/>
          </w:tcPr>
          <w:p w14:paraId="1A132EA0"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Dureté du liant</w:t>
            </w:r>
          </w:p>
        </w:tc>
        <w:tc>
          <w:tcPr>
            <w:tcW w:w="2248" w:type="dxa"/>
            <w:gridSpan w:val="2"/>
          </w:tcPr>
          <w:p w14:paraId="6CF063F9" w14:textId="5097E5FE" w:rsidR="00800DB9" w:rsidRPr="0096742B" w:rsidRDefault="00800DB9" w:rsidP="00F818F9">
            <w:pPr>
              <w:spacing w:before="60" w:after="60" w:line="220" w:lineRule="exact"/>
              <w:ind w:left="57" w:right="57"/>
              <w:jc w:val="center"/>
              <w:rPr>
                <w:rFonts w:asciiTheme="majorBidi" w:hAnsiTheme="majorBidi" w:cstheme="majorBidi"/>
                <w:strike/>
                <w:sz w:val="18"/>
                <w:szCs w:val="18"/>
                <w:lang w:val="fr-FR"/>
              </w:rPr>
            </w:pPr>
            <w:r w:rsidRPr="0096742B">
              <w:rPr>
                <w:rFonts w:asciiTheme="majorBidi" w:hAnsiTheme="majorBidi" w:cstheme="majorBidi"/>
                <w:strike/>
                <w:sz w:val="18"/>
                <w:szCs w:val="18"/>
                <w:lang w:val="fr-FR"/>
              </w:rPr>
              <w:t>(voir par</w:t>
            </w:r>
            <w:r w:rsidR="00E3523D" w:rsidRPr="0096742B">
              <w:rPr>
                <w:rFonts w:asciiTheme="majorBidi" w:hAnsiTheme="majorBidi" w:cstheme="majorBidi"/>
                <w:strike/>
                <w:sz w:val="18"/>
                <w:szCs w:val="18"/>
                <w:lang w:val="fr-FR"/>
              </w:rPr>
              <w:t>.</w:t>
            </w:r>
            <w:r w:rsidRPr="0096742B">
              <w:rPr>
                <w:rFonts w:asciiTheme="majorBidi" w:hAnsiTheme="majorBidi" w:cstheme="majorBidi"/>
                <w:strike/>
                <w:sz w:val="18"/>
                <w:szCs w:val="18"/>
                <w:lang w:val="fr-FR"/>
              </w:rPr>
              <w:t xml:space="preserve"> 3</w:t>
            </w:r>
            <w:r w:rsidR="00E3523D" w:rsidRPr="0096742B">
              <w:rPr>
                <w:rFonts w:asciiTheme="majorBidi" w:hAnsiTheme="majorBidi" w:cstheme="majorBidi"/>
                <w:strike/>
                <w:sz w:val="18"/>
                <w:szCs w:val="18"/>
                <w:lang w:val="fr-FR"/>
              </w:rPr>
              <w:t>.</w:t>
            </w:r>
            <w:r w:rsidRPr="0096742B">
              <w:rPr>
                <w:rFonts w:asciiTheme="majorBidi" w:hAnsiTheme="majorBidi" w:cstheme="majorBidi"/>
                <w:strike/>
                <w:sz w:val="18"/>
                <w:szCs w:val="18"/>
                <w:lang w:val="fr-FR"/>
              </w:rPr>
              <w:t>2</w:t>
            </w:r>
            <w:r w:rsidR="00E3523D" w:rsidRPr="0096742B">
              <w:rPr>
                <w:rFonts w:asciiTheme="majorBidi" w:hAnsiTheme="majorBidi" w:cstheme="majorBidi"/>
                <w:strike/>
                <w:sz w:val="18"/>
                <w:szCs w:val="18"/>
                <w:lang w:val="fr-FR"/>
              </w:rPr>
              <w:t>.</w:t>
            </w:r>
            <w:r w:rsidRPr="0096742B">
              <w:rPr>
                <w:rFonts w:asciiTheme="majorBidi" w:hAnsiTheme="majorBidi" w:cstheme="majorBidi"/>
                <w:strike/>
                <w:sz w:val="18"/>
                <w:szCs w:val="18"/>
                <w:lang w:val="fr-FR"/>
              </w:rPr>
              <w:t>2 f))</w:t>
            </w:r>
          </w:p>
        </w:tc>
        <w:tc>
          <w:tcPr>
            <w:tcW w:w="1043" w:type="dxa"/>
          </w:tcPr>
          <w:p w14:paraId="5D383BF8"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p>
        </w:tc>
      </w:tr>
      <w:tr w:rsidR="00800DB9" w:rsidRPr="0096742B" w14:paraId="05447A6E" w14:textId="77777777" w:rsidTr="00F818F9">
        <w:tc>
          <w:tcPr>
            <w:tcW w:w="4080" w:type="dxa"/>
            <w:tcBorders>
              <w:bottom w:val="single" w:sz="4" w:space="0" w:color="auto"/>
            </w:tcBorders>
          </w:tcPr>
          <w:p w14:paraId="251DEE7F"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Coefficient de polissage accéléré (CPA)</w:t>
            </w:r>
          </w:p>
        </w:tc>
        <w:tc>
          <w:tcPr>
            <w:tcW w:w="2248" w:type="dxa"/>
            <w:gridSpan w:val="2"/>
            <w:tcBorders>
              <w:bottom w:val="single" w:sz="4" w:space="0" w:color="auto"/>
            </w:tcBorders>
          </w:tcPr>
          <w:p w14:paraId="0853342A" w14:textId="77777777" w:rsidR="00800DB9" w:rsidRPr="0096742B" w:rsidRDefault="00800DB9" w:rsidP="00F818F9">
            <w:pPr>
              <w:spacing w:before="60" w:after="60" w:line="220" w:lineRule="exact"/>
              <w:ind w:left="57" w:right="57"/>
              <w:jc w:val="center"/>
              <w:rPr>
                <w:rFonts w:asciiTheme="majorBidi" w:hAnsiTheme="majorBidi" w:cstheme="majorBidi"/>
                <w:strike/>
                <w:sz w:val="18"/>
                <w:szCs w:val="18"/>
                <w:lang w:val="fr-FR"/>
              </w:rPr>
            </w:pPr>
            <w:r w:rsidRPr="0096742B">
              <w:rPr>
                <w:rFonts w:asciiTheme="majorBidi" w:hAnsiTheme="majorBidi" w:cstheme="majorBidi"/>
                <w:strike/>
                <w:sz w:val="18"/>
                <w:szCs w:val="18"/>
                <w:lang w:val="fr-FR"/>
              </w:rPr>
              <w:t>&gt;50</w:t>
            </w:r>
          </w:p>
        </w:tc>
        <w:tc>
          <w:tcPr>
            <w:tcW w:w="1043" w:type="dxa"/>
            <w:tcBorders>
              <w:bottom w:val="single" w:sz="4" w:space="0" w:color="auto"/>
            </w:tcBorders>
          </w:tcPr>
          <w:p w14:paraId="7B04E14E"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p>
        </w:tc>
      </w:tr>
      <w:tr w:rsidR="00800DB9" w:rsidRPr="0096742B" w14:paraId="52E14608" w14:textId="77777777" w:rsidTr="00F818F9">
        <w:tc>
          <w:tcPr>
            <w:tcW w:w="4080" w:type="dxa"/>
            <w:tcBorders>
              <w:bottom w:val="single" w:sz="12" w:space="0" w:color="auto"/>
            </w:tcBorders>
          </w:tcPr>
          <w:p w14:paraId="2F1982A3"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r w:rsidRPr="0096742B">
              <w:rPr>
                <w:rFonts w:asciiTheme="majorBidi" w:hAnsiTheme="majorBidi" w:cstheme="majorBidi"/>
                <w:strike/>
                <w:sz w:val="18"/>
                <w:szCs w:val="18"/>
                <w:lang w:val="fr-FR"/>
              </w:rPr>
              <w:t>Compacité par rapport à la compacité Marshall</w:t>
            </w:r>
          </w:p>
        </w:tc>
        <w:tc>
          <w:tcPr>
            <w:tcW w:w="2248" w:type="dxa"/>
            <w:gridSpan w:val="2"/>
            <w:tcBorders>
              <w:bottom w:val="single" w:sz="12" w:space="0" w:color="auto"/>
            </w:tcBorders>
          </w:tcPr>
          <w:p w14:paraId="00B5754B" w14:textId="7A57352F" w:rsidR="00800DB9" w:rsidRPr="0096742B" w:rsidRDefault="00800DB9" w:rsidP="00F818F9">
            <w:pPr>
              <w:spacing w:before="60" w:after="60" w:line="220" w:lineRule="exact"/>
              <w:ind w:left="57" w:right="57"/>
              <w:jc w:val="center"/>
              <w:rPr>
                <w:rFonts w:asciiTheme="majorBidi" w:hAnsiTheme="majorBidi" w:cstheme="majorBidi"/>
                <w:strike/>
                <w:sz w:val="18"/>
                <w:szCs w:val="18"/>
                <w:lang w:val="fr-FR"/>
              </w:rPr>
            </w:pPr>
            <w:r w:rsidRPr="0096742B">
              <w:rPr>
                <w:rFonts w:asciiTheme="majorBidi" w:hAnsiTheme="majorBidi" w:cstheme="majorBidi"/>
                <w:strike/>
                <w:sz w:val="18"/>
                <w:szCs w:val="18"/>
                <w:lang w:val="fr-FR"/>
              </w:rPr>
              <w:t>98</w:t>
            </w:r>
            <w:r w:rsidR="003109F6" w:rsidRPr="0096742B">
              <w:rPr>
                <w:rFonts w:asciiTheme="majorBidi" w:hAnsiTheme="majorBidi" w:cstheme="majorBidi"/>
                <w:strike/>
                <w:sz w:val="18"/>
                <w:szCs w:val="18"/>
                <w:lang w:val="fr-FR"/>
              </w:rPr>
              <w:t> %</w:t>
            </w:r>
          </w:p>
        </w:tc>
        <w:tc>
          <w:tcPr>
            <w:tcW w:w="1043" w:type="dxa"/>
            <w:tcBorders>
              <w:bottom w:val="single" w:sz="12" w:space="0" w:color="auto"/>
            </w:tcBorders>
          </w:tcPr>
          <w:p w14:paraId="4C617C10" w14:textId="77777777" w:rsidR="00800DB9" w:rsidRPr="0096742B" w:rsidRDefault="00800DB9" w:rsidP="00F818F9">
            <w:pPr>
              <w:spacing w:before="60" w:after="60" w:line="220" w:lineRule="exact"/>
              <w:ind w:left="57" w:right="57"/>
              <w:rPr>
                <w:rFonts w:asciiTheme="majorBidi" w:hAnsiTheme="majorBidi" w:cstheme="majorBidi"/>
                <w:strike/>
                <w:sz w:val="18"/>
                <w:szCs w:val="18"/>
                <w:lang w:val="fr-FR"/>
              </w:rPr>
            </w:pPr>
          </w:p>
        </w:tc>
      </w:tr>
    </w:tbl>
    <w:p w14:paraId="27488C81" w14:textId="548877B6" w:rsidR="00800DB9" w:rsidRPr="0096742B" w:rsidRDefault="00800DB9" w:rsidP="00800DB9">
      <w:pPr>
        <w:pStyle w:val="SingleTxtG"/>
        <w:keepNext/>
        <w:keepLines/>
        <w:spacing w:before="120"/>
        <w:ind w:left="2268" w:hanging="1134"/>
        <w:rPr>
          <w:bCs/>
          <w:strike/>
          <w:lang w:val="fr-FR"/>
        </w:rPr>
      </w:pPr>
      <w:r w:rsidRPr="0096742B">
        <w:rPr>
          <w:strike/>
          <w:lang w:val="fr-FR"/>
        </w:rPr>
        <w:t>4</w:t>
      </w:r>
      <w:r w:rsidR="00E3523D" w:rsidRPr="0096742B">
        <w:rPr>
          <w:strike/>
          <w:lang w:val="fr-FR"/>
        </w:rPr>
        <w:t>.</w:t>
      </w:r>
      <w:r w:rsidRPr="0096742B">
        <w:rPr>
          <w:strike/>
          <w:lang w:val="fr-FR"/>
        </w:rPr>
        <w:tab/>
        <w:t>Méthode d</w:t>
      </w:r>
      <w:r w:rsidR="003109F6" w:rsidRPr="0096742B">
        <w:rPr>
          <w:strike/>
          <w:lang w:val="fr-FR"/>
        </w:rPr>
        <w:t>’</w:t>
      </w:r>
      <w:r w:rsidRPr="0096742B">
        <w:rPr>
          <w:strike/>
          <w:lang w:val="fr-FR"/>
        </w:rPr>
        <w:t>essai</w:t>
      </w:r>
    </w:p>
    <w:p w14:paraId="25430469" w14:textId="56566F8D" w:rsidR="00800DB9" w:rsidRPr="0096742B" w:rsidRDefault="00800DB9" w:rsidP="00800DB9">
      <w:pPr>
        <w:spacing w:after="120"/>
        <w:ind w:left="2268" w:right="1134" w:hanging="1134"/>
        <w:jc w:val="both"/>
        <w:rPr>
          <w:bCs/>
          <w:strike/>
          <w:lang w:val="fr-FR"/>
        </w:rPr>
      </w:pPr>
      <w:r w:rsidRPr="0096742B">
        <w:rPr>
          <w:strike/>
          <w:lang w:val="fr-FR"/>
        </w:rPr>
        <w:t>4</w:t>
      </w:r>
      <w:r w:rsidR="00E3523D" w:rsidRPr="0096742B">
        <w:rPr>
          <w:strike/>
          <w:lang w:val="fr-FR"/>
        </w:rPr>
        <w:t>.</w:t>
      </w:r>
      <w:r w:rsidRPr="0096742B">
        <w:rPr>
          <w:strike/>
          <w:lang w:val="fr-FR"/>
        </w:rPr>
        <w:t>1</w:t>
      </w:r>
      <w:r w:rsidRPr="0096742B">
        <w:rPr>
          <w:strike/>
          <w:lang w:val="fr-FR"/>
        </w:rPr>
        <w:tab/>
      </w:r>
      <w:r w:rsidRPr="0096742B">
        <w:rPr>
          <w:rFonts w:asciiTheme="majorBidi" w:hAnsiTheme="majorBidi" w:cstheme="majorBidi"/>
          <w:strike/>
          <w:lang w:val="fr-FR"/>
        </w:rPr>
        <w:t>Mesure de la teneur en vides résiduels</w:t>
      </w:r>
    </w:p>
    <w:p w14:paraId="170CF7EE" w14:textId="1AA80EC4" w:rsidR="00800DB9" w:rsidRPr="0096742B" w:rsidRDefault="00800DB9" w:rsidP="00800DB9">
      <w:pPr>
        <w:spacing w:before="120" w:after="120"/>
        <w:ind w:left="2268" w:right="1134"/>
        <w:jc w:val="both"/>
        <w:rPr>
          <w:rFonts w:asciiTheme="majorBidi" w:hAnsiTheme="majorBidi" w:cstheme="majorBidi"/>
          <w:strike/>
          <w:lang w:val="fr-FR"/>
        </w:rPr>
      </w:pPr>
      <w:r w:rsidRPr="0096742B">
        <w:rPr>
          <w:bCs/>
          <w:strike/>
          <w:lang w:val="fr-FR"/>
        </w:rPr>
        <w:tab/>
      </w:r>
      <w:r w:rsidRPr="0096742B">
        <w:rPr>
          <w:rFonts w:asciiTheme="majorBidi" w:hAnsiTheme="majorBidi" w:cstheme="majorBidi"/>
          <w:strike/>
          <w:lang w:val="fr-FR"/>
        </w:rPr>
        <w:t>Pour mesurer la teneur en vides résiduels, des carottages doivent être effectués sur la piste en au moins quatre endroits également répartis sur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entre les lignes AA et BB (voir fig</w:t>
      </w:r>
      <w:r w:rsidR="00E3523D" w:rsidRPr="0096742B">
        <w:rPr>
          <w:rFonts w:asciiTheme="majorBidi" w:hAnsiTheme="majorBidi" w:cstheme="majorBidi"/>
          <w:strike/>
          <w:lang w:val="fr-FR"/>
        </w:rPr>
        <w:t>.</w:t>
      </w:r>
      <w:r w:rsidRPr="0096742B">
        <w:rPr>
          <w:rFonts w:asciiTheme="majorBidi" w:hAnsiTheme="majorBidi" w:cstheme="majorBidi"/>
          <w:strike/>
          <w:lang w:val="fr-FR"/>
        </w:rPr>
        <w:t> 1)</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Pour éviter le manque d</w:t>
      </w:r>
      <w:r w:rsidR="003109F6" w:rsidRPr="0096742B">
        <w:rPr>
          <w:rFonts w:asciiTheme="majorBidi" w:hAnsiTheme="majorBidi" w:cstheme="majorBidi"/>
          <w:strike/>
          <w:lang w:val="fr-FR"/>
        </w:rPr>
        <w:t>’</w:t>
      </w:r>
      <w:r w:rsidRPr="0096742B">
        <w:rPr>
          <w:rFonts w:asciiTheme="majorBidi" w:hAnsiTheme="majorBidi" w:cstheme="majorBidi"/>
          <w:strike/>
          <w:lang w:val="fr-FR"/>
        </w:rPr>
        <w:t>homogénéité et d</w:t>
      </w:r>
      <w:r w:rsidR="003109F6" w:rsidRPr="0096742B">
        <w:rPr>
          <w:rFonts w:asciiTheme="majorBidi" w:hAnsiTheme="majorBidi" w:cstheme="majorBidi"/>
          <w:strike/>
          <w:lang w:val="fr-FR"/>
        </w:rPr>
        <w:t>’</w:t>
      </w:r>
      <w:r w:rsidRPr="0096742B">
        <w:rPr>
          <w:rFonts w:asciiTheme="majorBidi" w:hAnsiTheme="majorBidi" w:cstheme="majorBidi"/>
          <w:strike/>
          <w:lang w:val="fr-FR"/>
        </w:rPr>
        <w:t>uniformité du revêtement sur le trajet des roues, les carottes ne devraient pas être prélevées à cet endroit-là, mais à proximité</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Deux carottes (au minimum) à proximité du trajet des roues et une carotte (au minimum) devraient être prélevées à mi-chemin environ entre le trajet des roues et l</w:t>
      </w:r>
      <w:r w:rsidR="003109F6" w:rsidRPr="0096742B">
        <w:rPr>
          <w:rFonts w:asciiTheme="majorBidi" w:hAnsiTheme="majorBidi" w:cstheme="majorBidi"/>
          <w:strike/>
          <w:lang w:val="fr-FR"/>
        </w:rPr>
        <w:t>’</w:t>
      </w:r>
      <w:r w:rsidRPr="0096742B">
        <w:rPr>
          <w:rFonts w:asciiTheme="majorBidi" w:hAnsiTheme="majorBidi" w:cstheme="majorBidi"/>
          <w:strike/>
          <w:lang w:val="fr-FR"/>
        </w:rPr>
        <w:t>emplacement de chaque microphone</w:t>
      </w:r>
      <w:r w:rsidR="00E3523D" w:rsidRPr="0096742B">
        <w:rPr>
          <w:rFonts w:asciiTheme="majorBidi" w:hAnsiTheme="majorBidi" w:cstheme="majorBidi"/>
          <w:strike/>
          <w:lang w:val="fr-FR"/>
        </w:rPr>
        <w:t>.</w:t>
      </w:r>
    </w:p>
    <w:p w14:paraId="67901962" w14:textId="342C25A4" w:rsidR="00800DB9" w:rsidRPr="0096742B" w:rsidRDefault="00800DB9" w:rsidP="00800DB9">
      <w:pPr>
        <w:spacing w:before="120" w:after="120"/>
        <w:ind w:left="2268" w:right="1134"/>
        <w:jc w:val="both"/>
        <w:rPr>
          <w:rFonts w:asciiTheme="majorBidi" w:hAnsiTheme="majorBidi" w:cstheme="majorBidi"/>
          <w:strike/>
          <w:lang w:val="fr-FR"/>
        </w:rPr>
      </w:pPr>
      <w:r w:rsidRPr="0096742B">
        <w:rPr>
          <w:rFonts w:asciiTheme="majorBidi" w:hAnsiTheme="majorBidi" w:cstheme="majorBidi"/>
          <w:strike/>
          <w:lang w:val="fr-FR"/>
        </w:rPr>
        <w:tab/>
        <w:t>Si l</w:t>
      </w:r>
      <w:r w:rsidR="003109F6" w:rsidRPr="0096742B">
        <w:rPr>
          <w:rFonts w:asciiTheme="majorBidi" w:hAnsiTheme="majorBidi" w:cstheme="majorBidi"/>
          <w:strike/>
          <w:lang w:val="fr-FR"/>
        </w:rPr>
        <w:t>’</w:t>
      </w:r>
      <w:r w:rsidRPr="0096742B">
        <w:rPr>
          <w:rFonts w:asciiTheme="majorBidi" w:hAnsiTheme="majorBidi" w:cstheme="majorBidi"/>
          <w:strike/>
          <w:lang w:val="fr-FR"/>
        </w:rPr>
        <w:t>on soupçonne que la condition d</w:t>
      </w:r>
      <w:r w:rsidR="003109F6" w:rsidRPr="0096742B">
        <w:rPr>
          <w:rFonts w:asciiTheme="majorBidi" w:hAnsiTheme="majorBidi" w:cstheme="majorBidi"/>
          <w:strike/>
          <w:lang w:val="fr-FR"/>
        </w:rPr>
        <w:t>’</w:t>
      </w:r>
      <w:r w:rsidRPr="0096742B">
        <w:rPr>
          <w:rFonts w:asciiTheme="majorBidi" w:hAnsiTheme="majorBidi" w:cstheme="majorBidi"/>
          <w:strike/>
          <w:lang w:val="fr-FR"/>
        </w:rPr>
        <w:t>homogénéité n</w:t>
      </w:r>
      <w:r w:rsidR="003109F6" w:rsidRPr="0096742B">
        <w:rPr>
          <w:rFonts w:asciiTheme="majorBidi" w:hAnsiTheme="majorBidi" w:cstheme="majorBidi"/>
          <w:strike/>
          <w:lang w:val="fr-FR"/>
        </w:rPr>
        <w:t>’</w:t>
      </w:r>
      <w:r w:rsidRPr="0096742B">
        <w:rPr>
          <w:rFonts w:asciiTheme="majorBidi" w:hAnsiTheme="majorBidi" w:cstheme="majorBidi"/>
          <w:strike/>
          <w:lang w:val="fr-FR"/>
        </w:rPr>
        <w:t>est pas satisfaite (voir par</w:t>
      </w:r>
      <w:r w:rsidR="00E3523D" w:rsidRPr="0096742B">
        <w:rPr>
          <w:rFonts w:asciiTheme="majorBidi" w:hAnsiTheme="majorBidi" w:cstheme="majorBidi"/>
          <w:strike/>
          <w:lang w:val="fr-FR"/>
        </w:rPr>
        <w:t>.</w:t>
      </w:r>
      <w:r w:rsidRPr="0096742B">
        <w:rPr>
          <w:rFonts w:asciiTheme="majorBidi" w:hAnsiTheme="majorBidi" w:cstheme="majorBidi"/>
          <w:strike/>
          <w:lang w:val="fr-FR"/>
        </w:rPr>
        <w:t> 2</w:t>
      </w:r>
      <w:r w:rsidR="00E3523D" w:rsidRPr="0096742B">
        <w:rPr>
          <w:rFonts w:asciiTheme="majorBidi" w:hAnsiTheme="majorBidi" w:cstheme="majorBidi"/>
          <w:strike/>
          <w:lang w:val="fr-FR"/>
        </w:rPr>
        <w:t>.</w:t>
      </w:r>
      <w:r w:rsidRPr="0096742B">
        <w:rPr>
          <w:rFonts w:asciiTheme="majorBidi" w:hAnsiTheme="majorBidi" w:cstheme="majorBidi"/>
          <w:strike/>
          <w:lang w:val="fr-FR"/>
        </w:rPr>
        <w:t>4 ci-dessus), d</w:t>
      </w:r>
      <w:r w:rsidR="003109F6" w:rsidRPr="0096742B">
        <w:rPr>
          <w:rFonts w:asciiTheme="majorBidi" w:hAnsiTheme="majorBidi" w:cstheme="majorBidi"/>
          <w:strike/>
          <w:lang w:val="fr-FR"/>
        </w:rPr>
        <w:t>’</w:t>
      </w:r>
      <w:r w:rsidRPr="0096742B">
        <w:rPr>
          <w:rFonts w:asciiTheme="majorBidi" w:hAnsiTheme="majorBidi" w:cstheme="majorBidi"/>
          <w:strike/>
          <w:lang w:val="fr-FR"/>
        </w:rPr>
        <w:t>autres carottages sont effectués à d</w:t>
      </w:r>
      <w:r w:rsidR="003109F6" w:rsidRPr="0096742B">
        <w:rPr>
          <w:rFonts w:asciiTheme="majorBidi" w:hAnsiTheme="majorBidi" w:cstheme="majorBidi"/>
          <w:strike/>
          <w:lang w:val="fr-FR"/>
        </w:rPr>
        <w:t>’</w:t>
      </w:r>
      <w:r w:rsidRPr="0096742B">
        <w:rPr>
          <w:rFonts w:asciiTheme="majorBidi" w:hAnsiTheme="majorBidi" w:cstheme="majorBidi"/>
          <w:strike/>
          <w:lang w:val="fr-FR"/>
        </w:rPr>
        <w:t>autres emplacements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E3523D" w:rsidRPr="0096742B">
        <w:rPr>
          <w:rFonts w:asciiTheme="majorBidi" w:hAnsiTheme="majorBidi" w:cstheme="majorBidi"/>
          <w:strike/>
          <w:lang w:val="fr-FR"/>
        </w:rPr>
        <w:t>.</w:t>
      </w:r>
    </w:p>
    <w:p w14:paraId="1E2AC016" w14:textId="4BA72661" w:rsidR="00800DB9" w:rsidRPr="0096742B" w:rsidRDefault="00800DB9" w:rsidP="00800DB9">
      <w:pPr>
        <w:spacing w:before="120" w:after="120"/>
        <w:ind w:left="2268" w:right="1134"/>
        <w:jc w:val="both"/>
        <w:rPr>
          <w:rFonts w:asciiTheme="majorBidi" w:hAnsiTheme="majorBidi" w:cstheme="majorBidi"/>
          <w:strike/>
          <w:lang w:val="fr-FR"/>
        </w:rPr>
      </w:pPr>
      <w:r w:rsidRPr="0096742B">
        <w:rPr>
          <w:rFonts w:asciiTheme="majorBidi" w:hAnsiTheme="majorBidi" w:cstheme="majorBidi"/>
          <w:strike/>
          <w:lang w:val="fr-FR"/>
        </w:rPr>
        <w:t>La teneur en vides résiduels est déterminée sur chaque carotte, après quoi on calcule la moyenne de toutes les carottes et on compare cette valeur aux prescriptions du paragraphe 2</w:t>
      </w:r>
      <w:r w:rsidR="00E3523D" w:rsidRPr="0096742B">
        <w:rPr>
          <w:rFonts w:asciiTheme="majorBidi" w:hAnsiTheme="majorBidi" w:cstheme="majorBidi"/>
          <w:strike/>
          <w:lang w:val="fr-FR"/>
        </w:rPr>
        <w:t>.</w:t>
      </w:r>
      <w:r w:rsidRPr="0096742B">
        <w:rPr>
          <w:rFonts w:asciiTheme="majorBidi" w:hAnsiTheme="majorBidi" w:cstheme="majorBidi"/>
          <w:strike/>
          <w:lang w:val="fr-FR"/>
        </w:rPr>
        <w:t>1 de la présente annexe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En outre, aucune carotte ne peut avoir une teneur en vides supérieure à 10</w:t>
      </w:r>
      <w:r w:rsidR="003109F6" w:rsidRPr="0096742B">
        <w:rPr>
          <w:rFonts w:asciiTheme="majorBidi" w:hAnsiTheme="majorBidi" w:cstheme="majorBidi"/>
          <w:strike/>
          <w:lang w:val="fr-FR"/>
        </w:rPr>
        <w:t> %</w:t>
      </w:r>
      <w:r w:rsidR="00E3523D" w:rsidRPr="0096742B">
        <w:rPr>
          <w:rFonts w:asciiTheme="majorBidi" w:hAnsiTheme="majorBidi" w:cstheme="majorBidi"/>
          <w:strike/>
          <w:lang w:val="fr-FR"/>
        </w:rPr>
        <w:t>.</w:t>
      </w:r>
    </w:p>
    <w:p w14:paraId="6917CCA7" w14:textId="09E3D77C" w:rsidR="00800DB9" w:rsidRPr="0096742B" w:rsidRDefault="00800DB9" w:rsidP="00800DB9">
      <w:pPr>
        <w:pStyle w:val="SingleTxtG"/>
        <w:keepNext/>
        <w:keepLines/>
        <w:ind w:left="2268" w:hanging="1134"/>
        <w:rPr>
          <w:bCs/>
          <w:strike/>
          <w:lang w:val="fr-FR"/>
        </w:rPr>
      </w:pPr>
      <w:r w:rsidRPr="0096742B">
        <w:rPr>
          <w:rFonts w:asciiTheme="majorBidi" w:hAnsiTheme="majorBidi" w:cstheme="majorBidi"/>
          <w:strike/>
          <w:lang w:val="fr-FR"/>
        </w:rPr>
        <w:tab/>
        <w:t>Il faut rappeler au constructeur du revêtement les précautions à prendre lors de l</w:t>
      </w:r>
      <w:r w:rsidR="003109F6" w:rsidRPr="0096742B">
        <w:rPr>
          <w:rFonts w:asciiTheme="majorBidi" w:hAnsiTheme="majorBidi" w:cstheme="majorBidi"/>
          <w:strike/>
          <w:lang w:val="fr-FR"/>
        </w:rPr>
        <w:t>’</w:t>
      </w:r>
      <w:r w:rsidRPr="0096742B">
        <w:rPr>
          <w:rFonts w:asciiTheme="majorBidi" w:hAnsiTheme="majorBidi" w:cstheme="majorBidi"/>
          <w:strike/>
          <w:lang w:val="fr-FR"/>
        </w:rPr>
        <w:t>installation de tuyaux ou de fils électriques de chauffage</w:t>
      </w:r>
      <w:r w:rsidR="003109F6" w:rsidRPr="0096742B">
        <w:rPr>
          <w:rFonts w:asciiTheme="majorBidi" w:hAnsiTheme="majorBidi" w:cstheme="majorBidi"/>
          <w:strike/>
          <w:lang w:val="fr-FR"/>
        </w:rPr>
        <w:t> :</w:t>
      </w:r>
      <w:r w:rsidRPr="0096742B">
        <w:rPr>
          <w:rFonts w:asciiTheme="majorBidi" w:hAnsiTheme="majorBidi" w:cstheme="majorBidi"/>
          <w:strike/>
          <w:lang w:val="fr-FR"/>
        </w:rPr>
        <w:t xml:space="preserve"> il doit s</w:t>
      </w:r>
      <w:r w:rsidR="003109F6" w:rsidRPr="0096742B">
        <w:rPr>
          <w:rFonts w:asciiTheme="majorBidi" w:hAnsiTheme="majorBidi" w:cstheme="majorBidi"/>
          <w:strike/>
          <w:lang w:val="fr-FR"/>
        </w:rPr>
        <w:t>’</w:t>
      </w:r>
      <w:r w:rsidRPr="0096742B">
        <w:rPr>
          <w:rFonts w:asciiTheme="majorBidi" w:hAnsiTheme="majorBidi" w:cstheme="majorBidi"/>
          <w:strike/>
          <w:lang w:val="fr-FR"/>
        </w:rPr>
        <w:t>assurer qu</w:t>
      </w:r>
      <w:r w:rsidR="003109F6" w:rsidRPr="0096742B">
        <w:rPr>
          <w:rFonts w:asciiTheme="majorBidi" w:hAnsiTheme="majorBidi" w:cstheme="majorBidi"/>
          <w:strike/>
          <w:lang w:val="fr-FR"/>
        </w:rPr>
        <w:t>’</w:t>
      </w:r>
      <w:r w:rsidRPr="0096742B">
        <w:rPr>
          <w:rFonts w:asciiTheme="majorBidi" w:hAnsiTheme="majorBidi" w:cstheme="majorBidi"/>
          <w:strike/>
          <w:lang w:val="fr-FR"/>
        </w:rPr>
        <w:t>ils ne passent pas là où sont prévus les futurs carottages</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Il est recommandé de laisser quelques emplacements ayant des dimensions approximatives de 200 x 300</w:t>
      </w:r>
      <w:r w:rsidR="004B21CB" w:rsidRPr="0096742B">
        <w:rPr>
          <w:rFonts w:asciiTheme="majorBidi" w:hAnsiTheme="majorBidi" w:cstheme="majorBidi"/>
          <w:strike/>
          <w:lang w:val="fr-FR"/>
        </w:rPr>
        <w:t> </w:t>
      </w:r>
      <w:r w:rsidRPr="0096742B">
        <w:rPr>
          <w:rFonts w:asciiTheme="majorBidi" w:hAnsiTheme="majorBidi" w:cstheme="majorBidi"/>
          <w:strike/>
          <w:lang w:val="fr-FR"/>
        </w:rPr>
        <w:t>mm sans fils ni tuyaux ou de placer ces derniers à une profondeur suffisante de façon qu</w:t>
      </w:r>
      <w:r w:rsidR="003109F6" w:rsidRPr="0096742B">
        <w:rPr>
          <w:rFonts w:asciiTheme="majorBidi" w:hAnsiTheme="majorBidi" w:cstheme="majorBidi"/>
          <w:strike/>
          <w:lang w:val="fr-FR"/>
        </w:rPr>
        <w:t>’</w:t>
      </w:r>
      <w:r w:rsidRPr="0096742B">
        <w:rPr>
          <w:rFonts w:asciiTheme="majorBidi" w:hAnsiTheme="majorBidi" w:cstheme="majorBidi"/>
          <w:strike/>
          <w:lang w:val="fr-FR"/>
        </w:rPr>
        <w:t>ils ne soient pas endommagés par les carottages de la couche superficielle du revêtement</w:t>
      </w:r>
      <w:r w:rsidR="00E3523D" w:rsidRPr="0096742B">
        <w:rPr>
          <w:bCs/>
          <w:strike/>
          <w:lang w:val="fr-FR"/>
        </w:rPr>
        <w:t>.</w:t>
      </w:r>
    </w:p>
    <w:p w14:paraId="51131981" w14:textId="7B0C7186"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4</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Coefficient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w:t>
      </w:r>
    </w:p>
    <w:p w14:paraId="64C646D9" w14:textId="78E6FDA8"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Le coefficient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(incidence normale) doit être mesuré selon la méthode du tube d</w:t>
      </w:r>
      <w:r w:rsidR="003109F6" w:rsidRPr="0096742B">
        <w:rPr>
          <w:rFonts w:asciiTheme="majorBidi" w:hAnsiTheme="majorBidi" w:cstheme="majorBidi"/>
          <w:strike/>
          <w:lang w:val="fr-FR"/>
        </w:rPr>
        <w:t>’</w:t>
      </w:r>
      <w:r w:rsidRPr="0096742B">
        <w:rPr>
          <w:rFonts w:asciiTheme="majorBidi" w:hAnsiTheme="majorBidi" w:cstheme="majorBidi"/>
          <w:strike/>
          <w:lang w:val="fr-FR"/>
        </w:rPr>
        <w:t>impédance, conformément à la procédure spécifiée dans la norme ISO</w:t>
      </w:r>
      <w:r w:rsidR="001C246F" w:rsidRPr="0096742B">
        <w:rPr>
          <w:rFonts w:asciiTheme="majorBidi" w:hAnsiTheme="majorBidi" w:cstheme="majorBidi"/>
          <w:strike/>
          <w:lang w:val="fr-FR"/>
        </w:rPr>
        <w:t> </w:t>
      </w:r>
      <w:r w:rsidRPr="0096742B">
        <w:rPr>
          <w:rFonts w:asciiTheme="majorBidi" w:hAnsiTheme="majorBidi" w:cstheme="majorBidi"/>
          <w:strike/>
          <w:lang w:val="fr-FR"/>
        </w:rPr>
        <w:t>10534-1</w:t>
      </w:r>
      <w:r w:rsidR="003109F6" w:rsidRPr="0096742B">
        <w:rPr>
          <w:rFonts w:asciiTheme="majorBidi" w:hAnsiTheme="majorBidi" w:cstheme="majorBidi"/>
          <w:strike/>
          <w:lang w:val="fr-FR"/>
        </w:rPr>
        <w:t>:</w:t>
      </w:r>
      <w:r w:rsidRPr="0096742B">
        <w:rPr>
          <w:rFonts w:asciiTheme="majorBidi" w:hAnsiTheme="majorBidi" w:cstheme="majorBidi"/>
          <w:strike/>
          <w:lang w:val="fr-FR"/>
        </w:rPr>
        <w:t>1996 ou ISO</w:t>
      </w:r>
      <w:r w:rsidR="001C246F" w:rsidRPr="0096742B">
        <w:rPr>
          <w:rFonts w:asciiTheme="majorBidi" w:hAnsiTheme="majorBidi" w:cstheme="majorBidi"/>
          <w:strike/>
          <w:lang w:val="fr-FR"/>
        </w:rPr>
        <w:t> </w:t>
      </w:r>
      <w:r w:rsidRPr="0096742B">
        <w:rPr>
          <w:rFonts w:asciiTheme="majorBidi" w:hAnsiTheme="majorBidi" w:cstheme="majorBidi"/>
          <w:strike/>
          <w:lang w:val="fr-FR"/>
        </w:rPr>
        <w:t>10534-2</w:t>
      </w:r>
      <w:r w:rsidR="003109F6" w:rsidRPr="0096742B">
        <w:rPr>
          <w:rFonts w:asciiTheme="majorBidi" w:hAnsiTheme="majorBidi" w:cstheme="majorBidi"/>
          <w:strike/>
          <w:lang w:val="fr-FR"/>
        </w:rPr>
        <w:t>:</w:t>
      </w:r>
      <w:r w:rsidRPr="0096742B">
        <w:rPr>
          <w:rFonts w:asciiTheme="majorBidi" w:hAnsiTheme="majorBidi" w:cstheme="majorBidi"/>
          <w:strike/>
          <w:lang w:val="fr-FR"/>
        </w:rPr>
        <w:t>1998</w:t>
      </w:r>
      <w:r w:rsidR="00E3523D" w:rsidRPr="0096742B">
        <w:rPr>
          <w:rFonts w:asciiTheme="majorBidi" w:hAnsiTheme="majorBidi" w:cstheme="majorBidi"/>
          <w:strike/>
          <w:lang w:val="fr-FR"/>
        </w:rPr>
        <w:t>.</w:t>
      </w:r>
    </w:p>
    <w:p w14:paraId="2598DCA2" w14:textId="6CE1C08E"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En ce qui concerne les éprouvettes, les mêmes exigences doivent être respectées pour la teneur en vides résiduels (voir par</w:t>
      </w:r>
      <w:r w:rsidR="00E3523D" w:rsidRPr="0096742B">
        <w:rPr>
          <w:rFonts w:asciiTheme="majorBidi" w:hAnsiTheme="majorBidi" w:cstheme="majorBidi"/>
          <w:strike/>
          <w:lang w:val="fr-FR"/>
        </w:rPr>
        <w:t>.</w:t>
      </w:r>
      <w:r w:rsidRPr="0096742B">
        <w:rPr>
          <w:rFonts w:asciiTheme="majorBidi" w:hAnsiTheme="majorBidi" w:cstheme="majorBidi"/>
          <w:strike/>
          <w:lang w:val="fr-FR"/>
        </w:rPr>
        <w:t> 4</w:t>
      </w:r>
      <w:r w:rsidR="00E3523D" w:rsidRPr="0096742B">
        <w:rPr>
          <w:rFonts w:asciiTheme="majorBidi" w:hAnsiTheme="majorBidi" w:cstheme="majorBidi"/>
          <w:strike/>
          <w:lang w:val="fr-FR"/>
        </w:rPr>
        <w:t>.</w:t>
      </w:r>
      <w:r w:rsidRPr="0096742B">
        <w:rPr>
          <w:rFonts w:asciiTheme="majorBidi" w:hAnsiTheme="majorBidi" w:cstheme="majorBidi"/>
          <w:strike/>
          <w:lang w:val="fr-FR"/>
        </w:rPr>
        <w:t>1 ci-dessus)</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doit être mesurée dans la fourchette comprise entre 400 Hz et 800 Hz et entre 800 Hz et 1 600</w:t>
      </w:r>
      <w:r w:rsidR="00B31D6C" w:rsidRPr="0096742B">
        <w:rPr>
          <w:rFonts w:asciiTheme="majorBidi" w:hAnsiTheme="majorBidi" w:cstheme="majorBidi"/>
          <w:strike/>
          <w:lang w:val="fr-FR"/>
        </w:rPr>
        <w:t> </w:t>
      </w:r>
      <w:r w:rsidRPr="0096742B">
        <w:rPr>
          <w:rFonts w:asciiTheme="majorBidi" w:hAnsiTheme="majorBidi" w:cstheme="majorBidi"/>
          <w:strike/>
          <w:lang w:val="fr-FR"/>
        </w:rPr>
        <w:t>Hz (au moins aux fréquences centrales des bandes de tiers d</w:t>
      </w:r>
      <w:r w:rsidR="003109F6" w:rsidRPr="0096742B">
        <w:rPr>
          <w:rFonts w:asciiTheme="majorBidi" w:hAnsiTheme="majorBidi" w:cstheme="majorBidi"/>
          <w:strike/>
          <w:lang w:val="fr-FR"/>
        </w:rPr>
        <w:t>’</w:t>
      </w:r>
      <w:r w:rsidRPr="0096742B">
        <w:rPr>
          <w:rFonts w:asciiTheme="majorBidi" w:hAnsiTheme="majorBidi" w:cstheme="majorBidi"/>
          <w:strike/>
          <w:lang w:val="fr-FR"/>
        </w:rPr>
        <w:t>octave), les valeurs maximales devant être relevées dans ces deux gammes de fréquence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On fait ensuite la moyenne de ces valeurs, pour toutes les carottes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pour obtenir le résultat final</w:t>
      </w:r>
      <w:r w:rsidR="00E3523D" w:rsidRPr="0096742B">
        <w:rPr>
          <w:rFonts w:asciiTheme="majorBidi" w:hAnsiTheme="majorBidi" w:cstheme="majorBidi"/>
          <w:strike/>
          <w:lang w:val="fr-FR"/>
        </w:rPr>
        <w:t>.</w:t>
      </w:r>
    </w:p>
    <w:p w14:paraId="7454F89B" w14:textId="734897A6"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4</w:t>
      </w:r>
      <w:r w:rsidR="00E3523D" w:rsidRPr="0096742B">
        <w:rPr>
          <w:rFonts w:asciiTheme="majorBidi" w:hAnsiTheme="majorBidi" w:cstheme="majorBidi"/>
          <w:strike/>
          <w:lang w:val="fr-FR"/>
        </w:rPr>
        <w:t>.</w:t>
      </w:r>
      <w:r w:rsidRPr="0096742B">
        <w:rPr>
          <w:rFonts w:asciiTheme="majorBidi" w:hAnsiTheme="majorBidi" w:cstheme="majorBidi"/>
          <w:strike/>
          <w:lang w:val="fr-FR"/>
        </w:rPr>
        <w:t>3</w:t>
      </w:r>
      <w:r w:rsidRPr="0096742B">
        <w:rPr>
          <w:rFonts w:asciiTheme="majorBidi" w:hAnsiTheme="majorBidi" w:cstheme="majorBidi"/>
          <w:strike/>
          <w:lang w:val="fr-FR"/>
        </w:rPr>
        <w:tab/>
        <w:t>Mesurage de la profondeur de texture</w:t>
      </w:r>
    </w:p>
    <w:p w14:paraId="7AD256A1" w14:textId="2DFFB16B"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Aux fins de la norme susmentionnée, le mesurage de la profondeur de texture doit être réalisé en au moins 10 endroits uniformément répartis le long du trajet des roues sur la piste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la valeur moyenne étant prise pour être comparée à la profondeur de texture minimale prescrite</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Voir la norme ISO 10844</w:t>
      </w:r>
      <w:r w:rsidR="003109F6" w:rsidRPr="0096742B">
        <w:rPr>
          <w:rFonts w:asciiTheme="majorBidi" w:hAnsiTheme="majorBidi" w:cstheme="majorBidi"/>
          <w:strike/>
          <w:lang w:val="fr-FR"/>
        </w:rPr>
        <w:t>:</w:t>
      </w:r>
      <w:r w:rsidRPr="0096742B">
        <w:rPr>
          <w:rFonts w:asciiTheme="majorBidi" w:hAnsiTheme="majorBidi" w:cstheme="majorBidi"/>
          <w:strike/>
          <w:lang w:val="fr-FR"/>
        </w:rPr>
        <w:t>2014 pour la description de la procédure</w:t>
      </w:r>
      <w:r w:rsidR="00E3523D" w:rsidRPr="0096742B">
        <w:rPr>
          <w:rFonts w:asciiTheme="majorBidi" w:hAnsiTheme="majorBidi" w:cstheme="majorBidi"/>
          <w:strike/>
          <w:lang w:val="fr-FR"/>
        </w:rPr>
        <w:t>.</w:t>
      </w:r>
    </w:p>
    <w:p w14:paraId="7252564C" w14:textId="30E9078F"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5</w:t>
      </w:r>
      <w:r w:rsidR="00E3523D" w:rsidRPr="0096742B">
        <w:rPr>
          <w:rFonts w:asciiTheme="majorBidi" w:hAnsiTheme="majorBidi" w:cstheme="majorBidi"/>
          <w:strike/>
          <w:lang w:val="fr-FR"/>
        </w:rPr>
        <w:t>.</w:t>
      </w:r>
      <w:r w:rsidRPr="0096742B">
        <w:rPr>
          <w:rFonts w:asciiTheme="majorBidi" w:hAnsiTheme="majorBidi" w:cstheme="majorBidi"/>
          <w:strike/>
          <w:lang w:val="fr-FR"/>
        </w:rPr>
        <w:tab/>
        <w:t>Stabilité dans le temps et entretien</w:t>
      </w:r>
    </w:p>
    <w:p w14:paraId="5BC58C88" w14:textId="33482F3A"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5</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Influence du vieillissement</w:t>
      </w:r>
    </w:p>
    <w:p w14:paraId="44AD1F0A" w14:textId="40133107"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Comme pour tous les autres revêtements, on s</w:t>
      </w:r>
      <w:r w:rsidR="003109F6" w:rsidRPr="0096742B">
        <w:rPr>
          <w:rFonts w:asciiTheme="majorBidi" w:hAnsiTheme="majorBidi" w:cstheme="majorBidi"/>
          <w:strike/>
          <w:lang w:val="fr-FR"/>
        </w:rPr>
        <w:t>’</w:t>
      </w:r>
      <w:r w:rsidRPr="0096742B">
        <w:rPr>
          <w:rFonts w:asciiTheme="majorBidi" w:hAnsiTheme="majorBidi" w:cstheme="majorBidi"/>
          <w:strike/>
          <w:lang w:val="fr-FR"/>
        </w:rPr>
        <w:t>attend à ce que le bruit de roulement mesuré sur le revêtement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puisse augmenter légèrement dans les six à douze mois suivant la construction</w:t>
      </w:r>
      <w:r w:rsidR="00E3523D" w:rsidRPr="0096742B">
        <w:rPr>
          <w:rFonts w:asciiTheme="majorBidi" w:hAnsiTheme="majorBidi" w:cstheme="majorBidi"/>
          <w:strike/>
          <w:lang w:val="fr-FR"/>
        </w:rPr>
        <w:t>.</w:t>
      </w:r>
    </w:p>
    <w:p w14:paraId="408C901C" w14:textId="51E6EB55"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Le revêtement doit atteindre les caractéristiques requises quatre semaines au moins après la construction</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w:t>
      </w:r>
      <w:r w:rsidR="003109F6" w:rsidRPr="0096742B">
        <w:rPr>
          <w:rFonts w:asciiTheme="majorBidi" w:hAnsiTheme="majorBidi" w:cstheme="majorBidi"/>
          <w:strike/>
          <w:lang w:val="fr-FR"/>
        </w:rPr>
        <w:t>’</w:t>
      </w:r>
      <w:r w:rsidRPr="0096742B">
        <w:rPr>
          <w:rFonts w:asciiTheme="majorBidi" w:hAnsiTheme="majorBidi" w:cstheme="majorBidi"/>
          <w:strike/>
          <w:lang w:val="fr-FR"/>
        </w:rPr>
        <w:t>influence du vieillissement sur le bruit émis par les camions est généralement moindre que sur le bruit émis par les voitures</w:t>
      </w:r>
      <w:r w:rsidR="00E3523D" w:rsidRPr="0096742B">
        <w:rPr>
          <w:rFonts w:asciiTheme="majorBidi" w:hAnsiTheme="majorBidi" w:cstheme="majorBidi"/>
          <w:strike/>
          <w:lang w:val="fr-FR"/>
        </w:rPr>
        <w:t>.</w:t>
      </w:r>
    </w:p>
    <w:p w14:paraId="6B8154F7" w14:textId="084B83CB"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La stabilité dans le temps est essentiellement déterminée par le polissage et le compactage dus au passage des véhicules sur le revêtement</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Elle doit être vérifiée périodiquement comme énoncé au paragraphe 2</w:t>
      </w:r>
      <w:r w:rsidR="00E3523D" w:rsidRPr="0096742B">
        <w:rPr>
          <w:rFonts w:asciiTheme="majorBidi" w:hAnsiTheme="majorBidi" w:cstheme="majorBidi"/>
          <w:strike/>
          <w:lang w:val="fr-FR"/>
        </w:rPr>
        <w:t>.</w:t>
      </w:r>
      <w:r w:rsidRPr="0096742B">
        <w:rPr>
          <w:rFonts w:asciiTheme="majorBidi" w:hAnsiTheme="majorBidi" w:cstheme="majorBidi"/>
          <w:strike/>
          <w:lang w:val="fr-FR"/>
        </w:rPr>
        <w:t>5 ci-dessus</w:t>
      </w:r>
      <w:r w:rsidR="00E3523D" w:rsidRPr="0096742B">
        <w:rPr>
          <w:rFonts w:asciiTheme="majorBidi" w:hAnsiTheme="majorBidi" w:cstheme="majorBidi"/>
          <w:strike/>
          <w:lang w:val="fr-FR"/>
        </w:rPr>
        <w:t>.</w:t>
      </w:r>
    </w:p>
    <w:p w14:paraId="5BA57CEB" w14:textId="615D2EBD"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5</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Entretien du revêtement</w:t>
      </w:r>
    </w:p>
    <w:p w14:paraId="76B62081" w14:textId="0DB7095B"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Les débris ou les poussières susceptibles de diminuer sensiblement la profondeur de texture effective doivent être enlevés du revêtement</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Le sel, qui est quelquefois utilisé dans les pays froids pour le déneigement, n</w:t>
      </w:r>
      <w:r w:rsidR="003109F6" w:rsidRPr="0096742B">
        <w:rPr>
          <w:rFonts w:asciiTheme="majorBidi" w:hAnsiTheme="majorBidi" w:cstheme="majorBidi"/>
          <w:strike/>
          <w:lang w:val="fr-FR"/>
        </w:rPr>
        <w:t>’</w:t>
      </w:r>
      <w:r w:rsidRPr="0096742B">
        <w:rPr>
          <w:rFonts w:asciiTheme="majorBidi" w:hAnsiTheme="majorBidi" w:cstheme="majorBidi"/>
          <w:strike/>
          <w:lang w:val="fr-FR"/>
        </w:rPr>
        <w:t>est pas recommandé car il peut momentanément ou définitivement altérer le revêtement en le rendant plus bruyant</w:t>
      </w:r>
      <w:r w:rsidR="00E3523D" w:rsidRPr="0096742B">
        <w:rPr>
          <w:rFonts w:asciiTheme="majorBidi" w:hAnsiTheme="majorBidi" w:cstheme="majorBidi"/>
          <w:strike/>
          <w:lang w:val="fr-FR"/>
        </w:rPr>
        <w:t>.</w:t>
      </w:r>
    </w:p>
    <w:p w14:paraId="4409EC99" w14:textId="7D248228"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5</w:t>
      </w:r>
      <w:r w:rsidR="00E3523D" w:rsidRPr="0096742B">
        <w:rPr>
          <w:rFonts w:asciiTheme="majorBidi" w:hAnsiTheme="majorBidi" w:cstheme="majorBidi"/>
          <w:strike/>
          <w:lang w:val="fr-FR"/>
        </w:rPr>
        <w:t>.</w:t>
      </w:r>
      <w:r w:rsidRPr="0096742B">
        <w:rPr>
          <w:rFonts w:asciiTheme="majorBidi" w:hAnsiTheme="majorBidi" w:cstheme="majorBidi"/>
          <w:strike/>
          <w:lang w:val="fr-FR"/>
        </w:rPr>
        <w:t>3</w:t>
      </w:r>
      <w:r w:rsidRPr="0096742B">
        <w:rPr>
          <w:rFonts w:asciiTheme="majorBidi" w:hAnsiTheme="majorBidi" w:cstheme="majorBidi"/>
          <w:strike/>
          <w:lang w:val="fr-FR"/>
        </w:rPr>
        <w:tab/>
        <w:t>Réfection du revêtement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p>
    <w:p w14:paraId="4BC68D9C" w14:textId="7781095E"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La réfection du revêtement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se limite généralement à la piste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(d</w:t>
      </w:r>
      <w:r w:rsidR="003109F6" w:rsidRPr="0096742B">
        <w:rPr>
          <w:rFonts w:asciiTheme="majorBidi" w:hAnsiTheme="majorBidi" w:cstheme="majorBidi"/>
          <w:strike/>
          <w:lang w:val="fr-FR"/>
        </w:rPr>
        <w:t>’</w:t>
      </w:r>
      <w:r w:rsidRPr="0096742B">
        <w:rPr>
          <w:rFonts w:asciiTheme="majorBidi" w:hAnsiTheme="majorBidi" w:cstheme="majorBidi"/>
          <w:strike/>
          <w:lang w:val="fr-FR"/>
        </w:rPr>
        <w:t>une largeur de 3 m sur la figure 1) empruntée par les véhicules, à condition que les autres parties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aient satisfait aux prescriptions en matière de teneur en vides résiduels ou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lors des mesures</w:t>
      </w:r>
      <w:r w:rsidR="00E3523D" w:rsidRPr="0096742B">
        <w:rPr>
          <w:rFonts w:asciiTheme="majorBidi" w:hAnsiTheme="majorBidi" w:cstheme="majorBidi"/>
          <w:strike/>
          <w:lang w:val="fr-FR"/>
        </w:rPr>
        <w:t>.</w:t>
      </w:r>
    </w:p>
    <w:p w14:paraId="1B338652" w14:textId="461F34FB"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ab/>
        <w:t>Documentation sur le revêtement et sur les essais dont il est l</w:t>
      </w:r>
      <w:r w:rsidR="003109F6" w:rsidRPr="0096742B">
        <w:rPr>
          <w:rFonts w:asciiTheme="majorBidi" w:hAnsiTheme="majorBidi" w:cstheme="majorBidi"/>
          <w:strike/>
          <w:lang w:val="fr-FR"/>
        </w:rPr>
        <w:t>’</w:t>
      </w:r>
      <w:r w:rsidRPr="0096742B">
        <w:rPr>
          <w:rFonts w:asciiTheme="majorBidi" w:hAnsiTheme="majorBidi" w:cstheme="majorBidi"/>
          <w:strike/>
          <w:lang w:val="fr-FR"/>
        </w:rPr>
        <w:t>objet</w:t>
      </w:r>
    </w:p>
    <w:p w14:paraId="22B4B9CE" w14:textId="5C55B958" w:rsidR="00800DB9" w:rsidRPr="0096742B" w:rsidRDefault="00800DB9" w:rsidP="00800DB9">
      <w:pPr>
        <w:pStyle w:val="SingleTxtG"/>
        <w:keepNex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Documentation sur le revêtement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p>
    <w:p w14:paraId="0A48C84A" w14:textId="0F5A4333" w:rsidR="00800DB9" w:rsidRPr="0096742B" w:rsidRDefault="00800DB9" w:rsidP="00800DB9">
      <w:pPr>
        <w:pStyle w:val="SingleTxtG"/>
        <w:ind w:left="2268"/>
        <w:rPr>
          <w:rFonts w:asciiTheme="majorBidi" w:hAnsiTheme="majorBidi" w:cstheme="majorBidi"/>
          <w:strike/>
          <w:lang w:val="fr-FR"/>
        </w:rPr>
      </w:pPr>
      <w:r w:rsidRPr="0096742B">
        <w:rPr>
          <w:rFonts w:asciiTheme="majorBidi" w:hAnsiTheme="majorBidi" w:cstheme="majorBidi"/>
          <w:strike/>
          <w:lang w:val="fr-FR"/>
        </w:rPr>
        <w:tab/>
        <w:t>Les données suivantes doivent être communiquées dans un document décrivant le revêtement</w:t>
      </w:r>
      <w:r w:rsidR="003109F6" w:rsidRPr="0096742B">
        <w:rPr>
          <w:rFonts w:asciiTheme="majorBidi" w:hAnsiTheme="majorBidi" w:cstheme="majorBidi"/>
          <w:strike/>
          <w:lang w:val="fr-FR"/>
        </w:rPr>
        <w:t> :</w:t>
      </w:r>
    </w:p>
    <w:p w14:paraId="2538780E" w14:textId="4CBD41F0"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Emplacement de la piste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3109F6" w:rsidRPr="0096742B">
        <w:rPr>
          <w:rFonts w:asciiTheme="majorBidi" w:hAnsiTheme="majorBidi" w:cstheme="majorBidi"/>
          <w:strike/>
          <w:lang w:val="fr-FR"/>
        </w:rPr>
        <w:t> ;</w:t>
      </w:r>
    </w:p>
    <w:p w14:paraId="02627B45" w14:textId="5D911E9F"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Type de liant, dureté du liant, type de granulats, densité théorique maximale du béton (DR), épaisseur du revêtement et courbe granulométrique définie à partir des carottes prélevées sur la piste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3109F6" w:rsidRPr="0096742B">
        <w:rPr>
          <w:rFonts w:asciiTheme="majorBidi" w:hAnsiTheme="majorBidi" w:cstheme="majorBidi"/>
          <w:strike/>
          <w:lang w:val="fr-FR"/>
        </w:rPr>
        <w:t> ;</w:t>
      </w:r>
    </w:p>
    <w:p w14:paraId="171FB2CD" w14:textId="061EF010"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3</w:t>
      </w:r>
      <w:r w:rsidRPr="0096742B">
        <w:rPr>
          <w:rFonts w:asciiTheme="majorBidi" w:hAnsiTheme="majorBidi" w:cstheme="majorBidi"/>
          <w:strike/>
          <w:lang w:val="fr-FR"/>
        </w:rPr>
        <w:tab/>
        <w:t>Méthode de compactage (par exemple type de rouleau, masse du rouleau, nombre de passes)</w:t>
      </w:r>
      <w:r w:rsidR="003109F6" w:rsidRPr="0096742B">
        <w:rPr>
          <w:rFonts w:asciiTheme="majorBidi" w:hAnsiTheme="majorBidi" w:cstheme="majorBidi"/>
          <w:strike/>
          <w:lang w:val="fr-FR"/>
        </w:rPr>
        <w:t> ;</w:t>
      </w:r>
    </w:p>
    <w:p w14:paraId="361B26CF" w14:textId="42AE26E9"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4</w:t>
      </w:r>
      <w:r w:rsidRPr="0096742B">
        <w:rPr>
          <w:rFonts w:asciiTheme="majorBidi" w:hAnsiTheme="majorBidi" w:cstheme="majorBidi"/>
          <w:strike/>
          <w:lang w:val="fr-FR"/>
        </w:rPr>
        <w:tab/>
        <w:t>Température du mélange, température de l</w:t>
      </w:r>
      <w:r w:rsidR="003109F6" w:rsidRPr="0096742B">
        <w:rPr>
          <w:rFonts w:asciiTheme="majorBidi" w:hAnsiTheme="majorBidi" w:cstheme="majorBidi"/>
          <w:strike/>
          <w:lang w:val="fr-FR"/>
        </w:rPr>
        <w:t>’</w:t>
      </w:r>
      <w:r w:rsidRPr="0096742B">
        <w:rPr>
          <w:rFonts w:asciiTheme="majorBidi" w:hAnsiTheme="majorBidi" w:cstheme="majorBidi"/>
          <w:strike/>
          <w:lang w:val="fr-FR"/>
        </w:rPr>
        <w:t>air ambiant et vitesse du vent pendant la pose du revêtement</w:t>
      </w:r>
      <w:r w:rsidR="003109F6" w:rsidRPr="0096742B">
        <w:rPr>
          <w:rFonts w:asciiTheme="majorBidi" w:hAnsiTheme="majorBidi" w:cstheme="majorBidi"/>
          <w:strike/>
          <w:lang w:val="fr-FR"/>
        </w:rPr>
        <w:t> ;</w:t>
      </w:r>
    </w:p>
    <w:p w14:paraId="4AACB6DB" w14:textId="5417E163"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5</w:t>
      </w:r>
      <w:r w:rsidRPr="0096742B">
        <w:rPr>
          <w:rFonts w:asciiTheme="majorBidi" w:hAnsiTheme="majorBidi" w:cstheme="majorBidi"/>
          <w:strike/>
          <w:lang w:val="fr-FR"/>
        </w:rPr>
        <w:tab/>
        <w:t>Date à laquelle le revêtement a été posé et nom de l</w:t>
      </w:r>
      <w:r w:rsidR="003109F6" w:rsidRPr="0096742B">
        <w:rPr>
          <w:rFonts w:asciiTheme="majorBidi" w:hAnsiTheme="majorBidi" w:cstheme="majorBidi"/>
          <w:strike/>
          <w:lang w:val="fr-FR"/>
        </w:rPr>
        <w:t>’</w:t>
      </w:r>
      <w:r w:rsidRPr="0096742B">
        <w:rPr>
          <w:rFonts w:asciiTheme="majorBidi" w:hAnsiTheme="majorBidi" w:cstheme="majorBidi"/>
          <w:strike/>
          <w:lang w:val="fr-FR"/>
        </w:rPr>
        <w:t>entrepreneur</w:t>
      </w:r>
      <w:r w:rsidR="003109F6" w:rsidRPr="0096742B">
        <w:rPr>
          <w:rFonts w:asciiTheme="majorBidi" w:hAnsiTheme="majorBidi" w:cstheme="majorBidi"/>
          <w:strike/>
          <w:lang w:val="fr-FR"/>
        </w:rPr>
        <w:t> ;</w:t>
      </w:r>
    </w:p>
    <w:p w14:paraId="5EEFB95D" w14:textId="529141E4"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Pr="0096742B">
        <w:rPr>
          <w:rFonts w:asciiTheme="majorBidi" w:hAnsiTheme="majorBidi" w:cstheme="majorBidi"/>
          <w:strike/>
          <w:lang w:val="fr-FR"/>
        </w:rPr>
        <w:tab/>
      </w:r>
      <w:r w:rsidRPr="0096742B">
        <w:rPr>
          <w:rFonts w:asciiTheme="majorBidi" w:hAnsiTheme="majorBidi" w:cstheme="majorBidi"/>
          <w:strike/>
          <w:spacing w:val="-4"/>
          <w:lang w:val="fr-FR"/>
        </w:rPr>
        <w:t>Totalité des résultats des essais ou, au minimum, de l</w:t>
      </w:r>
      <w:r w:rsidR="003109F6" w:rsidRPr="0096742B">
        <w:rPr>
          <w:rFonts w:asciiTheme="majorBidi" w:hAnsiTheme="majorBidi" w:cstheme="majorBidi"/>
          <w:strike/>
          <w:spacing w:val="-4"/>
          <w:lang w:val="fr-FR"/>
        </w:rPr>
        <w:t>’</w:t>
      </w:r>
      <w:r w:rsidRPr="0096742B">
        <w:rPr>
          <w:rFonts w:asciiTheme="majorBidi" w:hAnsiTheme="majorBidi" w:cstheme="majorBidi"/>
          <w:strike/>
          <w:spacing w:val="-4"/>
          <w:lang w:val="fr-FR"/>
        </w:rPr>
        <w:t>essai le plus récent, à savoir</w:t>
      </w:r>
      <w:r w:rsidR="003109F6" w:rsidRPr="0096742B">
        <w:rPr>
          <w:rFonts w:asciiTheme="majorBidi" w:hAnsiTheme="majorBidi" w:cstheme="majorBidi"/>
          <w:strike/>
          <w:spacing w:val="-4"/>
          <w:lang w:val="fr-FR"/>
        </w:rPr>
        <w:t> :</w:t>
      </w:r>
    </w:p>
    <w:p w14:paraId="2DA6FB67" w14:textId="28876E72"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Pr="0096742B">
        <w:rPr>
          <w:rFonts w:asciiTheme="majorBidi" w:hAnsiTheme="majorBidi" w:cstheme="majorBidi"/>
          <w:strike/>
          <w:lang w:val="fr-FR"/>
        </w:rPr>
        <w:tab/>
        <w:t>Teneur en vides résiduels de chaque carotte</w:t>
      </w:r>
      <w:r w:rsidR="003109F6" w:rsidRPr="0096742B">
        <w:rPr>
          <w:rFonts w:asciiTheme="majorBidi" w:hAnsiTheme="majorBidi" w:cstheme="majorBidi"/>
          <w:strike/>
          <w:lang w:val="fr-FR"/>
        </w:rPr>
        <w:t> ;</w:t>
      </w:r>
    </w:p>
    <w:p w14:paraId="7A07775B" w14:textId="332EB2A1" w:rsidR="00800DB9" w:rsidRPr="0096742B" w:rsidRDefault="00800DB9" w:rsidP="00800DB9">
      <w:pPr>
        <w:pStyle w:val="SingleTxtG"/>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Emplacements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où les carottes servant à mesurer les vides ont été prélevées</w:t>
      </w:r>
      <w:r w:rsidR="003109F6" w:rsidRPr="0096742B">
        <w:rPr>
          <w:rFonts w:asciiTheme="majorBidi" w:hAnsiTheme="majorBidi" w:cstheme="majorBidi"/>
          <w:strike/>
          <w:lang w:val="fr-FR"/>
        </w:rPr>
        <w:t> ;</w:t>
      </w:r>
    </w:p>
    <w:p w14:paraId="0B7ACF34" w14:textId="60551D8B" w:rsidR="00800DB9" w:rsidRPr="0096742B" w:rsidRDefault="00800DB9" w:rsidP="00264F70">
      <w:pPr>
        <w:pStyle w:val="SingleTxtG"/>
        <w:spacing w:line="236" w:lineRule="atLeas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3</w:t>
      </w:r>
      <w:r w:rsidRPr="0096742B">
        <w:rPr>
          <w:rFonts w:asciiTheme="majorBidi" w:hAnsiTheme="majorBidi" w:cstheme="majorBidi"/>
          <w:strike/>
          <w:lang w:val="fr-FR"/>
        </w:rPr>
        <w:tab/>
        <w:t>Coefficient d</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acoustique de chaque carotte (s</w:t>
      </w:r>
      <w:r w:rsidR="003109F6" w:rsidRPr="0096742B">
        <w:rPr>
          <w:rFonts w:asciiTheme="majorBidi" w:hAnsiTheme="majorBidi" w:cstheme="majorBidi"/>
          <w:strike/>
          <w:lang w:val="fr-FR"/>
        </w:rPr>
        <w:t>’</w:t>
      </w:r>
      <w:r w:rsidRPr="0096742B">
        <w:rPr>
          <w:rFonts w:asciiTheme="majorBidi" w:hAnsiTheme="majorBidi" w:cstheme="majorBidi"/>
          <w:strike/>
          <w:lang w:val="fr-FR"/>
        </w:rPr>
        <w:t>il est mesuré)</w:t>
      </w:r>
      <w:r w:rsidR="00E3523D" w:rsidRPr="0096742B">
        <w:rPr>
          <w:rFonts w:asciiTheme="majorBidi" w:hAnsiTheme="majorBidi" w:cstheme="majorBidi"/>
          <w:strike/>
          <w:lang w:val="fr-FR"/>
        </w:rPr>
        <w:t>.</w:t>
      </w:r>
      <w:r w:rsidRPr="0096742B">
        <w:rPr>
          <w:rFonts w:asciiTheme="majorBidi" w:hAnsiTheme="majorBidi" w:cstheme="majorBidi"/>
          <w:strike/>
          <w:lang w:val="fr-FR"/>
        </w:rPr>
        <w:t xml:space="preserve"> Préciser les résultats pour chaque carotte et chaque plage de fréquences, ainsi que la moyenne générale</w:t>
      </w:r>
      <w:r w:rsidR="003109F6" w:rsidRPr="0096742B">
        <w:rPr>
          <w:rFonts w:asciiTheme="majorBidi" w:hAnsiTheme="majorBidi" w:cstheme="majorBidi"/>
          <w:strike/>
          <w:lang w:val="fr-FR"/>
        </w:rPr>
        <w:t> ;</w:t>
      </w:r>
    </w:p>
    <w:p w14:paraId="016BBC29" w14:textId="59A29D24" w:rsidR="00800DB9" w:rsidRPr="0096742B" w:rsidRDefault="00800DB9" w:rsidP="00264F70">
      <w:pPr>
        <w:pStyle w:val="SingleTxtG"/>
        <w:spacing w:line="236" w:lineRule="atLeas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4</w:t>
      </w:r>
      <w:r w:rsidRPr="0096742B">
        <w:rPr>
          <w:rFonts w:asciiTheme="majorBidi" w:hAnsiTheme="majorBidi" w:cstheme="majorBidi"/>
          <w:strike/>
          <w:lang w:val="fr-FR"/>
        </w:rPr>
        <w:tab/>
        <w:t>Emplacements de la zone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 où les carottes servant au mesurage de l</w:t>
      </w:r>
      <w:r w:rsidR="003109F6" w:rsidRPr="0096742B">
        <w:rPr>
          <w:rFonts w:asciiTheme="majorBidi" w:hAnsiTheme="majorBidi" w:cstheme="majorBidi"/>
          <w:strike/>
          <w:lang w:val="fr-FR"/>
        </w:rPr>
        <w:t>’</w:t>
      </w:r>
      <w:r w:rsidRPr="0096742B">
        <w:rPr>
          <w:rFonts w:asciiTheme="majorBidi" w:hAnsiTheme="majorBidi" w:cstheme="majorBidi"/>
          <w:strike/>
          <w:lang w:val="fr-FR"/>
        </w:rPr>
        <w:t>absorption ont été prélevées</w:t>
      </w:r>
      <w:r w:rsidR="003109F6" w:rsidRPr="0096742B">
        <w:rPr>
          <w:rFonts w:asciiTheme="majorBidi" w:hAnsiTheme="majorBidi" w:cstheme="majorBidi"/>
          <w:strike/>
          <w:lang w:val="fr-FR"/>
        </w:rPr>
        <w:t> ;</w:t>
      </w:r>
    </w:p>
    <w:p w14:paraId="1D1E2233" w14:textId="290B6851" w:rsidR="00800DB9" w:rsidRPr="0096742B" w:rsidRDefault="00800DB9" w:rsidP="00264F70">
      <w:pPr>
        <w:pStyle w:val="SingleTxtG"/>
        <w:spacing w:line="236" w:lineRule="atLeas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5</w:t>
      </w:r>
      <w:r w:rsidRPr="0096742B">
        <w:rPr>
          <w:rFonts w:asciiTheme="majorBidi" w:hAnsiTheme="majorBidi" w:cstheme="majorBidi"/>
          <w:strike/>
          <w:lang w:val="fr-FR"/>
        </w:rPr>
        <w:tab/>
        <w:t>Profondeur de texture, y compris le nombre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essais et l</w:t>
      </w:r>
      <w:r w:rsidR="003109F6" w:rsidRPr="0096742B">
        <w:rPr>
          <w:rFonts w:asciiTheme="majorBidi" w:hAnsiTheme="majorBidi" w:cstheme="majorBidi"/>
          <w:strike/>
          <w:lang w:val="fr-FR"/>
        </w:rPr>
        <w:t>’</w:t>
      </w:r>
      <w:r w:rsidRPr="0096742B">
        <w:rPr>
          <w:rFonts w:asciiTheme="majorBidi" w:hAnsiTheme="majorBidi" w:cstheme="majorBidi"/>
          <w:strike/>
          <w:lang w:val="fr-FR"/>
        </w:rPr>
        <w:t>écart type</w:t>
      </w:r>
      <w:r w:rsidR="003109F6" w:rsidRPr="0096742B">
        <w:rPr>
          <w:rFonts w:asciiTheme="majorBidi" w:hAnsiTheme="majorBidi" w:cstheme="majorBidi"/>
          <w:strike/>
          <w:lang w:val="fr-FR"/>
        </w:rPr>
        <w:t> ;</w:t>
      </w:r>
    </w:p>
    <w:p w14:paraId="2812C5F0" w14:textId="415CA766" w:rsidR="00800DB9" w:rsidRPr="0096742B" w:rsidRDefault="00800DB9" w:rsidP="00264F70">
      <w:pPr>
        <w:pStyle w:val="SingleTxtG"/>
        <w:spacing w:line="236" w:lineRule="atLeas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Pr="0096742B">
        <w:rPr>
          <w:rFonts w:asciiTheme="majorBidi" w:hAnsiTheme="majorBidi" w:cstheme="majorBidi"/>
          <w:strike/>
          <w:lang w:val="fr-FR"/>
        </w:rPr>
        <w:tab/>
        <w:t>Institution responsable des essais effectués au titre des paragraphes 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 et 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2 ci-dessus et type de matériel utilisé</w:t>
      </w:r>
      <w:r w:rsidR="003109F6" w:rsidRPr="0096742B">
        <w:rPr>
          <w:rFonts w:asciiTheme="majorBidi" w:hAnsiTheme="majorBidi" w:cstheme="majorBidi"/>
          <w:strike/>
          <w:lang w:val="fr-FR"/>
        </w:rPr>
        <w:t> ;</w:t>
      </w:r>
    </w:p>
    <w:p w14:paraId="73404B22" w14:textId="684CC741" w:rsidR="00800DB9" w:rsidRPr="0096742B" w:rsidRDefault="00800DB9" w:rsidP="00264F70">
      <w:pPr>
        <w:pStyle w:val="SingleTxtG"/>
        <w:spacing w:line="236" w:lineRule="atLeas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1</w:t>
      </w:r>
      <w:r w:rsidR="00E3523D" w:rsidRPr="0096742B">
        <w:rPr>
          <w:rFonts w:asciiTheme="majorBidi" w:hAnsiTheme="majorBidi" w:cstheme="majorBidi"/>
          <w:strike/>
          <w:lang w:val="fr-FR"/>
        </w:rPr>
        <w:t>.</w:t>
      </w: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7</w:t>
      </w:r>
      <w:r w:rsidRPr="0096742B">
        <w:rPr>
          <w:rFonts w:asciiTheme="majorBidi" w:hAnsiTheme="majorBidi" w:cstheme="majorBidi"/>
          <w:strike/>
          <w:lang w:val="fr-FR"/>
        </w:rPr>
        <w:tab/>
        <w:t>Date de l</w:t>
      </w:r>
      <w:r w:rsidR="003109F6" w:rsidRPr="0096742B">
        <w:rPr>
          <w:rFonts w:asciiTheme="majorBidi" w:hAnsiTheme="majorBidi" w:cstheme="majorBidi"/>
          <w:strike/>
          <w:lang w:val="fr-FR"/>
        </w:rPr>
        <w:t>’</w:t>
      </w:r>
      <w:r w:rsidRPr="0096742B">
        <w:rPr>
          <w:rFonts w:asciiTheme="majorBidi" w:hAnsiTheme="majorBidi" w:cstheme="majorBidi"/>
          <w:strike/>
          <w:lang w:val="fr-FR"/>
        </w:rPr>
        <w:t>essai (des essais) et date à laquelle les carottes ont été prélevées sur la piste d</w:t>
      </w:r>
      <w:r w:rsidR="003109F6" w:rsidRPr="0096742B">
        <w:rPr>
          <w:rFonts w:asciiTheme="majorBidi" w:hAnsiTheme="majorBidi" w:cstheme="majorBidi"/>
          <w:strike/>
          <w:lang w:val="fr-FR"/>
        </w:rPr>
        <w:t>’</w:t>
      </w:r>
      <w:r w:rsidRPr="0096742B">
        <w:rPr>
          <w:rFonts w:asciiTheme="majorBidi" w:hAnsiTheme="majorBidi" w:cstheme="majorBidi"/>
          <w:strike/>
          <w:lang w:val="fr-FR"/>
        </w:rPr>
        <w:t>essai</w:t>
      </w:r>
      <w:r w:rsidR="00E3523D" w:rsidRPr="0096742B">
        <w:rPr>
          <w:rFonts w:asciiTheme="majorBidi" w:hAnsiTheme="majorBidi" w:cstheme="majorBidi"/>
          <w:strike/>
          <w:lang w:val="fr-FR"/>
        </w:rPr>
        <w:t>.</w:t>
      </w:r>
    </w:p>
    <w:p w14:paraId="048F4FBA" w14:textId="5EC9EA6F" w:rsidR="00800DB9" w:rsidRPr="0096742B" w:rsidRDefault="00800DB9" w:rsidP="00264F70">
      <w:pPr>
        <w:pStyle w:val="SingleTxtG"/>
        <w:spacing w:line="236" w:lineRule="atLeast"/>
        <w:ind w:left="2268" w:hanging="1134"/>
        <w:rPr>
          <w:rFonts w:asciiTheme="majorBidi" w:hAnsiTheme="majorBidi" w:cstheme="majorBidi"/>
          <w:strike/>
          <w:lang w:val="fr-FR"/>
        </w:rPr>
      </w:pPr>
      <w:r w:rsidRPr="0096742B">
        <w:rPr>
          <w:rFonts w:asciiTheme="majorBidi" w:hAnsiTheme="majorBidi" w:cstheme="majorBidi"/>
          <w:strike/>
          <w:lang w:val="fr-FR"/>
        </w:rPr>
        <w:t>6</w:t>
      </w:r>
      <w:r w:rsidR="00E3523D" w:rsidRPr="0096742B">
        <w:rPr>
          <w:rFonts w:asciiTheme="majorBidi" w:hAnsiTheme="majorBidi" w:cstheme="majorBidi"/>
          <w:strike/>
          <w:lang w:val="fr-FR"/>
        </w:rPr>
        <w:t>.</w:t>
      </w:r>
      <w:r w:rsidRPr="0096742B">
        <w:rPr>
          <w:rFonts w:asciiTheme="majorBidi" w:hAnsiTheme="majorBidi" w:cstheme="majorBidi"/>
          <w:strike/>
          <w:lang w:val="fr-FR"/>
        </w:rPr>
        <w:t>2</w:t>
      </w:r>
      <w:r w:rsidRPr="0096742B">
        <w:rPr>
          <w:rFonts w:asciiTheme="majorBidi" w:hAnsiTheme="majorBidi" w:cstheme="majorBidi"/>
          <w:strike/>
          <w:lang w:val="fr-FR"/>
        </w:rPr>
        <w:tab/>
        <w:t>Documentation sur les essais de bruit émis par les véhicules sur le revêtement</w:t>
      </w:r>
    </w:p>
    <w:p w14:paraId="08F251E3" w14:textId="7CA73149" w:rsidR="00800DB9" w:rsidRPr="0096742B" w:rsidRDefault="00800DB9" w:rsidP="00264F70">
      <w:pPr>
        <w:pStyle w:val="SingleTxtG"/>
        <w:spacing w:line="236" w:lineRule="atLeast"/>
        <w:ind w:left="2268"/>
        <w:rPr>
          <w:rFonts w:asciiTheme="majorBidi" w:hAnsiTheme="majorBidi" w:cstheme="majorBidi"/>
          <w:spacing w:val="-2"/>
          <w:lang w:val="fr-FR"/>
        </w:rPr>
      </w:pPr>
      <w:r w:rsidRPr="0096742B">
        <w:rPr>
          <w:rFonts w:asciiTheme="majorBidi" w:hAnsiTheme="majorBidi" w:cstheme="majorBidi"/>
          <w:strike/>
          <w:lang w:val="fr-FR"/>
        </w:rPr>
        <w:tab/>
      </w:r>
      <w:r w:rsidRPr="0096742B">
        <w:rPr>
          <w:rFonts w:asciiTheme="majorBidi" w:hAnsiTheme="majorBidi" w:cstheme="majorBidi"/>
          <w:strike/>
          <w:spacing w:val="-2"/>
          <w:lang w:val="fr-FR"/>
        </w:rPr>
        <w:t>Dans le document qui décrit l</w:t>
      </w:r>
      <w:r w:rsidR="003109F6" w:rsidRPr="0096742B">
        <w:rPr>
          <w:rFonts w:asciiTheme="majorBidi" w:hAnsiTheme="majorBidi" w:cstheme="majorBidi"/>
          <w:strike/>
          <w:spacing w:val="-2"/>
          <w:lang w:val="fr-FR"/>
        </w:rPr>
        <w:t>’</w:t>
      </w:r>
      <w:r w:rsidRPr="0096742B">
        <w:rPr>
          <w:rFonts w:asciiTheme="majorBidi" w:hAnsiTheme="majorBidi" w:cstheme="majorBidi"/>
          <w:strike/>
          <w:spacing w:val="-2"/>
          <w:lang w:val="fr-FR"/>
        </w:rPr>
        <w:t>essai (les essais) de bruit émis par les véhicules, il convient d</w:t>
      </w:r>
      <w:r w:rsidR="003109F6" w:rsidRPr="0096742B">
        <w:rPr>
          <w:rFonts w:asciiTheme="majorBidi" w:hAnsiTheme="majorBidi" w:cstheme="majorBidi"/>
          <w:strike/>
          <w:spacing w:val="-2"/>
          <w:lang w:val="fr-FR"/>
        </w:rPr>
        <w:t>’</w:t>
      </w:r>
      <w:r w:rsidRPr="0096742B">
        <w:rPr>
          <w:rFonts w:asciiTheme="majorBidi" w:hAnsiTheme="majorBidi" w:cstheme="majorBidi"/>
          <w:strike/>
          <w:spacing w:val="-2"/>
          <w:lang w:val="fr-FR"/>
        </w:rPr>
        <w:t>indiquer si toutes les exigences de la norme susmentionnée ont été respectées ou non</w:t>
      </w:r>
      <w:r w:rsidR="00E3523D" w:rsidRPr="0096742B">
        <w:rPr>
          <w:rFonts w:asciiTheme="majorBidi" w:hAnsiTheme="majorBidi" w:cstheme="majorBidi"/>
          <w:strike/>
          <w:spacing w:val="-2"/>
          <w:lang w:val="fr-FR"/>
        </w:rPr>
        <w:t>.</w:t>
      </w:r>
      <w:r w:rsidRPr="0096742B">
        <w:rPr>
          <w:rFonts w:asciiTheme="majorBidi" w:hAnsiTheme="majorBidi" w:cstheme="majorBidi"/>
          <w:strike/>
          <w:spacing w:val="-2"/>
          <w:lang w:val="fr-FR"/>
        </w:rPr>
        <w:t xml:space="preserve"> On se reportera à un document conforme au paragraphe 6</w:t>
      </w:r>
      <w:r w:rsidR="00E3523D" w:rsidRPr="0096742B">
        <w:rPr>
          <w:rFonts w:asciiTheme="majorBidi" w:hAnsiTheme="majorBidi" w:cstheme="majorBidi"/>
          <w:strike/>
          <w:spacing w:val="-2"/>
          <w:lang w:val="fr-FR"/>
        </w:rPr>
        <w:t>.</w:t>
      </w:r>
      <w:r w:rsidRPr="0096742B">
        <w:rPr>
          <w:rFonts w:asciiTheme="majorBidi" w:hAnsiTheme="majorBidi" w:cstheme="majorBidi"/>
          <w:strike/>
          <w:spacing w:val="-2"/>
          <w:lang w:val="fr-FR"/>
        </w:rPr>
        <w:t>1 ci-dessus, qui contient une description des résultats d</w:t>
      </w:r>
      <w:r w:rsidR="003109F6" w:rsidRPr="0096742B">
        <w:rPr>
          <w:rFonts w:asciiTheme="majorBidi" w:hAnsiTheme="majorBidi" w:cstheme="majorBidi"/>
          <w:strike/>
          <w:spacing w:val="-2"/>
          <w:lang w:val="fr-FR"/>
        </w:rPr>
        <w:t>’</w:t>
      </w:r>
      <w:r w:rsidRPr="0096742B">
        <w:rPr>
          <w:rFonts w:asciiTheme="majorBidi" w:hAnsiTheme="majorBidi" w:cstheme="majorBidi"/>
          <w:strike/>
          <w:spacing w:val="-2"/>
          <w:lang w:val="fr-FR"/>
        </w:rPr>
        <w:t>essai qui le prouvent</w:t>
      </w:r>
      <w:r w:rsidR="00E3523D" w:rsidRPr="0096742B">
        <w:rPr>
          <w:rFonts w:asciiTheme="majorBidi" w:hAnsiTheme="majorBidi" w:cstheme="majorBidi"/>
          <w:strike/>
          <w:spacing w:val="-2"/>
          <w:lang w:val="fr-FR"/>
        </w:rPr>
        <w:t>.</w:t>
      </w:r>
      <w:r w:rsidRPr="0096742B">
        <w:rPr>
          <w:rFonts w:asciiTheme="majorBidi" w:hAnsiTheme="majorBidi" w:cstheme="majorBidi"/>
          <w:spacing w:val="-2"/>
          <w:lang w:val="fr-FR"/>
        </w:rPr>
        <w:t> »</w:t>
      </w:r>
      <w:r w:rsidR="00E3523D" w:rsidRPr="0096742B">
        <w:rPr>
          <w:rFonts w:asciiTheme="majorBidi" w:hAnsiTheme="majorBidi" w:cstheme="majorBidi"/>
          <w:spacing w:val="-2"/>
          <w:lang w:val="fr-FR"/>
        </w:rPr>
        <w:t>.</w:t>
      </w:r>
    </w:p>
    <w:p w14:paraId="533C3799" w14:textId="5ACE17E8" w:rsidR="00800DB9" w:rsidRPr="0096742B" w:rsidRDefault="006F0B1C" w:rsidP="006F0B1C">
      <w:pPr>
        <w:pStyle w:val="HChG"/>
        <w:rPr>
          <w:lang w:val="fr-FR"/>
        </w:rPr>
      </w:pPr>
      <w:r w:rsidRPr="0096742B">
        <w:rPr>
          <w:lang w:val="fr-FR"/>
        </w:rPr>
        <w:tab/>
        <w:t>II</w:t>
      </w:r>
      <w:r w:rsidR="00E3523D" w:rsidRPr="0096742B">
        <w:rPr>
          <w:lang w:val="fr-FR"/>
        </w:rPr>
        <w:t>.</w:t>
      </w:r>
      <w:r w:rsidRPr="0096742B">
        <w:rPr>
          <w:lang w:val="fr-FR"/>
        </w:rPr>
        <w:tab/>
      </w:r>
      <w:r w:rsidR="00800DB9" w:rsidRPr="0096742B">
        <w:rPr>
          <w:lang w:val="fr-FR"/>
        </w:rPr>
        <w:tab/>
        <w:t>Justification</w:t>
      </w:r>
    </w:p>
    <w:p w14:paraId="482DC305" w14:textId="6B3FAC0E" w:rsidR="00800DB9" w:rsidRPr="0096742B" w:rsidRDefault="00800DB9" w:rsidP="00264F70">
      <w:pPr>
        <w:pStyle w:val="SingleTxtG"/>
        <w:spacing w:line="236" w:lineRule="atLeast"/>
        <w:rPr>
          <w:bCs/>
          <w:lang w:val="fr-FR"/>
        </w:rPr>
      </w:pPr>
      <w:r w:rsidRPr="0096742B">
        <w:rPr>
          <w:lang w:val="fr-FR"/>
        </w:rPr>
        <w:t>1</w:t>
      </w:r>
      <w:r w:rsidR="00E3523D" w:rsidRPr="0096742B">
        <w:rPr>
          <w:lang w:val="fr-FR"/>
        </w:rPr>
        <w:t>.</w:t>
      </w:r>
      <w:r w:rsidRPr="0096742B">
        <w:rPr>
          <w:lang w:val="fr-FR"/>
        </w:rPr>
        <w:tab/>
        <w:t>Conformément à ce que le groupe de travail informel de l</w:t>
      </w:r>
      <w:r w:rsidR="003109F6" w:rsidRPr="0096742B">
        <w:rPr>
          <w:lang w:val="fr-FR"/>
        </w:rPr>
        <w:t>’</w:t>
      </w:r>
      <w:r w:rsidRPr="0096742B">
        <w:rPr>
          <w:lang w:val="fr-FR"/>
        </w:rPr>
        <w:t>incertitude de mesure avait déjà anticipé dans le document informel GRBP-77-11, la formule de correction de température qu</w:t>
      </w:r>
      <w:r w:rsidR="003109F6" w:rsidRPr="0096742B">
        <w:rPr>
          <w:lang w:val="fr-FR"/>
        </w:rPr>
        <w:t>’</w:t>
      </w:r>
      <w:r w:rsidRPr="0096742B">
        <w:rPr>
          <w:lang w:val="fr-FR"/>
        </w:rPr>
        <w:t>il est proposé d</w:t>
      </w:r>
      <w:r w:rsidR="003109F6" w:rsidRPr="0096742B">
        <w:rPr>
          <w:lang w:val="fr-FR"/>
        </w:rPr>
        <w:t>’</w:t>
      </w:r>
      <w:r w:rsidRPr="0096742B">
        <w:rPr>
          <w:lang w:val="fr-FR"/>
        </w:rPr>
        <w:t>ajouter pour les pneumatiques portant le symbole alpin (3 pics avec flocon de neige ou 3PMSF) permet de réduire l</w:t>
      </w:r>
      <w:r w:rsidR="003109F6" w:rsidRPr="0096742B">
        <w:rPr>
          <w:lang w:val="fr-FR"/>
        </w:rPr>
        <w:t>’</w:t>
      </w:r>
      <w:r w:rsidRPr="0096742B">
        <w:rPr>
          <w:lang w:val="fr-FR"/>
        </w:rPr>
        <w:t>incertitude de mesure pour les pneumatiques de la classe</w:t>
      </w:r>
      <w:r w:rsidR="006F0B1C" w:rsidRPr="0096742B">
        <w:rPr>
          <w:lang w:val="fr-FR"/>
        </w:rPr>
        <w:t> </w:t>
      </w:r>
      <w:r w:rsidRPr="0096742B">
        <w:rPr>
          <w:lang w:val="fr-FR"/>
        </w:rPr>
        <w:t>C1</w:t>
      </w:r>
      <w:r w:rsidR="00E3523D" w:rsidRPr="0096742B">
        <w:rPr>
          <w:lang w:val="fr-FR"/>
        </w:rPr>
        <w:t>.</w:t>
      </w:r>
      <w:r w:rsidRPr="0096742B">
        <w:rPr>
          <w:lang w:val="fr-FR"/>
        </w:rPr>
        <w:t xml:space="preserve"> En effet, la proposition consiste à passer d</w:t>
      </w:r>
      <w:r w:rsidR="003109F6" w:rsidRPr="0096742B">
        <w:rPr>
          <w:lang w:val="fr-FR"/>
        </w:rPr>
        <w:t>’</w:t>
      </w:r>
      <w:r w:rsidRPr="0096742B">
        <w:rPr>
          <w:lang w:val="fr-FR"/>
        </w:rPr>
        <w:t>une application bilinéaire à une fonction logarithmique pour la correction de température, ce qui correspond au comportement de la température de la gomme, observé aussi bien dans les essais des matériaux que dans les mesures du bruit de roulement des pneumatiques</w:t>
      </w:r>
      <w:r w:rsidR="00E3523D" w:rsidRPr="0096742B">
        <w:rPr>
          <w:lang w:val="fr-FR"/>
        </w:rPr>
        <w:t>.</w:t>
      </w:r>
    </w:p>
    <w:p w14:paraId="1E9F79E0" w14:textId="63E7A804" w:rsidR="00800DB9" w:rsidRPr="0096742B" w:rsidRDefault="00800DB9" w:rsidP="00264F70">
      <w:pPr>
        <w:pStyle w:val="SingleTxtG"/>
        <w:spacing w:line="236" w:lineRule="atLeast"/>
        <w:rPr>
          <w:bCs/>
          <w:lang w:val="fr-FR"/>
        </w:rPr>
      </w:pPr>
      <w:r w:rsidRPr="0096742B">
        <w:rPr>
          <w:lang w:val="fr-FR"/>
        </w:rPr>
        <w:t>2</w:t>
      </w:r>
      <w:r w:rsidR="00E3523D" w:rsidRPr="0096742B">
        <w:rPr>
          <w:lang w:val="fr-FR"/>
        </w:rPr>
        <w:t>.</w:t>
      </w:r>
      <w:r w:rsidRPr="0096742B">
        <w:rPr>
          <w:lang w:val="fr-FR"/>
        </w:rPr>
        <w:tab/>
        <w:t>Dans le document informel GRBP-77-11, le groupe de travail informel de l</w:t>
      </w:r>
      <w:r w:rsidR="003109F6" w:rsidRPr="0096742B">
        <w:rPr>
          <w:lang w:val="fr-FR"/>
        </w:rPr>
        <w:t>’</w:t>
      </w:r>
      <w:r w:rsidRPr="0096742B">
        <w:rPr>
          <w:lang w:val="fr-FR"/>
        </w:rPr>
        <w:t>incertitude de mesure avait indiqué que des recherches plus poussées étaient nécessaires pour les pneumatiques de la classe</w:t>
      </w:r>
      <w:r w:rsidR="009E465A" w:rsidRPr="0096742B">
        <w:rPr>
          <w:lang w:val="fr-FR"/>
        </w:rPr>
        <w:t> </w:t>
      </w:r>
      <w:r w:rsidRPr="0096742B">
        <w:rPr>
          <w:lang w:val="fr-FR"/>
        </w:rPr>
        <w:t>C2</w:t>
      </w:r>
      <w:r w:rsidR="00E3523D" w:rsidRPr="0096742B">
        <w:rPr>
          <w:lang w:val="fr-FR"/>
        </w:rPr>
        <w:t>.</w:t>
      </w:r>
      <w:r w:rsidRPr="0096742B">
        <w:rPr>
          <w:lang w:val="fr-FR"/>
        </w:rPr>
        <w:t xml:space="preserve"> Pour les pneumatiques de la classe</w:t>
      </w:r>
      <w:r w:rsidR="009E465A" w:rsidRPr="0096742B">
        <w:rPr>
          <w:lang w:val="fr-FR"/>
        </w:rPr>
        <w:t> </w:t>
      </w:r>
      <w:r w:rsidRPr="0096742B">
        <w:rPr>
          <w:lang w:val="fr-FR"/>
        </w:rPr>
        <w:t>C2 ne portant pas le symbole alpin, une fonction logarithmique est introduite pour la correction de température</w:t>
      </w:r>
      <w:r w:rsidR="00E3523D" w:rsidRPr="0096742B">
        <w:rPr>
          <w:lang w:val="fr-FR"/>
        </w:rPr>
        <w:t>.</w:t>
      </w:r>
      <w:r w:rsidRPr="0096742B">
        <w:rPr>
          <w:lang w:val="fr-FR"/>
        </w:rPr>
        <w:t xml:space="preserve"> Pour les pneumatiques de la classe</w:t>
      </w:r>
      <w:r w:rsidR="009E465A" w:rsidRPr="0096742B">
        <w:rPr>
          <w:lang w:val="fr-FR"/>
        </w:rPr>
        <w:t> </w:t>
      </w:r>
      <w:r w:rsidRPr="0096742B">
        <w:rPr>
          <w:lang w:val="fr-FR"/>
        </w:rPr>
        <w:t>C2 portant le symbole alpin ainsi que pour les pneumatiques de la classe</w:t>
      </w:r>
      <w:r w:rsidR="009E465A" w:rsidRPr="0096742B">
        <w:rPr>
          <w:lang w:val="fr-FR"/>
        </w:rPr>
        <w:t> </w:t>
      </w:r>
      <w:r w:rsidRPr="0096742B">
        <w:rPr>
          <w:lang w:val="fr-FR"/>
        </w:rPr>
        <w:t>C3, il a été constaté qu</w:t>
      </w:r>
      <w:r w:rsidR="003109F6" w:rsidRPr="0096742B">
        <w:rPr>
          <w:lang w:val="fr-FR"/>
        </w:rPr>
        <w:t>’</w:t>
      </w:r>
      <w:r w:rsidRPr="0096742B">
        <w:rPr>
          <w:lang w:val="fr-FR"/>
        </w:rPr>
        <w:t>il n</w:t>
      </w:r>
      <w:r w:rsidR="003109F6" w:rsidRPr="0096742B">
        <w:rPr>
          <w:lang w:val="fr-FR"/>
        </w:rPr>
        <w:t>’</w:t>
      </w:r>
      <w:r w:rsidRPr="0096742B">
        <w:rPr>
          <w:lang w:val="fr-FR"/>
        </w:rPr>
        <w:t>était pas nécessaire d</w:t>
      </w:r>
      <w:r w:rsidR="003109F6" w:rsidRPr="0096742B">
        <w:rPr>
          <w:lang w:val="fr-FR"/>
        </w:rPr>
        <w:t>’</w:t>
      </w:r>
      <w:r w:rsidRPr="0096742B">
        <w:rPr>
          <w:lang w:val="fr-FR"/>
        </w:rPr>
        <w:t>appliquer une formule de correction de température en raison de leur faible sensibilité à la température</w:t>
      </w:r>
      <w:r w:rsidR="00E3523D" w:rsidRPr="0096742B">
        <w:rPr>
          <w:lang w:val="fr-FR"/>
        </w:rPr>
        <w:t>.</w:t>
      </w:r>
    </w:p>
    <w:p w14:paraId="67133ECB" w14:textId="744ED052" w:rsidR="00800DB9" w:rsidRPr="0096742B" w:rsidRDefault="00800DB9" w:rsidP="00264F70">
      <w:pPr>
        <w:pStyle w:val="SingleTxtG"/>
        <w:spacing w:line="236" w:lineRule="atLeast"/>
        <w:rPr>
          <w:bCs/>
          <w:lang w:val="fr-FR"/>
        </w:rPr>
      </w:pPr>
      <w:r w:rsidRPr="0096742B">
        <w:rPr>
          <w:lang w:val="fr-FR"/>
        </w:rPr>
        <w:t>3</w:t>
      </w:r>
      <w:r w:rsidR="00E3523D" w:rsidRPr="0096742B">
        <w:rPr>
          <w:lang w:val="fr-FR"/>
        </w:rPr>
        <w:t>.</w:t>
      </w:r>
      <w:r w:rsidRPr="0096742B">
        <w:rPr>
          <w:lang w:val="fr-FR"/>
        </w:rPr>
        <w:tab/>
      </w:r>
      <w:r w:rsidRPr="0096742B">
        <w:rPr>
          <w:spacing w:val="-2"/>
          <w:lang w:val="fr-FR"/>
        </w:rPr>
        <w:t>S</w:t>
      </w:r>
      <w:r w:rsidR="003109F6" w:rsidRPr="0096742B">
        <w:rPr>
          <w:spacing w:val="-2"/>
          <w:lang w:val="fr-FR"/>
        </w:rPr>
        <w:t>’</w:t>
      </w:r>
      <w:r w:rsidRPr="0096742B">
        <w:rPr>
          <w:spacing w:val="-2"/>
          <w:lang w:val="fr-FR"/>
        </w:rPr>
        <w:t>agissant des pneumatiques de la classe</w:t>
      </w:r>
      <w:r w:rsidR="009E465A" w:rsidRPr="0096742B">
        <w:rPr>
          <w:spacing w:val="-2"/>
          <w:lang w:val="fr-FR"/>
        </w:rPr>
        <w:t> </w:t>
      </w:r>
      <w:r w:rsidRPr="0096742B">
        <w:rPr>
          <w:spacing w:val="-2"/>
          <w:lang w:val="fr-FR"/>
        </w:rPr>
        <w:t>C3, il a été constaté qu</w:t>
      </w:r>
      <w:r w:rsidR="003109F6" w:rsidRPr="0096742B">
        <w:rPr>
          <w:spacing w:val="-2"/>
          <w:lang w:val="fr-FR"/>
        </w:rPr>
        <w:t>’</w:t>
      </w:r>
      <w:r w:rsidRPr="0096742B">
        <w:rPr>
          <w:spacing w:val="-2"/>
          <w:lang w:val="fr-FR"/>
        </w:rPr>
        <w:t>il n</w:t>
      </w:r>
      <w:r w:rsidR="003109F6" w:rsidRPr="0096742B">
        <w:rPr>
          <w:spacing w:val="-2"/>
          <w:lang w:val="fr-FR"/>
        </w:rPr>
        <w:t>’</w:t>
      </w:r>
      <w:r w:rsidRPr="0096742B">
        <w:rPr>
          <w:spacing w:val="-2"/>
          <w:lang w:val="fr-FR"/>
        </w:rPr>
        <w:t>était pas nécessaire d</w:t>
      </w:r>
      <w:r w:rsidR="003109F6" w:rsidRPr="0096742B">
        <w:rPr>
          <w:spacing w:val="-2"/>
          <w:lang w:val="fr-FR"/>
        </w:rPr>
        <w:t>’</w:t>
      </w:r>
      <w:r w:rsidRPr="0096742B">
        <w:rPr>
          <w:spacing w:val="-2"/>
          <w:lang w:val="fr-FR"/>
        </w:rPr>
        <w:t>ajouter une formule de correction de température, en raison de la faible sensibilité à la température des composants et de l</w:t>
      </w:r>
      <w:r w:rsidR="003109F6" w:rsidRPr="0096742B">
        <w:rPr>
          <w:spacing w:val="-2"/>
          <w:lang w:val="fr-FR"/>
        </w:rPr>
        <w:t>’</w:t>
      </w:r>
      <w:r w:rsidRPr="0096742B">
        <w:rPr>
          <w:spacing w:val="-2"/>
          <w:lang w:val="fr-FR"/>
        </w:rPr>
        <w:t>inertie thermique élevée de ces pneumatiques</w:t>
      </w:r>
      <w:r w:rsidR="00E3523D" w:rsidRPr="0096742B">
        <w:rPr>
          <w:spacing w:val="-2"/>
          <w:lang w:val="fr-FR"/>
        </w:rPr>
        <w:t>.</w:t>
      </w:r>
    </w:p>
    <w:p w14:paraId="685CE954" w14:textId="2D6B590A" w:rsidR="00800DB9" w:rsidRPr="0096742B" w:rsidRDefault="00800DB9" w:rsidP="00264F70">
      <w:pPr>
        <w:pStyle w:val="SingleTxtG"/>
        <w:spacing w:line="236" w:lineRule="atLeast"/>
        <w:rPr>
          <w:bCs/>
          <w:lang w:val="fr-FR"/>
        </w:rPr>
      </w:pPr>
      <w:r w:rsidRPr="0096742B">
        <w:rPr>
          <w:lang w:val="fr-FR"/>
        </w:rPr>
        <w:t>4</w:t>
      </w:r>
      <w:r w:rsidR="00E3523D" w:rsidRPr="0096742B">
        <w:rPr>
          <w:lang w:val="fr-FR"/>
        </w:rPr>
        <w:t>.</w:t>
      </w:r>
      <w:r w:rsidRPr="0096742B">
        <w:rPr>
          <w:lang w:val="fr-FR"/>
        </w:rPr>
        <w:tab/>
        <w:t>Étant donné que la vérification de la conformité de la production pourra être effectuée bien après qu</w:t>
      </w:r>
      <w:r w:rsidR="003109F6" w:rsidRPr="0096742B">
        <w:rPr>
          <w:lang w:val="fr-FR"/>
        </w:rPr>
        <w:t>’</w:t>
      </w:r>
      <w:r w:rsidRPr="0096742B">
        <w:rPr>
          <w:lang w:val="fr-FR"/>
        </w:rPr>
        <w:t>il devienne obligatoire d</w:t>
      </w:r>
      <w:r w:rsidR="003109F6" w:rsidRPr="0096742B">
        <w:rPr>
          <w:lang w:val="fr-FR"/>
        </w:rPr>
        <w:t>’</w:t>
      </w:r>
      <w:r w:rsidRPr="0096742B">
        <w:rPr>
          <w:lang w:val="fr-FR"/>
        </w:rPr>
        <w:t>appliquer la nouvelle formule de correction, la présente proposition laisse à chaque fabricant la possibilité d</w:t>
      </w:r>
      <w:r w:rsidR="003109F6" w:rsidRPr="0096742B">
        <w:rPr>
          <w:lang w:val="fr-FR"/>
        </w:rPr>
        <w:t>’</w:t>
      </w:r>
      <w:r w:rsidRPr="0096742B">
        <w:rPr>
          <w:lang w:val="fr-FR"/>
        </w:rPr>
        <w:t>appliquer l</w:t>
      </w:r>
      <w:r w:rsidR="003109F6" w:rsidRPr="0096742B">
        <w:rPr>
          <w:lang w:val="fr-FR"/>
        </w:rPr>
        <w:t>’</w:t>
      </w:r>
      <w:r w:rsidRPr="0096742B">
        <w:rPr>
          <w:lang w:val="fr-FR"/>
        </w:rPr>
        <w:t>ancienne ou la nouvelle formule de correction de température, en fonction du système d</w:t>
      </w:r>
      <w:r w:rsidR="003109F6" w:rsidRPr="0096742B">
        <w:rPr>
          <w:lang w:val="fr-FR"/>
        </w:rPr>
        <w:t>’</w:t>
      </w:r>
      <w:r w:rsidRPr="0096742B">
        <w:rPr>
          <w:lang w:val="fr-FR"/>
        </w:rPr>
        <w:t>acquisition et d</w:t>
      </w:r>
      <w:r w:rsidR="003109F6" w:rsidRPr="0096742B">
        <w:rPr>
          <w:lang w:val="fr-FR"/>
        </w:rPr>
        <w:t>’</w:t>
      </w:r>
      <w:r w:rsidRPr="0096742B">
        <w:rPr>
          <w:lang w:val="fr-FR"/>
        </w:rPr>
        <w:t>élaboration disponible au moment de la vérification de la conformité de la production, indépendamment de la formule qui a été utilisée au moment de l</w:t>
      </w:r>
      <w:r w:rsidR="003109F6" w:rsidRPr="0096742B">
        <w:rPr>
          <w:lang w:val="fr-FR"/>
        </w:rPr>
        <w:t>’</w:t>
      </w:r>
      <w:r w:rsidRPr="0096742B">
        <w:rPr>
          <w:lang w:val="fr-FR"/>
        </w:rPr>
        <w:t>homologation de type</w:t>
      </w:r>
      <w:r w:rsidR="00E3523D" w:rsidRPr="0096742B">
        <w:rPr>
          <w:lang w:val="fr-FR"/>
        </w:rPr>
        <w:t>.</w:t>
      </w:r>
    </w:p>
    <w:p w14:paraId="4F7037D2" w14:textId="5E27F08E" w:rsidR="00800DB9" w:rsidRPr="0096742B" w:rsidRDefault="00800DB9" w:rsidP="00264F70">
      <w:pPr>
        <w:pStyle w:val="SingleTxtG"/>
        <w:spacing w:line="236" w:lineRule="atLeast"/>
        <w:rPr>
          <w:bCs/>
          <w:lang w:val="fr-FR"/>
        </w:rPr>
      </w:pPr>
      <w:r w:rsidRPr="0096742B">
        <w:rPr>
          <w:lang w:val="fr-FR"/>
        </w:rPr>
        <w:t>5</w:t>
      </w:r>
      <w:r w:rsidR="00E3523D" w:rsidRPr="0096742B">
        <w:rPr>
          <w:lang w:val="fr-FR"/>
        </w:rPr>
        <w:t>.</w:t>
      </w:r>
      <w:r w:rsidRPr="0096742B">
        <w:rPr>
          <w:lang w:val="fr-FR"/>
        </w:rPr>
        <w:tab/>
        <w:t>Puisqu</w:t>
      </w:r>
      <w:r w:rsidR="003109F6" w:rsidRPr="0096742B">
        <w:rPr>
          <w:lang w:val="fr-FR"/>
        </w:rPr>
        <w:t>’</w:t>
      </w:r>
      <w:r w:rsidRPr="0096742B">
        <w:rPr>
          <w:lang w:val="fr-FR"/>
        </w:rPr>
        <w:t>il est déjà prévu d</w:t>
      </w:r>
      <w:r w:rsidR="003109F6" w:rsidRPr="0096742B">
        <w:rPr>
          <w:lang w:val="fr-FR"/>
        </w:rPr>
        <w:t>’</w:t>
      </w:r>
      <w:r w:rsidRPr="0096742B">
        <w:rPr>
          <w:lang w:val="fr-FR"/>
        </w:rPr>
        <w:t>examiner d</w:t>
      </w:r>
      <w:r w:rsidR="003109F6" w:rsidRPr="0096742B">
        <w:rPr>
          <w:lang w:val="fr-FR"/>
        </w:rPr>
        <w:t>’</w:t>
      </w:r>
      <w:r w:rsidRPr="0096742B">
        <w:rPr>
          <w:lang w:val="fr-FR"/>
        </w:rPr>
        <w:t>autres amendements éventuels au Règlement</w:t>
      </w:r>
      <w:r w:rsidR="00E3523D" w:rsidRPr="0096742B">
        <w:rPr>
          <w:lang w:val="fr-FR"/>
        </w:rPr>
        <w:t> </w:t>
      </w:r>
      <w:r w:rsidRPr="0096742B">
        <w:rPr>
          <w:lang w:val="fr-FR"/>
        </w:rPr>
        <w:t xml:space="preserve">ONU </w:t>
      </w:r>
      <w:r w:rsidR="003109F6" w:rsidRPr="0096742B">
        <w:rPr>
          <w:lang w:val="fr-FR"/>
        </w:rPr>
        <w:t>n</w:t>
      </w:r>
      <w:r w:rsidR="003109F6" w:rsidRPr="0096742B">
        <w:rPr>
          <w:vertAlign w:val="superscript"/>
          <w:lang w:val="fr-FR"/>
        </w:rPr>
        <w:t>o</w:t>
      </w:r>
      <w:r w:rsidRPr="0096742B">
        <w:rPr>
          <w:lang w:val="fr-FR"/>
        </w:rPr>
        <w:t> 117 à la session de février 2024 du Groupe de travail du bruit et des pneumatiques (GRBP), il est suggéré que la présente proposition de complément soit soumise pour mise aux voix à la session de juin 2024 du Forum mondial (WP</w:t>
      </w:r>
      <w:r w:rsidR="00E3523D" w:rsidRPr="0096742B">
        <w:rPr>
          <w:lang w:val="fr-FR"/>
        </w:rPr>
        <w:t>.</w:t>
      </w:r>
      <w:r w:rsidRPr="0096742B">
        <w:rPr>
          <w:lang w:val="fr-FR"/>
        </w:rPr>
        <w:t>29)</w:t>
      </w:r>
      <w:r w:rsidR="00E3523D" w:rsidRPr="0096742B">
        <w:rPr>
          <w:lang w:val="fr-FR"/>
        </w:rPr>
        <w:t>.</w:t>
      </w:r>
      <w:r w:rsidRPr="0096742B">
        <w:rPr>
          <w:lang w:val="fr-FR"/>
        </w:rPr>
        <w:t xml:space="preserve"> Elle entrerait donc en vigueur autour de janvier 2025</w:t>
      </w:r>
      <w:r w:rsidR="00E3523D" w:rsidRPr="0096742B">
        <w:rPr>
          <w:lang w:val="fr-FR"/>
        </w:rPr>
        <w:t>.</w:t>
      </w:r>
      <w:r w:rsidRPr="0096742B">
        <w:rPr>
          <w:lang w:val="fr-FR"/>
        </w:rPr>
        <w:t xml:space="preserve"> Les services techniques devant être agréés conformément à la norme ISO</w:t>
      </w:r>
      <w:r w:rsidR="00E3523D" w:rsidRPr="0096742B">
        <w:rPr>
          <w:lang w:val="fr-FR"/>
        </w:rPr>
        <w:t> </w:t>
      </w:r>
      <w:r w:rsidRPr="0096742B">
        <w:rPr>
          <w:lang w:val="fr-FR"/>
        </w:rPr>
        <w:t>17025, une période transitoire de six mois est proposée à compter de l</w:t>
      </w:r>
      <w:r w:rsidR="003109F6" w:rsidRPr="0096742B">
        <w:rPr>
          <w:lang w:val="fr-FR"/>
        </w:rPr>
        <w:t>’</w:t>
      </w:r>
      <w:r w:rsidRPr="0096742B">
        <w:rPr>
          <w:lang w:val="fr-FR"/>
        </w:rPr>
        <w:t>entrée en vigueur du présent complément, c</w:t>
      </w:r>
      <w:r w:rsidR="003109F6" w:rsidRPr="0096742B">
        <w:rPr>
          <w:lang w:val="fr-FR"/>
        </w:rPr>
        <w:t>’</w:t>
      </w:r>
      <w:r w:rsidRPr="0096742B">
        <w:rPr>
          <w:lang w:val="fr-FR"/>
        </w:rPr>
        <w:t>est-à-dire jusqu</w:t>
      </w:r>
      <w:r w:rsidR="003109F6" w:rsidRPr="0096742B">
        <w:rPr>
          <w:lang w:val="fr-FR"/>
        </w:rPr>
        <w:t>’</w:t>
      </w:r>
      <w:r w:rsidRPr="0096742B">
        <w:rPr>
          <w:lang w:val="fr-FR"/>
        </w:rPr>
        <w:t>au [6 juillet 2025]</w:t>
      </w:r>
      <w:r w:rsidR="00E3523D" w:rsidRPr="0096742B">
        <w:rPr>
          <w:lang w:val="fr-FR"/>
        </w:rPr>
        <w:t>.</w:t>
      </w:r>
    </w:p>
    <w:p w14:paraId="6104AE26" w14:textId="43081B0D" w:rsidR="00800DB9" w:rsidRPr="0096742B" w:rsidRDefault="00800DB9" w:rsidP="00264F70">
      <w:pPr>
        <w:pStyle w:val="SingleTxtG"/>
        <w:widowControl w:val="0"/>
        <w:spacing w:line="236" w:lineRule="atLeast"/>
        <w:rPr>
          <w:lang w:val="fr-FR"/>
        </w:rPr>
      </w:pPr>
      <w:r w:rsidRPr="0096742B">
        <w:rPr>
          <w:lang w:val="fr-FR"/>
        </w:rPr>
        <w:t>6</w:t>
      </w:r>
      <w:r w:rsidR="00E3523D" w:rsidRPr="0096742B">
        <w:rPr>
          <w:lang w:val="fr-FR"/>
        </w:rPr>
        <w:t>.</w:t>
      </w:r>
      <w:r w:rsidRPr="0096742B">
        <w:rPr>
          <w:lang w:val="fr-FR"/>
        </w:rPr>
        <w:tab/>
        <w:t>Le texte de l</w:t>
      </w:r>
      <w:r w:rsidR="003109F6" w:rsidRPr="0096742B">
        <w:rPr>
          <w:lang w:val="fr-FR"/>
        </w:rPr>
        <w:t>’</w:t>
      </w:r>
      <w:r w:rsidRPr="0096742B">
        <w:rPr>
          <w:lang w:val="fr-FR"/>
        </w:rPr>
        <w:t>annexe 4 et les renvois à celle-ci ont été supprimés, de même que le renvoi au paragraphe</w:t>
      </w:r>
      <w:r w:rsidR="009E465A" w:rsidRPr="0096742B">
        <w:rPr>
          <w:lang w:val="fr-FR"/>
        </w:rPr>
        <w:t> </w:t>
      </w:r>
      <w:r w:rsidRPr="0096742B">
        <w:rPr>
          <w:lang w:val="fr-FR"/>
        </w:rPr>
        <w:t>12</w:t>
      </w:r>
      <w:r w:rsidR="00E3523D" w:rsidRPr="0096742B">
        <w:rPr>
          <w:lang w:val="fr-FR"/>
        </w:rPr>
        <w:t>.</w:t>
      </w:r>
      <w:r w:rsidRPr="0096742B">
        <w:rPr>
          <w:lang w:val="fr-FR"/>
        </w:rPr>
        <w:t>8, dont le contenu a changé et n</w:t>
      </w:r>
      <w:r w:rsidR="003109F6" w:rsidRPr="0096742B">
        <w:rPr>
          <w:lang w:val="fr-FR"/>
        </w:rPr>
        <w:t>’</w:t>
      </w:r>
      <w:r w:rsidRPr="0096742B">
        <w:rPr>
          <w:lang w:val="fr-FR"/>
        </w:rPr>
        <w:t>a rien à voir avec l</w:t>
      </w:r>
      <w:r w:rsidR="003109F6" w:rsidRPr="0096742B">
        <w:rPr>
          <w:lang w:val="fr-FR"/>
        </w:rPr>
        <w:t>’</w:t>
      </w:r>
      <w:r w:rsidRPr="0096742B">
        <w:rPr>
          <w:lang w:val="fr-FR"/>
        </w:rPr>
        <w:t>annexe 4</w:t>
      </w:r>
      <w:r w:rsidR="00E3523D" w:rsidRPr="0096742B">
        <w:rPr>
          <w:lang w:val="fr-FR"/>
        </w:rPr>
        <w:t>.</w:t>
      </w:r>
      <w:r w:rsidRPr="0096742B">
        <w:rPr>
          <w:lang w:val="fr-FR"/>
        </w:rPr>
        <w:t xml:space="preserve"> L</w:t>
      </w:r>
      <w:r w:rsidR="003109F6" w:rsidRPr="0096742B">
        <w:rPr>
          <w:lang w:val="fr-FR"/>
        </w:rPr>
        <w:t>’</w:t>
      </w:r>
      <w:r w:rsidRPr="0096742B">
        <w:rPr>
          <w:lang w:val="fr-FR"/>
        </w:rPr>
        <w:t>annexe</w:t>
      </w:r>
      <w:r w:rsidR="009E465A" w:rsidRPr="0096742B">
        <w:rPr>
          <w:lang w:val="fr-FR"/>
        </w:rPr>
        <w:t> </w:t>
      </w:r>
      <w:r w:rsidRPr="0096742B">
        <w:rPr>
          <w:lang w:val="fr-FR"/>
        </w:rPr>
        <w:t>4 vide est conservée et réservée pour être utilisée ultérieurement</w:t>
      </w:r>
      <w:r w:rsidR="00E3523D" w:rsidRPr="0096742B">
        <w:rPr>
          <w:lang w:val="fr-FR"/>
        </w:rPr>
        <w:t>.</w:t>
      </w:r>
    </w:p>
    <w:p w14:paraId="614EBBCE" w14:textId="4C928F01" w:rsidR="00800DB9" w:rsidRPr="0096742B" w:rsidRDefault="00800DB9" w:rsidP="00800DB9">
      <w:pPr>
        <w:pStyle w:val="SingleTxtG"/>
        <w:spacing w:before="240" w:after="0"/>
        <w:jc w:val="center"/>
        <w:rPr>
          <w:u w:val="single"/>
          <w:lang w:val="fr-FR"/>
        </w:rPr>
      </w:pPr>
      <w:r w:rsidRPr="0096742B">
        <w:rPr>
          <w:u w:val="single"/>
          <w:lang w:val="fr-FR"/>
        </w:rPr>
        <w:tab/>
      </w:r>
      <w:r w:rsidRPr="0096742B">
        <w:rPr>
          <w:u w:val="single"/>
          <w:lang w:val="fr-FR"/>
        </w:rPr>
        <w:tab/>
      </w:r>
      <w:r w:rsidRPr="0096742B">
        <w:rPr>
          <w:u w:val="single"/>
          <w:lang w:val="fr-FR"/>
        </w:rPr>
        <w:tab/>
      </w:r>
      <w:r w:rsidRPr="0096742B">
        <w:rPr>
          <w:u w:val="single"/>
          <w:lang w:val="fr-FR"/>
        </w:rPr>
        <w:tab/>
      </w:r>
    </w:p>
    <w:sectPr w:rsidR="00800DB9" w:rsidRPr="0096742B" w:rsidSect="00800DB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8F84" w14:textId="77777777" w:rsidR="003479B3" w:rsidRDefault="003479B3" w:rsidP="00F95C08">
      <w:pPr>
        <w:spacing w:line="240" w:lineRule="auto"/>
      </w:pPr>
    </w:p>
  </w:endnote>
  <w:endnote w:type="continuationSeparator" w:id="0">
    <w:p w14:paraId="536544AB" w14:textId="77777777" w:rsidR="003479B3" w:rsidRPr="00AC3823" w:rsidRDefault="003479B3" w:rsidP="00AC3823">
      <w:pPr>
        <w:pStyle w:val="Footer"/>
      </w:pPr>
    </w:p>
  </w:endnote>
  <w:endnote w:type="continuationNotice" w:id="1">
    <w:p w14:paraId="26F7D221" w14:textId="77777777" w:rsidR="003479B3" w:rsidRDefault="003479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9799" w14:textId="3E7F9F8B" w:rsidR="00800DB9" w:rsidRPr="00800DB9" w:rsidRDefault="00800DB9" w:rsidP="00800DB9">
    <w:pPr>
      <w:pStyle w:val="Footer"/>
      <w:tabs>
        <w:tab w:val="right" w:pos="9638"/>
      </w:tabs>
    </w:pPr>
    <w:r w:rsidRPr="00800DB9">
      <w:rPr>
        <w:b/>
        <w:sz w:val="18"/>
      </w:rPr>
      <w:fldChar w:fldCharType="begin"/>
    </w:r>
    <w:r w:rsidRPr="00800DB9">
      <w:rPr>
        <w:b/>
        <w:sz w:val="18"/>
      </w:rPr>
      <w:instrText xml:space="preserve"> PAGE  \* MERGEFORMAT </w:instrText>
    </w:r>
    <w:r w:rsidRPr="00800DB9">
      <w:rPr>
        <w:b/>
        <w:sz w:val="18"/>
      </w:rPr>
      <w:fldChar w:fldCharType="separate"/>
    </w:r>
    <w:r w:rsidRPr="00800DB9">
      <w:rPr>
        <w:b/>
        <w:noProof/>
        <w:sz w:val="18"/>
      </w:rPr>
      <w:t>2</w:t>
    </w:r>
    <w:r w:rsidRPr="00800DB9">
      <w:rPr>
        <w:b/>
        <w:sz w:val="18"/>
      </w:rPr>
      <w:fldChar w:fldCharType="end"/>
    </w:r>
    <w:r>
      <w:rPr>
        <w:b/>
        <w:sz w:val="18"/>
      </w:rPr>
      <w:tab/>
    </w:r>
    <w:r>
      <w:t>GE.23-11511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F6A" w14:textId="27FEAC19" w:rsidR="00800DB9" w:rsidRPr="00800DB9" w:rsidRDefault="00800DB9" w:rsidP="00800DB9">
    <w:pPr>
      <w:pStyle w:val="Footer"/>
      <w:tabs>
        <w:tab w:val="right" w:pos="9638"/>
      </w:tabs>
      <w:rPr>
        <w:b/>
        <w:sz w:val="18"/>
      </w:rPr>
    </w:pPr>
    <w:r>
      <w:t>GE.23-11511</w:t>
    </w:r>
    <w:r>
      <w:tab/>
    </w:r>
    <w:r w:rsidRPr="00800DB9">
      <w:rPr>
        <w:b/>
        <w:sz w:val="18"/>
      </w:rPr>
      <w:fldChar w:fldCharType="begin"/>
    </w:r>
    <w:r w:rsidRPr="00800DB9">
      <w:rPr>
        <w:b/>
        <w:sz w:val="18"/>
      </w:rPr>
      <w:instrText xml:space="preserve"> PAGE  \* MERGEFORMAT </w:instrText>
    </w:r>
    <w:r w:rsidRPr="00800DB9">
      <w:rPr>
        <w:b/>
        <w:sz w:val="18"/>
      </w:rPr>
      <w:fldChar w:fldCharType="separate"/>
    </w:r>
    <w:r w:rsidRPr="00800DB9">
      <w:rPr>
        <w:b/>
        <w:noProof/>
        <w:sz w:val="18"/>
      </w:rPr>
      <w:t>3</w:t>
    </w:r>
    <w:r w:rsidRPr="00800D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E197" w14:textId="2670D418" w:rsidR="007F20FA" w:rsidRPr="00800DB9" w:rsidRDefault="00800DB9" w:rsidP="00800DB9">
    <w:pPr>
      <w:pStyle w:val="Footer"/>
      <w:spacing w:before="120"/>
      <w:rPr>
        <w:sz w:val="20"/>
      </w:rPr>
    </w:pPr>
    <w:r w:rsidRPr="00206DFD">
      <w:rPr>
        <w:sz w:val="20"/>
      </w:rPr>
      <w:t>GE.</w:t>
    </w:r>
    <w:r w:rsidR="007F20FA" w:rsidRPr="00206DFD">
      <w:rPr>
        <w:noProof/>
        <w:lang w:eastAsia="fr-CH"/>
      </w:rPr>
      <w:drawing>
        <wp:anchor distT="0" distB="0" distL="114300" distR="114300" simplePos="0" relativeHeight="251659264" behindDoc="0" locked="0" layoutInCell="1" allowOverlap="0" wp14:anchorId="1172D939" wp14:editId="1E86123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DFD">
      <w:rPr>
        <w:sz w:val="20"/>
      </w:rPr>
      <w:t>23-11511  (F)</w:t>
    </w:r>
    <w:r w:rsidRPr="00206DFD">
      <w:rPr>
        <w:noProof/>
        <w:sz w:val="20"/>
      </w:rPr>
      <w:drawing>
        <wp:anchor distT="0" distB="0" distL="114300" distR="114300" simplePos="0" relativeHeight="251660288" behindDoc="0" locked="0" layoutInCell="1" allowOverlap="1" wp14:anchorId="7DE5E9BF" wp14:editId="2FFB575C">
          <wp:simplePos x="0" y="0"/>
          <wp:positionH relativeFrom="margin">
            <wp:posOffset>5489575</wp:posOffset>
          </wp:positionH>
          <wp:positionV relativeFrom="margin">
            <wp:posOffset>8891905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DFD">
      <w:rPr>
        <w:sz w:val="20"/>
      </w:rPr>
      <w:t xml:space="preserve">    100723    100723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5497" w14:textId="77777777" w:rsidR="003479B3" w:rsidRPr="00AC3823" w:rsidRDefault="003479B3" w:rsidP="00AC3823">
      <w:pPr>
        <w:pStyle w:val="Footer"/>
        <w:tabs>
          <w:tab w:val="right" w:pos="2155"/>
        </w:tabs>
        <w:spacing w:after="80" w:line="240" w:lineRule="atLeast"/>
        <w:ind w:left="680"/>
        <w:rPr>
          <w:u w:val="single"/>
        </w:rPr>
      </w:pPr>
      <w:r>
        <w:rPr>
          <w:u w:val="single"/>
        </w:rPr>
        <w:tab/>
      </w:r>
    </w:p>
  </w:footnote>
  <w:footnote w:type="continuationSeparator" w:id="0">
    <w:p w14:paraId="2717DA11" w14:textId="77777777" w:rsidR="003479B3" w:rsidRPr="00AC3823" w:rsidRDefault="003479B3" w:rsidP="00AC3823">
      <w:pPr>
        <w:pStyle w:val="Footer"/>
        <w:tabs>
          <w:tab w:val="right" w:pos="2155"/>
        </w:tabs>
        <w:spacing w:after="80" w:line="240" w:lineRule="atLeast"/>
        <w:ind w:left="680"/>
        <w:rPr>
          <w:u w:val="single"/>
        </w:rPr>
      </w:pPr>
      <w:r>
        <w:rPr>
          <w:u w:val="single"/>
        </w:rPr>
        <w:tab/>
      </w:r>
    </w:p>
  </w:footnote>
  <w:footnote w:type="continuationNotice" w:id="1">
    <w:p w14:paraId="26E9A304" w14:textId="77777777" w:rsidR="003479B3" w:rsidRPr="00AC3823" w:rsidRDefault="003479B3">
      <w:pPr>
        <w:spacing w:line="240" w:lineRule="auto"/>
        <w:rPr>
          <w:sz w:val="2"/>
          <w:szCs w:val="2"/>
        </w:rPr>
      </w:pPr>
    </w:p>
  </w:footnote>
  <w:footnote w:id="2">
    <w:p w14:paraId="5CF9D12B" w14:textId="77777777" w:rsidR="00800DB9" w:rsidRPr="0098219D" w:rsidRDefault="00800DB9" w:rsidP="0007686A">
      <w:pPr>
        <w:pStyle w:val="FootnoteText"/>
      </w:pPr>
      <w:r>
        <w:rPr>
          <w:lang w:val="fr-FR"/>
        </w:rPr>
        <w:tab/>
      </w:r>
      <w:r w:rsidRPr="0007686A">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2E1FC587" w14:textId="64D81ADA" w:rsidR="00800DB9" w:rsidRPr="00AC35DF" w:rsidRDefault="00800DB9" w:rsidP="0007686A">
      <w:pPr>
        <w:pStyle w:val="FootnoteText"/>
        <w:rPr>
          <w:strike/>
        </w:rPr>
      </w:pPr>
      <w:r w:rsidRPr="00D11809">
        <w:tab/>
      </w:r>
      <w:r w:rsidRPr="0007686A">
        <w:rPr>
          <w:rStyle w:val="FootnoteReference"/>
        </w:rPr>
        <w:footnoteRef/>
      </w:r>
      <w:r w:rsidRPr="00AC35DF">
        <w:rPr>
          <w:strike/>
        </w:rPr>
        <w:tab/>
        <w:t>Les caractéristiques du terrain d</w:t>
      </w:r>
      <w:r>
        <w:rPr>
          <w:strike/>
        </w:rPr>
        <w:t>’</w:t>
      </w:r>
      <w:r w:rsidRPr="00AC35DF">
        <w:rPr>
          <w:strike/>
        </w:rPr>
        <w:t>essai reprises dans la présente annexe sont valables jusqu</w:t>
      </w:r>
      <w:r>
        <w:rPr>
          <w:strike/>
        </w:rPr>
        <w:t>’</w:t>
      </w:r>
      <w:r w:rsidRPr="00AC35DF">
        <w:rPr>
          <w:strike/>
        </w:rPr>
        <w:t>au terme de la période indiquée au paragraphe 12.8 du présent Règlement.</w:t>
      </w:r>
    </w:p>
  </w:footnote>
  <w:footnote w:id="4">
    <w:p w14:paraId="13E99EB1" w14:textId="77777777" w:rsidR="00800DB9" w:rsidRPr="00AC35DF" w:rsidRDefault="00800DB9" w:rsidP="0007686A">
      <w:pPr>
        <w:pStyle w:val="FootnoteText"/>
        <w:rPr>
          <w:strike/>
        </w:rPr>
      </w:pPr>
      <w:r w:rsidRPr="00D11809">
        <w:tab/>
      </w:r>
      <w:r w:rsidRPr="0007686A">
        <w:rPr>
          <w:rStyle w:val="FootnoteReference"/>
        </w:rPr>
        <w:footnoteRef/>
      </w:r>
      <w:r w:rsidRPr="00AC35DF">
        <w:rPr>
          <w:strike/>
        </w:rPr>
        <w:tab/>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DD79" w14:textId="2B723048" w:rsidR="00800DB9" w:rsidRPr="00800DB9" w:rsidRDefault="00800DB9">
    <w:pPr>
      <w:pStyle w:val="Header"/>
    </w:pPr>
    <w:fldSimple w:instr=" TITLE  \* MERGEFORMAT ">
      <w:r w:rsidR="004735A7">
        <w:t>ECE/TRANS/WP.29/GRBP/2023/19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FDCD" w14:textId="2ECDF26A" w:rsidR="00800DB9" w:rsidRPr="00800DB9" w:rsidRDefault="00800DB9" w:rsidP="00800DB9">
    <w:pPr>
      <w:pStyle w:val="Header"/>
      <w:jc w:val="right"/>
    </w:pPr>
    <w:fldSimple w:instr=" TITLE  \* MERGEFORMAT ">
      <w:r w:rsidR="004735A7">
        <w:t>ECE/TRANS/WP.29/GRBP/2023/19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950059"/>
    <w:multiLevelType w:val="hybridMultilevel"/>
    <w:tmpl w:val="B64C05C0"/>
    <w:lvl w:ilvl="0" w:tplc="1A8CAE4C">
      <w:start w:val="1"/>
      <w:numFmt w:val="upperRoman"/>
      <w:lvlText w:val="%1."/>
      <w:lvlJc w:val="left"/>
      <w:pPr>
        <w:ind w:left="1395" w:hanging="720"/>
      </w:pPr>
      <w:rPr>
        <w:rFonts w:hint="default"/>
        <w:sz w:val="28"/>
        <w:szCs w:val="28"/>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98597406">
    <w:abstractNumId w:val="14"/>
  </w:num>
  <w:num w:numId="2" w16cid:durableId="775441698">
    <w:abstractNumId w:val="12"/>
  </w:num>
  <w:num w:numId="3" w16cid:durableId="1968050724">
    <w:abstractNumId w:val="10"/>
  </w:num>
  <w:num w:numId="4" w16cid:durableId="5862472">
    <w:abstractNumId w:val="8"/>
  </w:num>
  <w:num w:numId="5" w16cid:durableId="1893417395">
    <w:abstractNumId w:val="3"/>
  </w:num>
  <w:num w:numId="6" w16cid:durableId="1314019099">
    <w:abstractNumId w:val="2"/>
  </w:num>
  <w:num w:numId="7" w16cid:durableId="1338339916">
    <w:abstractNumId w:val="1"/>
  </w:num>
  <w:num w:numId="8" w16cid:durableId="367877087">
    <w:abstractNumId w:val="0"/>
  </w:num>
  <w:num w:numId="9" w16cid:durableId="1283805271">
    <w:abstractNumId w:val="9"/>
  </w:num>
  <w:num w:numId="10" w16cid:durableId="1681547693">
    <w:abstractNumId w:val="7"/>
  </w:num>
  <w:num w:numId="11" w16cid:durableId="622345487">
    <w:abstractNumId w:val="6"/>
  </w:num>
  <w:num w:numId="12" w16cid:durableId="2143842999">
    <w:abstractNumId w:val="5"/>
  </w:num>
  <w:num w:numId="13" w16cid:durableId="1310789534">
    <w:abstractNumId w:val="4"/>
  </w:num>
  <w:num w:numId="14" w16cid:durableId="1420447728">
    <w:abstractNumId w:val="14"/>
  </w:num>
  <w:num w:numId="15" w16cid:durableId="1585070063">
    <w:abstractNumId w:val="12"/>
  </w:num>
  <w:num w:numId="16" w16cid:durableId="1835296827">
    <w:abstractNumId w:val="10"/>
  </w:num>
  <w:num w:numId="17" w16cid:durableId="160005366">
    <w:abstractNumId w:val="13"/>
  </w:num>
  <w:num w:numId="18" w16cid:durableId="2274937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B3"/>
    <w:rsid w:val="00017F94"/>
    <w:rsid w:val="00023842"/>
    <w:rsid w:val="000245E3"/>
    <w:rsid w:val="000334F9"/>
    <w:rsid w:val="000348AE"/>
    <w:rsid w:val="00045FEB"/>
    <w:rsid w:val="000505E7"/>
    <w:rsid w:val="00076495"/>
    <w:rsid w:val="0007686A"/>
    <w:rsid w:val="0007796D"/>
    <w:rsid w:val="000B7790"/>
    <w:rsid w:val="00111F2F"/>
    <w:rsid w:val="001365F4"/>
    <w:rsid w:val="0014365E"/>
    <w:rsid w:val="00143C66"/>
    <w:rsid w:val="00176178"/>
    <w:rsid w:val="001B5704"/>
    <w:rsid w:val="001C246F"/>
    <w:rsid w:val="001F525A"/>
    <w:rsid w:val="00201148"/>
    <w:rsid w:val="00206DFD"/>
    <w:rsid w:val="00223272"/>
    <w:rsid w:val="00243CA4"/>
    <w:rsid w:val="0024779E"/>
    <w:rsid w:val="00257168"/>
    <w:rsid w:val="00264F70"/>
    <w:rsid w:val="00267792"/>
    <w:rsid w:val="002744B8"/>
    <w:rsid w:val="002832AC"/>
    <w:rsid w:val="002D7C93"/>
    <w:rsid w:val="0030504D"/>
    <w:rsid w:val="00305801"/>
    <w:rsid w:val="003109F6"/>
    <w:rsid w:val="003479B3"/>
    <w:rsid w:val="003916DE"/>
    <w:rsid w:val="00421996"/>
    <w:rsid w:val="00441C3B"/>
    <w:rsid w:val="00446FE5"/>
    <w:rsid w:val="00452396"/>
    <w:rsid w:val="004735A7"/>
    <w:rsid w:val="00477EB2"/>
    <w:rsid w:val="004837D8"/>
    <w:rsid w:val="004B105B"/>
    <w:rsid w:val="004B21CB"/>
    <w:rsid w:val="004E2EED"/>
    <w:rsid w:val="004E468C"/>
    <w:rsid w:val="00504E99"/>
    <w:rsid w:val="00515D06"/>
    <w:rsid w:val="005505B7"/>
    <w:rsid w:val="00565127"/>
    <w:rsid w:val="00573BE5"/>
    <w:rsid w:val="00585F0C"/>
    <w:rsid w:val="00586ED3"/>
    <w:rsid w:val="00596AA9"/>
    <w:rsid w:val="005F28A9"/>
    <w:rsid w:val="00691150"/>
    <w:rsid w:val="006D79FE"/>
    <w:rsid w:val="006F0B1C"/>
    <w:rsid w:val="0071601D"/>
    <w:rsid w:val="0075628E"/>
    <w:rsid w:val="007A62E6"/>
    <w:rsid w:val="007E13D8"/>
    <w:rsid w:val="007F20FA"/>
    <w:rsid w:val="00800DB9"/>
    <w:rsid w:val="00805147"/>
    <w:rsid w:val="0080684C"/>
    <w:rsid w:val="0084054D"/>
    <w:rsid w:val="00871C75"/>
    <w:rsid w:val="008776DC"/>
    <w:rsid w:val="008B0963"/>
    <w:rsid w:val="008D5EF9"/>
    <w:rsid w:val="008F64ED"/>
    <w:rsid w:val="009446C0"/>
    <w:rsid w:val="0096742B"/>
    <w:rsid w:val="009705C8"/>
    <w:rsid w:val="009C1CF4"/>
    <w:rsid w:val="009E465A"/>
    <w:rsid w:val="009F6B74"/>
    <w:rsid w:val="00A3029F"/>
    <w:rsid w:val="00A30353"/>
    <w:rsid w:val="00AC3823"/>
    <w:rsid w:val="00AE323C"/>
    <w:rsid w:val="00AF0CB5"/>
    <w:rsid w:val="00B00181"/>
    <w:rsid w:val="00B00B0D"/>
    <w:rsid w:val="00B31D6C"/>
    <w:rsid w:val="00B45F2E"/>
    <w:rsid w:val="00B765F7"/>
    <w:rsid w:val="00B77993"/>
    <w:rsid w:val="00BA0CA9"/>
    <w:rsid w:val="00BD737B"/>
    <w:rsid w:val="00C02897"/>
    <w:rsid w:val="00C97039"/>
    <w:rsid w:val="00C97149"/>
    <w:rsid w:val="00D22BCE"/>
    <w:rsid w:val="00D3439C"/>
    <w:rsid w:val="00D7622E"/>
    <w:rsid w:val="00DB1831"/>
    <w:rsid w:val="00DD3BFD"/>
    <w:rsid w:val="00DE5233"/>
    <w:rsid w:val="00DF6678"/>
    <w:rsid w:val="00E0299A"/>
    <w:rsid w:val="00E3523D"/>
    <w:rsid w:val="00E85C74"/>
    <w:rsid w:val="00EA6547"/>
    <w:rsid w:val="00ED6E7E"/>
    <w:rsid w:val="00ED7237"/>
    <w:rsid w:val="00EF2E22"/>
    <w:rsid w:val="00F35BAF"/>
    <w:rsid w:val="00F37BD5"/>
    <w:rsid w:val="00F660DF"/>
    <w:rsid w:val="00F94664"/>
    <w:rsid w:val="00F9573C"/>
    <w:rsid w:val="00F95C08"/>
    <w:rsid w:val="00F97F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088CA"/>
  <w15:docId w15:val="{FA2292EB-2F23-4FAC-8078-AF98CFD1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Footnote Text Char1,PP Char,5_G_6 Char,Footnote Text Char Char,5_GR Char,-E Fußnotentext Char,footnote text Char,Fußnotentext Ursprung Char,Footnote Text Char Char Char Char Char,Footnote Text1 Char,Fußn Char"/>
    <w:basedOn w:val="DefaultParagraphFont"/>
    <w:link w:val="FootnoteText"/>
    <w:qForma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800DB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800DB9"/>
    <w:rPr>
      <w:rFonts w:ascii="Times New Roman" w:eastAsiaTheme="minorHAnsi" w:hAnsi="Times New Roman" w:cs="Times New Roman"/>
      <w:sz w:val="20"/>
      <w:szCs w:val="20"/>
      <w:lang w:eastAsia="en-US"/>
    </w:rPr>
  </w:style>
  <w:style w:type="character" w:customStyle="1" w:styleId="HChGChar">
    <w:name w:val="_ H _Ch_G Char"/>
    <w:link w:val="HChG"/>
    <w:rsid w:val="00800DB9"/>
    <w:rPr>
      <w:rFonts w:ascii="Times New Roman" w:eastAsiaTheme="minorHAnsi" w:hAnsi="Times New Roman" w:cs="Times New Roman"/>
      <w:b/>
      <w:sz w:val="28"/>
      <w:szCs w:val="20"/>
      <w:lang w:eastAsia="en-US"/>
    </w:rPr>
  </w:style>
  <w:style w:type="character" w:customStyle="1" w:styleId="H23GChar">
    <w:name w:val="_ H_2/3_G Char"/>
    <w:link w:val="H23G"/>
    <w:rsid w:val="00800DB9"/>
    <w:rPr>
      <w:rFonts w:ascii="Times New Roman" w:eastAsiaTheme="minorHAnsi" w:hAnsi="Times New Roman" w:cs="Times New Roman"/>
      <w:b/>
      <w:sz w:val="20"/>
      <w:szCs w:val="20"/>
      <w:lang w:eastAsia="en-US"/>
    </w:rPr>
  </w:style>
  <w:style w:type="paragraph" w:styleId="ListParagraph">
    <w:name w:val="List Paragraph"/>
    <w:basedOn w:val="Normal"/>
    <w:uiPriority w:val="34"/>
    <w:qFormat/>
    <w:rsid w:val="00800DB9"/>
    <w:pPr>
      <w:kinsoku/>
      <w:overflowPunct/>
      <w:autoSpaceDE/>
      <w:autoSpaceDN/>
      <w:adjustRightInd/>
      <w:snapToGrid/>
      <w:ind w:left="720"/>
      <w:contextualSpacing/>
    </w:pPr>
    <w:rPr>
      <w:rFonts w:eastAsia="Times New Roman"/>
    </w:rPr>
  </w:style>
  <w:style w:type="paragraph" w:styleId="TOC1">
    <w:name w:val="toc 1"/>
    <w:basedOn w:val="Normal"/>
    <w:next w:val="Normal"/>
    <w:uiPriority w:val="39"/>
    <w:rsid w:val="00800DB9"/>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paragraph" w:customStyle="1" w:styleId="Tableheader">
    <w:name w:val="Table header"/>
    <w:basedOn w:val="Normal"/>
    <w:rsid w:val="00800DB9"/>
    <w:pPr>
      <w:tabs>
        <w:tab w:val="left" w:pos="397"/>
        <w:tab w:val="left" w:pos="794"/>
        <w:tab w:val="left" w:pos="1191"/>
        <w:tab w:val="left" w:pos="1588"/>
        <w:tab w:val="left" w:pos="1985"/>
        <w:tab w:val="left" w:pos="2381"/>
        <w:tab w:val="left" w:pos="2778"/>
        <w:tab w:val="left" w:pos="3175"/>
        <w:tab w:val="left" w:pos="3572"/>
        <w:tab w:val="left" w:pos="3969"/>
      </w:tabs>
      <w:suppressAutoHyphens w:val="0"/>
      <w:kinsoku/>
      <w:overflowPunct/>
      <w:autoSpaceDE/>
      <w:autoSpaceDN/>
      <w:adjustRightInd/>
      <w:snapToGrid/>
      <w:spacing w:before="60" w:after="60" w:line="210" w:lineRule="atLeast"/>
    </w:pPr>
    <w:rPr>
      <w:rFonts w:ascii="Cambria" w:eastAsia="Calibri" w:hAnsi="Cambr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EE84CC-60F5-4B10-AD4D-F7F6371E2942}"/>
</file>

<file path=customXml/itemProps2.xml><?xml version="1.0" encoding="utf-8"?>
<ds:datastoreItem xmlns:ds="http://schemas.openxmlformats.org/officeDocument/2006/customXml" ds:itemID="{8A7BD1BA-3097-4D85-AC9B-FF51EB0F017B}"/>
</file>

<file path=docProps/app.xml><?xml version="1.0" encoding="utf-8"?>
<Properties xmlns="http://schemas.openxmlformats.org/officeDocument/2006/extended-properties" xmlns:vt="http://schemas.openxmlformats.org/officeDocument/2006/docPropsVTypes">
  <Template>ECE_TRANS.dotm</Template>
  <TotalTime>5</TotalTime>
  <Pages>10</Pages>
  <Words>2835</Words>
  <Characters>19847</Characters>
  <Application>Microsoft Office Word</Application>
  <DocSecurity>0</DocSecurity>
  <Lines>1653</Lines>
  <Paragraphs>907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ECE/TRANS/WP.29/GRBP/2023/19</dc:title>
  <dc:subject/>
  <dc:creator>Luisa PENA-MONTERO</dc:creator>
  <cp:keywords/>
  <cp:lastModifiedBy>Luisa PENA-MONTERO</cp:lastModifiedBy>
  <cp:revision>3</cp:revision>
  <cp:lastPrinted>2023-07-10T15:21:00Z</cp:lastPrinted>
  <dcterms:created xsi:type="dcterms:W3CDTF">2023-07-10T15:21:00Z</dcterms:created>
  <dcterms:modified xsi:type="dcterms:W3CDTF">2023-07-10T15:26:00Z</dcterms:modified>
</cp:coreProperties>
</file>