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FDDC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FAD435" w14:textId="77777777" w:rsidR="002D5AAC" w:rsidRDefault="002D5AAC" w:rsidP="00D340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ABE3EC" w14:textId="77777777" w:rsidR="002D5AAC" w:rsidRPr="00BD33EE" w:rsidRDefault="00DF71B9" w:rsidP="00D3401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53B970" w14:textId="27E08DE7" w:rsidR="002D5AAC" w:rsidRDefault="00D3401D" w:rsidP="00D3401D">
            <w:pPr>
              <w:jc w:val="right"/>
            </w:pPr>
            <w:r w:rsidRPr="00D3401D">
              <w:rPr>
                <w:sz w:val="40"/>
              </w:rPr>
              <w:t>ECE</w:t>
            </w:r>
            <w:r>
              <w:t>/TRANS/WP.15/AC.1/2023/23</w:t>
            </w:r>
          </w:p>
        </w:tc>
      </w:tr>
      <w:tr w:rsidR="002D5AAC" w14:paraId="65DE6C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FA1F70" w14:textId="77777777" w:rsidR="002D5AAC" w:rsidRDefault="002E5067" w:rsidP="00D3401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B0BF8E" wp14:editId="69B1AB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4E9DF" w14:textId="77777777" w:rsidR="002D5AAC" w:rsidRPr="00033EE1" w:rsidRDefault="008A37C8" w:rsidP="00D3401D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991902" w14:textId="77777777" w:rsidR="002D5AAC" w:rsidRDefault="00D3401D" w:rsidP="00D3401D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807CE3" w14:textId="77777777" w:rsidR="00D3401D" w:rsidRDefault="00D3401D" w:rsidP="00D34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2023</w:t>
            </w:r>
          </w:p>
          <w:p w14:paraId="47F3EC13" w14:textId="77777777" w:rsidR="00D3401D" w:rsidRDefault="00D3401D" w:rsidP="00D34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DCF638" w14:textId="6DD52C00" w:rsidR="00D3401D" w:rsidRPr="008D53B6" w:rsidRDefault="00D3401D" w:rsidP="00D34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F65B00" w14:textId="77777777" w:rsidR="008A37C8" w:rsidRDefault="008A37C8" w:rsidP="00D3401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F27984" w14:textId="77777777" w:rsidR="00D3401D" w:rsidRPr="00D3401D" w:rsidRDefault="00D3401D" w:rsidP="00D3401D">
      <w:pPr>
        <w:spacing w:before="120"/>
        <w:rPr>
          <w:sz w:val="28"/>
          <w:szCs w:val="28"/>
        </w:rPr>
      </w:pPr>
      <w:r w:rsidRPr="00D3401D">
        <w:rPr>
          <w:sz w:val="28"/>
          <w:szCs w:val="28"/>
        </w:rPr>
        <w:t>Комитет по внутреннему транспорту</w:t>
      </w:r>
    </w:p>
    <w:p w14:paraId="7E2C9FB5" w14:textId="77777777" w:rsidR="00D3401D" w:rsidRPr="00D3401D" w:rsidRDefault="00D3401D" w:rsidP="00D3401D">
      <w:pPr>
        <w:spacing w:before="120"/>
        <w:rPr>
          <w:b/>
          <w:sz w:val="24"/>
          <w:szCs w:val="24"/>
        </w:rPr>
      </w:pPr>
      <w:r w:rsidRPr="00D3401D">
        <w:rPr>
          <w:b/>
          <w:bCs/>
          <w:sz w:val="24"/>
          <w:szCs w:val="24"/>
        </w:rPr>
        <w:t>Рабочая группа по перевозкам опасных грузов</w:t>
      </w:r>
    </w:p>
    <w:p w14:paraId="10F7CC2E" w14:textId="03E1581F" w:rsidR="00D3401D" w:rsidRPr="00CB0961" w:rsidRDefault="00D3401D" w:rsidP="00D3401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D60CA12" w14:textId="14977DE8" w:rsidR="00D3401D" w:rsidRPr="00CB0961" w:rsidRDefault="00D3401D" w:rsidP="00D3401D">
      <w:r>
        <w:t>Женева, 19</w:t>
      </w:r>
      <w:r>
        <w:rPr>
          <w:lang w:val="en-US"/>
        </w:rPr>
        <w:t>–</w:t>
      </w:r>
      <w:r>
        <w:t>29 сентября 2023 года</w:t>
      </w:r>
    </w:p>
    <w:p w14:paraId="5534C158" w14:textId="77777777" w:rsidR="00D3401D" w:rsidRDefault="00D3401D" w:rsidP="00D3401D">
      <w:r>
        <w:t>Пункт 4 предварительной повестки дня</w:t>
      </w:r>
    </w:p>
    <w:p w14:paraId="63EA3EA2" w14:textId="12C5DE5D" w:rsidR="00D3401D" w:rsidRPr="00CB0961" w:rsidRDefault="00D3401D" w:rsidP="00D3401D">
      <w:r>
        <w:rPr>
          <w:b/>
          <w:bCs/>
        </w:rPr>
        <w:t xml:space="preserve">Согласование с Рекомендациями Организации </w:t>
      </w:r>
      <w:r>
        <w:rPr>
          <w:b/>
          <w:bCs/>
        </w:rPr>
        <w:br/>
      </w:r>
      <w:r>
        <w:rPr>
          <w:b/>
          <w:bCs/>
        </w:rPr>
        <w:t>Объединенных Наций по перевозке опасных грузов</w:t>
      </w:r>
    </w:p>
    <w:p w14:paraId="2C71BBBF" w14:textId="77777777" w:rsidR="00D3401D" w:rsidRPr="00B114B6" w:rsidRDefault="00D3401D" w:rsidP="00D3401D">
      <w:pPr>
        <w:pStyle w:val="HChG"/>
      </w:pPr>
      <w:r>
        <w:tab/>
      </w:r>
      <w:r>
        <w:tab/>
      </w:r>
      <w:r>
        <w:rPr>
          <w:bCs/>
        </w:rPr>
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</w:r>
    </w:p>
    <w:p w14:paraId="223C61A2" w14:textId="1576E710" w:rsidR="00D3401D" w:rsidRPr="00D3401D" w:rsidRDefault="00D3401D" w:rsidP="00D3401D">
      <w:pPr>
        <w:pStyle w:val="H1G"/>
        <w:rPr>
          <w:b w:val="0"/>
          <w:sz w:val="20"/>
          <w:vertAlign w:val="superscript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D3401D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D3401D">
        <w:rPr>
          <w:rStyle w:val="aa"/>
          <w:b w:val="0"/>
          <w:sz w:val="20"/>
          <w:vertAlign w:val="baseline"/>
          <w:lang w:val="en-US"/>
        </w:rPr>
        <w:t xml:space="preserve"> </w:t>
      </w:r>
      <w:r w:rsidRPr="00D3401D">
        <w:rPr>
          <w:rStyle w:val="aa"/>
          <w:b w:val="0"/>
          <w:sz w:val="20"/>
          <w:vertAlign w:val="baseline"/>
          <w:lang w:val="en-US"/>
        </w:rPr>
        <w:footnoteReference w:customMarkFollows="1" w:id="2"/>
        <w:t>**</w:t>
      </w:r>
    </w:p>
    <w:p w14:paraId="017A5621" w14:textId="77777777" w:rsidR="00D3401D" w:rsidRPr="00B114B6" w:rsidRDefault="00D3401D" w:rsidP="00D3401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Общие положения</w:t>
      </w:r>
    </w:p>
    <w:p w14:paraId="4D46CE09" w14:textId="77777777" w:rsidR="00D3401D" w:rsidRPr="00B114B6" w:rsidRDefault="00D3401D" w:rsidP="00D3401D">
      <w:pPr>
        <w:pStyle w:val="SingleTxtG"/>
      </w:pPr>
      <w:r>
        <w:t>1.</w:t>
      </w:r>
      <w:r>
        <w:tab/>
        <w:t>Сессия Специальной рабочей группы по согласованию МПОГ/ДОПОГ/ВОПОГ с Рекомендациями Организации Объединенных Наций по перевозке опасных грузов проводилась в Женеве 26 и 27 апреля 2023 года под председательством г-жи С. Гарсия-Вольфрум (Испания).</w:t>
      </w:r>
    </w:p>
    <w:p w14:paraId="305B02E4" w14:textId="77777777" w:rsidR="00D3401D" w:rsidRPr="00CB0961" w:rsidRDefault="00D3401D" w:rsidP="00D3401D">
      <w:pPr>
        <w:pStyle w:val="SingleTxtG"/>
      </w:pPr>
      <w:r>
        <w:t>2.</w:t>
      </w:r>
      <w:r>
        <w:tab/>
        <w:t>В работе сессии приняли участие представители Бельгии, Германии, Испании, Нидерландов, Соединенного Королевства, Франции, Швейцарии, Швеции, Центральной комиссии судоходства по Рейну (ЦКСР) и Межправительственной организации по международным железнодорожным перевозкам (ОТИФ).</w:t>
      </w:r>
    </w:p>
    <w:p w14:paraId="2E8ABF0B" w14:textId="77777777" w:rsidR="00D3401D" w:rsidRPr="00CB0961" w:rsidRDefault="00D3401D" w:rsidP="00D3401D">
      <w:pPr>
        <w:pStyle w:val="SingleTxtG"/>
      </w:pPr>
      <w:r>
        <w:t>3.</w:t>
      </w:r>
      <w:r>
        <w:tab/>
        <w:t>Сессия проводилась на английском языке без устного перевода. Нижеследующая документация была опубликована в качестве неофициальных документов, размещенных на веб-сайте Отдела устойчивого транспорта ЕЭК ООН:</w:t>
      </w:r>
    </w:p>
    <w:p w14:paraId="1BCFD726" w14:textId="77777777" w:rsidR="00D3401D" w:rsidRPr="00CB0961" w:rsidRDefault="00D3401D" w:rsidP="00D3401D">
      <w:pPr>
        <w:spacing w:after="120"/>
        <w:ind w:left="5103" w:right="1134" w:hanging="3969"/>
      </w:pPr>
      <w:r>
        <w:t>ECE/TRANS/WP.15/AC.1/HAR/11</w:t>
      </w:r>
      <w:r>
        <w:tab/>
        <w:t>Предварительная повестка дня одиннадцатой сессии (секретариат)</w:t>
      </w:r>
    </w:p>
    <w:p w14:paraId="0F7D9198" w14:textId="77777777" w:rsidR="00D3401D" w:rsidRPr="00CB0961" w:rsidRDefault="00D3401D" w:rsidP="00D3401D">
      <w:pPr>
        <w:spacing w:after="120"/>
        <w:ind w:left="5103" w:right="1134" w:hanging="3958"/>
      </w:pPr>
      <w:r>
        <w:t>ECE/TRANS/WP.15/AC.1/HAR/2023/1</w:t>
      </w:r>
      <w:r>
        <w:tab/>
        <w:t>Согласование с Типовыми правилами перевозки опасных грузов Организации Объединенных Наций (секретариат)</w:t>
      </w:r>
    </w:p>
    <w:p w14:paraId="5F471DF4" w14:textId="77777777" w:rsidR="00D3401D" w:rsidRPr="00CB0961" w:rsidRDefault="00D3401D" w:rsidP="00D3401D">
      <w:pPr>
        <w:spacing w:after="120"/>
        <w:ind w:left="5103" w:right="1134" w:hanging="3958"/>
      </w:pPr>
      <w:r>
        <w:t>ECE/TRANS/WP.15/AC.1/HAR/2023/2/Rev.1</w:t>
      </w:r>
      <w:r>
        <w:tab/>
        <w:t>Изделия и группы упаковки (Испания)</w:t>
      </w:r>
    </w:p>
    <w:p w14:paraId="4654FA26" w14:textId="77777777" w:rsidR="00D3401D" w:rsidRPr="00CB0961" w:rsidRDefault="00D3401D" w:rsidP="00D3401D">
      <w:pPr>
        <w:spacing w:after="120"/>
        <w:ind w:left="5103" w:right="1134" w:hanging="3958"/>
      </w:pPr>
      <w:r>
        <w:lastRenderedPageBreak/>
        <w:t>ECE/TRANS/WP.15/AC.1/HAR/2023/3/Rev.1</w:t>
      </w:r>
      <w:r>
        <w:tab/>
        <w:t>Степень наполнения и коэффициент наполнения (Испания)</w:t>
      </w:r>
    </w:p>
    <w:p w14:paraId="450D5BD8" w14:textId="4D1EFBD3" w:rsidR="00D3401D" w:rsidRPr="00CB0961" w:rsidRDefault="00D3401D" w:rsidP="00D3401D">
      <w:pPr>
        <w:spacing w:after="120"/>
        <w:ind w:left="5103" w:right="1134" w:hanging="3958"/>
      </w:pPr>
      <w:r>
        <w:t>ECE/TRANS/WP.15/AC.1/HAR/2023/4</w:t>
      </w:r>
      <w:r>
        <w:tab/>
        <w:t xml:space="preserve">Согласование с Типовыми правилами перевозки опасных грузов Организации Объединенных Наций </w:t>
      </w:r>
      <w:r w:rsidR="00E278A6">
        <w:t>—</w:t>
      </w:r>
      <w:r>
        <w:t xml:space="preserve"> Комментарии по документу ECE/TRANS/WP.15/AC.1/HAR/2023/1 (Швеция)</w:t>
      </w:r>
    </w:p>
    <w:tbl>
      <w:tblPr>
        <w:tblStyle w:val="ac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4526"/>
      </w:tblGrid>
      <w:tr w:rsidR="00D3401D" w:rsidRPr="00CB0961" w14:paraId="3C7072F5" w14:textId="77777777" w:rsidTr="00B547A7">
        <w:tc>
          <w:tcPr>
            <w:tcW w:w="3974" w:type="dxa"/>
            <w:shd w:val="clear" w:color="auto" w:fill="auto"/>
          </w:tcPr>
          <w:p w14:paraId="2C8957B8" w14:textId="77777777" w:rsidR="00D3401D" w:rsidRPr="00CB0961" w:rsidRDefault="00D3401D" w:rsidP="00D3401D">
            <w:pPr>
              <w:spacing w:after="120"/>
              <w:ind w:right="134"/>
            </w:pPr>
            <w:r>
              <w:t>Неофициальный документ INF.11 весенней сессии Совместного совещания МПОГ/ДОПОГ/ВОПОГ 2023 года</w:t>
            </w:r>
          </w:p>
        </w:tc>
        <w:tc>
          <w:tcPr>
            <w:tcW w:w="4526" w:type="dxa"/>
            <w:shd w:val="clear" w:color="auto" w:fill="auto"/>
          </w:tcPr>
          <w:p w14:paraId="2BF6F70D" w14:textId="4429D06C" w:rsidR="00D3401D" w:rsidRPr="00CB0961" w:rsidRDefault="00D3401D" w:rsidP="00D3401D">
            <w:pPr>
              <w:spacing w:after="120"/>
              <w:ind w:right="1134"/>
            </w:pPr>
            <w:r>
              <w:t>Толкование вместимости для определения максимальной степени наполнения в соответствии с пунктом</w:t>
            </w:r>
            <w:r w:rsidR="00E278A6">
              <w:t> </w:t>
            </w:r>
            <w:r>
              <w:t>4.1.1.4 (Бельгия)</w:t>
            </w:r>
          </w:p>
        </w:tc>
      </w:tr>
    </w:tbl>
    <w:p w14:paraId="40F6F48D" w14:textId="3DF190EF" w:rsidR="00D3401D" w:rsidRPr="00CB0961" w:rsidRDefault="00D3401D" w:rsidP="00D3401D">
      <w:pPr>
        <w:pStyle w:val="SingleTxtG"/>
      </w:pPr>
      <w:r>
        <w:t>4.</w:t>
      </w:r>
      <w:r>
        <w:tab/>
        <w:t>Базовыми документами были 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Организации Объединенных Наций и приложения к нему, распространенные секретариатом в качестве документов ST/SG/AC.10/50 и Add.1</w:t>
      </w:r>
      <w:r w:rsidR="00D67F3B">
        <w:t>–</w:t>
      </w:r>
      <w:r>
        <w:t>3.</w:t>
      </w:r>
    </w:p>
    <w:p w14:paraId="5D108D01" w14:textId="77777777" w:rsidR="00D3401D" w:rsidRPr="00CB0961" w:rsidRDefault="00D3401D" w:rsidP="00D3401D">
      <w:pPr>
        <w:pStyle w:val="SingleTxtG"/>
      </w:pPr>
      <w:r>
        <w:t>5.</w:t>
      </w:r>
      <w:r>
        <w:tab/>
        <w:t>Специальная рабочая группа утвердила подготовленную секретариатами предварительную повестку дня.</w:t>
      </w:r>
    </w:p>
    <w:p w14:paraId="5EFE39A6" w14:textId="77777777" w:rsidR="00D3401D" w:rsidRPr="00CB0961" w:rsidRDefault="00D3401D" w:rsidP="00D3401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Согласование МПОГ/ДОПОГ/ВОПОГ с Рекомендациями Организации Объединенных Наций по перевозке опасных грузов, Типовые правила</w:t>
      </w:r>
    </w:p>
    <w:p w14:paraId="59F690C9" w14:textId="6C3DCB7F" w:rsidR="00D3401D" w:rsidRPr="00D3401D" w:rsidRDefault="00D3401D" w:rsidP="00D3401D">
      <w:pPr>
        <w:pStyle w:val="SingleTxtG"/>
      </w:pPr>
      <w:r>
        <w:t>6.</w:t>
      </w:r>
      <w:r>
        <w:tab/>
      </w:r>
      <w:r w:rsidRPr="00D3401D">
        <w:t xml:space="preserve">Специальная рабочая группа (далее именуется </w:t>
      </w:r>
      <w:r>
        <w:t>«</w:t>
      </w:r>
      <w:r w:rsidRPr="00D3401D">
        <w:t>Рабочая группа</w:t>
      </w:r>
      <w:r>
        <w:t>»</w:t>
      </w:r>
      <w:r w:rsidRPr="00D3401D">
        <w:t>) рассмотрела проекты поправок и замечания, содержащиеся в документах ECE/TRANS/WP.15/AC.1/HAR/2023/1–ECE/TRANS/WP.15/AC.1/HAR/2023/4.</w:t>
      </w:r>
      <w:r>
        <w:t xml:space="preserve"> </w:t>
      </w:r>
      <w:r w:rsidRPr="00D3401D">
        <w:t>Поправки, предлагаемые Рабочей группой, содержатся в добавлении к настоящему докладу (ECE/TRANS/WP.15/AC.1/2023/23/Add.1). Некоторые положения были заключены в квадратные скобки в ожидании решения по ним Совместного совещания или реакции на них со стороны других межправительственных органов.</w:t>
      </w:r>
    </w:p>
    <w:p w14:paraId="631D560B" w14:textId="77777777" w:rsidR="00D3401D" w:rsidRPr="00CB0961" w:rsidRDefault="00D3401D" w:rsidP="00D3401D">
      <w:pPr>
        <w:pStyle w:val="SingleTxtG"/>
      </w:pPr>
      <w:r>
        <w:t>7.</w:t>
      </w:r>
      <w:r>
        <w:tab/>
        <w:t>Рабочая группа решила, что изложенные ниже замечания с обоснованием некоторых из рекомендаций, вынесенных Рабочей группой, должны быть доведены до сведения Совместного совещания или Подкомитета экспертов по перевозке опасных грузов (Подкомитета по ПОГ) в зависимости от конкретного случая (ECE/TRANS/WP.15/AC.1/2023/23/Add.1, неофициальный документ INF.13 шестьдесят второй сессии Подкомитета по ПОГ</w:t>
      </w:r>
      <w:r w:rsidRPr="00B114B6">
        <w:rPr>
          <w:rStyle w:val="aa"/>
        </w:rPr>
        <w:footnoteReference w:id="3"/>
      </w:r>
      <w:r>
        <w:t>).</w:t>
      </w:r>
    </w:p>
    <w:p w14:paraId="777ADAD4" w14:textId="77777777" w:rsidR="00D3401D" w:rsidRPr="00CB0961" w:rsidRDefault="00D3401D" w:rsidP="00D3401D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Глава 2.1</w:t>
      </w:r>
    </w:p>
    <w:p w14:paraId="3F29FA5E" w14:textId="77777777" w:rsidR="00D3401D" w:rsidRPr="00CB0961" w:rsidRDefault="00D3401D" w:rsidP="00D3401D">
      <w:pPr>
        <w:pStyle w:val="SingleTxtG"/>
      </w:pPr>
      <w:r>
        <w:t>8.</w:t>
      </w:r>
      <w:r>
        <w:tab/>
        <w:t>Рабочая группа решила уточнить ссылки на литий-металлические, литий-ионные и натрий-ионные элементы и батареи по всему тексту. В тех случаях, когда это будет касаться Типовых правил, эти ссылки будут доведены до сведения Подкомитета по ПОГ.</w:t>
      </w:r>
    </w:p>
    <w:p w14:paraId="4876ABA9" w14:textId="77777777" w:rsidR="00D3401D" w:rsidRPr="00B114B6" w:rsidRDefault="00D3401D" w:rsidP="00D3401D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Глава 2.2</w:t>
      </w:r>
    </w:p>
    <w:p w14:paraId="0BA43F20" w14:textId="325A8B95" w:rsidR="00D3401D" w:rsidRPr="00B114B6" w:rsidRDefault="00D3401D" w:rsidP="00D3401D">
      <w:pPr>
        <w:pStyle w:val="SingleTxtG"/>
      </w:pPr>
      <w:r>
        <w:t>9.</w:t>
      </w:r>
      <w:r>
        <w:tab/>
        <w:t xml:space="preserve">Рабочая группа согласилась с предложением секретариата о том, что новое примечание для пояснения словосочетания </w:t>
      </w:r>
      <w:r>
        <w:t>«</w:t>
      </w:r>
      <w:r>
        <w:t>должны предоставить</w:t>
      </w:r>
      <w:r>
        <w:t>»</w:t>
      </w:r>
      <w:r>
        <w:t xml:space="preserve"> (“make available”) в пункте 2.2.9.1.7.1 (раздел 2.9.4 Типовых правил), надлежит изменить и использовать применительно также к натрий-ионным батареям и, следовательно, повторить в новом </w:t>
      </w:r>
      <w:r>
        <w:lastRenderedPageBreak/>
        <w:t>пункте 2.2.9.1.7.2 (раздел 2.9.5 Типовых правил). Это будет доведено до сведения Подкомитета по ПОГ.</w:t>
      </w:r>
    </w:p>
    <w:p w14:paraId="3716621A" w14:textId="77777777" w:rsidR="00D3401D" w:rsidRPr="003C1630" w:rsidRDefault="00D3401D" w:rsidP="00D3401D">
      <w:pPr>
        <w:pStyle w:val="SingleTxtG"/>
      </w:pPr>
      <w:r>
        <w:t>10.</w:t>
      </w:r>
      <w:r>
        <w:tab/>
        <w:t>Рабочая группа приняла предложение Швеции о повторении существующего примечания в пункте 2.2.9.1.7 (новый пункт 2.2.9.1.7.1; раздел 2.9.4 Типовых правил) со ссылкой на требования к испытаниям, предусмотренные в Руководстве по испытаниям и критериям, также в новом пункте 2.2.9.1.7.2 (раздел 2.9.5 Типовых правил) для натрий-ионных батарей. Это будет доведено до сведения Подкомитета по ПОГ.</w:t>
      </w:r>
    </w:p>
    <w:p w14:paraId="70BE511D" w14:textId="77777777" w:rsidR="00D3401D" w:rsidRPr="00CB0961" w:rsidRDefault="00D3401D" w:rsidP="00D3401D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Глава 3.2, таблица A</w:t>
      </w:r>
    </w:p>
    <w:p w14:paraId="503AC54A" w14:textId="77777777" w:rsidR="00D3401D" w:rsidRPr="00CB0961" w:rsidRDefault="00D3401D" w:rsidP="00D3401D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№№ ООН 1006, 1013, 1046 и 1066</w:t>
      </w:r>
    </w:p>
    <w:p w14:paraId="79AF762E" w14:textId="77777777" w:rsidR="00D3401D" w:rsidRPr="00CB0961" w:rsidRDefault="00D3401D" w:rsidP="00D3401D">
      <w:pPr>
        <w:pStyle w:val="SingleTxtG"/>
      </w:pPr>
      <w:r>
        <w:t>11.</w:t>
      </w:r>
      <w:r>
        <w:tab/>
        <w:t>Рабочая группа приняла поправки, предложенные в документе ECE/TRANS/WP.15/AC.1/HAR/2023/1, и в целях согласования решила заменить специальное положение 653 новым специальным положением 406 Типовых правил. Вместе с тем было отмечено, что это приведет к ужесточению условий для изъятий в отношении газов под номерами ООН 1006, 1013, 1046 и 1066 в МПОГ/ДОПОГ/ВОПОГ. В этой связи Рабочая группа предложила включить двухлетний переходный период для вступления в силу этого нового специального положения (см. пункт 1.6.2.24).</w:t>
      </w:r>
    </w:p>
    <w:p w14:paraId="5B55BBCB" w14:textId="77777777" w:rsidR="00D3401D" w:rsidRPr="00CB0961" w:rsidRDefault="00D3401D" w:rsidP="00D3401D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Вещества, которым в Типовых правилах назначено специальное положение 28</w:t>
      </w:r>
    </w:p>
    <w:p w14:paraId="031248F8" w14:textId="77777777" w:rsidR="00D3401D" w:rsidRPr="00CB0961" w:rsidRDefault="00D3401D" w:rsidP="00D3401D">
      <w:pPr>
        <w:pStyle w:val="SingleTxtG"/>
      </w:pPr>
      <w:r>
        <w:t>12.</w:t>
      </w:r>
      <w:r>
        <w:tab/>
        <w:t>Рабочая группа отметила, что в рамках пересмотра структуры МПОГ/ДОПОГ было решено, что специальное положение 28 Типовых правил содержит общие предписания, действительные для всех десенсибилизированных взрывчатых веществ без исключения, и что поскольку специальные положения имеют иное назначение, оно не было перенесено в МПОГ/ДОПОГ. Поскольку МПОГ/ДОПОГ/ВОПОГ таких предписаний не содержат, Рабочая группа предложила ввести в следующее издание специальное положение 28 и применять его к тем же веществам, что и в Типовых правилах.</w:t>
      </w:r>
    </w:p>
    <w:p w14:paraId="6F860CFC" w14:textId="77777777" w:rsidR="00D3401D" w:rsidRPr="00CB0961" w:rsidRDefault="00D3401D" w:rsidP="00D3401D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№№ ООН 1391 и 3482, а также</w:t>
      </w:r>
      <w:r>
        <w:t xml:space="preserve"> </w:t>
      </w:r>
      <w:r>
        <w:rPr>
          <w:bCs/>
        </w:rPr>
        <w:t>тетраметиламмония гидроксид (№№ ООН 1835, 3423 и 3560)</w:t>
      </w:r>
    </w:p>
    <w:p w14:paraId="04AD16EA" w14:textId="77777777" w:rsidR="00D3401D" w:rsidRPr="00B114B6" w:rsidRDefault="00D3401D" w:rsidP="00D3401D">
      <w:pPr>
        <w:pStyle w:val="SingleTxtG"/>
      </w:pPr>
      <w:r>
        <w:t>13.</w:t>
      </w:r>
      <w:r>
        <w:tab/>
        <w:t>Поправки, касающиеся перевозки в цистернах МПОГ/ДОПОГ, были заключены в квадратные скобки и подлежат дальнейшему рассмотрению Рабочей группой по цистернам на ее следующем совещании. Рабочей группой по цистернам могут быть рассмотрены следующие замечания:</w:t>
      </w:r>
    </w:p>
    <w:p w14:paraId="7F54C0AF" w14:textId="6088C84D" w:rsidR="00D3401D" w:rsidRPr="00CB0961" w:rsidRDefault="00D3401D" w:rsidP="00D3401D">
      <w:pPr>
        <w:pStyle w:val="Bullet1G"/>
        <w:numPr>
          <w:ilvl w:val="0"/>
          <w:numId w:val="24"/>
        </w:numPr>
      </w:pPr>
      <w:r>
        <w:t xml:space="preserve">Для №№ ООН 1391 и 3482 добавляется T13. Для других веществ с пометкой </w:t>
      </w:r>
      <w:r>
        <w:t>«</w:t>
      </w:r>
      <w:r>
        <w:t>T13</w:t>
      </w:r>
      <w:r>
        <w:t>»</w:t>
      </w:r>
      <w:r>
        <w:t xml:space="preserve"> код цистерны МПОГ/ДОПОГ </w:t>
      </w:r>
      <w:r w:rsidR="00E278A6">
        <w:t>—</w:t>
      </w:r>
      <w:r>
        <w:t xml:space="preserve"> L10DH. Для №№ ООН 1391 и 3482 Рабочая группа по цистернам, возможно, пожелает рассмотреть вопрос о замене L10BN(+) на L10DH.</w:t>
      </w:r>
    </w:p>
    <w:p w14:paraId="7170E3D2" w14:textId="77777777" w:rsidR="00D3401D" w:rsidRPr="00CB0961" w:rsidRDefault="00D3401D" w:rsidP="00D3401D">
      <w:pPr>
        <w:pStyle w:val="Bullet1G"/>
        <w:numPr>
          <w:ilvl w:val="0"/>
          <w:numId w:val="24"/>
        </w:numPr>
      </w:pPr>
      <w:r>
        <w:t>В пункте 4.3.4.1.2 приведены два возможных варианта кодов цистерн для веществ класса 8, классификационный код CT1, группа упаковки II (L4BN/L4DH). Рабочая группа по цистернам, возможно, пожелает уточнить, верно ли это и каков будет соответствующий код для перевозки груза № ООН 1835, группа упаковки II, в цистернах. Рабочая группа отметила, что возможны также два варианта кодов цистерн для веществ класса 9, классификационный код M11 (LGBV, L4BN).</w:t>
      </w:r>
    </w:p>
    <w:p w14:paraId="12E0DF03" w14:textId="77777777" w:rsidR="00D3401D" w:rsidRPr="00CB0961" w:rsidRDefault="00D3401D" w:rsidP="00D3401D">
      <w:pPr>
        <w:pStyle w:val="SingleTxtG"/>
      </w:pPr>
      <w:r>
        <w:t>14.</w:t>
      </w:r>
      <w:r>
        <w:tab/>
        <w:t>В зависимости от решений Рабочей группы по цистернам могут потребоваться переходные положения. Для №№ ООН 1835, 3423 и 3560 (тетраметиламмония гидроксид) переходные меры для перевозки в цистернах уже были предложены рабочей группой в квадратных скобках (см. пункты 1.6.3.62, 1.6.3.63, 1.6.4.66 и 1.6.4.67).</w:t>
      </w:r>
    </w:p>
    <w:p w14:paraId="57D822F9" w14:textId="77777777" w:rsidR="00D3401D" w:rsidRPr="00CB0961" w:rsidRDefault="00D3401D" w:rsidP="00D3401D">
      <w:pPr>
        <w:pStyle w:val="H23G"/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№ ООН 1774</w:t>
      </w:r>
    </w:p>
    <w:p w14:paraId="19C27CBB" w14:textId="77777777" w:rsidR="00D3401D" w:rsidRPr="00CB0961" w:rsidRDefault="00D3401D" w:rsidP="00D3401D">
      <w:pPr>
        <w:pStyle w:val="SingleTxtG"/>
      </w:pPr>
      <w:r>
        <w:t>15.</w:t>
      </w:r>
      <w:r>
        <w:tab/>
        <w:t>С учетом разъяснений Испании на основе документа ECE/TRANS/WP.15/AC.1/HAR/2023/2/Rev.1, Рабочая группа отметила, что жидкость для зарядки огнетушителей (№ ООН 1774) не должна рассматриваться как изделие и что группа упаковки присвоена данной позиции верно.</w:t>
      </w:r>
    </w:p>
    <w:p w14:paraId="5537D658" w14:textId="7A790EA8" w:rsidR="00D3401D" w:rsidRPr="00CB0961" w:rsidRDefault="00D3401D" w:rsidP="00D3401D">
      <w:pPr>
        <w:pStyle w:val="H23G"/>
        <w:keepNext w:val="0"/>
        <w:keepLines w:val="0"/>
        <w:widowControl w:val="0"/>
      </w:pPr>
      <w:r>
        <w:rPr>
          <w:bCs/>
        </w:rPr>
        <w:tab/>
        <w:t>5.</w:t>
      </w:r>
      <w:r>
        <w:tab/>
      </w:r>
      <w:r>
        <w:rPr>
          <w:bCs/>
        </w:rPr>
        <w:t xml:space="preserve">Положения о совместной упаковке для № ООН 0514 (устройства </w:t>
      </w:r>
      <w:r w:rsidR="00E278A6">
        <w:rPr>
          <w:bCs/>
        </w:rPr>
        <w:br/>
      </w:r>
      <w:r>
        <w:rPr>
          <w:bCs/>
        </w:rPr>
        <w:t>для рассеивания средств тушения)</w:t>
      </w:r>
    </w:p>
    <w:p w14:paraId="5A26C196" w14:textId="77777777" w:rsidR="00D3401D" w:rsidRPr="00CB0961" w:rsidRDefault="00D3401D" w:rsidP="00D3401D">
      <w:pPr>
        <w:pStyle w:val="SingleTxtG"/>
      </w:pPr>
      <w:r>
        <w:t>16.</w:t>
      </w:r>
      <w:r>
        <w:tab/>
        <w:t>Рабочая группа оставила положения о совместной упаковке MP23 и MP24 в квадратных скобках в ожидании разъяснений о том, каким образом осуществляется перевозка этих устройств. Этот вопрос будет доведен до сведения Подкомитета по ПОГ.</w:t>
      </w:r>
    </w:p>
    <w:p w14:paraId="1BDD8C9C" w14:textId="77777777" w:rsidR="00D3401D" w:rsidRPr="00CB0961" w:rsidRDefault="00D3401D" w:rsidP="00D3401D">
      <w:pPr>
        <w:pStyle w:val="H1G"/>
      </w:pPr>
      <w:r>
        <w:rPr>
          <w:bCs/>
        </w:rPr>
        <w:tab/>
        <w:t>D.</w:t>
      </w:r>
      <w:r>
        <w:tab/>
      </w:r>
      <w:r>
        <w:rPr>
          <w:bCs/>
        </w:rPr>
        <w:t>Глава 3.3</w:t>
      </w:r>
    </w:p>
    <w:p w14:paraId="1D67EC7B" w14:textId="77777777" w:rsidR="00D3401D" w:rsidRPr="00CB0961" w:rsidRDefault="00D3401D" w:rsidP="00D3401D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Специальное положение 132</w:t>
      </w:r>
    </w:p>
    <w:p w14:paraId="36E7D9D0" w14:textId="77777777" w:rsidR="00D3401D" w:rsidRPr="00CB0961" w:rsidRDefault="00D3401D" w:rsidP="00D3401D">
      <w:pPr>
        <w:pStyle w:val="SingleTxtG"/>
      </w:pPr>
      <w:r>
        <w:t>17.</w:t>
      </w:r>
      <w:r>
        <w:tab/>
        <w:t>Для UN № 3555 Рабочая группа рекомендовала назначить в МПОГ/ДОПОГ инструкцию по упаковке P303, но без дополнительного требования, которое уже было учтено в СП CW29 МПОГ. Что касается ДОПОГ, то было предложено добавить в раздел 7.5.11 новое положение CV29 с той же формулировкой, что и CW29, и применять его к тем же позициям, что и в МПОГ.</w:t>
      </w:r>
    </w:p>
    <w:p w14:paraId="779BE410" w14:textId="77777777" w:rsidR="00D3401D" w:rsidRPr="00CB0961" w:rsidRDefault="00D3401D" w:rsidP="00D3401D">
      <w:pPr>
        <w:pStyle w:val="SingleTxtG"/>
      </w:pPr>
      <w:r>
        <w:t>18.</w:t>
      </w:r>
      <w:r>
        <w:tab/>
        <w:t>Рабочая группа решила не назначать № ООН 3555 специальное положение 132 Типовых правил, поскольку он уже охвачен CV14 ДОПОГ. Что касается МПОГ, то было предложено добавить в раздел 7.5.11 новое положение CW14 с той же формулировкой, что и CV14, и применять его к тем же позициям, что и в ДОПОГ.</w:t>
      </w:r>
    </w:p>
    <w:p w14:paraId="32894268" w14:textId="77777777" w:rsidR="00D3401D" w:rsidRPr="00CB0961" w:rsidRDefault="00D3401D" w:rsidP="00D3401D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Специальное положение 401</w:t>
      </w:r>
    </w:p>
    <w:p w14:paraId="56C56EB7" w14:textId="77777777" w:rsidR="00D3401D" w:rsidRPr="00CB0961" w:rsidRDefault="00D3401D" w:rsidP="00D3401D">
      <w:pPr>
        <w:pStyle w:val="SingleTxtG"/>
      </w:pPr>
      <w:r>
        <w:t>19.</w:t>
      </w:r>
      <w:r>
        <w:tab/>
        <w:t>Рабочая группа предложила исключить описание №ООН 2795 из специального положения 401, чтобы привести его в соответствие с другими ссылками на номера ООН в том же специальном положении. Предлагается также добавить в это специальное положение ссылку на батареи, содержащие металлический натрий или натриевый сплав. Это будет доведено до сведения Подкомитета по ПОГ.</w:t>
      </w:r>
    </w:p>
    <w:p w14:paraId="6F3541A3" w14:textId="77777777" w:rsidR="00D3401D" w:rsidRPr="00CB0961" w:rsidRDefault="00D3401D" w:rsidP="00D3401D">
      <w:pPr>
        <w:pStyle w:val="H23G"/>
        <w:keepNext w:val="0"/>
        <w:keepLines w:val="0"/>
        <w:widowControl w:val="0"/>
      </w:pPr>
      <w:r>
        <w:rPr>
          <w:bCs/>
        </w:rPr>
        <w:tab/>
        <w:t>3.</w:t>
      </w:r>
      <w:r>
        <w:tab/>
      </w:r>
      <w:r>
        <w:rPr>
          <w:bCs/>
        </w:rPr>
        <w:t>Специальное положение 403</w:t>
      </w:r>
    </w:p>
    <w:p w14:paraId="6923FE47" w14:textId="11343753" w:rsidR="00D3401D" w:rsidRPr="00CB0961" w:rsidRDefault="00D3401D" w:rsidP="00D3401D">
      <w:pPr>
        <w:pStyle w:val="SingleTxtG"/>
      </w:pPr>
      <w:r>
        <w:t>20.</w:t>
      </w:r>
      <w:r>
        <w:tab/>
        <w:t>В специальном положении 403 Рабочая группа предложила заменить слова “according to” (</w:t>
      </w:r>
      <w:r>
        <w:t>«</w:t>
      </w:r>
      <w:r>
        <w:t>в соответствии с</w:t>
      </w:r>
      <w:r>
        <w:t>»</w:t>
      </w:r>
      <w:r>
        <w:t>) на “in accordance with” (к тексту на русском языке не относится). Это редакционное изменение будет доведено до сведения Подкомитета по ПОГ.</w:t>
      </w:r>
    </w:p>
    <w:p w14:paraId="24DED192" w14:textId="77777777" w:rsidR="00D3401D" w:rsidRPr="00CB0961" w:rsidRDefault="00D3401D" w:rsidP="00D3401D">
      <w:pPr>
        <w:pStyle w:val="H23G"/>
        <w:keepNext w:val="0"/>
        <w:keepLines w:val="0"/>
        <w:widowControl w:val="0"/>
      </w:pPr>
      <w:r>
        <w:rPr>
          <w:bCs/>
        </w:rPr>
        <w:tab/>
        <w:t>4.</w:t>
      </w:r>
      <w:r>
        <w:tab/>
      </w:r>
      <w:r>
        <w:rPr>
          <w:bCs/>
        </w:rPr>
        <w:t>Специальное положение 405</w:t>
      </w:r>
    </w:p>
    <w:p w14:paraId="131A9779" w14:textId="77777777" w:rsidR="00D3401D" w:rsidRPr="00CB0961" w:rsidRDefault="00D3401D" w:rsidP="00D3401D">
      <w:pPr>
        <w:pStyle w:val="SingleTxtG"/>
        <w:widowControl w:val="0"/>
      </w:pPr>
      <w:r>
        <w:t>21.</w:t>
      </w:r>
      <w:r>
        <w:tab/>
        <w:t>Рабочая группа рекомендовала перенести текст нового специального положения 405 в действующее специальное положение 666 МПОГ/ДОПОГ/ВОПОГ, касающееся перевозимых в качестве груза транспортных средств и оборудования, работающего на аккумуляторных батареях. Формулировка нового специального положения 405 была улучшена, и это редакционное изменение будет доведено до сведения Подкомитета по ПОГ.</w:t>
      </w:r>
    </w:p>
    <w:p w14:paraId="7E31B0BB" w14:textId="77777777" w:rsidR="00D3401D" w:rsidRPr="00CB0961" w:rsidRDefault="00D3401D" w:rsidP="00D3401D">
      <w:pPr>
        <w:pStyle w:val="H1G"/>
        <w:keepNext w:val="0"/>
        <w:keepLines w:val="0"/>
        <w:widowControl w:val="0"/>
      </w:pPr>
      <w:r>
        <w:rPr>
          <w:bCs/>
        </w:rPr>
        <w:tab/>
        <w:t>E.</w:t>
      </w:r>
      <w:r>
        <w:tab/>
      </w:r>
      <w:r>
        <w:rPr>
          <w:bCs/>
        </w:rPr>
        <w:t>Глава 4.1</w:t>
      </w:r>
    </w:p>
    <w:p w14:paraId="5355E37A" w14:textId="77777777" w:rsidR="00D3401D" w:rsidRPr="00CB0961" w:rsidRDefault="00D3401D" w:rsidP="00D3401D">
      <w:pPr>
        <w:pStyle w:val="H23G"/>
        <w:keepNext w:val="0"/>
        <w:keepLines w:val="0"/>
        <w:widowControl w:val="0"/>
      </w:pPr>
      <w:r>
        <w:rPr>
          <w:bCs/>
        </w:rPr>
        <w:tab/>
        <w:t>1.</w:t>
      </w:r>
      <w:r>
        <w:tab/>
      </w:r>
      <w:r>
        <w:rPr>
          <w:bCs/>
        </w:rPr>
        <w:t>Пункт 4.1.4.1, P200, таблица 2</w:t>
      </w:r>
    </w:p>
    <w:p w14:paraId="2104AEBE" w14:textId="77777777" w:rsidR="00D3401D" w:rsidRPr="00CB0961" w:rsidRDefault="00D3401D" w:rsidP="00D3401D">
      <w:pPr>
        <w:pStyle w:val="SingleTxtG"/>
      </w:pPr>
      <w:r>
        <w:t>22.</w:t>
      </w:r>
      <w:r>
        <w:tab/>
        <w:t xml:space="preserve">Рабочая группа подтвердила, что строку об испытательном давлении 52 бар для №№ ООН 1001 и 3374 не следует включать в таблицу 2 инструкции по упаковке Р200 в МПОГ/ДОПОГ и что это решение было принято Совместным совещанием в ходе </w:t>
      </w:r>
      <w:r>
        <w:lastRenderedPageBreak/>
        <w:t>согласования Р200 с двенадцатым пересмотренным изданием Типовых правил (на основе документа TRANS/WP.15/AC.1/2001/32, представленного ЕАПГ).</w:t>
      </w:r>
    </w:p>
    <w:p w14:paraId="4BB06652" w14:textId="77777777" w:rsidR="00D3401D" w:rsidRPr="00CB0961" w:rsidRDefault="00D3401D" w:rsidP="00D3401D">
      <w:pPr>
        <w:pStyle w:val="H23G"/>
        <w:keepNext w:val="0"/>
        <w:keepLines w:val="0"/>
        <w:widowControl w:val="0"/>
        <w:tabs>
          <w:tab w:val="left" w:pos="8460"/>
        </w:tabs>
      </w:pPr>
      <w:r>
        <w:rPr>
          <w:bCs/>
        </w:rPr>
        <w:tab/>
        <w:t>2.</w:t>
      </w:r>
      <w:r>
        <w:tab/>
      </w:r>
      <w:r>
        <w:rPr>
          <w:bCs/>
        </w:rPr>
        <w:t>Пункт 4.1.1.4, P912 c)</w:t>
      </w:r>
    </w:p>
    <w:p w14:paraId="49523393" w14:textId="6CB1C87C" w:rsidR="00D3401D" w:rsidRPr="00CB0961" w:rsidRDefault="00D3401D" w:rsidP="00D3401D">
      <w:pPr>
        <w:pStyle w:val="SingleTxtG"/>
      </w:pPr>
      <w:r>
        <w:t>23.</w:t>
      </w:r>
      <w:r>
        <w:tab/>
        <w:t xml:space="preserve">Рабочая группа предложила улучшить формулировку инструкции по упаковке P912 c). Нет необходимости повторять слова </w:t>
      </w:r>
      <w:r>
        <w:t>«</w:t>
      </w:r>
      <w:r>
        <w:t>транспортные средства</w:t>
      </w:r>
      <w:r>
        <w:t>»</w:t>
      </w:r>
      <w:r>
        <w:t>, поскольку они уже фигурируют во вводном предложении перед подпунктами. Это редакционное изменение будет доведено до сведения Подкомитета по ПОГ.</w:t>
      </w:r>
    </w:p>
    <w:p w14:paraId="71917BCC" w14:textId="77777777" w:rsidR="00D3401D" w:rsidRPr="00CB0961" w:rsidRDefault="00D3401D" w:rsidP="00D3401D">
      <w:pPr>
        <w:pStyle w:val="H23G"/>
        <w:keepNext w:val="0"/>
        <w:keepLines w:val="0"/>
        <w:widowControl w:val="0"/>
      </w:pPr>
      <w:bookmarkStart w:id="0" w:name="_Hlk74504761"/>
      <w:r>
        <w:rPr>
          <w:bCs/>
        </w:rPr>
        <w:tab/>
        <w:t>3.</w:t>
      </w:r>
      <w:r>
        <w:tab/>
      </w:r>
      <w:r>
        <w:rPr>
          <w:bCs/>
        </w:rPr>
        <w:t>Ссылка на вместимость в пункте 4.1.1.4</w:t>
      </w:r>
    </w:p>
    <w:p w14:paraId="75472270" w14:textId="77777777" w:rsidR="00D3401D" w:rsidRPr="00CB0961" w:rsidRDefault="00D3401D" w:rsidP="00D3401D">
      <w:pPr>
        <w:pStyle w:val="SingleTxtG"/>
      </w:pPr>
      <w:r>
        <w:t>24.</w:t>
      </w:r>
      <w:r>
        <w:tab/>
        <w:t>Что касается поправок, предложенных в неофициальном документе INF.11 весенней сессии Совместного совещания МПОГ/ДОПОГ/ВОПОГ, то Рабочая группа предпочла оставить текст в нынешней редакции, поскольку в каждом конкретном случае могут потребоваться другие сопутствующие поправки. Представитель Бельгии вызвался пересмотреть свое предложение и представить новый документ на одной из следующих сессий.</w:t>
      </w:r>
      <w:bookmarkEnd w:id="0"/>
    </w:p>
    <w:p w14:paraId="45012117" w14:textId="77777777" w:rsidR="00D3401D" w:rsidRPr="00CB0961" w:rsidRDefault="00D3401D" w:rsidP="00D3401D">
      <w:pPr>
        <w:pStyle w:val="H1G"/>
      </w:pPr>
      <w:r>
        <w:rPr>
          <w:bCs/>
        </w:rPr>
        <w:tab/>
        <w:t>F.</w:t>
      </w:r>
      <w:r>
        <w:tab/>
      </w:r>
      <w:r>
        <w:rPr>
          <w:bCs/>
        </w:rPr>
        <w:t>Изделия и группы упаковки</w:t>
      </w:r>
    </w:p>
    <w:p w14:paraId="575F59AD" w14:textId="4588DE5E" w:rsidR="00D3401D" w:rsidRPr="00CB0961" w:rsidRDefault="00D3401D" w:rsidP="00D3401D">
      <w:pPr>
        <w:pStyle w:val="SingleTxtG"/>
        <w:keepNext/>
        <w:keepLines/>
      </w:pPr>
      <w:r>
        <w:t>25.</w:t>
      </w:r>
      <w:r>
        <w:tab/>
        <w:t>Рабочая группа согласилась с поправками, предложенными в документе ECE/TRANS/WP.15/AC.1/HAR/2023/2/Rev.1 (предложения 1, 3</w:t>
      </w:r>
      <w:r w:rsidR="00E278A6">
        <w:t>–</w:t>
      </w:r>
      <w:r>
        <w:t>8, за исключением пункта 41 в предложении 8). Что касается предложения 2, то Рабочая группа предпочла не включать ссылку на специальное положение 278 в колонку 5 таблицы А, а добавить пояснение к пункту 3.2.1 4).</w:t>
      </w:r>
    </w:p>
    <w:p w14:paraId="00003863" w14:textId="77777777" w:rsidR="00D3401D" w:rsidRPr="00CB0961" w:rsidRDefault="00D3401D" w:rsidP="00D3401D">
      <w:pPr>
        <w:pStyle w:val="H1G"/>
        <w:widowControl w:val="0"/>
      </w:pPr>
      <w:r>
        <w:rPr>
          <w:bCs/>
        </w:rPr>
        <w:tab/>
        <w:t>G.</w:t>
      </w:r>
      <w:r>
        <w:tab/>
      </w:r>
      <w:r>
        <w:rPr>
          <w:bCs/>
        </w:rPr>
        <w:t>Степень наполнения и коэффициент наполнения</w:t>
      </w:r>
    </w:p>
    <w:p w14:paraId="237FEF14" w14:textId="5129609E" w:rsidR="00D3401D" w:rsidRPr="00CB0961" w:rsidRDefault="00D3401D" w:rsidP="00D3401D">
      <w:pPr>
        <w:pStyle w:val="SingleTxtG"/>
        <w:keepNext/>
        <w:keepLines/>
      </w:pPr>
      <w:r>
        <w:t>26.</w:t>
      </w:r>
      <w:r>
        <w:tab/>
        <w:t xml:space="preserve">Рабочая группа приняла предложенные в документе ECE/TRANS/WP.15/AC.1/HAR/2023/3/Rev.1 поправки, направленные на согласование терминов </w:t>
      </w:r>
      <w:r>
        <w:t>«</w:t>
      </w:r>
      <w:r>
        <w:t>Степень наполнения</w:t>
      </w:r>
      <w:r>
        <w:t>»</w:t>
      </w:r>
      <w:r>
        <w:t xml:space="preserve"> и </w:t>
      </w:r>
      <w:r>
        <w:t>«</w:t>
      </w:r>
      <w:r>
        <w:t>Коэффициент наполнения</w:t>
      </w:r>
      <w:r>
        <w:t>»</w:t>
      </w:r>
      <w:r>
        <w:t>, с некоторыми изменениями. Секретариат Комитета по вопросам безопасности ВОПОГ выразил готовность проверить соответствие этих поправок ВОПОГ. Дополнительные предлагаемые изменения к Типовым правилам будут доведены до сведения Подкомитета по ПОГ.</w:t>
      </w:r>
    </w:p>
    <w:p w14:paraId="7E03A62F" w14:textId="77777777" w:rsidR="00D3401D" w:rsidRPr="00CB0961" w:rsidRDefault="00D3401D" w:rsidP="00D3401D">
      <w:pPr>
        <w:pStyle w:val="H1G"/>
      </w:pPr>
      <w:r>
        <w:rPr>
          <w:bCs/>
        </w:rPr>
        <w:tab/>
        <w:t>H.</w:t>
      </w:r>
      <w:r>
        <w:tab/>
      </w:r>
      <w:r>
        <w:rPr>
          <w:bCs/>
        </w:rPr>
        <w:t>Другие поправки, предлагаемые к Типовым правилам</w:t>
      </w:r>
    </w:p>
    <w:p w14:paraId="6D0B517B" w14:textId="77777777" w:rsidR="00D3401D" w:rsidRPr="00CB0961" w:rsidRDefault="00D3401D" w:rsidP="00D3401D">
      <w:pPr>
        <w:pStyle w:val="SingleTxtG"/>
        <w:keepNext/>
        <w:keepLines/>
      </w:pPr>
      <w:r>
        <w:t>27.</w:t>
      </w:r>
      <w:r>
        <w:tab/>
        <w:t>Рабочая группа предложила внести в Типовые правила некоторые дополнительные поправки, которые будут доведены до сведения Подкомитета по ПОГ:</w:t>
      </w:r>
    </w:p>
    <w:p w14:paraId="6641D7FD" w14:textId="77777777" w:rsidR="00D3401D" w:rsidRPr="00CB0961" w:rsidRDefault="00D3401D" w:rsidP="00D3401D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</w:pPr>
      <w:r>
        <w:t>включение в специальные положения 363 и 388 дополнительного предложения о натрий-ионных батареях;</w:t>
      </w:r>
    </w:p>
    <w:p w14:paraId="0707EBF1" w14:textId="77777777" w:rsidR="00D3401D" w:rsidRPr="00CB0961" w:rsidRDefault="00D3401D" w:rsidP="00D3401D">
      <w:pPr>
        <w:pStyle w:val="SingleTxtG"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</w:pPr>
      <w:r>
        <w:t>уточнение специального положения 408 и инструкции по упаковке P912;</w:t>
      </w:r>
    </w:p>
    <w:p w14:paraId="55F326A9" w14:textId="77777777" w:rsidR="00D3401D" w:rsidRPr="00CB0961" w:rsidRDefault="00D3401D" w:rsidP="00D3401D">
      <w:pPr>
        <w:pStyle w:val="SingleTxtG"/>
        <w:keepNext/>
        <w:keepLines/>
        <w:numPr>
          <w:ilvl w:val="0"/>
          <w:numId w:val="25"/>
        </w:numPr>
        <w:tabs>
          <w:tab w:val="clear" w:pos="1701"/>
          <w:tab w:val="clear" w:pos="2268"/>
          <w:tab w:val="clear" w:pos="2835"/>
        </w:tabs>
      </w:pPr>
      <w:r>
        <w:t>редакционные изменения в пункте 2.5.3.2.4 и в специальных положениях 252, 310, 328, 363, 404 и 407 варианта текста на французском языке.</w:t>
      </w:r>
    </w:p>
    <w:p w14:paraId="6C1EFE61" w14:textId="77777777" w:rsidR="00D3401D" w:rsidRPr="00CB0961" w:rsidRDefault="00D3401D" w:rsidP="00D3401D">
      <w:pPr>
        <w:pStyle w:val="HChG"/>
        <w:tabs>
          <w:tab w:val="left" w:pos="1134"/>
          <w:tab w:val="left" w:pos="1701"/>
          <w:tab w:val="left" w:pos="2268"/>
          <w:tab w:val="left" w:pos="2835"/>
          <w:tab w:val="center" w:pos="4252"/>
          <w:tab w:val="left" w:pos="4690"/>
        </w:tabs>
      </w:pPr>
      <w:r>
        <w:rPr>
          <w:bCs/>
        </w:rPr>
        <w:tab/>
        <w:t>III.</w:t>
      </w:r>
      <w:r>
        <w:tab/>
      </w:r>
      <w:r>
        <w:rPr>
          <w:bCs/>
        </w:rPr>
        <w:t>Прочие вопросы</w:t>
      </w:r>
    </w:p>
    <w:p w14:paraId="7C11B909" w14:textId="77777777" w:rsidR="00D3401D" w:rsidRPr="00CB0961" w:rsidRDefault="00D3401D" w:rsidP="00D3401D">
      <w:pPr>
        <w:pStyle w:val="SingleTxtG"/>
      </w:pPr>
      <w:r>
        <w:t>28.</w:t>
      </w:r>
      <w:r>
        <w:tab/>
        <w:t>Поскольку никаких документов представлено не было, то обсуждений по этому пункту повестки дня не проводилось.</w:t>
      </w:r>
    </w:p>
    <w:p w14:paraId="4EF47A64" w14:textId="77777777" w:rsidR="00D3401D" w:rsidRPr="00CB0961" w:rsidRDefault="00D3401D" w:rsidP="00D3401D">
      <w:pPr>
        <w:pStyle w:val="HChG"/>
      </w:pPr>
      <w:r>
        <w:rPr>
          <w:bCs/>
        </w:rPr>
        <w:lastRenderedPageBreak/>
        <w:tab/>
        <w:t>IV.</w:t>
      </w:r>
      <w:r>
        <w:tab/>
      </w:r>
      <w:r>
        <w:rPr>
          <w:bCs/>
        </w:rPr>
        <w:t>Утверждение доклада</w:t>
      </w:r>
    </w:p>
    <w:p w14:paraId="14082C5E" w14:textId="2EC79B89" w:rsidR="00D3401D" w:rsidRPr="00CB0961" w:rsidRDefault="00D3401D" w:rsidP="00D3401D">
      <w:pPr>
        <w:pStyle w:val="SingleTxtG"/>
      </w:pPr>
      <w:r>
        <w:t>29.</w:t>
      </w:r>
      <w:r>
        <w:tab/>
        <w:t>Рабочая группа заочно утвердила доклад о работе своей сессии на основе проекта, подготовленного секретариатами, включая проекты поправок к МПОГ/ДОПОГ/ВОПОГ, приведенные в документе ECE/TRANS/WP.15/</w:t>
      </w:r>
      <w:r w:rsidR="00E278A6">
        <w:br/>
      </w:r>
      <w:r>
        <w:t>AC.1/2023/23/Add.1.</w:t>
      </w:r>
    </w:p>
    <w:p w14:paraId="189AC40E" w14:textId="77777777" w:rsidR="00D3401D" w:rsidRPr="00CB0961" w:rsidRDefault="00D3401D" w:rsidP="00D3401D">
      <w:pPr>
        <w:spacing w:before="240"/>
        <w:jc w:val="center"/>
      </w:pPr>
      <w:r w:rsidRPr="00CB0961">
        <w:rPr>
          <w:u w:val="single"/>
        </w:rPr>
        <w:tab/>
      </w:r>
      <w:r w:rsidRPr="00CB0961">
        <w:rPr>
          <w:u w:val="single"/>
        </w:rPr>
        <w:tab/>
      </w:r>
      <w:r w:rsidRPr="00CB0961">
        <w:rPr>
          <w:u w:val="single"/>
        </w:rPr>
        <w:tab/>
      </w:r>
    </w:p>
    <w:p w14:paraId="1B04DDA1" w14:textId="77777777" w:rsidR="00E12C5F" w:rsidRPr="008D53B6" w:rsidRDefault="00E12C5F" w:rsidP="00D3401D"/>
    <w:sectPr w:rsidR="00E12C5F" w:rsidRPr="008D53B6" w:rsidSect="00D340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58A2" w14:textId="77777777" w:rsidR="005A6C95" w:rsidRPr="00A312BC" w:rsidRDefault="005A6C95" w:rsidP="00A312BC"/>
  </w:endnote>
  <w:endnote w:type="continuationSeparator" w:id="0">
    <w:p w14:paraId="6BC9AD83" w14:textId="77777777" w:rsidR="005A6C95" w:rsidRPr="00A312BC" w:rsidRDefault="005A6C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3AF5" w14:textId="648D860F" w:rsidR="00D3401D" w:rsidRPr="00D3401D" w:rsidRDefault="00D3401D">
    <w:pPr>
      <w:pStyle w:val="a8"/>
    </w:pPr>
    <w:r w:rsidRPr="00D3401D">
      <w:rPr>
        <w:b/>
        <w:sz w:val="18"/>
      </w:rPr>
      <w:fldChar w:fldCharType="begin"/>
    </w:r>
    <w:r w:rsidRPr="00D3401D">
      <w:rPr>
        <w:b/>
        <w:sz w:val="18"/>
      </w:rPr>
      <w:instrText xml:space="preserve"> PAGE  \* MERGEFORMAT </w:instrText>
    </w:r>
    <w:r w:rsidRPr="00D3401D">
      <w:rPr>
        <w:b/>
        <w:sz w:val="18"/>
      </w:rPr>
      <w:fldChar w:fldCharType="separate"/>
    </w:r>
    <w:r w:rsidRPr="00D3401D">
      <w:rPr>
        <w:b/>
        <w:noProof/>
        <w:sz w:val="18"/>
      </w:rPr>
      <w:t>2</w:t>
    </w:r>
    <w:r w:rsidRPr="00D3401D">
      <w:rPr>
        <w:b/>
        <w:sz w:val="18"/>
      </w:rPr>
      <w:fldChar w:fldCharType="end"/>
    </w:r>
    <w:r>
      <w:rPr>
        <w:b/>
        <w:sz w:val="18"/>
      </w:rPr>
      <w:tab/>
    </w:r>
    <w:r>
      <w:t>GE.23-11670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F4A6" w14:textId="1506E4E0" w:rsidR="00D3401D" w:rsidRPr="00D3401D" w:rsidRDefault="00D3401D" w:rsidP="00D3401D">
    <w:pPr>
      <w:pStyle w:val="a8"/>
      <w:tabs>
        <w:tab w:val="clear" w:pos="9639"/>
        <w:tab w:val="right" w:pos="9638"/>
      </w:tabs>
      <w:rPr>
        <w:b/>
        <w:sz w:val="18"/>
      </w:rPr>
    </w:pPr>
    <w:r>
      <w:t>GE.23-11670</w:t>
    </w:r>
    <w:r>
      <w:tab/>
    </w:r>
    <w:r w:rsidRPr="00D3401D">
      <w:rPr>
        <w:b/>
        <w:sz w:val="18"/>
      </w:rPr>
      <w:fldChar w:fldCharType="begin"/>
    </w:r>
    <w:r w:rsidRPr="00D3401D">
      <w:rPr>
        <w:b/>
        <w:sz w:val="18"/>
      </w:rPr>
      <w:instrText xml:space="preserve"> PAGE  \* MERGEFORMAT </w:instrText>
    </w:r>
    <w:r w:rsidRPr="00D3401D">
      <w:rPr>
        <w:b/>
        <w:sz w:val="18"/>
      </w:rPr>
      <w:fldChar w:fldCharType="separate"/>
    </w:r>
    <w:r w:rsidRPr="00D3401D">
      <w:rPr>
        <w:b/>
        <w:noProof/>
        <w:sz w:val="18"/>
      </w:rPr>
      <w:t>3</w:t>
    </w:r>
    <w:r w:rsidRPr="00D340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F2E8" w14:textId="26958753" w:rsidR="00042B72" w:rsidRPr="00D3401D" w:rsidRDefault="00D3401D" w:rsidP="00D3401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BB8477" wp14:editId="4D10E7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23-11670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62229B" wp14:editId="3C3B1CE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180723  200723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D818" w14:textId="77777777" w:rsidR="005A6C95" w:rsidRPr="001075E9" w:rsidRDefault="005A6C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3A4D0E" w14:textId="77777777" w:rsidR="005A6C95" w:rsidRDefault="005A6C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2C44EF" w14:textId="65B31D5D" w:rsidR="00D3401D" w:rsidRPr="00D3401D" w:rsidRDefault="00D3401D">
      <w:pPr>
        <w:pStyle w:val="ad"/>
        <w:rPr>
          <w:sz w:val="20"/>
          <w:lang w:val="en-US"/>
        </w:rPr>
      </w:pPr>
      <w:r>
        <w:tab/>
      </w:r>
      <w:r w:rsidRPr="00D3401D">
        <w:rPr>
          <w:rStyle w:val="aa"/>
          <w:sz w:val="20"/>
          <w:vertAlign w:val="baseline"/>
        </w:rPr>
        <w:t>*</w:t>
      </w:r>
      <w:r w:rsidRPr="00D3401D">
        <w:rPr>
          <w:rStyle w:val="aa"/>
          <w:vertAlign w:val="baseline"/>
        </w:rPr>
        <w:tab/>
      </w:r>
      <w:r>
        <w:t>A/77/6 (разд. 20), таблица 20.6.</w:t>
      </w:r>
    </w:p>
  </w:footnote>
  <w:footnote w:id="2">
    <w:p w14:paraId="2ADDAA31" w14:textId="2BD34731" w:rsidR="00D3401D" w:rsidRPr="00D3401D" w:rsidRDefault="00D3401D">
      <w:pPr>
        <w:pStyle w:val="ad"/>
        <w:rPr>
          <w:sz w:val="20"/>
        </w:rPr>
      </w:pPr>
      <w:r>
        <w:tab/>
      </w:r>
      <w:r w:rsidRPr="00D3401D">
        <w:rPr>
          <w:rStyle w:val="aa"/>
          <w:sz w:val="20"/>
          <w:vertAlign w:val="baseline"/>
        </w:rPr>
        <w:t>**</w:t>
      </w:r>
      <w:r w:rsidRPr="00D3401D">
        <w:rPr>
          <w:rStyle w:val="aa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OTIF/RID/RC/2023/23.</w:t>
      </w:r>
    </w:p>
  </w:footnote>
  <w:footnote w:id="3">
    <w:p w14:paraId="59358377" w14:textId="4283C84C" w:rsidR="00D3401D" w:rsidRPr="00D3401D" w:rsidRDefault="00D3401D" w:rsidP="00D3401D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CB0961">
        <w:rPr>
          <w:lang w:val="en-US"/>
        </w:rPr>
        <w:t xml:space="preserve"> </w:t>
      </w:r>
      <w:r w:rsidRPr="00CB0961">
        <w:rPr>
          <w:lang w:val="en-US"/>
        </w:rPr>
        <w:tab/>
        <w:t xml:space="preserve">URL: </w:t>
      </w:r>
      <w:hyperlink r:id="rId1" w:history="1">
        <w:r w:rsidRPr="00485EC6">
          <w:rPr>
            <w:rStyle w:val="af1"/>
            <w:lang w:val="en-US"/>
          </w:rPr>
          <w:t>https://unece.org/info/Transport/Dangerous-Goods/events/373851</w:t>
        </w:r>
      </w:hyperlink>
      <w:r w:rsidRPr="00D3401D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8400" w14:textId="5BDEB1B9" w:rsidR="00D3401D" w:rsidRPr="00D3401D" w:rsidRDefault="00D3401D">
    <w:pPr>
      <w:pStyle w:val="a5"/>
    </w:pPr>
    <w:fldSimple w:instr=" TITLE  \* MERGEFORMAT ">
      <w:r w:rsidR="004543BD">
        <w:t>ECE/TRANS/WP.15/AC.1/2023/23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949A" w14:textId="1B4E9990" w:rsidR="00D3401D" w:rsidRPr="00D3401D" w:rsidRDefault="00D3401D" w:rsidP="00D3401D">
    <w:pPr>
      <w:pStyle w:val="a5"/>
      <w:jc w:val="right"/>
    </w:pPr>
    <w:fldSimple w:instr=" TITLE  \* MERGEFORMAT ">
      <w:r w:rsidR="004543BD">
        <w:t>ECE/TRANS/WP.15/AC.1/2023/23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65195"/>
    <w:multiLevelType w:val="hybridMultilevel"/>
    <w:tmpl w:val="F7D09CDA"/>
    <w:lvl w:ilvl="0" w:tplc="3B64B33E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0051742">
    <w:abstractNumId w:val="20"/>
  </w:num>
  <w:num w:numId="2" w16cid:durableId="953053895">
    <w:abstractNumId w:val="13"/>
  </w:num>
  <w:num w:numId="3" w16cid:durableId="379784593">
    <w:abstractNumId w:val="12"/>
  </w:num>
  <w:num w:numId="4" w16cid:durableId="22021060">
    <w:abstractNumId w:val="21"/>
  </w:num>
  <w:num w:numId="5" w16cid:durableId="651562552">
    <w:abstractNumId w:val="15"/>
  </w:num>
  <w:num w:numId="6" w16cid:durableId="1237083285">
    <w:abstractNumId w:val="8"/>
  </w:num>
  <w:num w:numId="7" w16cid:durableId="1169952780">
    <w:abstractNumId w:val="3"/>
  </w:num>
  <w:num w:numId="8" w16cid:durableId="101343875">
    <w:abstractNumId w:val="2"/>
  </w:num>
  <w:num w:numId="9" w16cid:durableId="2146660723">
    <w:abstractNumId w:val="1"/>
  </w:num>
  <w:num w:numId="10" w16cid:durableId="480656853">
    <w:abstractNumId w:val="0"/>
  </w:num>
  <w:num w:numId="11" w16cid:durableId="100613913">
    <w:abstractNumId w:val="9"/>
  </w:num>
  <w:num w:numId="12" w16cid:durableId="1700744396">
    <w:abstractNumId w:val="7"/>
  </w:num>
  <w:num w:numId="13" w16cid:durableId="1333024558">
    <w:abstractNumId w:val="6"/>
  </w:num>
  <w:num w:numId="14" w16cid:durableId="1321885676">
    <w:abstractNumId w:val="5"/>
  </w:num>
  <w:num w:numId="15" w16cid:durableId="1006132828">
    <w:abstractNumId w:val="4"/>
  </w:num>
  <w:num w:numId="16" w16cid:durableId="840239428">
    <w:abstractNumId w:val="18"/>
  </w:num>
  <w:num w:numId="17" w16cid:durableId="8652653">
    <w:abstractNumId w:val="14"/>
  </w:num>
  <w:num w:numId="18" w16cid:durableId="801506033">
    <w:abstractNumId w:val="16"/>
  </w:num>
  <w:num w:numId="19" w16cid:durableId="1840655794">
    <w:abstractNumId w:val="18"/>
  </w:num>
  <w:num w:numId="20" w16cid:durableId="210848393">
    <w:abstractNumId w:val="14"/>
  </w:num>
  <w:num w:numId="21" w16cid:durableId="259142057">
    <w:abstractNumId w:val="16"/>
  </w:num>
  <w:num w:numId="22" w16cid:durableId="1995334154">
    <w:abstractNumId w:val="17"/>
  </w:num>
  <w:num w:numId="23" w16cid:durableId="1564636247">
    <w:abstractNumId w:val="11"/>
  </w:num>
  <w:num w:numId="24" w16cid:durableId="1994941027">
    <w:abstractNumId w:val="19"/>
  </w:num>
  <w:num w:numId="25" w16cid:durableId="10930902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3BD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6C9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46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401D"/>
    <w:rsid w:val="00D5253A"/>
    <w:rsid w:val="00D67F3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8A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1A823"/>
  <w15:docId w15:val="{84571E07-F2A9-4071-A2C5-AD87B40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3401D"/>
    <w:rPr>
      <w:lang w:val="ru-RU" w:eastAsia="en-US"/>
    </w:rPr>
  </w:style>
  <w:style w:type="paragraph" w:customStyle="1" w:styleId="ParNoG">
    <w:name w:val="_ParNo_G"/>
    <w:basedOn w:val="SingleTxtG"/>
    <w:qFormat/>
    <w:rsid w:val="00D3401D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D3401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3401D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D3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73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6</Pages>
  <Words>1644</Words>
  <Characters>10980</Characters>
  <Application>Microsoft Office Word</Application>
  <DocSecurity>0</DocSecurity>
  <Lines>230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ECE/TRANS/WP.15/AC.1/2023/23</vt:lpstr>
      <vt:lpstr>A/</vt:lpstr>
      <vt:lpstr>A/</vt:lpstr>
    </vt:vector>
  </TitlesOfParts>
  <Company>DCM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ECE/TRANS/WP.15/AC.1/2023/23</dc:title>
  <dc:subject/>
  <dc:creator>Anna BLAGODATSKIKH</dc:creator>
  <cp:keywords/>
  <cp:lastModifiedBy>Anna Blagodatskikh</cp:lastModifiedBy>
  <cp:revision>3</cp:revision>
  <cp:lastPrinted>2023-07-20T13:58:00Z</cp:lastPrinted>
  <dcterms:created xsi:type="dcterms:W3CDTF">2023-07-20T13:58:00Z</dcterms:created>
  <dcterms:modified xsi:type="dcterms:W3CDTF">2023-07-20T13:59:00Z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