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67D9004" w14:textId="77777777" w:rsidTr="00C97039">
        <w:trPr>
          <w:trHeight w:hRule="exact" w:val="851"/>
        </w:trPr>
        <w:tc>
          <w:tcPr>
            <w:tcW w:w="1276" w:type="dxa"/>
            <w:tcBorders>
              <w:bottom w:val="single" w:sz="4" w:space="0" w:color="auto"/>
            </w:tcBorders>
          </w:tcPr>
          <w:p w14:paraId="442085AF" w14:textId="77777777" w:rsidR="00F35BAF" w:rsidRPr="00DB58B5" w:rsidRDefault="00F35BAF" w:rsidP="00480ACE"/>
        </w:tc>
        <w:tc>
          <w:tcPr>
            <w:tcW w:w="2268" w:type="dxa"/>
            <w:tcBorders>
              <w:bottom w:val="single" w:sz="4" w:space="0" w:color="auto"/>
            </w:tcBorders>
            <w:vAlign w:val="bottom"/>
          </w:tcPr>
          <w:p w14:paraId="2EB55C3F" w14:textId="448C8C46" w:rsidR="00F35BAF" w:rsidRPr="00DB58B5" w:rsidRDefault="005069B5" w:rsidP="00C97039">
            <w:pPr>
              <w:spacing w:after="80" w:line="300" w:lineRule="exact"/>
              <w:rPr>
                <w:sz w:val="28"/>
              </w:rPr>
            </w:pPr>
            <w:r>
              <w:rPr>
                <w:sz w:val="28"/>
              </w:rPr>
              <w:t>Nations Unies</w:t>
            </w:r>
          </w:p>
        </w:tc>
        <w:tc>
          <w:tcPr>
            <w:tcW w:w="6095" w:type="dxa"/>
            <w:gridSpan w:val="2"/>
            <w:tcBorders>
              <w:bottom w:val="single" w:sz="4" w:space="0" w:color="auto"/>
            </w:tcBorders>
            <w:vAlign w:val="bottom"/>
          </w:tcPr>
          <w:p w14:paraId="7EA0B646" w14:textId="6EDD1CCD" w:rsidR="00F35BAF" w:rsidRPr="00DB58B5" w:rsidRDefault="00480ACE" w:rsidP="00480ACE">
            <w:pPr>
              <w:jc w:val="right"/>
            </w:pPr>
            <w:r w:rsidRPr="00480ACE">
              <w:rPr>
                <w:sz w:val="40"/>
              </w:rPr>
              <w:t>ECE</w:t>
            </w:r>
            <w:r>
              <w:t>/TRANS/WP.15/AC.1/2023/23</w:t>
            </w:r>
          </w:p>
        </w:tc>
      </w:tr>
      <w:tr w:rsidR="00F35BAF" w:rsidRPr="00DB58B5" w14:paraId="46A28FA7" w14:textId="77777777" w:rsidTr="00C97039">
        <w:trPr>
          <w:trHeight w:hRule="exact" w:val="2835"/>
        </w:trPr>
        <w:tc>
          <w:tcPr>
            <w:tcW w:w="1276" w:type="dxa"/>
            <w:tcBorders>
              <w:top w:val="single" w:sz="4" w:space="0" w:color="auto"/>
              <w:bottom w:val="single" w:sz="12" w:space="0" w:color="auto"/>
            </w:tcBorders>
          </w:tcPr>
          <w:p w14:paraId="4A0ADB92" w14:textId="77777777" w:rsidR="00F35BAF" w:rsidRPr="00DB58B5" w:rsidRDefault="00F35BAF" w:rsidP="00C97039">
            <w:pPr>
              <w:spacing w:before="120"/>
              <w:jc w:val="center"/>
            </w:pPr>
            <w:r>
              <w:rPr>
                <w:noProof/>
                <w:lang w:eastAsia="fr-CH"/>
              </w:rPr>
              <w:drawing>
                <wp:inline distT="0" distB="0" distL="0" distR="0" wp14:anchorId="6281F2CC" wp14:editId="2E4C62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963C1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3B13F0" w14:textId="77777777" w:rsidR="00F35BAF" w:rsidRDefault="00480ACE" w:rsidP="00C97039">
            <w:pPr>
              <w:spacing w:before="240"/>
            </w:pPr>
            <w:r>
              <w:t>Distr. générale</w:t>
            </w:r>
          </w:p>
          <w:p w14:paraId="22B079F6" w14:textId="77777777" w:rsidR="00480ACE" w:rsidRDefault="00480ACE" w:rsidP="00480ACE">
            <w:pPr>
              <w:spacing w:line="240" w:lineRule="exact"/>
            </w:pPr>
            <w:r>
              <w:t>16 juin 2023</w:t>
            </w:r>
          </w:p>
          <w:p w14:paraId="5979C551" w14:textId="77777777" w:rsidR="00480ACE" w:rsidRDefault="00480ACE" w:rsidP="00480ACE">
            <w:pPr>
              <w:spacing w:line="240" w:lineRule="exact"/>
            </w:pPr>
            <w:r>
              <w:t>Français</w:t>
            </w:r>
          </w:p>
          <w:p w14:paraId="278C2635" w14:textId="62D80FBE" w:rsidR="00480ACE" w:rsidRPr="00DB58B5" w:rsidRDefault="00480ACE" w:rsidP="00480ACE">
            <w:pPr>
              <w:spacing w:line="240" w:lineRule="exact"/>
            </w:pPr>
            <w:r>
              <w:t>Original</w:t>
            </w:r>
            <w:r w:rsidR="005069B5">
              <w:t> :</w:t>
            </w:r>
            <w:r>
              <w:t xml:space="preserve"> anglais</w:t>
            </w:r>
          </w:p>
        </w:tc>
      </w:tr>
    </w:tbl>
    <w:p w14:paraId="656DCFAF" w14:textId="77777777" w:rsidR="007F20FA" w:rsidRPr="000312C0" w:rsidRDefault="007F20FA" w:rsidP="007F20FA">
      <w:pPr>
        <w:spacing w:before="120"/>
        <w:rPr>
          <w:b/>
          <w:sz w:val="28"/>
          <w:szCs w:val="28"/>
        </w:rPr>
      </w:pPr>
      <w:r w:rsidRPr="000312C0">
        <w:rPr>
          <w:b/>
          <w:sz w:val="28"/>
          <w:szCs w:val="28"/>
        </w:rPr>
        <w:t>Commission économique pour l’Europe</w:t>
      </w:r>
    </w:p>
    <w:p w14:paraId="40C55A7F" w14:textId="77777777" w:rsidR="007F20FA" w:rsidRDefault="007F20FA" w:rsidP="007F20FA">
      <w:pPr>
        <w:spacing w:before="120"/>
        <w:rPr>
          <w:sz w:val="28"/>
          <w:szCs w:val="28"/>
        </w:rPr>
      </w:pPr>
      <w:r w:rsidRPr="00685843">
        <w:rPr>
          <w:sz w:val="28"/>
          <w:szCs w:val="28"/>
        </w:rPr>
        <w:t>Comité des transports intérieurs</w:t>
      </w:r>
    </w:p>
    <w:p w14:paraId="6D8B36AA" w14:textId="77777777" w:rsidR="005069B5" w:rsidRPr="005069B5" w:rsidRDefault="005069B5" w:rsidP="005069B5">
      <w:pPr>
        <w:spacing w:before="120"/>
        <w:rPr>
          <w:b/>
          <w:sz w:val="24"/>
          <w:szCs w:val="24"/>
          <w:lang w:val="fr-FR"/>
        </w:rPr>
      </w:pPr>
      <w:r w:rsidRPr="005069B5">
        <w:rPr>
          <w:b/>
          <w:bCs/>
          <w:sz w:val="24"/>
          <w:szCs w:val="24"/>
          <w:lang w:val="fr-FR"/>
        </w:rPr>
        <w:t>Groupe de travail des transports de marchandises dangereuses</w:t>
      </w:r>
    </w:p>
    <w:p w14:paraId="10BD0229" w14:textId="21FDF9B5" w:rsidR="005069B5" w:rsidRPr="00C11B13" w:rsidRDefault="005069B5" w:rsidP="005069B5">
      <w:pPr>
        <w:spacing w:before="120"/>
        <w:rPr>
          <w:b/>
          <w:lang w:val="fr-FR"/>
        </w:rPr>
      </w:pPr>
      <w:r w:rsidRPr="00C11B13">
        <w:rPr>
          <w:b/>
          <w:bCs/>
          <w:lang w:val="fr-FR"/>
        </w:rPr>
        <w:t>Réunion commune de la Commission d</w:t>
      </w:r>
      <w:r>
        <w:rPr>
          <w:b/>
          <w:bCs/>
          <w:lang w:val="fr-FR"/>
        </w:rPr>
        <w:t>’</w:t>
      </w:r>
      <w:r w:rsidRPr="00C11B13">
        <w:rPr>
          <w:b/>
          <w:bCs/>
          <w:lang w:val="fr-FR"/>
        </w:rPr>
        <w:t>experts du RID et</w:t>
      </w:r>
      <w:r>
        <w:rPr>
          <w:b/>
          <w:bCs/>
          <w:lang w:val="fr-FR"/>
        </w:rPr>
        <w:t xml:space="preserve"> </w:t>
      </w:r>
      <w:r w:rsidRPr="00C11B13">
        <w:rPr>
          <w:b/>
          <w:bCs/>
          <w:lang w:val="fr-FR"/>
        </w:rPr>
        <w:t xml:space="preserve">du Groupe </w:t>
      </w:r>
      <w:r>
        <w:rPr>
          <w:b/>
          <w:bCs/>
          <w:lang w:val="fr-FR"/>
        </w:rPr>
        <w:br/>
      </w:r>
      <w:r w:rsidRPr="00C11B13">
        <w:rPr>
          <w:b/>
          <w:bCs/>
          <w:lang w:val="fr-FR"/>
        </w:rPr>
        <w:t>de travail des transports de marchandises dangereuses</w:t>
      </w:r>
    </w:p>
    <w:p w14:paraId="3E088FAC" w14:textId="32B73366" w:rsidR="005069B5" w:rsidRPr="00C11B13" w:rsidRDefault="005069B5" w:rsidP="005069B5">
      <w:pPr>
        <w:rPr>
          <w:lang w:val="fr-FR"/>
        </w:rPr>
      </w:pPr>
      <w:r w:rsidRPr="00C11B13">
        <w:rPr>
          <w:lang w:val="fr-FR"/>
        </w:rPr>
        <w:t>Genève, 19</w:t>
      </w:r>
      <w:r>
        <w:rPr>
          <w:lang w:val="fr-FR"/>
        </w:rPr>
        <w:noBreakHyphen/>
      </w:r>
      <w:r w:rsidRPr="00C11B13">
        <w:rPr>
          <w:lang w:val="fr-FR"/>
        </w:rPr>
        <w:t>29</w:t>
      </w:r>
      <w:r>
        <w:rPr>
          <w:lang w:val="fr-FR"/>
        </w:rPr>
        <w:t> </w:t>
      </w:r>
      <w:r w:rsidRPr="00C11B13">
        <w:rPr>
          <w:lang w:val="fr-FR"/>
        </w:rPr>
        <w:t>septembre 2023</w:t>
      </w:r>
    </w:p>
    <w:p w14:paraId="697C9CD6" w14:textId="042C937F" w:rsidR="005069B5" w:rsidRDefault="005069B5" w:rsidP="005069B5">
      <w:pPr>
        <w:rPr>
          <w:lang w:val="fr-FR"/>
        </w:rPr>
      </w:pPr>
      <w:r w:rsidRPr="00C11B13">
        <w:rPr>
          <w:lang w:val="fr-FR"/>
        </w:rPr>
        <w:t>Point</w:t>
      </w:r>
      <w:r>
        <w:rPr>
          <w:lang w:val="fr-FR"/>
        </w:rPr>
        <w:t> </w:t>
      </w:r>
      <w:r w:rsidRPr="00C11B13">
        <w:rPr>
          <w:lang w:val="fr-FR"/>
        </w:rPr>
        <w:t>4 de l</w:t>
      </w:r>
      <w:r>
        <w:rPr>
          <w:lang w:val="fr-FR"/>
        </w:rPr>
        <w:t>’</w:t>
      </w:r>
      <w:r w:rsidRPr="00C11B13">
        <w:rPr>
          <w:lang w:val="fr-FR"/>
        </w:rPr>
        <w:t>ordre du jour provisoire</w:t>
      </w:r>
    </w:p>
    <w:p w14:paraId="6C99B866" w14:textId="2E31DE9F" w:rsidR="005069B5" w:rsidRPr="005069B5" w:rsidRDefault="005069B5" w:rsidP="005069B5">
      <w:pPr>
        <w:rPr>
          <w:b/>
          <w:bCs/>
          <w:lang w:val="fr-FR"/>
        </w:rPr>
      </w:pPr>
      <w:r w:rsidRPr="005069B5">
        <w:rPr>
          <w:b/>
          <w:bCs/>
          <w:lang w:val="fr-FR"/>
        </w:rPr>
        <w:t xml:space="preserve">Harmonisation avec les Recommandations relatives au transport </w:t>
      </w:r>
      <w:r w:rsidR="00D04216">
        <w:rPr>
          <w:b/>
          <w:bCs/>
          <w:lang w:val="fr-FR"/>
        </w:rPr>
        <w:br/>
      </w:r>
      <w:r w:rsidRPr="005069B5">
        <w:rPr>
          <w:b/>
          <w:bCs/>
          <w:lang w:val="fr-FR"/>
        </w:rPr>
        <w:t>des marchandises dangereuses</w:t>
      </w:r>
    </w:p>
    <w:p w14:paraId="60440828" w14:textId="77777777" w:rsidR="005069B5" w:rsidRPr="00C11B13" w:rsidRDefault="005069B5" w:rsidP="005069B5">
      <w:pPr>
        <w:pStyle w:val="HChG"/>
        <w:rPr>
          <w:lang w:val="fr-FR"/>
        </w:rPr>
      </w:pPr>
      <w:r w:rsidRPr="00C11B13">
        <w:rPr>
          <w:lang w:val="fr-FR"/>
        </w:rPr>
        <w:tab/>
      </w:r>
      <w:r w:rsidRPr="00C11B13">
        <w:rPr>
          <w:lang w:val="fr-FR"/>
        </w:rPr>
        <w:tab/>
      </w:r>
      <w:r w:rsidRPr="00C11B13">
        <w:rPr>
          <w:bCs/>
          <w:lang w:val="fr-FR"/>
        </w:rPr>
        <w:t>Rapport du Groupe de travail spécial de l</w:t>
      </w:r>
      <w:r>
        <w:rPr>
          <w:bCs/>
          <w:lang w:val="fr-FR"/>
        </w:rPr>
        <w:t>’</w:t>
      </w:r>
      <w:r w:rsidRPr="00C11B13">
        <w:rPr>
          <w:bCs/>
          <w:lang w:val="fr-FR"/>
        </w:rPr>
        <w:t>harmonisation des Règlements RID, ADR et ADN avec les Recommandations de l</w:t>
      </w:r>
      <w:r>
        <w:rPr>
          <w:bCs/>
          <w:lang w:val="fr-FR"/>
        </w:rPr>
        <w:t>’</w:t>
      </w:r>
      <w:r w:rsidRPr="00C11B13">
        <w:rPr>
          <w:bCs/>
          <w:lang w:val="fr-FR"/>
        </w:rPr>
        <w:t>ONU relatives au transport des marchandises dangereuses</w:t>
      </w:r>
    </w:p>
    <w:p w14:paraId="2CF9BDF9" w14:textId="4F881FFD" w:rsidR="005069B5" w:rsidRPr="00C11B13" w:rsidRDefault="005069B5" w:rsidP="005069B5">
      <w:pPr>
        <w:pStyle w:val="H1G"/>
        <w:rPr>
          <w:sz w:val="20"/>
          <w:vertAlign w:val="superscript"/>
          <w:lang w:val="fr-FR"/>
        </w:rPr>
      </w:pPr>
      <w:r w:rsidRPr="00C11B13">
        <w:rPr>
          <w:lang w:val="fr-FR"/>
        </w:rPr>
        <w:tab/>
      </w:r>
      <w:r w:rsidRPr="00C11B13">
        <w:rPr>
          <w:lang w:val="fr-FR"/>
        </w:rPr>
        <w:tab/>
      </w:r>
      <w:r w:rsidRPr="00C11B13">
        <w:rPr>
          <w:bCs/>
          <w:lang w:val="fr-FR"/>
        </w:rPr>
        <w:t>Note du secrétariat</w:t>
      </w:r>
      <w:r w:rsidRPr="005069B5">
        <w:rPr>
          <w:rStyle w:val="Appelnotedebasdep"/>
          <w:b w:val="0"/>
          <w:sz w:val="20"/>
          <w:vertAlign w:val="baseline"/>
        </w:rPr>
        <w:footnoteReference w:customMarkFollows="1" w:id="2"/>
        <w:t>*</w:t>
      </w:r>
      <w:r w:rsidRPr="00D04216">
        <w:rPr>
          <w:b w:val="0"/>
          <w:sz w:val="20"/>
          <w:vertAlign w:val="superscript"/>
          <w:lang w:val="fr-FR"/>
        </w:rPr>
        <w:t>,</w:t>
      </w:r>
      <w:r w:rsidRPr="00D04216">
        <w:rPr>
          <w:b w:val="0"/>
          <w:sz w:val="20"/>
          <w:lang w:val="fr-FR"/>
        </w:rPr>
        <w:t xml:space="preserve"> </w:t>
      </w:r>
      <w:r w:rsidRPr="005069B5">
        <w:rPr>
          <w:rStyle w:val="Appelnotedebasdep"/>
          <w:b w:val="0"/>
          <w:bCs/>
          <w:sz w:val="20"/>
          <w:vertAlign w:val="baseline"/>
        </w:rPr>
        <w:footnoteReference w:customMarkFollows="1" w:id="3"/>
        <w:t>**</w:t>
      </w:r>
    </w:p>
    <w:p w14:paraId="03F9D253" w14:textId="32D3FAF1" w:rsidR="005069B5" w:rsidRPr="00C11B13" w:rsidRDefault="005069B5" w:rsidP="005069B5">
      <w:pPr>
        <w:pStyle w:val="HChG"/>
        <w:rPr>
          <w:lang w:val="fr-FR"/>
        </w:rPr>
      </w:pPr>
      <w:r>
        <w:rPr>
          <w:bCs/>
          <w:lang w:val="fr-FR"/>
        </w:rPr>
        <w:tab/>
      </w:r>
      <w:r w:rsidRPr="00C11B13">
        <w:rPr>
          <w:bCs/>
          <w:lang w:val="fr-FR"/>
        </w:rPr>
        <w:t>I.</w:t>
      </w:r>
      <w:r w:rsidRPr="00C11B13">
        <w:rPr>
          <w:lang w:val="fr-FR"/>
        </w:rPr>
        <w:tab/>
      </w:r>
      <w:r w:rsidRPr="005069B5">
        <w:t>Généralités</w:t>
      </w:r>
    </w:p>
    <w:p w14:paraId="22067DF7" w14:textId="20B2B944" w:rsidR="005069B5" w:rsidRPr="00C11B13" w:rsidRDefault="005069B5" w:rsidP="005069B5">
      <w:pPr>
        <w:pStyle w:val="SingleTxtG"/>
        <w:rPr>
          <w:lang w:val="fr-FR"/>
        </w:rPr>
      </w:pPr>
      <w:r w:rsidRPr="00C11B13">
        <w:rPr>
          <w:lang w:val="fr-FR"/>
        </w:rPr>
        <w:t>1.</w:t>
      </w:r>
      <w:r w:rsidRPr="00C11B13">
        <w:rPr>
          <w:lang w:val="fr-FR"/>
        </w:rPr>
        <w:tab/>
        <w:t>Le Groupe de travail spécial de l</w:t>
      </w:r>
      <w:r>
        <w:rPr>
          <w:lang w:val="fr-FR"/>
        </w:rPr>
        <w:t>’</w:t>
      </w:r>
      <w:r w:rsidRPr="00C11B13">
        <w:rPr>
          <w:lang w:val="fr-FR"/>
        </w:rPr>
        <w:t>harmonisation des Règlements RID, ADR et ADN avec les Recommandations de l</w:t>
      </w:r>
      <w:r>
        <w:rPr>
          <w:lang w:val="fr-FR"/>
        </w:rPr>
        <w:t>’</w:t>
      </w:r>
      <w:r w:rsidRPr="00C11B13">
        <w:rPr>
          <w:lang w:val="fr-FR"/>
        </w:rPr>
        <w:t>ONU relatives au transport des marchandises dangereuses s</w:t>
      </w:r>
      <w:r>
        <w:rPr>
          <w:lang w:val="fr-FR"/>
        </w:rPr>
        <w:t>’</w:t>
      </w:r>
      <w:r w:rsidRPr="00C11B13">
        <w:rPr>
          <w:lang w:val="fr-FR"/>
        </w:rPr>
        <w:t>est réuni à Genève les 26 et 27</w:t>
      </w:r>
      <w:r>
        <w:rPr>
          <w:lang w:val="fr-FR"/>
        </w:rPr>
        <w:t> </w:t>
      </w:r>
      <w:r w:rsidRPr="00C11B13">
        <w:rPr>
          <w:lang w:val="fr-FR"/>
        </w:rPr>
        <w:t>avril 2023, sous la présidence de M</w:t>
      </w:r>
      <w:r w:rsidRPr="005069B5">
        <w:rPr>
          <w:vertAlign w:val="superscript"/>
          <w:lang w:val="fr-FR"/>
        </w:rPr>
        <w:t>me</w:t>
      </w:r>
      <w:r w:rsidR="00D04216">
        <w:rPr>
          <w:lang w:val="fr-FR"/>
        </w:rPr>
        <w:t> </w:t>
      </w:r>
      <w:r w:rsidRPr="00C11B13">
        <w:rPr>
          <w:lang w:val="fr-FR"/>
        </w:rPr>
        <w:t>Garcia</w:t>
      </w:r>
      <w:r>
        <w:rPr>
          <w:lang w:val="fr-FR"/>
        </w:rPr>
        <w:t> </w:t>
      </w:r>
      <w:r w:rsidRPr="00C11B13">
        <w:rPr>
          <w:lang w:val="fr-FR"/>
        </w:rPr>
        <w:t>Wolfrum (Espagne).</w:t>
      </w:r>
    </w:p>
    <w:p w14:paraId="6E1B2EF7" w14:textId="07EE873E" w:rsidR="005069B5" w:rsidRPr="00C11B13" w:rsidRDefault="005069B5" w:rsidP="005069B5">
      <w:pPr>
        <w:pStyle w:val="SingleTxtG"/>
        <w:rPr>
          <w:lang w:val="fr-FR"/>
        </w:rPr>
      </w:pPr>
      <w:r w:rsidRPr="00C11B13">
        <w:rPr>
          <w:lang w:val="fr-FR"/>
        </w:rPr>
        <w:t>2.</w:t>
      </w:r>
      <w:r w:rsidRPr="00C11B13">
        <w:rPr>
          <w:lang w:val="fr-FR"/>
        </w:rPr>
        <w:tab/>
        <w:t>Des représentantes et représentants de l</w:t>
      </w:r>
      <w:r>
        <w:rPr>
          <w:lang w:val="fr-FR"/>
        </w:rPr>
        <w:t>’</w:t>
      </w:r>
      <w:r w:rsidRPr="00C11B13">
        <w:rPr>
          <w:lang w:val="fr-FR"/>
        </w:rPr>
        <w:t>Allemagne, de la Belgique, de l</w:t>
      </w:r>
      <w:r>
        <w:rPr>
          <w:lang w:val="fr-FR"/>
        </w:rPr>
        <w:t>’</w:t>
      </w:r>
      <w:r w:rsidRPr="00C11B13">
        <w:rPr>
          <w:lang w:val="fr-FR"/>
        </w:rPr>
        <w:t>Espagne, de</w:t>
      </w:r>
      <w:r>
        <w:rPr>
          <w:lang w:val="fr-FR"/>
        </w:rPr>
        <w:t> </w:t>
      </w:r>
      <w:r w:rsidRPr="00C11B13">
        <w:rPr>
          <w:lang w:val="fr-FR"/>
        </w:rPr>
        <w:t>la France, des Pays</w:t>
      </w:r>
      <w:r>
        <w:rPr>
          <w:lang w:val="fr-FR"/>
        </w:rPr>
        <w:noBreakHyphen/>
      </w:r>
      <w:r w:rsidRPr="00C11B13">
        <w:rPr>
          <w:lang w:val="fr-FR"/>
        </w:rPr>
        <w:t>Bas, du Royaume</w:t>
      </w:r>
      <w:r>
        <w:rPr>
          <w:lang w:val="fr-FR"/>
        </w:rPr>
        <w:noBreakHyphen/>
      </w:r>
      <w:r w:rsidRPr="00C11B13">
        <w:rPr>
          <w:lang w:val="fr-FR"/>
        </w:rPr>
        <w:t>Uni, de la Suède et de la Suisse, de la Commission centrale pour la navigation du Rhin (CCNR) et de l</w:t>
      </w:r>
      <w:r>
        <w:rPr>
          <w:lang w:val="fr-FR"/>
        </w:rPr>
        <w:t>’</w:t>
      </w:r>
      <w:r w:rsidRPr="00C11B13">
        <w:rPr>
          <w:lang w:val="fr-FR"/>
        </w:rPr>
        <w:t>Organisation intergouvernementale pour les transports internationaux ferroviaires (OTIF) ont participé à la session.</w:t>
      </w:r>
    </w:p>
    <w:p w14:paraId="23E5A973" w14:textId="440CE706" w:rsidR="005069B5" w:rsidRDefault="005069B5" w:rsidP="005069B5">
      <w:pPr>
        <w:pStyle w:val="SingleTxtG"/>
        <w:rPr>
          <w:lang w:val="fr-FR"/>
        </w:rPr>
      </w:pPr>
      <w:r w:rsidRPr="00C11B13">
        <w:rPr>
          <w:lang w:val="fr-FR"/>
        </w:rPr>
        <w:t>3.</w:t>
      </w:r>
      <w:r w:rsidRPr="00C11B13">
        <w:rPr>
          <w:lang w:val="fr-FR"/>
        </w:rPr>
        <w:tab/>
        <w:t>La session s</w:t>
      </w:r>
      <w:r>
        <w:rPr>
          <w:lang w:val="fr-FR"/>
        </w:rPr>
        <w:t>’</w:t>
      </w:r>
      <w:r w:rsidRPr="00C11B13">
        <w:rPr>
          <w:lang w:val="fr-FR"/>
        </w:rPr>
        <w:t>est tenue en anglais, sans interprétation. Les documents de session ont été publiés en tant que documents informels et mis en ligne sur le site Web de la Division des transports durables de la CEE sous les cotes suivantes</w:t>
      </w:r>
      <w:r>
        <w:rPr>
          <w:lang w:val="fr-FR"/>
        </w:rPr>
        <w:t> :</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969"/>
        <w:gridCol w:w="3402"/>
      </w:tblGrid>
      <w:tr w:rsidR="0049501D" w:rsidRPr="0049501D" w14:paraId="451A071D" w14:textId="77777777" w:rsidTr="00D3162F">
        <w:tc>
          <w:tcPr>
            <w:tcW w:w="3969" w:type="dxa"/>
            <w:shd w:val="clear" w:color="auto" w:fill="auto"/>
          </w:tcPr>
          <w:p w14:paraId="05D57C37" w14:textId="2870F3EB" w:rsidR="0049501D" w:rsidRPr="0049501D" w:rsidRDefault="0049501D" w:rsidP="00217B18">
            <w:pPr>
              <w:keepNext/>
              <w:keepLines/>
              <w:spacing w:before="60" w:after="60" w:line="220" w:lineRule="exact"/>
              <w:jc w:val="both"/>
              <w:rPr>
                <w:sz w:val="18"/>
                <w:lang w:val="en-US"/>
              </w:rPr>
            </w:pPr>
            <w:r w:rsidRPr="0049501D">
              <w:rPr>
                <w:lang w:val="en-US"/>
              </w:rPr>
              <w:lastRenderedPageBreak/>
              <w:t>ECE/TRANS/WP.15/AC.1/HAR/11</w:t>
            </w:r>
          </w:p>
        </w:tc>
        <w:tc>
          <w:tcPr>
            <w:tcW w:w="3402" w:type="dxa"/>
            <w:shd w:val="clear" w:color="auto" w:fill="auto"/>
          </w:tcPr>
          <w:p w14:paraId="6A0B0DB7" w14:textId="671586FE" w:rsidR="0049501D" w:rsidRPr="0049501D" w:rsidRDefault="0049501D" w:rsidP="00217B18">
            <w:pPr>
              <w:keepNext/>
              <w:keepLines/>
              <w:spacing w:before="60" w:after="60" w:line="220" w:lineRule="exact"/>
              <w:rPr>
                <w:sz w:val="18"/>
              </w:rPr>
            </w:pPr>
            <w:r w:rsidRPr="00C11B13">
              <w:rPr>
                <w:lang w:val="fr-FR"/>
              </w:rPr>
              <w:t xml:space="preserve">Provisional agenda for the eleventh session (Secretariat) </w:t>
            </w:r>
            <w:r w:rsidR="00217B18">
              <w:rPr>
                <w:lang w:val="fr-FR"/>
              </w:rPr>
              <w:br/>
            </w:r>
            <w:r w:rsidRPr="00C11B13">
              <w:rPr>
                <w:lang w:val="fr-FR"/>
              </w:rPr>
              <w:t>(Ordre du jour provisoire de la onzième session (secrétariat)</w:t>
            </w:r>
            <w:r w:rsidR="00217B18">
              <w:rPr>
                <w:lang w:val="fr-FR"/>
              </w:rPr>
              <w:t>)</w:t>
            </w:r>
          </w:p>
        </w:tc>
      </w:tr>
      <w:tr w:rsidR="0049501D" w:rsidRPr="00423EEF" w14:paraId="1EBDDD4B" w14:textId="77777777" w:rsidTr="00D3162F">
        <w:tc>
          <w:tcPr>
            <w:tcW w:w="3969" w:type="dxa"/>
            <w:shd w:val="clear" w:color="auto" w:fill="auto"/>
          </w:tcPr>
          <w:p w14:paraId="128FB104" w14:textId="13CFF1D3" w:rsidR="0049501D" w:rsidRPr="0049501D" w:rsidRDefault="0049501D" w:rsidP="00217B18">
            <w:pPr>
              <w:keepNext/>
              <w:keepLines/>
              <w:spacing w:before="60" w:after="60" w:line="220" w:lineRule="exact"/>
              <w:rPr>
                <w:sz w:val="18"/>
                <w:lang w:val="en-US"/>
              </w:rPr>
            </w:pPr>
            <w:r w:rsidRPr="0049501D">
              <w:rPr>
                <w:lang w:val="en-US"/>
              </w:rPr>
              <w:t>ECE/TRANS/WP.15/AC.1/HAR/2023/1</w:t>
            </w:r>
          </w:p>
        </w:tc>
        <w:tc>
          <w:tcPr>
            <w:tcW w:w="3402" w:type="dxa"/>
            <w:shd w:val="clear" w:color="auto" w:fill="auto"/>
          </w:tcPr>
          <w:p w14:paraId="2D8692E3" w14:textId="2FA60519" w:rsidR="0049501D" w:rsidRPr="0049501D" w:rsidRDefault="0049501D" w:rsidP="00217B18">
            <w:pPr>
              <w:keepNext/>
              <w:keepLines/>
              <w:spacing w:before="60" w:after="60" w:line="220" w:lineRule="exact"/>
              <w:rPr>
                <w:sz w:val="18"/>
                <w:lang w:val="en-US"/>
              </w:rPr>
            </w:pPr>
            <w:r w:rsidRPr="0049501D">
              <w:rPr>
                <w:lang w:val="en-US"/>
              </w:rPr>
              <w:t>Harmonization with the United</w:t>
            </w:r>
            <w:r w:rsidR="00217B18">
              <w:rPr>
                <w:lang w:val="en-US"/>
              </w:rPr>
              <w:t> </w:t>
            </w:r>
            <w:r w:rsidRPr="0049501D">
              <w:rPr>
                <w:lang w:val="en-US"/>
              </w:rPr>
              <w:t xml:space="preserve">Nations Model Regulations on the Transport of Dangerous Goods (Secretariat) </w:t>
            </w:r>
            <w:r w:rsidR="00217B18">
              <w:rPr>
                <w:lang w:val="en-US"/>
              </w:rPr>
              <w:br/>
            </w:r>
            <w:r w:rsidRPr="0049501D">
              <w:rPr>
                <w:lang w:val="en-US"/>
              </w:rPr>
              <w:t>(Harmonisation avec le Règlement type de l’ONU pour le transport des marchandises dangereuses (secrétariat))</w:t>
            </w:r>
          </w:p>
        </w:tc>
      </w:tr>
      <w:tr w:rsidR="0049501D" w:rsidRPr="0049501D" w14:paraId="08D7A778" w14:textId="77777777" w:rsidTr="00D3162F">
        <w:tc>
          <w:tcPr>
            <w:tcW w:w="3969" w:type="dxa"/>
            <w:shd w:val="clear" w:color="auto" w:fill="auto"/>
          </w:tcPr>
          <w:p w14:paraId="74DF3D04" w14:textId="20539F12" w:rsidR="0049501D" w:rsidRPr="0049501D" w:rsidRDefault="0049501D" w:rsidP="00217B18">
            <w:pPr>
              <w:keepNext/>
              <w:keepLines/>
              <w:spacing w:before="60" w:after="60" w:line="220" w:lineRule="exact"/>
              <w:rPr>
                <w:sz w:val="18"/>
                <w:lang w:val="en-US"/>
              </w:rPr>
            </w:pPr>
            <w:r w:rsidRPr="0049501D">
              <w:rPr>
                <w:lang w:val="en-US"/>
              </w:rPr>
              <w:t>ECE/TRANS/WP.15/AC.1/HAR/2023/2/Rev.1</w:t>
            </w:r>
          </w:p>
        </w:tc>
        <w:tc>
          <w:tcPr>
            <w:tcW w:w="3402" w:type="dxa"/>
            <w:shd w:val="clear" w:color="auto" w:fill="auto"/>
          </w:tcPr>
          <w:p w14:paraId="3334BA31" w14:textId="4822CFA7" w:rsidR="0049501D" w:rsidRPr="0049501D" w:rsidRDefault="0049501D" w:rsidP="00217B18">
            <w:pPr>
              <w:keepNext/>
              <w:keepLines/>
              <w:spacing w:before="60" w:after="60" w:line="220" w:lineRule="exact"/>
              <w:rPr>
                <w:sz w:val="18"/>
              </w:rPr>
            </w:pPr>
            <w:r w:rsidRPr="00C11B13">
              <w:rPr>
                <w:lang w:val="fr-FR"/>
              </w:rPr>
              <w:t>Articles and packing groups (Spain) (Objets et groupes d</w:t>
            </w:r>
            <w:r>
              <w:rPr>
                <w:lang w:val="fr-FR"/>
              </w:rPr>
              <w:t>’</w:t>
            </w:r>
            <w:r w:rsidRPr="00C11B13">
              <w:rPr>
                <w:lang w:val="fr-FR"/>
              </w:rPr>
              <w:t>emballage (Espagne))</w:t>
            </w:r>
          </w:p>
        </w:tc>
      </w:tr>
      <w:tr w:rsidR="0049501D" w:rsidRPr="0049501D" w14:paraId="2B526191" w14:textId="77777777" w:rsidTr="00D3162F">
        <w:tc>
          <w:tcPr>
            <w:tcW w:w="3969" w:type="dxa"/>
            <w:shd w:val="clear" w:color="auto" w:fill="auto"/>
          </w:tcPr>
          <w:p w14:paraId="54406CE0" w14:textId="7CE8C646" w:rsidR="0049501D" w:rsidRPr="0049501D" w:rsidRDefault="0049501D" w:rsidP="00217B18">
            <w:pPr>
              <w:keepNext/>
              <w:keepLines/>
              <w:spacing w:before="60" w:after="60" w:line="220" w:lineRule="exact"/>
              <w:rPr>
                <w:sz w:val="18"/>
                <w:lang w:val="en-US"/>
              </w:rPr>
            </w:pPr>
            <w:r w:rsidRPr="0049501D">
              <w:rPr>
                <w:lang w:val="en-US"/>
              </w:rPr>
              <w:t>ECE/TRANS/WP.15/AC.1/HAR/2023/3/Rev.1</w:t>
            </w:r>
          </w:p>
        </w:tc>
        <w:tc>
          <w:tcPr>
            <w:tcW w:w="3402" w:type="dxa"/>
            <w:shd w:val="clear" w:color="auto" w:fill="auto"/>
          </w:tcPr>
          <w:p w14:paraId="469DB5C0" w14:textId="6E6AF7A1" w:rsidR="0049501D" w:rsidRPr="0049501D" w:rsidRDefault="0049501D" w:rsidP="00217B18">
            <w:pPr>
              <w:keepNext/>
              <w:keepLines/>
              <w:spacing w:before="60" w:after="60" w:line="220" w:lineRule="exact"/>
              <w:rPr>
                <w:sz w:val="18"/>
              </w:rPr>
            </w:pPr>
            <w:r w:rsidRPr="00C11B13">
              <w:rPr>
                <w:lang w:val="fr-FR"/>
              </w:rPr>
              <w:t xml:space="preserve">Degree of filling and filling ratio (Spain) </w:t>
            </w:r>
            <w:r w:rsidR="000432BD">
              <w:rPr>
                <w:lang w:val="fr-FR"/>
              </w:rPr>
              <w:br/>
            </w:r>
            <w:r w:rsidRPr="00C11B13">
              <w:rPr>
                <w:lang w:val="fr-FR"/>
              </w:rPr>
              <w:t>(Degré de remplissage et taux de</w:t>
            </w:r>
            <w:r w:rsidR="000432BD">
              <w:rPr>
                <w:lang w:val="fr-FR"/>
              </w:rPr>
              <w:t> </w:t>
            </w:r>
            <w:r w:rsidRPr="00C11B13">
              <w:rPr>
                <w:lang w:val="fr-FR"/>
              </w:rPr>
              <w:t>remplissage (Espagne))</w:t>
            </w:r>
          </w:p>
        </w:tc>
      </w:tr>
      <w:tr w:rsidR="0049501D" w:rsidRPr="0049501D" w14:paraId="6594292F" w14:textId="77777777" w:rsidTr="00D3162F">
        <w:tc>
          <w:tcPr>
            <w:tcW w:w="3969" w:type="dxa"/>
            <w:shd w:val="clear" w:color="auto" w:fill="auto"/>
          </w:tcPr>
          <w:p w14:paraId="1275B0D9" w14:textId="5988BB89" w:rsidR="0049501D" w:rsidRPr="0049501D" w:rsidRDefault="0049501D" w:rsidP="00217B18">
            <w:pPr>
              <w:keepNext/>
              <w:keepLines/>
              <w:spacing w:before="60" w:after="60" w:line="220" w:lineRule="exact"/>
              <w:rPr>
                <w:sz w:val="18"/>
                <w:lang w:val="en-US"/>
              </w:rPr>
            </w:pPr>
            <w:r w:rsidRPr="0049501D">
              <w:rPr>
                <w:lang w:val="en-US"/>
              </w:rPr>
              <w:t>ECE/TRANS/WP.15/AC.1/HAR/2023/4</w:t>
            </w:r>
          </w:p>
        </w:tc>
        <w:tc>
          <w:tcPr>
            <w:tcW w:w="3402" w:type="dxa"/>
            <w:shd w:val="clear" w:color="auto" w:fill="auto"/>
          </w:tcPr>
          <w:p w14:paraId="480E3F03" w14:textId="7D37A9BA" w:rsidR="0049501D" w:rsidRPr="0049501D" w:rsidRDefault="0049501D" w:rsidP="00217B18">
            <w:pPr>
              <w:keepNext/>
              <w:keepLines/>
              <w:spacing w:before="60" w:after="60" w:line="220" w:lineRule="exact"/>
              <w:rPr>
                <w:sz w:val="18"/>
              </w:rPr>
            </w:pPr>
            <w:r w:rsidRPr="00C11B13">
              <w:rPr>
                <w:lang w:val="fr-FR"/>
              </w:rPr>
              <w:t>Harmonization with the United Nations Model Regulations on the Transport of Dangerous Goods</w:t>
            </w:r>
            <w:r w:rsidR="00D3162F">
              <w:rPr>
                <w:lang w:val="fr-FR"/>
              </w:rPr>
              <w:t> − </w:t>
            </w:r>
            <w:r w:rsidRPr="00C11B13">
              <w:rPr>
                <w:lang w:val="fr-FR"/>
              </w:rPr>
              <w:t xml:space="preserve">Comments on ECE/TRANS/WP.15/AC.1/HAR/2023/1 (Sweden) </w:t>
            </w:r>
            <w:r w:rsidR="000432BD">
              <w:rPr>
                <w:lang w:val="fr-FR"/>
              </w:rPr>
              <w:br/>
            </w:r>
            <w:r w:rsidRPr="00C11B13">
              <w:rPr>
                <w:lang w:val="fr-FR"/>
              </w:rPr>
              <w:t>(Harmonisation avec le Règlement type de l</w:t>
            </w:r>
            <w:r>
              <w:rPr>
                <w:lang w:val="fr-FR"/>
              </w:rPr>
              <w:t>’</w:t>
            </w:r>
            <w:r w:rsidRPr="00C11B13">
              <w:rPr>
                <w:lang w:val="fr-FR"/>
              </w:rPr>
              <w:t>ONU pour le transport des marchandises dangereuses</w:t>
            </w:r>
            <w:r w:rsidR="00D3162F">
              <w:rPr>
                <w:lang w:val="fr-FR"/>
              </w:rPr>
              <w:t> − </w:t>
            </w:r>
            <w:r w:rsidRPr="00C11B13">
              <w:rPr>
                <w:lang w:val="fr-FR"/>
              </w:rPr>
              <w:t>Observations portant sur le document ECE/TRANS/WP.15/AC.1/HAR/2023/1 (Suède))</w:t>
            </w:r>
          </w:p>
        </w:tc>
      </w:tr>
      <w:tr w:rsidR="0049501D" w:rsidRPr="0049501D" w14:paraId="17D9E914" w14:textId="77777777" w:rsidTr="00D3162F">
        <w:tc>
          <w:tcPr>
            <w:tcW w:w="3969" w:type="dxa"/>
            <w:shd w:val="clear" w:color="auto" w:fill="auto"/>
          </w:tcPr>
          <w:p w14:paraId="7FFCDAC5" w14:textId="16636456" w:rsidR="0049501D" w:rsidRPr="0049501D" w:rsidRDefault="0049501D" w:rsidP="00217B18">
            <w:pPr>
              <w:keepNext/>
              <w:keepLines/>
              <w:spacing w:before="60" w:after="60" w:line="220" w:lineRule="exact"/>
              <w:rPr>
                <w:sz w:val="18"/>
              </w:rPr>
            </w:pPr>
            <w:r w:rsidRPr="00C11B13">
              <w:rPr>
                <w:lang w:val="fr-FR"/>
              </w:rPr>
              <w:t>Document informel</w:t>
            </w:r>
            <w:r w:rsidR="00553B75">
              <w:rPr>
                <w:lang w:val="fr-FR"/>
              </w:rPr>
              <w:t> </w:t>
            </w:r>
            <w:r w:rsidRPr="00C11B13">
              <w:rPr>
                <w:lang w:val="fr-FR"/>
              </w:rPr>
              <w:t>INF.11 de la session de printemps 2023 de la Réunion commune</w:t>
            </w:r>
          </w:p>
        </w:tc>
        <w:tc>
          <w:tcPr>
            <w:tcW w:w="3402" w:type="dxa"/>
            <w:shd w:val="clear" w:color="auto" w:fill="auto"/>
          </w:tcPr>
          <w:p w14:paraId="2261AA95" w14:textId="7F1C0042" w:rsidR="0049501D" w:rsidRPr="0049501D" w:rsidRDefault="0049501D" w:rsidP="00217B18">
            <w:pPr>
              <w:keepNext/>
              <w:keepLines/>
              <w:spacing w:before="60" w:after="60" w:line="220" w:lineRule="exact"/>
              <w:rPr>
                <w:sz w:val="18"/>
              </w:rPr>
            </w:pPr>
            <w:r w:rsidRPr="00C11B13">
              <w:rPr>
                <w:lang w:val="fr-FR"/>
              </w:rPr>
              <w:t xml:space="preserve">Interpretation of capacity to determine the maximum degree of filling according to 4.1.1.4 (Belgium) </w:t>
            </w:r>
            <w:r w:rsidR="00D3162F">
              <w:rPr>
                <w:lang w:val="fr-FR"/>
              </w:rPr>
              <w:br/>
            </w:r>
            <w:r w:rsidRPr="00C11B13">
              <w:rPr>
                <w:lang w:val="fr-FR"/>
              </w:rPr>
              <w:t>(Interprétation du terme «</w:t>
            </w:r>
            <w:r w:rsidR="00D3162F">
              <w:rPr>
                <w:lang w:val="fr-FR"/>
              </w:rPr>
              <w:t> </w:t>
            </w:r>
            <w:r w:rsidRPr="00C11B13">
              <w:rPr>
                <w:lang w:val="fr-FR"/>
              </w:rPr>
              <w:t>contenance</w:t>
            </w:r>
            <w:r w:rsidR="00D3162F">
              <w:rPr>
                <w:lang w:val="fr-FR"/>
              </w:rPr>
              <w:t> </w:t>
            </w:r>
            <w:r w:rsidRPr="00C11B13">
              <w:rPr>
                <w:lang w:val="fr-FR"/>
              </w:rPr>
              <w:t>» aux fins de la détermination du taux de remplissage maximal conformément au</w:t>
            </w:r>
            <w:r w:rsidR="00D04216">
              <w:rPr>
                <w:lang w:val="fr-FR"/>
              </w:rPr>
              <w:t> </w:t>
            </w:r>
            <w:r w:rsidRPr="00C11B13">
              <w:rPr>
                <w:lang w:val="fr-FR"/>
              </w:rPr>
              <w:t>4.1.1.4 (Belgique))</w:t>
            </w:r>
          </w:p>
        </w:tc>
      </w:tr>
    </w:tbl>
    <w:p w14:paraId="0AAE3396" w14:textId="18FB40A3" w:rsidR="005069B5" w:rsidRPr="00C11B13" w:rsidRDefault="005069B5" w:rsidP="00217B18">
      <w:pPr>
        <w:pStyle w:val="SingleTxtG"/>
        <w:spacing w:before="240"/>
        <w:rPr>
          <w:lang w:val="fr-FR"/>
        </w:rPr>
      </w:pPr>
      <w:r w:rsidRPr="00C11B13">
        <w:rPr>
          <w:lang w:val="fr-FR"/>
        </w:rPr>
        <w:t>4.</w:t>
      </w:r>
      <w:r w:rsidRPr="00C11B13">
        <w:rPr>
          <w:lang w:val="fr-FR"/>
        </w:rPr>
        <w:tab/>
        <w:t xml:space="preserve">Les documents de référence de la session étaient le </w:t>
      </w:r>
      <w:r w:rsidR="00887494">
        <w:rPr>
          <w:lang w:val="fr-FR"/>
        </w:rPr>
        <w:t>R</w:t>
      </w:r>
      <w:r w:rsidRPr="00C11B13">
        <w:rPr>
          <w:lang w:val="fr-FR"/>
        </w:rPr>
        <w:t>apport du Comité d</w:t>
      </w:r>
      <w:r>
        <w:rPr>
          <w:lang w:val="fr-FR"/>
        </w:rPr>
        <w:t>’</w:t>
      </w:r>
      <w:r w:rsidRPr="00C11B13">
        <w:rPr>
          <w:lang w:val="fr-FR"/>
        </w:rPr>
        <w:t>experts du transport des marchandises dangereuses et du Système général harmonisé de classification et d</w:t>
      </w:r>
      <w:r>
        <w:rPr>
          <w:lang w:val="fr-FR"/>
        </w:rPr>
        <w:t>’</w:t>
      </w:r>
      <w:r w:rsidRPr="00C11B13">
        <w:rPr>
          <w:lang w:val="fr-FR"/>
        </w:rPr>
        <w:t>étiquetage des produits chimiques (organe qui relève du Conseil économique et social de l</w:t>
      </w:r>
      <w:r>
        <w:rPr>
          <w:lang w:val="fr-FR"/>
        </w:rPr>
        <w:t>’</w:t>
      </w:r>
      <w:r w:rsidRPr="00C11B13">
        <w:rPr>
          <w:lang w:val="fr-FR"/>
        </w:rPr>
        <w:t>ONU) et ses annexes, distribués par le secrétariat sous les cotes</w:t>
      </w:r>
      <w:r w:rsidR="009A4B32">
        <w:rPr>
          <w:lang w:val="fr-FR"/>
        </w:rPr>
        <w:t> </w:t>
      </w:r>
      <w:r w:rsidRPr="00C11B13">
        <w:rPr>
          <w:lang w:val="fr-FR"/>
        </w:rPr>
        <w:t>ST/SG/AC.10/50 et Add.1</w:t>
      </w:r>
      <w:r w:rsidR="009A4B32">
        <w:rPr>
          <w:lang w:val="fr-FR"/>
        </w:rPr>
        <w:t> </w:t>
      </w:r>
      <w:r w:rsidRPr="00C11B13">
        <w:rPr>
          <w:lang w:val="fr-FR"/>
        </w:rPr>
        <w:t>à</w:t>
      </w:r>
      <w:r w:rsidR="009A4B32">
        <w:rPr>
          <w:lang w:val="fr-FR"/>
        </w:rPr>
        <w:t> </w:t>
      </w:r>
      <w:r w:rsidRPr="00C11B13">
        <w:rPr>
          <w:lang w:val="fr-FR"/>
        </w:rPr>
        <w:t>3.</w:t>
      </w:r>
    </w:p>
    <w:p w14:paraId="57FDB9FD" w14:textId="77777777" w:rsidR="005069B5" w:rsidRPr="00D04216" w:rsidRDefault="005069B5" w:rsidP="005069B5">
      <w:pPr>
        <w:pStyle w:val="SingleTxtG"/>
        <w:rPr>
          <w:spacing w:val="-1"/>
          <w:lang w:val="fr-FR"/>
        </w:rPr>
      </w:pPr>
      <w:r w:rsidRPr="00D04216">
        <w:rPr>
          <w:spacing w:val="-1"/>
          <w:lang w:val="fr-FR"/>
        </w:rPr>
        <w:t>5.</w:t>
      </w:r>
      <w:r w:rsidRPr="00D04216">
        <w:rPr>
          <w:spacing w:val="-1"/>
          <w:lang w:val="fr-FR"/>
        </w:rPr>
        <w:tab/>
        <w:t>Le Groupe de travail spécial a adopté l’ordre du jour provisoire établi par le secrétariat.</w:t>
      </w:r>
    </w:p>
    <w:p w14:paraId="3BD4F71A" w14:textId="1F0F4854" w:rsidR="005069B5" w:rsidRPr="00C11B13" w:rsidRDefault="009A4B32" w:rsidP="009A4B32">
      <w:pPr>
        <w:pStyle w:val="HChG"/>
        <w:rPr>
          <w:lang w:val="fr-FR"/>
        </w:rPr>
      </w:pPr>
      <w:r>
        <w:rPr>
          <w:bCs/>
          <w:lang w:val="fr-FR"/>
        </w:rPr>
        <w:tab/>
      </w:r>
      <w:r w:rsidR="005069B5" w:rsidRPr="00C11B13">
        <w:rPr>
          <w:bCs/>
          <w:lang w:val="fr-FR"/>
        </w:rPr>
        <w:t>II.</w:t>
      </w:r>
      <w:r w:rsidR="005069B5" w:rsidRPr="00C11B13">
        <w:rPr>
          <w:lang w:val="fr-FR"/>
        </w:rPr>
        <w:tab/>
      </w:r>
      <w:r w:rsidR="005069B5" w:rsidRPr="00C11B13">
        <w:rPr>
          <w:bCs/>
          <w:lang w:val="fr-FR"/>
        </w:rPr>
        <w:t>Harmonisation du RID, de l</w:t>
      </w:r>
      <w:r w:rsidR="005069B5">
        <w:rPr>
          <w:bCs/>
          <w:lang w:val="fr-FR"/>
        </w:rPr>
        <w:t>’</w:t>
      </w:r>
      <w:r w:rsidR="005069B5" w:rsidRPr="00C11B13">
        <w:rPr>
          <w:bCs/>
          <w:lang w:val="fr-FR"/>
        </w:rPr>
        <w:t>ADR et de l</w:t>
      </w:r>
      <w:r w:rsidR="005069B5">
        <w:rPr>
          <w:bCs/>
          <w:lang w:val="fr-FR"/>
        </w:rPr>
        <w:t>’</w:t>
      </w:r>
      <w:r w:rsidR="005069B5" w:rsidRPr="00C11B13">
        <w:rPr>
          <w:bCs/>
          <w:lang w:val="fr-FR"/>
        </w:rPr>
        <w:t xml:space="preserve">ADN avec </w:t>
      </w:r>
      <w:r>
        <w:rPr>
          <w:bCs/>
          <w:lang w:val="fr-FR"/>
        </w:rPr>
        <w:br/>
      </w:r>
      <w:r w:rsidR="005069B5" w:rsidRPr="00C11B13">
        <w:rPr>
          <w:bCs/>
          <w:lang w:val="fr-FR"/>
        </w:rPr>
        <w:t>les Recommandations de l</w:t>
      </w:r>
      <w:r w:rsidR="005069B5">
        <w:rPr>
          <w:bCs/>
          <w:lang w:val="fr-FR"/>
        </w:rPr>
        <w:t>’</w:t>
      </w:r>
      <w:r w:rsidR="005069B5" w:rsidRPr="00C11B13">
        <w:rPr>
          <w:bCs/>
          <w:lang w:val="fr-FR"/>
        </w:rPr>
        <w:t xml:space="preserve">ONU relatives au transport </w:t>
      </w:r>
      <w:r>
        <w:rPr>
          <w:bCs/>
          <w:lang w:val="fr-FR"/>
        </w:rPr>
        <w:br/>
      </w:r>
      <w:r w:rsidR="005069B5" w:rsidRPr="00C11B13">
        <w:rPr>
          <w:bCs/>
          <w:lang w:val="fr-FR"/>
        </w:rPr>
        <w:t>des marchandises dangereuses (Règlement type)</w:t>
      </w:r>
    </w:p>
    <w:p w14:paraId="74187244" w14:textId="74844DC1" w:rsidR="005069B5" w:rsidRPr="00C11B13" w:rsidRDefault="005069B5" w:rsidP="005069B5">
      <w:pPr>
        <w:pStyle w:val="SingleTxtG"/>
        <w:rPr>
          <w:lang w:val="fr-FR"/>
        </w:rPr>
      </w:pPr>
      <w:r w:rsidRPr="00C11B13">
        <w:rPr>
          <w:lang w:val="fr-FR"/>
        </w:rPr>
        <w:t>6.</w:t>
      </w:r>
      <w:r w:rsidRPr="00C11B13">
        <w:rPr>
          <w:lang w:val="fr-FR"/>
        </w:rPr>
        <w:tab/>
        <w:t>Le Groupe de travail spécial (ci-après dénommé «</w:t>
      </w:r>
      <w:r w:rsidR="009A4B32">
        <w:rPr>
          <w:lang w:val="fr-FR"/>
        </w:rPr>
        <w:t> </w:t>
      </w:r>
      <w:r w:rsidRPr="00C11B13">
        <w:rPr>
          <w:lang w:val="fr-FR"/>
        </w:rPr>
        <w:t>Groupe de travail</w:t>
      </w:r>
      <w:r w:rsidR="009A4B32">
        <w:rPr>
          <w:lang w:val="fr-FR"/>
        </w:rPr>
        <w:t> </w:t>
      </w:r>
      <w:r w:rsidRPr="00C11B13">
        <w:rPr>
          <w:lang w:val="fr-FR"/>
        </w:rPr>
        <w:t>») a examiné les propositions d</w:t>
      </w:r>
      <w:r>
        <w:rPr>
          <w:lang w:val="fr-FR"/>
        </w:rPr>
        <w:t>’</w:t>
      </w:r>
      <w:r w:rsidRPr="00C11B13">
        <w:rPr>
          <w:lang w:val="fr-FR"/>
        </w:rPr>
        <w:t>amendements et les observations répertoriées dans les documents ECE/TRANS/WP.15/AC.1/HAR/2023/1 à ECE/TRANS/WP.15/AC.1/HAR/2023/4. Les</w:t>
      </w:r>
      <w:r w:rsidR="009A4B32">
        <w:rPr>
          <w:lang w:val="fr-FR"/>
        </w:rPr>
        <w:t> </w:t>
      </w:r>
      <w:r w:rsidRPr="00C11B13">
        <w:rPr>
          <w:lang w:val="fr-FR"/>
        </w:rPr>
        <w:t>amendements qu</w:t>
      </w:r>
      <w:r>
        <w:rPr>
          <w:lang w:val="fr-FR"/>
        </w:rPr>
        <w:t>’</w:t>
      </w:r>
      <w:r w:rsidRPr="00C11B13">
        <w:rPr>
          <w:lang w:val="fr-FR"/>
        </w:rPr>
        <w:t>il propose figurent dans l</w:t>
      </w:r>
      <w:r>
        <w:rPr>
          <w:lang w:val="fr-FR"/>
        </w:rPr>
        <w:t>’</w:t>
      </w:r>
      <w:r w:rsidRPr="00C11B13">
        <w:rPr>
          <w:lang w:val="fr-FR"/>
        </w:rPr>
        <w:t>additif au présent rapport (ECE/TRANS/WP.15/AC.1/2023/23/Add.1). Certains libellés ont été mis entre crochets dans l</w:t>
      </w:r>
      <w:r>
        <w:rPr>
          <w:lang w:val="fr-FR"/>
        </w:rPr>
        <w:t>’</w:t>
      </w:r>
      <w:r w:rsidRPr="00C11B13">
        <w:rPr>
          <w:lang w:val="fr-FR"/>
        </w:rPr>
        <w:t>attente d</w:t>
      </w:r>
      <w:r>
        <w:rPr>
          <w:lang w:val="fr-FR"/>
        </w:rPr>
        <w:t>’</w:t>
      </w:r>
      <w:r w:rsidRPr="00C11B13">
        <w:rPr>
          <w:lang w:val="fr-FR"/>
        </w:rPr>
        <w:t>une décision de la Réunion commune ou d</w:t>
      </w:r>
      <w:r>
        <w:rPr>
          <w:lang w:val="fr-FR"/>
        </w:rPr>
        <w:t>’</w:t>
      </w:r>
      <w:r w:rsidRPr="00C11B13">
        <w:rPr>
          <w:lang w:val="fr-FR"/>
        </w:rPr>
        <w:t>observations de la part d</w:t>
      </w:r>
      <w:r>
        <w:rPr>
          <w:lang w:val="fr-FR"/>
        </w:rPr>
        <w:t>’</w:t>
      </w:r>
      <w:r w:rsidRPr="00C11B13">
        <w:rPr>
          <w:lang w:val="fr-FR"/>
        </w:rPr>
        <w:t>autres organes intergouvernementaux.</w:t>
      </w:r>
    </w:p>
    <w:p w14:paraId="68E48207" w14:textId="5A1687DD" w:rsidR="005069B5" w:rsidRPr="00C11B13" w:rsidRDefault="005069B5" w:rsidP="005069B5">
      <w:pPr>
        <w:pStyle w:val="SingleTxtG"/>
        <w:rPr>
          <w:lang w:val="fr-FR"/>
        </w:rPr>
      </w:pPr>
      <w:r w:rsidRPr="00C11B13">
        <w:rPr>
          <w:lang w:val="fr-FR"/>
        </w:rPr>
        <w:t>7.</w:t>
      </w:r>
      <w:r w:rsidRPr="00C11B13">
        <w:rPr>
          <w:lang w:val="fr-FR"/>
        </w:rPr>
        <w:tab/>
        <w:t>Le Groupe de travail a décidé de porter les observations ci-dessous, qui visent à justifier certaines des recommandations qu</w:t>
      </w:r>
      <w:r>
        <w:rPr>
          <w:lang w:val="fr-FR"/>
        </w:rPr>
        <w:t>’</w:t>
      </w:r>
      <w:r w:rsidRPr="00C11B13">
        <w:rPr>
          <w:lang w:val="fr-FR"/>
        </w:rPr>
        <w:t>il a formulées, à l</w:t>
      </w:r>
      <w:r>
        <w:rPr>
          <w:lang w:val="fr-FR"/>
        </w:rPr>
        <w:t>’</w:t>
      </w:r>
      <w:r w:rsidRPr="00C11B13">
        <w:rPr>
          <w:lang w:val="fr-FR"/>
        </w:rPr>
        <w:t>attention de la Réunion commune ou du Sous</w:t>
      </w:r>
      <w:r w:rsidR="00887494">
        <w:rPr>
          <w:lang w:val="fr-FR"/>
        </w:rPr>
        <w:noBreakHyphen/>
      </w:r>
      <w:r w:rsidRPr="00C11B13">
        <w:rPr>
          <w:lang w:val="fr-FR"/>
        </w:rPr>
        <w:t>Comité d</w:t>
      </w:r>
      <w:r>
        <w:rPr>
          <w:lang w:val="fr-FR"/>
        </w:rPr>
        <w:t>’</w:t>
      </w:r>
      <w:r w:rsidRPr="00C11B13">
        <w:rPr>
          <w:lang w:val="fr-FR"/>
        </w:rPr>
        <w:t xml:space="preserve">experts du transport des marchandises dangereuses </w:t>
      </w:r>
      <w:r w:rsidRPr="00C11B13">
        <w:rPr>
          <w:lang w:val="fr-FR"/>
        </w:rPr>
        <w:lastRenderedPageBreak/>
        <w:t>(Sous</w:t>
      </w:r>
      <w:r w:rsidR="00EF0A73">
        <w:rPr>
          <w:lang w:val="fr-FR"/>
        </w:rPr>
        <w:noBreakHyphen/>
      </w:r>
      <w:r w:rsidRPr="00C11B13">
        <w:rPr>
          <w:lang w:val="fr-FR"/>
        </w:rPr>
        <w:t>Comité TMD), selon qu</w:t>
      </w:r>
      <w:r>
        <w:rPr>
          <w:lang w:val="fr-FR"/>
        </w:rPr>
        <w:t>’</w:t>
      </w:r>
      <w:r w:rsidRPr="00C11B13">
        <w:rPr>
          <w:lang w:val="fr-FR"/>
        </w:rPr>
        <w:t>il conviendra (ECE/TRANS/WP.15/AC.1/2023/23/Add.1, document informel INF.13 de la soixante</w:t>
      </w:r>
      <w:r w:rsidR="00EF0A73">
        <w:rPr>
          <w:lang w:val="fr-FR"/>
        </w:rPr>
        <w:noBreakHyphen/>
      </w:r>
      <w:r w:rsidRPr="00C11B13">
        <w:rPr>
          <w:lang w:val="fr-FR"/>
        </w:rPr>
        <w:t>deuxième</w:t>
      </w:r>
      <w:r w:rsidR="00EF0A73">
        <w:rPr>
          <w:lang w:val="fr-FR"/>
        </w:rPr>
        <w:t> </w:t>
      </w:r>
      <w:r w:rsidRPr="00C11B13">
        <w:rPr>
          <w:lang w:val="fr-FR"/>
        </w:rPr>
        <w:t>session du Sous</w:t>
      </w:r>
      <w:r w:rsidR="00EF0A73">
        <w:rPr>
          <w:lang w:val="fr-FR"/>
        </w:rPr>
        <w:noBreakHyphen/>
      </w:r>
      <w:r w:rsidRPr="00C11B13">
        <w:rPr>
          <w:lang w:val="fr-FR"/>
        </w:rPr>
        <w:t>Comité TMD</w:t>
      </w:r>
      <w:r w:rsidRPr="007B70B5">
        <w:rPr>
          <w:rStyle w:val="Appelnotedebasdep"/>
        </w:rPr>
        <w:footnoteReference w:id="4"/>
      </w:r>
      <w:r w:rsidRPr="00C11B13">
        <w:rPr>
          <w:lang w:val="fr-FR"/>
        </w:rPr>
        <w:t>).</w:t>
      </w:r>
    </w:p>
    <w:p w14:paraId="215D32F7" w14:textId="0E90CCE3" w:rsidR="005069B5" w:rsidRPr="00C11B13" w:rsidRDefault="002A0EB3" w:rsidP="00D3162F">
      <w:pPr>
        <w:pStyle w:val="H1G"/>
        <w:spacing w:before="340" w:after="220"/>
        <w:rPr>
          <w:lang w:val="fr-FR"/>
        </w:rPr>
      </w:pPr>
      <w:r>
        <w:rPr>
          <w:lang w:val="fr-FR"/>
        </w:rPr>
        <w:tab/>
      </w:r>
      <w:r w:rsidR="005069B5" w:rsidRPr="00C11B13">
        <w:rPr>
          <w:lang w:val="fr-FR"/>
        </w:rPr>
        <w:t>A.</w:t>
      </w:r>
      <w:r w:rsidR="005069B5" w:rsidRPr="00C11B13">
        <w:rPr>
          <w:lang w:val="fr-FR"/>
        </w:rPr>
        <w:tab/>
        <w:t>Chapitre</w:t>
      </w:r>
      <w:r w:rsidR="00EF0A73">
        <w:rPr>
          <w:lang w:val="fr-FR"/>
        </w:rPr>
        <w:t> </w:t>
      </w:r>
      <w:r w:rsidR="005069B5" w:rsidRPr="00C11B13">
        <w:rPr>
          <w:lang w:val="fr-FR"/>
        </w:rPr>
        <w:t>2.1</w:t>
      </w:r>
    </w:p>
    <w:p w14:paraId="0F790134" w14:textId="6C77C27C" w:rsidR="005069B5" w:rsidRPr="00C11B13" w:rsidRDefault="005069B5" w:rsidP="00685948">
      <w:pPr>
        <w:pStyle w:val="SingleTxtG"/>
        <w:spacing w:after="100"/>
        <w:rPr>
          <w:lang w:val="fr-FR"/>
        </w:rPr>
      </w:pPr>
      <w:r w:rsidRPr="00C11B13">
        <w:rPr>
          <w:lang w:val="fr-FR"/>
        </w:rPr>
        <w:t>8.</w:t>
      </w:r>
      <w:r w:rsidRPr="00C11B13">
        <w:rPr>
          <w:lang w:val="fr-FR"/>
        </w:rPr>
        <w:tab/>
      </w:r>
      <w:r w:rsidRPr="00887494">
        <w:rPr>
          <w:lang w:val="fr-FR"/>
        </w:rPr>
        <w:t xml:space="preserve">Le Groupe de travail est convenu de clarifier les références aux piles et batteries au lithium </w:t>
      </w:r>
      <w:r w:rsidR="00A741A4" w:rsidRPr="00887494">
        <w:rPr>
          <w:lang w:val="fr-FR"/>
        </w:rPr>
        <w:t>(</w:t>
      </w:r>
      <w:r w:rsidRPr="00887494">
        <w:rPr>
          <w:lang w:val="fr-FR"/>
        </w:rPr>
        <w:t>métal, au lithium ionique et au sodium ionique</w:t>
      </w:r>
      <w:r w:rsidR="00A741A4" w:rsidRPr="00887494">
        <w:rPr>
          <w:lang w:val="fr-FR"/>
        </w:rPr>
        <w:t>)</w:t>
      </w:r>
      <w:r w:rsidRPr="00887494">
        <w:rPr>
          <w:lang w:val="fr-FR"/>
        </w:rPr>
        <w:t xml:space="preserve"> dans l’ensemble du texte. Celles de</w:t>
      </w:r>
      <w:r w:rsidR="00887494" w:rsidRPr="00887494">
        <w:rPr>
          <w:lang w:val="fr-FR"/>
        </w:rPr>
        <w:t> </w:t>
      </w:r>
      <w:r w:rsidRPr="00887494">
        <w:rPr>
          <w:lang w:val="fr-FR"/>
        </w:rPr>
        <w:t>ces références qui concernent le Règlement type seront portées à l’attention du Sous</w:t>
      </w:r>
      <w:r w:rsidR="00EF0A73" w:rsidRPr="00887494">
        <w:rPr>
          <w:lang w:val="fr-FR"/>
        </w:rPr>
        <w:noBreakHyphen/>
      </w:r>
      <w:r w:rsidRPr="00887494">
        <w:rPr>
          <w:lang w:val="fr-FR"/>
        </w:rPr>
        <w:t>Comité TMD.</w:t>
      </w:r>
    </w:p>
    <w:p w14:paraId="302FE8B4" w14:textId="6086D309" w:rsidR="005069B5" w:rsidRPr="00C11B13" w:rsidRDefault="00EF0A73" w:rsidP="00D3162F">
      <w:pPr>
        <w:pStyle w:val="H1G"/>
        <w:spacing w:before="340" w:after="220"/>
        <w:rPr>
          <w:lang w:val="fr-FR"/>
        </w:rPr>
      </w:pPr>
      <w:r>
        <w:rPr>
          <w:bCs/>
          <w:lang w:val="fr-FR"/>
        </w:rPr>
        <w:tab/>
      </w:r>
      <w:r w:rsidR="005069B5" w:rsidRPr="00C11B13">
        <w:rPr>
          <w:bCs/>
          <w:lang w:val="fr-FR"/>
        </w:rPr>
        <w:t>B.</w:t>
      </w:r>
      <w:r w:rsidR="005069B5" w:rsidRPr="00C11B13">
        <w:rPr>
          <w:lang w:val="fr-FR"/>
        </w:rPr>
        <w:tab/>
      </w:r>
      <w:r w:rsidR="005069B5" w:rsidRPr="00C11B13">
        <w:rPr>
          <w:bCs/>
          <w:lang w:val="fr-FR"/>
        </w:rPr>
        <w:t>Chapitre</w:t>
      </w:r>
      <w:r>
        <w:rPr>
          <w:bCs/>
          <w:lang w:val="fr-FR"/>
        </w:rPr>
        <w:t> </w:t>
      </w:r>
      <w:r w:rsidR="005069B5" w:rsidRPr="00C11B13">
        <w:rPr>
          <w:bCs/>
          <w:lang w:val="fr-FR"/>
        </w:rPr>
        <w:t>2.2</w:t>
      </w:r>
    </w:p>
    <w:p w14:paraId="38FF1FCD" w14:textId="4D71B596" w:rsidR="005069B5" w:rsidRPr="00C11B13" w:rsidRDefault="005069B5" w:rsidP="00685948">
      <w:pPr>
        <w:pStyle w:val="SingleTxtG"/>
        <w:spacing w:after="100"/>
        <w:rPr>
          <w:lang w:val="fr-FR"/>
        </w:rPr>
      </w:pPr>
      <w:r w:rsidRPr="00C11B13">
        <w:rPr>
          <w:lang w:val="fr-FR"/>
        </w:rPr>
        <w:t>9.</w:t>
      </w:r>
      <w:r w:rsidRPr="00C11B13">
        <w:rPr>
          <w:lang w:val="fr-FR"/>
        </w:rPr>
        <w:tab/>
        <w:t xml:space="preserve">Le Groupe de travail a accepté la suggestion faite par le secrétariat selon laquelle la nouvelle note définissant </w:t>
      </w:r>
      <w:r>
        <w:rPr>
          <w:lang w:val="fr-FR"/>
        </w:rPr>
        <w:t>l’expression</w:t>
      </w:r>
      <w:r w:rsidRPr="00C11B13">
        <w:rPr>
          <w:lang w:val="fr-FR"/>
        </w:rPr>
        <w:t xml:space="preserve"> « mettre à disposition » au</w:t>
      </w:r>
      <w:r w:rsidR="00EF0A73">
        <w:rPr>
          <w:lang w:val="fr-FR"/>
        </w:rPr>
        <w:t> </w:t>
      </w:r>
      <w:r w:rsidRPr="00C11B13">
        <w:rPr>
          <w:lang w:val="fr-FR"/>
        </w:rPr>
        <w:t>2.2.9.1.7.1 (2.9.4 du Règlement type) devrait être modifiée et s</w:t>
      </w:r>
      <w:r>
        <w:rPr>
          <w:lang w:val="fr-FR"/>
        </w:rPr>
        <w:t>’</w:t>
      </w:r>
      <w:r w:rsidRPr="00C11B13">
        <w:rPr>
          <w:lang w:val="fr-FR"/>
        </w:rPr>
        <w:t>appliquer également aux batteries au sodium ionique, et par conséquent être répétée au nouveau</w:t>
      </w:r>
      <w:r w:rsidR="00EF0A73">
        <w:rPr>
          <w:lang w:val="fr-FR"/>
        </w:rPr>
        <w:t> </w:t>
      </w:r>
      <w:r w:rsidRPr="00C11B13">
        <w:rPr>
          <w:lang w:val="fr-FR"/>
        </w:rPr>
        <w:t>2.2.9.1.7.2 (2.9.5 du Règlement type). La</w:t>
      </w:r>
      <w:r w:rsidR="00EF0A73">
        <w:rPr>
          <w:lang w:val="fr-FR"/>
        </w:rPr>
        <w:t> </w:t>
      </w:r>
      <w:r w:rsidRPr="00C11B13">
        <w:rPr>
          <w:lang w:val="fr-FR"/>
        </w:rPr>
        <w:t>question sera portée à l</w:t>
      </w:r>
      <w:r>
        <w:rPr>
          <w:lang w:val="fr-FR"/>
        </w:rPr>
        <w:t>’</w:t>
      </w:r>
      <w:r w:rsidRPr="00C11B13">
        <w:rPr>
          <w:lang w:val="fr-FR"/>
        </w:rPr>
        <w:t>attention du Sous-Comité TMD.</w:t>
      </w:r>
    </w:p>
    <w:p w14:paraId="2E73D038" w14:textId="39CFE859" w:rsidR="005069B5" w:rsidRPr="00C11B13" w:rsidRDefault="005069B5" w:rsidP="00685948">
      <w:pPr>
        <w:pStyle w:val="SingleTxtG"/>
        <w:spacing w:after="100"/>
        <w:rPr>
          <w:lang w:val="fr-FR"/>
        </w:rPr>
      </w:pPr>
      <w:r w:rsidRPr="00C11B13">
        <w:rPr>
          <w:lang w:val="fr-FR"/>
        </w:rPr>
        <w:t>10.</w:t>
      </w:r>
      <w:r w:rsidRPr="00C11B13">
        <w:rPr>
          <w:lang w:val="fr-FR"/>
        </w:rPr>
        <w:tab/>
        <w:t>Le Groupe de travail a adopté la proposition faite par la Suède d</w:t>
      </w:r>
      <w:r>
        <w:rPr>
          <w:lang w:val="fr-FR"/>
        </w:rPr>
        <w:t>’</w:t>
      </w:r>
      <w:r w:rsidRPr="00C11B13">
        <w:rPr>
          <w:lang w:val="fr-FR"/>
        </w:rPr>
        <w:t>appliquer également la note actuellement associée au</w:t>
      </w:r>
      <w:r w:rsidR="00F41588">
        <w:rPr>
          <w:lang w:val="fr-FR"/>
        </w:rPr>
        <w:t> </w:t>
      </w:r>
      <w:r w:rsidRPr="00C11B13">
        <w:rPr>
          <w:lang w:val="fr-FR"/>
        </w:rPr>
        <w:t>2.2.9.1.7 (nouveau</w:t>
      </w:r>
      <w:r w:rsidR="00EF0A73">
        <w:rPr>
          <w:lang w:val="fr-FR"/>
        </w:rPr>
        <w:t> </w:t>
      </w:r>
      <w:r w:rsidRPr="00C11B13">
        <w:rPr>
          <w:lang w:val="fr-FR"/>
        </w:rPr>
        <w:t>2.2.9.1.7.1</w:t>
      </w:r>
      <w:r>
        <w:rPr>
          <w:lang w:val="fr-FR"/>
        </w:rPr>
        <w:t> ;</w:t>
      </w:r>
      <w:r w:rsidRPr="00C11B13">
        <w:rPr>
          <w:lang w:val="fr-FR"/>
        </w:rPr>
        <w:t xml:space="preserve"> 2.9.4 du Règlement type), qui renvoie aux prescriptions du Manuel d</w:t>
      </w:r>
      <w:r>
        <w:rPr>
          <w:lang w:val="fr-FR"/>
        </w:rPr>
        <w:t>’</w:t>
      </w:r>
      <w:r w:rsidRPr="00C11B13">
        <w:rPr>
          <w:lang w:val="fr-FR"/>
        </w:rPr>
        <w:t>épreuves et de critères applicables aux épreuves, au nouveau 2.2.9.1.7.2 (2.9.5 du Règlement type), qui traite des batteries au sodium ionique. La question sera portée à l</w:t>
      </w:r>
      <w:r>
        <w:rPr>
          <w:lang w:val="fr-FR"/>
        </w:rPr>
        <w:t>’</w:t>
      </w:r>
      <w:r w:rsidRPr="00C11B13">
        <w:rPr>
          <w:lang w:val="fr-FR"/>
        </w:rPr>
        <w:t>attention du Sous</w:t>
      </w:r>
      <w:r w:rsidR="00EF0A73">
        <w:rPr>
          <w:lang w:val="fr-FR"/>
        </w:rPr>
        <w:noBreakHyphen/>
      </w:r>
      <w:r w:rsidRPr="00C11B13">
        <w:rPr>
          <w:lang w:val="fr-FR"/>
        </w:rPr>
        <w:t>Comité TMD.</w:t>
      </w:r>
    </w:p>
    <w:p w14:paraId="2C07B888" w14:textId="5FE8658A" w:rsidR="005069B5" w:rsidRPr="00C11B13" w:rsidRDefault="00EF0A73" w:rsidP="00D3162F">
      <w:pPr>
        <w:pStyle w:val="H1G"/>
        <w:spacing w:before="340" w:after="220"/>
        <w:rPr>
          <w:lang w:val="fr-FR"/>
        </w:rPr>
      </w:pPr>
      <w:r>
        <w:rPr>
          <w:bCs/>
          <w:lang w:val="fr-FR"/>
        </w:rPr>
        <w:tab/>
      </w:r>
      <w:r w:rsidR="005069B5" w:rsidRPr="00C11B13">
        <w:rPr>
          <w:bCs/>
          <w:lang w:val="fr-FR"/>
        </w:rPr>
        <w:t>C.</w:t>
      </w:r>
      <w:r w:rsidR="005069B5" w:rsidRPr="00C11B13">
        <w:rPr>
          <w:lang w:val="fr-FR"/>
        </w:rPr>
        <w:tab/>
      </w:r>
      <w:r w:rsidR="005069B5" w:rsidRPr="00C11B13">
        <w:rPr>
          <w:bCs/>
          <w:lang w:val="fr-FR"/>
        </w:rPr>
        <w:t>Chapitre</w:t>
      </w:r>
      <w:r>
        <w:rPr>
          <w:bCs/>
          <w:lang w:val="fr-FR"/>
        </w:rPr>
        <w:t> </w:t>
      </w:r>
      <w:r w:rsidR="005069B5" w:rsidRPr="00C11B13">
        <w:rPr>
          <w:bCs/>
          <w:lang w:val="fr-FR"/>
        </w:rPr>
        <w:t>3.2, tableau</w:t>
      </w:r>
      <w:r>
        <w:rPr>
          <w:bCs/>
          <w:lang w:val="fr-FR"/>
        </w:rPr>
        <w:t> </w:t>
      </w:r>
      <w:r w:rsidR="005069B5" w:rsidRPr="00C11B13">
        <w:rPr>
          <w:bCs/>
          <w:lang w:val="fr-FR"/>
        </w:rPr>
        <w:t>A</w:t>
      </w:r>
    </w:p>
    <w:p w14:paraId="3F3EF81F" w14:textId="2C495BE3" w:rsidR="005069B5" w:rsidRPr="00C11B13" w:rsidRDefault="00EF0A73" w:rsidP="00D3162F">
      <w:pPr>
        <w:pStyle w:val="H23G"/>
        <w:spacing w:before="220" w:after="100"/>
        <w:rPr>
          <w:lang w:val="fr-FR"/>
        </w:rPr>
      </w:pPr>
      <w:r>
        <w:rPr>
          <w:bCs/>
          <w:lang w:val="fr-FR"/>
        </w:rPr>
        <w:tab/>
      </w:r>
      <w:r w:rsidR="005069B5" w:rsidRPr="00C11B13">
        <w:rPr>
          <w:bCs/>
          <w:lang w:val="fr-FR"/>
        </w:rPr>
        <w:t>1.</w:t>
      </w:r>
      <w:r w:rsidR="005069B5" w:rsidRPr="00C11B13">
        <w:rPr>
          <w:lang w:val="fr-FR"/>
        </w:rPr>
        <w:tab/>
      </w:r>
      <w:r w:rsidRPr="00B24565">
        <w:rPr>
          <w:bCs/>
          <w:lang w:val="fr-FR"/>
        </w:rPr>
        <w:t>N</w:t>
      </w:r>
      <w:r w:rsidR="005069B5" w:rsidRPr="00B24565">
        <w:rPr>
          <w:bCs/>
          <w:lang w:val="fr-FR"/>
        </w:rPr>
        <w:t>os</w:t>
      </w:r>
      <w:r w:rsidR="00B24565">
        <w:rPr>
          <w:bCs/>
          <w:lang w:val="fr-FR"/>
        </w:rPr>
        <w:t> </w:t>
      </w:r>
      <w:r w:rsidR="005069B5" w:rsidRPr="00B24565">
        <w:rPr>
          <w:bCs/>
          <w:lang w:val="fr-FR"/>
        </w:rPr>
        <w:t>ONU</w:t>
      </w:r>
      <w:r w:rsidR="00B24565">
        <w:rPr>
          <w:bCs/>
          <w:lang w:val="fr-FR"/>
        </w:rPr>
        <w:t> </w:t>
      </w:r>
      <w:r w:rsidR="005069B5" w:rsidRPr="00C11B13">
        <w:rPr>
          <w:bCs/>
          <w:lang w:val="fr-FR"/>
        </w:rPr>
        <w:t>1006, 1013, 1046 et 1066</w:t>
      </w:r>
    </w:p>
    <w:p w14:paraId="6DC1985F" w14:textId="46A2950F" w:rsidR="005069B5" w:rsidRPr="00C11B13" w:rsidRDefault="005069B5" w:rsidP="00685948">
      <w:pPr>
        <w:pStyle w:val="SingleTxtG"/>
        <w:spacing w:after="100"/>
        <w:rPr>
          <w:lang w:val="fr-FR"/>
        </w:rPr>
      </w:pPr>
      <w:r w:rsidRPr="00C11B13">
        <w:rPr>
          <w:lang w:val="fr-FR"/>
        </w:rPr>
        <w:t>11.</w:t>
      </w:r>
      <w:r w:rsidRPr="00C11B13">
        <w:rPr>
          <w:lang w:val="fr-FR"/>
        </w:rPr>
        <w:tab/>
        <w:t>Le Groupe de travail a adopté les amendements proposés dans le document ECE/TRANS/WP.15/AC.1/HAR/2023/1 et a décidé de remplacer la disposition spéciale</w:t>
      </w:r>
      <w:r w:rsidR="002A0EB3">
        <w:rPr>
          <w:lang w:val="fr-FR"/>
        </w:rPr>
        <w:t> </w:t>
      </w:r>
      <w:r w:rsidRPr="00C11B13">
        <w:rPr>
          <w:lang w:val="fr-FR"/>
        </w:rPr>
        <w:t>653 par la nouvelle disposition spéciale</w:t>
      </w:r>
      <w:r w:rsidR="002A0EB3">
        <w:rPr>
          <w:lang w:val="fr-FR"/>
        </w:rPr>
        <w:t> </w:t>
      </w:r>
      <w:r w:rsidRPr="00C11B13">
        <w:rPr>
          <w:lang w:val="fr-FR"/>
        </w:rPr>
        <w:t>406 du Règlement type à des fins d</w:t>
      </w:r>
      <w:r>
        <w:rPr>
          <w:lang w:val="fr-FR"/>
        </w:rPr>
        <w:t>’</w:t>
      </w:r>
      <w:r w:rsidRPr="00C11B13">
        <w:rPr>
          <w:lang w:val="fr-FR"/>
        </w:rPr>
        <w:t>harmonisation. Il a toutefois été noté que cette modification imposerait des conditions d</w:t>
      </w:r>
      <w:r>
        <w:rPr>
          <w:lang w:val="fr-FR"/>
        </w:rPr>
        <w:t>’</w:t>
      </w:r>
      <w:r w:rsidRPr="00C11B13">
        <w:rPr>
          <w:lang w:val="fr-FR"/>
        </w:rPr>
        <w:t>exemption plus strictes pour les gaz</w:t>
      </w:r>
      <w:r>
        <w:rPr>
          <w:lang w:val="fr-FR"/>
        </w:rPr>
        <w:t xml:space="preserve"> relevant</w:t>
      </w:r>
      <w:r w:rsidRPr="00C11B13">
        <w:rPr>
          <w:lang w:val="fr-FR"/>
        </w:rPr>
        <w:t xml:space="preserve"> des Nos</w:t>
      </w:r>
      <w:r w:rsidR="002A0EB3">
        <w:rPr>
          <w:lang w:val="fr-FR"/>
        </w:rPr>
        <w:t> </w:t>
      </w:r>
      <w:r w:rsidRPr="00C11B13">
        <w:rPr>
          <w:lang w:val="fr-FR"/>
        </w:rPr>
        <w:t>ONU</w:t>
      </w:r>
      <w:r w:rsidR="002A0EB3">
        <w:rPr>
          <w:lang w:val="fr-FR"/>
        </w:rPr>
        <w:t> </w:t>
      </w:r>
      <w:r w:rsidRPr="00C11B13">
        <w:rPr>
          <w:lang w:val="fr-FR"/>
        </w:rPr>
        <w:t>1006, 1013, 1046 et 1066 dans le RID, l</w:t>
      </w:r>
      <w:r>
        <w:rPr>
          <w:lang w:val="fr-FR"/>
        </w:rPr>
        <w:t>’</w:t>
      </w:r>
      <w:r w:rsidRPr="00C11B13">
        <w:rPr>
          <w:lang w:val="fr-FR"/>
        </w:rPr>
        <w:t>ADR et l</w:t>
      </w:r>
      <w:r>
        <w:rPr>
          <w:lang w:val="fr-FR"/>
        </w:rPr>
        <w:t>’</w:t>
      </w:r>
      <w:r w:rsidRPr="00C11B13">
        <w:rPr>
          <w:lang w:val="fr-FR"/>
        </w:rPr>
        <w:t>ADN. Le Groupe de travail a donc proposé de prévoir une période transitoire de deux ans pour l</w:t>
      </w:r>
      <w:r>
        <w:rPr>
          <w:lang w:val="fr-FR"/>
        </w:rPr>
        <w:t>’</w:t>
      </w:r>
      <w:r w:rsidRPr="00C11B13">
        <w:rPr>
          <w:lang w:val="fr-FR"/>
        </w:rPr>
        <w:t>entrée en vigueur de cette nouvelle disposition spéciale (voir</w:t>
      </w:r>
      <w:r w:rsidR="002A0EB3">
        <w:rPr>
          <w:lang w:val="fr-FR"/>
        </w:rPr>
        <w:t> </w:t>
      </w:r>
      <w:r w:rsidRPr="00C11B13">
        <w:rPr>
          <w:lang w:val="fr-FR"/>
        </w:rPr>
        <w:t>1.6.2.24).</w:t>
      </w:r>
    </w:p>
    <w:p w14:paraId="36FF6FEB" w14:textId="7CEFAE10" w:rsidR="005069B5" w:rsidRPr="00C11B13" w:rsidRDefault="00EF0A73" w:rsidP="00D3162F">
      <w:pPr>
        <w:pStyle w:val="H23G"/>
        <w:spacing w:before="220" w:after="100"/>
        <w:rPr>
          <w:lang w:val="fr-FR"/>
        </w:rPr>
      </w:pPr>
      <w:r>
        <w:rPr>
          <w:bCs/>
          <w:lang w:val="fr-FR"/>
        </w:rPr>
        <w:tab/>
      </w:r>
      <w:r w:rsidR="005069B5" w:rsidRPr="00C11B13">
        <w:rPr>
          <w:bCs/>
          <w:lang w:val="fr-FR"/>
        </w:rPr>
        <w:t>2.</w:t>
      </w:r>
      <w:r w:rsidR="005069B5" w:rsidRPr="00C11B13">
        <w:rPr>
          <w:lang w:val="fr-FR"/>
        </w:rPr>
        <w:tab/>
      </w:r>
      <w:r w:rsidR="005069B5" w:rsidRPr="00C11B13">
        <w:rPr>
          <w:bCs/>
          <w:lang w:val="fr-FR"/>
        </w:rPr>
        <w:t>Substances auxquelles s</w:t>
      </w:r>
      <w:r w:rsidR="005069B5">
        <w:rPr>
          <w:bCs/>
          <w:lang w:val="fr-FR"/>
        </w:rPr>
        <w:t>’</w:t>
      </w:r>
      <w:r w:rsidR="005069B5" w:rsidRPr="00C11B13">
        <w:rPr>
          <w:bCs/>
          <w:lang w:val="fr-FR"/>
        </w:rPr>
        <w:t>applique la disposition spéciale</w:t>
      </w:r>
      <w:r w:rsidR="002A0EB3">
        <w:rPr>
          <w:bCs/>
          <w:lang w:val="fr-FR"/>
        </w:rPr>
        <w:t> </w:t>
      </w:r>
      <w:r w:rsidR="005069B5" w:rsidRPr="00C11B13">
        <w:rPr>
          <w:bCs/>
          <w:lang w:val="fr-FR"/>
        </w:rPr>
        <w:t>28 du Règlement type</w:t>
      </w:r>
    </w:p>
    <w:p w14:paraId="00756A82" w14:textId="706E3C7B" w:rsidR="005069B5" w:rsidRPr="00C11B13" w:rsidRDefault="005069B5" w:rsidP="00685948">
      <w:pPr>
        <w:pStyle w:val="SingleTxtG"/>
        <w:spacing w:after="100"/>
        <w:rPr>
          <w:lang w:val="fr-FR"/>
        </w:rPr>
      </w:pPr>
      <w:r w:rsidRPr="00C11B13">
        <w:rPr>
          <w:lang w:val="fr-FR"/>
        </w:rPr>
        <w:t>12.</w:t>
      </w:r>
      <w:r w:rsidRPr="00C11B13">
        <w:rPr>
          <w:lang w:val="fr-FR"/>
        </w:rPr>
        <w:tab/>
        <w:t>Le Groupe de travail a noté qu</w:t>
      </w:r>
      <w:r>
        <w:rPr>
          <w:lang w:val="fr-FR"/>
        </w:rPr>
        <w:t>’</w:t>
      </w:r>
      <w:r w:rsidRPr="00C11B13">
        <w:rPr>
          <w:lang w:val="fr-FR"/>
        </w:rPr>
        <w:t>au moment de la restructuration du RID et de l</w:t>
      </w:r>
      <w:r>
        <w:rPr>
          <w:lang w:val="fr-FR"/>
        </w:rPr>
        <w:t>’</w:t>
      </w:r>
      <w:r w:rsidRPr="00C11B13">
        <w:rPr>
          <w:lang w:val="fr-FR"/>
        </w:rPr>
        <w:t>ADR, il avait été convenu que la disposition spéciale</w:t>
      </w:r>
      <w:r w:rsidR="002A0EB3">
        <w:rPr>
          <w:lang w:val="fr-FR"/>
        </w:rPr>
        <w:t> </w:t>
      </w:r>
      <w:r w:rsidRPr="00C11B13">
        <w:rPr>
          <w:lang w:val="fr-FR"/>
        </w:rPr>
        <w:t>28 du Règlement type contenait des prescriptions générales applicables à toutes les matières explosibles désensibilisées sans exception et que, comme tel n</w:t>
      </w:r>
      <w:r>
        <w:rPr>
          <w:lang w:val="fr-FR"/>
        </w:rPr>
        <w:t>’</w:t>
      </w:r>
      <w:r w:rsidRPr="00C11B13">
        <w:rPr>
          <w:lang w:val="fr-FR"/>
        </w:rPr>
        <w:t>était pas l</w:t>
      </w:r>
      <w:r>
        <w:rPr>
          <w:lang w:val="fr-FR"/>
        </w:rPr>
        <w:t>’</w:t>
      </w:r>
      <w:r w:rsidRPr="00C11B13">
        <w:rPr>
          <w:lang w:val="fr-FR"/>
        </w:rPr>
        <w:t>objet d</w:t>
      </w:r>
      <w:r>
        <w:rPr>
          <w:lang w:val="fr-FR"/>
        </w:rPr>
        <w:t>’</w:t>
      </w:r>
      <w:r w:rsidRPr="00C11B13">
        <w:rPr>
          <w:lang w:val="fr-FR"/>
        </w:rPr>
        <w:t>une disposition spéciale, elle ne serait pas reproduite dans le RID et l</w:t>
      </w:r>
      <w:r>
        <w:rPr>
          <w:lang w:val="fr-FR"/>
        </w:rPr>
        <w:t>’</w:t>
      </w:r>
      <w:r w:rsidRPr="00C11B13">
        <w:rPr>
          <w:lang w:val="fr-FR"/>
        </w:rPr>
        <w:t xml:space="preserve">ADR. Étant donné que </w:t>
      </w:r>
      <w:r>
        <w:rPr>
          <w:lang w:val="fr-FR"/>
        </w:rPr>
        <w:t xml:space="preserve">les </w:t>
      </w:r>
      <w:r w:rsidRPr="00C11B13">
        <w:rPr>
          <w:lang w:val="fr-FR"/>
        </w:rPr>
        <w:t xml:space="preserve">prescriptions générales </w:t>
      </w:r>
      <w:r>
        <w:rPr>
          <w:lang w:val="fr-FR"/>
        </w:rPr>
        <w:t xml:space="preserve">de ce type </w:t>
      </w:r>
      <w:r w:rsidRPr="00C11B13">
        <w:rPr>
          <w:lang w:val="fr-FR"/>
        </w:rPr>
        <w:t>étaient absentes du RID, de l</w:t>
      </w:r>
      <w:r>
        <w:rPr>
          <w:lang w:val="fr-FR"/>
        </w:rPr>
        <w:t>’</w:t>
      </w:r>
      <w:r w:rsidRPr="00C11B13">
        <w:rPr>
          <w:lang w:val="fr-FR"/>
        </w:rPr>
        <w:t>ADR et de l</w:t>
      </w:r>
      <w:r>
        <w:rPr>
          <w:lang w:val="fr-FR"/>
        </w:rPr>
        <w:t>’</w:t>
      </w:r>
      <w:r w:rsidRPr="00C11B13">
        <w:rPr>
          <w:lang w:val="fr-FR"/>
        </w:rPr>
        <w:t>ADN, le Groupe de travail a proposé que la disposition spéciale</w:t>
      </w:r>
      <w:r w:rsidR="002A0EB3">
        <w:rPr>
          <w:lang w:val="fr-FR"/>
        </w:rPr>
        <w:t> </w:t>
      </w:r>
      <w:r w:rsidRPr="00C11B13">
        <w:rPr>
          <w:lang w:val="fr-FR"/>
        </w:rPr>
        <w:t>28 soit introduite dans la prochaine édition des trois règlements et appliquée aux mêmes matières que dans le Règlement type.</w:t>
      </w:r>
    </w:p>
    <w:p w14:paraId="3383B26D" w14:textId="130FAE2F" w:rsidR="005069B5" w:rsidRPr="00C11B13" w:rsidRDefault="00EF0A73" w:rsidP="00D3162F">
      <w:pPr>
        <w:pStyle w:val="H23G"/>
        <w:spacing w:before="220" w:after="100"/>
        <w:rPr>
          <w:lang w:val="fr-FR"/>
        </w:rPr>
      </w:pPr>
      <w:r>
        <w:rPr>
          <w:bCs/>
          <w:lang w:val="fr-FR"/>
        </w:rPr>
        <w:tab/>
      </w:r>
      <w:r w:rsidR="005069B5" w:rsidRPr="00C11B13">
        <w:rPr>
          <w:bCs/>
          <w:lang w:val="fr-FR"/>
        </w:rPr>
        <w:t>3.</w:t>
      </w:r>
      <w:r w:rsidR="005069B5" w:rsidRPr="00C11B13">
        <w:rPr>
          <w:lang w:val="fr-FR"/>
        </w:rPr>
        <w:tab/>
      </w:r>
      <w:r w:rsidR="005069B5" w:rsidRPr="00C11B13">
        <w:rPr>
          <w:bCs/>
          <w:lang w:val="fr-FR"/>
        </w:rPr>
        <w:t>Nos ONU 1391 et 3482, et hydroxyde de tétraméthylammonium (Nos</w:t>
      </w:r>
      <w:r w:rsidR="002A0EB3">
        <w:rPr>
          <w:bCs/>
          <w:lang w:val="fr-FR"/>
        </w:rPr>
        <w:t> </w:t>
      </w:r>
      <w:r w:rsidR="005069B5" w:rsidRPr="00C11B13">
        <w:rPr>
          <w:bCs/>
          <w:lang w:val="fr-FR"/>
        </w:rPr>
        <w:t>ONU</w:t>
      </w:r>
      <w:r w:rsidR="002A0EB3">
        <w:rPr>
          <w:bCs/>
          <w:lang w:val="fr-FR"/>
        </w:rPr>
        <w:t> </w:t>
      </w:r>
      <w:r w:rsidR="005069B5" w:rsidRPr="00C11B13">
        <w:rPr>
          <w:bCs/>
          <w:lang w:val="fr-FR"/>
        </w:rPr>
        <w:t>1835, 3423 et 3560)</w:t>
      </w:r>
    </w:p>
    <w:p w14:paraId="5E60D816" w14:textId="472A5122" w:rsidR="005069B5" w:rsidRPr="00C11B13" w:rsidRDefault="005069B5" w:rsidP="00685948">
      <w:pPr>
        <w:pStyle w:val="SingleTxtG"/>
        <w:spacing w:after="100"/>
        <w:rPr>
          <w:lang w:val="fr-FR"/>
        </w:rPr>
      </w:pPr>
      <w:r w:rsidRPr="00C11B13">
        <w:rPr>
          <w:lang w:val="fr-FR"/>
        </w:rPr>
        <w:t>13.</w:t>
      </w:r>
      <w:r w:rsidRPr="00C11B13">
        <w:rPr>
          <w:lang w:val="fr-FR"/>
        </w:rPr>
        <w:tab/>
        <w:t>Les amendements relatifs aux citernes RID/ADR ont été placés entre crochets, dans l</w:t>
      </w:r>
      <w:r>
        <w:rPr>
          <w:lang w:val="fr-FR"/>
        </w:rPr>
        <w:t>’</w:t>
      </w:r>
      <w:r w:rsidRPr="00C11B13">
        <w:rPr>
          <w:lang w:val="fr-FR"/>
        </w:rPr>
        <w:t>attente d</w:t>
      </w:r>
      <w:r>
        <w:rPr>
          <w:lang w:val="fr-FR"/>
        </w:rPr>
        <w:t>’</w:t>
      </w:r>
      <w:r w:rsidRPr="00C11B13">
        <w:rPr>
          <w:lang w:val="fr-FR"/>
        </w:rPr>
        <w:t xml:space="preserve">un nouvel examen par le Groupe de travail des citernes. Le Groupe de travail pourrait </w:t>
      </w:r>
      <w:r>
        <w:rPr>
          <w:lang w:val="fr-FR"/>
        </w:rPr>
        <w:t>se pencher sur</w:t>
      </w:r>
      <w:r w:rsidRPr="00C11B13">
        <w:rPr>
          <w:lang w:val="fr-FR"/>
        </w:rPr>
        <w:t xml:space="preserve"> les observations qui suivent</w:t>
      </w:r>
      <w:r>
        <w:rPr>
          <w:lang w:val="fr-FR"/>
        </w:rPr>
        <w:t> :</w:t>
      </w:r>
    </w:p>
    <w:p w14:paraId="444EBD30" w14:textId="5B33F818" w:rsidR="005069B5" w:rsidRPr="00C11B13" w:rsidRDefault="005069B5" w:rsidP="005069B5">
      <w:pPr>
        <w:pStyle w:val="Bullet1G"/>
        <w:numPr>
          <w:ilvl w:val="0"/>
          <w:numId w:val="1"/>
        </w:numPr>
        <w:suppressAutoHyphens w:val="0"/>
        <w:rPr>
          <w:lang w:val="fr-FR"/>
        </w:rPr>
      </w:pPr>
      <w:r w:rsidRPr="00C11B13">
        <w:rPr>
          <w:lang w:val="fr-FR"/>
        </w:rPr>
        <w:t>Pour les Nos</w:t>
      </w:r>
      <w:r w:rsidR="002A0EB3">
        <w:rPr>
          <w:lang w:val="fr-FR"/>
        </w:rPr>
        <w:t> </w:t>
      </w:r>
      <w:r w:rsidRPr="00C11B13">
        <w:rPr>
          <w:lang w:val="fr-FR"/>
        </w:rPr>
        <w:t>ONU</w:t>
      </w:r>
      <w:r w:rsidR="002A0EB3">
        <w:rPr>
          <w:lang w:val="fr-FR"/>
        </w:rPr>
        <w:t> </w:t>
      </w:r>
      <w:r w:rsidRPr="00C11B13">
        <w:rPr>
          <w:lang w:val="fr-FR"/>
        </w:rPr>
        <w:t>1391 et 3482, ajouter l</w:t>
      </w:r>
      <w:r>
        <w:rPr>
          <w:lang w:val="fr-FR"/>
        </w:rPr>
        <w:t>’</w:t>
      </w:r>
      <w:r w:rsidRPr="00C11B13">
        <w:rPr>
          <w:lang w:val="fr-FR"/>
        </w:rPr>
        <w:t>instruction</w:t>
      </w:r>
      <w:r w:rsidR="002A0EB3">
        <w:rPr>
          <w:lang w:val="fr-FR"/>
        </w:rPr>
        <w:t> </w:t>
      </w:r>
      <w:r w:rsidRPr="00C11B13">
        <w:rPr>
          <w:lang w:val="fr-FR"/>
        </w:rPr>
        <w:t>T13. Pour les autres matières auxquelles s</w:t>
      </w:r>
      <w:r>
        <w:rPr>
          <w:lang w:val="fr-FR"/>
        </w:rPr>
        <w:t>’</w:t>
      </w:r>
      <w:r w:rsidRPr="00C11B13">
        <w:rPr>
          <w:lang w:val="fr-FR"/>
        </w:rPr>
        <w:t>applique l</w:t>
      </w:r>
      <w:r>
        <w:rPr>
          <w:lang w:val="fr-FR"/>
        </w:rPr>
        <w:t>’</w:t>
      </w:r>
      <w:r w:rsidRPr="00C11B13">
        <w:rPr>
          <w:lang w:val="fr-FR"/>
        </w:rPr>
        <w:t>instruction</w:t>
      </w:r>
      <w:r w:rsidR="002A0EB3">
        <w:rPr>
          <w:lang w:val="fr-FR"/>
        </w:rPr>
        <w:t> </w:t>
      </w:r>
      <w:r w:rsidRPr="00C11B13">
        <w:rPr>
          <w:lang w:val="fr-FR"/>
        </w:rPr>
        <w:t>T13, le code citerne</w:t>
      </w:r>
      <w:r w:rsidR="002A0EB3">
        <w:rPr>
          <w:lang w:val="fr-FR"/>
        </w:rPr>
        <w:t> </w:t>
      </w:r>
      <w:r w:rsidRPr="00C11B13">
        <w:rPr>
          <w:lang w:val="fr-FR"/>
        </w:rPr>
        <w:t>RID/ADR est le suivant</w:t>
      </w:r>
      <w:r>
        <w:rPr>
          <w:lang w:val="fr-FR"/>
        </w:rPr>
        <w:t> :</w:t>
      </w:r>
      <w:r w:rsidRPr="00C11B13">
        <w:rPr>
          <w:lang w:val="fr-FR"/>
        </w:rPr>
        <w:t xml:space="preserve"> L10DH. Pour les </w:t>
      </w:r>
      <w:r>
        <w:rPr>
          <w:lang w:val="fr-FR"/>
        </w:rPr>
        <w:t>Nos</w:t>
      </w:r>
      <w:r w:rsidR="002A0EB3">
        <w:rPr>
          <w:lang w:val="fr-FR"/>
        </w:rPr>
        <w:t> </w:t>
      </w:r>
      <w:r w:rsidRPr="00C11B13">
        <w:rPr>
          <w:lang w:val="fr-FR"/>
        </w:rPr>
        <w:t>ONU</w:t>
      </w:r>
      <w:r w:rsidR="002A0EB3">
        <w:rPr>
          <w:lang w:val="fr-FR"/>
        </w:rPr>
        <w:t> </w:t>
      </w:r>
      <w:r w:rsidRPr="00C11B13">
        <w:rPr>
          <w:lang w:val="fr-FR"/>
        </w:rPr>
        <w:t>1391 et</w:t>
      </w:r>
      <w:r w:rsidR="002A0EB3">
        <w:rPr>
          <w:lang w:val="fr-FR"/>
        </w:rPr>
        <w:t> </w:t>
      </w:r>
      <w:r w:rsidRPr="00C11B13">
        <w:rPr>
          <w:lang w:val="fr-FR"/>
        </w:rPr>
        <w:t>3482, le Groupe de travail des citernes pourrait envisager de remplacer L10BN(+) par L10DH</w:t>
      </w:r>
      <w:r w:rsidR="00B24565">
        <w:rPr>
          <w:lang w:val="fr-FR"/>
        </w:rPr>
        <w:t> ;</w:t>
      </w:r>
    </w:p>
    <w:p w14:paraId="1BBCBFE5" w14:textId="1391BD70" w:rsidR="005069B5" w:rsidRPr="00C11B13" w:rsidRDefault="005069B5" w:rsidP="005069B5">
      <w:pPr>
        <w:pStyle w:val="Bullet1G"/>
        <w:numPr>
          <w:ilvl w:val="0"/>
          <w:numId w:val="1"/>
        </w:numPr>
        <w:suppressAutoHyphens w:val="0"/>
        <w:rPr>
          <w:lang w:val="fr-FR"/>
        </w:rPr>
      </w:pPr>
      <w:r w:rsidRPr="00C11B13">
        <w:rPr>
          <w:lang w:val="fr-FR"/>
        </w:rPr>
        <w:lastRenderedPageBreak/>
        <w:t>Le</w:t>
      </w:r>
      <w:r w:rsidR="002A0EB3">
        <w:rPr>
          <w:lang w:val="fr-FR"/>
        </w:rPr>
        <w:t> </w:t>
      </w:r>
      <w:r w:rsidRPr="00C11B13">
        <w:rPr>
          <w:lang w:val="fr-FR"/>
        </w:rPr>
        <w:t xml:space="preserve">4.3.4.1.2 fait état de deux options possibles pour les codes citernes des matières de la </w:t>
      </w:r>
      <w:r w:rsidRPr="00B24565">
        <w:rPr>
          <w:lang w:val="fr-FR"/>
        </w:rPr>
        <w:t>classe</w:t>
      </w:r>
      <w:r w:rsidR="002A0EB3" w:rsidRPr="00B24565">
        <w:rPr>
          <w:lang w:val="fr-FR"/>
        </w:rPr>
        <w:t> </w:t>
      </w:r>
      <w:r w:rsidRPr="00B24565">
        <w:rPr>
          <w:lang w:val="fr-FR"/>
        </w:rPr>
        <w:t>8,</w:t>
      </w:r>
      <w:r w:rsidRPr="00C11B13">
        <w:rPr>
          <w:lang w:val="fr-FR"/>
        </w:rPr>
        <w:t xml:space="preserve"> code de classement CT1, groupes d</w:t>
      </w:r>
      <w:r>
        <w:rPr>
          <w:lang w:val="fr-FR"/>
        </w:rPr>
        <w:t>’</w:t>
      </w:r>
      <w:r w:rsidRPr="00C11B13">
        <w:rPr>
          <w:lang w:val="fr-FR"/>
        </w:rPr>
        <w:t>emballage II</w:t>
      </w:r>
      <w:r>
        <w:rPr>
          <w:lang w:val="fr-FR"/>
        </w:rPr>
        <w:t> :</w:t>
      </w:r>
      <w:r w:rsidRPr="00C11B13">
        <w:rPr>
          <w:lang w:val="fr-FR"/>
        </w:rPr>
        <w:t xml:space="preserve"> L4BN ou L4DH. Le</w:t>
      </w:r>
      <w:r w:rsidR="002A0EB3">
        <w:rPr>
          <w:lang w:val="fr-FR"/>
        </w:rPr>
        <w:t> </w:t>
      </w:r>
      <w:r w:rsidRPr="00C11B13">
        <w:rPr>
          <w:lang w:val="fr-FR"/>
        </w:rPr>
        <w:t xml:space="preserve">Groupe de travail des citernes souhaitera peut-être confirmer si ces deux options sont correctes et quel serait le code à utiliser pour le transport en citerne du </w:t>
      </w:r>
      <w:r>
        <w:rPr>
          <w:lang w:val="fr-FR"/>
        </w:rPr>
        <w:t>N</w:t>
      </w:r>
      <w:r w:rsidRPr="00C11B13">
        <w:rPr>
          <w:lang w:val="fr-FR"/>
        </w:rPr>
        <w:t>o</w:t>
      </w:r>
      <w:r w:rsidR="002A0EB3">
        <w:rPr>
          <w:lang w:val="fr-FR"/>
        </w:rPr>
        <w:t> </w:t>
      </w:r>
      <w:r w:rsidRPr="00C11B13">
        <w:rPr>
          <w:lang w:val="fr-FR"/>
        </w:rPr>
        <w:t>ONU</w:t>
      </w:r>
      <w:r w:rsidR="002A0EB3">
        <w:rPr>
          <w:lang w:val="fr-FR"/>
        </w:rPr>
        <w:t> </w:t>
      </w:r>
      <w:r w:rsidRPr="00C11B13">
        <w:rPr>
          <w:lang w:val="fr-FR"/>
        </w:rPr>
        <w:t>1835, groupe d</w:t>
      </w:r>
      <w:r>
        <w:rPr>
          <w:lang w:val="fr-FR"/>
        </w:rPr>
        <w:t>’</w:t>
      </w:r>
      <w:r w:rsidRPr="00C11B13">
        <w:rPr>
          <w:lang w:val="fr-FR"/>
        </w:rPr>
        <w:t>emballage</w:t>
      </w:r>
      <w:r w:rsidR="002A0EB3">
        <w:rPr>
          <w:lang w:val="fr-FR"/>
        </w:rPr>
        <w:t> </w:t>
      </w:r>
      <w:r w:rsidRPr="00C11B13">
        <w:rPr>
          <w:lang w:val="fr-FR"/>
        </w:rPr>
        <w:t>II. Le Groupe de travail a noté qu</w:t>
      </w:r>
      <w:r>
        <w:rPr>
          <w:lang w:val="fr-FR"/>
        </w:rPr>
        <w:t>’</w:t>
      </w:r>
      <w:r w:rsidRPr="00C11B13">
        <w:rPr>
          <w:lang w:val="fr-FR"/>
        </w:rPr>
        <w:t>il existait également deux options possibles pour les codes citernes des matières de la classe</w:t>
      </w:r>
      <w:r w:rsidR="002A0EB3">
        <w:rPr>
          <w:lang w:val="fr-FR"/>
        </w:rPr>
        <w:t> </w:t>
      </w:r>
      <w:r w:rsidRPr="00C11B13">
        <w:rPr>
          <w:lang w:val="fr-FR"/>
        </w:rPr>
        <w:t>9, code de classement</w:t>
      </w:r>
      <w:r w:rsidR="002A0EB3">
        <w:rPr>
          <w:lang w:val="fr-FR"/>
        </w:rPr>
        <w:t> </w:t>
      </w:r>
      <w:r w:rsidRPr="00C11B13">
        <w:rPr>
          <w:lang w:val="fr-FR"/>
        </w:rPr>
        <w:t>M11 (LGBV ou L4BN).</w:t>
      </w:r>
    </w:p>
    <w:p w14:paraId="331A656C" w14:textId="7D157199" w:rsidR="005069B5" w:rsidRPr="00C11B13" w:rsidRDefault="005069B5" w:rsidP="005069B5">
      <w:pPr>
        <w:pStyle w:val="SingleTxtG"/>
        <w:rPr>
          <w:lang w:val="fr-FR"/>
        </w:rPr>
      </w:pPr>
      <w:r w:rsidRPr="00C11B13">
        <w:rPr>
          <w:lang w:val="fr-FR"/>
        </w:rPr>
        <w:t>14.</w:t>
      </w:r>
      <w:r w:rsidRPr="00C11B13">
        <w:rPr>
          <w:lang w:val="fr-FR"/>
        </w:rPr>
        <w:tab/>
        <w:t>En fonction des décisions que prendra le Groupe de travail des citernes, des dispositions transitoires pourraient être nécessaires. Pour les Nos</w:t>
      </w:r>
      <w:r w:rsidR="002A0EB3">
        <w:rPr>
          <w:lang w:val="fr-FR"/>
        </w:rPr>
        <w:t> </w:t>
      </w:r>
      <w:r w:rsidRPr="00C11B13">
        <w:rPr>
          <w:lang w:val="fr-FR"/>
        </w:rPr>
        <w:t>ONU</w:t>
      </w:r>
      <w:r w:rsidR="002A0EB3">
        <w:rPr>
          <w:lang w:val="fr-FR"/>
        </w:rPr>
        <w:t> </w:t>
      </w:r>
      <w:r w:rsidRPr="00C11B13">
        <w:rPr>
          <w:lang w:val="fr-FR"/>
        </w:rPr>
        <w:t>1835, 3423 et 3560 (</w:t>
      </w:r>
      <w:r w:rsidR="002A0EB3">
        <w:rPr>
          <w:lang w:val="fr-FR"/>
        </w:rPr>
        <w:t>h</w:t>
      </w:r>
      <w:r w:rsidRPr="00C11B13">
        <w:rPr>
          <w:lang w:val="fr-FR"/>
        </w:rPr>
        <w:t>ydroxyde de tétraméthylammonium) des mesures transitoires pour le transport en citerne ont déjà été proposées par le Groupe de travail</w:t>
      </w:r>
      <w:r w:rsidR="00B147CF">
        <w:rPr>
          <w:lang w:val="fr-FR"/>
        </w:rPr>
        <w:t> </w:t>
      </w:r>
      <w:r w:rsidRPr="00C11B13">
        <w:rPr>
          <w:lang w:val="fr-FR"/>
        </w:rPr>
        <w:t>; elles figurent entre crochets (voir</w:t>
      </w:r>
      <w:r w:rsidR="002A0EB3">
        <w:rPr>
          <w:lang w:val="fr-FR"/>
        </w:rPr>
        <w:t> </w:t>
      </w:r>
      <w:r w:rsidRPr="00C11B13">
        <w:rPr>
          <w:lang w:val="fr-FR"/>
        </w:rPr>
        <w:t>1.6.3.62, 1.6.3.63, 1.6.4.66 et</w:t>
      </w:r>
      <w:r w:rsidR="002A0EB3">
        <w:rPr>
          <w:lang w:val="fr-FR"/>
        </w:rPr>
        <w:t> </w:t>
      </w:r>
      <w:r w:rsidRPr="00C11B13">
        <w:rPr>
          <w:lang w:val="fr-FR"/>
        </w:rPr>
        <w:t>1.6.4.67).</w:t>
      </w:r>
    </w:p>
    <w:p w14:paraId="16B1A0AD" w14:textId="2F52E01D" w:rsidR="005069B5" w:rsidRPr="00C11B13" w:rsidRDefault="00EF0A73" w:rsidP="005069B5">
      <w:pPr>
        <w:pStyle w:val="H23G"/>
        <w:rPr>
          <w:lang w:val="fr-FR"/>
        </w:rPr>
      </w:pPr>
      <w:r>
        <w:rPr>
          <w:bCs/>
          <w:lang w:val="fr-FR"/>
        </w:rPr>
        <w:tab/>
      </w:r>
      <w:r w:rsidR="005069B5" w:rsidRPr="00C11B13">
        <w:rPr>
          <w:bCs/>
          <w:lang w:val="fr-FR"/>
        </w:rPr>
        <w:t>4.</w:t>
      </w:r>
      <w:r w:rsidR="005069B5" w:rsidRPr="00C11B13">
        <w:rPr>
          <w:lang w:val="fr-FR"/>
        </w:rPr>
        <w:tab/>
      </w:r>
      <w:r w:rsidR="005069B5" w:rsidRPr="00C11B13">
        <w:rPr>
          <w:bCs/>
          <w:lang w:val="fr-FR"/>
        </w:rPr>
        <w:t>No</w:t>
      </w:r>
      <w:r w:rsidR="002A0EB3">
        <w:rPr>
          <w:bCs/>
          <w:lang w:val="fr-FR"/>
        </w:rPr>
        <w:t> </w:t>
      </w:r>
      <w:r w:rsidR="005069B5" w:rsidRPr="00C11B13">
        <w:rPr>
          <w:bCs/>
          <w:lang w:val="fr-FR"/>
        </w:rPr>
        <w:t>ONU</w:t>
      </w:r>
      <w:r w:rsidR="002A0EB3">
        <w:rPr>
          <w:bCs/>
          <w:lang w:val="fr-FR"/>
        </w:rPr>
        <w:t> </w:t>
      </w:r>
      <w:r w:rsidR="005069B5" w:rsidRPr="00C11B13">
        <w:rPr>
          <w:bCs/>
          <w:lang w:val="fr-FR"/>
        </w:rPr>
        <w:t>1774</w:t>
      </w:r>
    </w:p>
    <w:p w14:paraId="376DC86B" w14:textId="2782BE3B" w:rsidR="005069B5" w:rsidRPr="00C11B13" w:rsidRDefault="005069B5" w:rsidP="005069B5">
      <w:pPr>
        <w:pStyle w:val="SingleTxtG"/>
        <w:rPr>
          <w:lang w:val="fr-FR"/>
        </w:rPr>
      </w:pPr>
      <w:r w:rsidRPr="00C11B13">
        <w:rPr>
          <w:lang w:val="fr-FR"/>
        </w:rPr>
        <w:t>15.</w:t>
      </w:r>
      <w:r w:rsidRPr="00C11B13">
        <w:rPr>
          <w:lang w:val="fr-FR"/>
        </w:rPr>
        <w:tab/>
        <w:t>À la suite de l</w:t>
      </w:r>
      <w:r>
        <w:rPr>
          <w:lang w:val="fr-FR"/>
        </w:rPr>
        <w:t>’</w:t>
      </w:r>
      <w:r w:rsidRPr="00C11B13">
        <w:rPr>
          <w:lang w:val="fr-FR"/>
        </w:rPr>
        <w:t>explication fournie par l</w:t>
      </w:r>
      <w:r>
        <w:rPr>
          <w:lang w:val="fr-FR"/>
        </w:rPr>
        <w:t>’</w:t>
      </w:r>
      <w:r w:rsidRPr="00C11B13">
        <w:rPr>
          <w:lang w:val="fr-FR"/>
        </w:rPr>
        <w:t>Espagne sur la base du document ECE/TRANS/WP.15/AC.1/HAR/2023/2/Rev.1, le Groupe de travail a noté que les charges d</w:t>
      </w:r>
      <w:r>
        <w:rPr>
          <w:lang w:val="fr-FR"/>
        </w:rPr>
        <w:t>’</w:t>
      </w:r>
      <w:r w:rsidRPr="00C11B13">
        <w:rPr>
          <w:lang w:val="fr-FR"/>
        </w:rPr>
        <w:t xml:space="preserve">extincteurs associées au </w:t>
      </w:r>
      <w:r>
        <w:rPr>
          <w:lang w:val="fr-FR"/>
        </w:rPr>
        <w:t>N</w:t>
      </w:r>
      <w:r w:rsidRPr="00C11B13">
        <w:rPr>
          <w:lang w:val="fr-FR"/>
        </w:rPr>
        <w:t>o</w:t>
      </w:r>
      <w:r w:rsidR="002A0EB3">
        <w:rPr>
          <w:lang w:val="fr-FR"/>
        </w:rPr>
        <w:t> </w:t>
      </w:r>
      <w:r w:rsidRPr="00C11B13">
        <w:rPr>
          <w:lang w:val="fr-FR"/>
        </w:rPr>
        <w:t>ONU</w:t>
      </w:r>
      <w:r w:rsidR="002A0EB3">
        <w:rPr>
          <w:lang w:val="fr-FR"/>
        </w:rPr>
        <w:t> </w:t>
      </w:r>
      <w:r w:rsidRPr="00C11B13">
        <w:rPr>
          <w:lang w:val="fr-FR"/>
        </w:rPr>
        <w:t>1774 ne devaient pas être considérées comme des objets et qu</w:t>
      </w:r>
      <w:r>
        <w:rPr>
          <w:lang w:val="fr-FR"/>
        </w:rPr>
        <w:t>’</w:t>
      </w:r>
      <w:r w:rsidRPr="00C11B13">
        <w:rPr>
          <w:lang w:val="fr-FR"/>
        </w:rPr>
        <w:t>il était donc justifié de les affecter à un groupe d</w:t>
      </w:r>
      <w:r>
        <w:rPr>
          <w:lang w:val="fr-FR"/>
        </w:rPr>
        <w:t>’</w:t>
      </w:r>
      <w:r w:rsidRPr="00C11B13">
        <w:rPr>
          <w:lang w:val="fr-FR"/>
        </w:rPr>
        <w:t>emballage.</w:t>
      </w:r>
    </w:p>
    <w:p w14:paraId="09AE73DC" w14:textId="5DC8B805" w:rsidR="005069B5" w:rsidRPr="00C11B13" w:rsidRDefault="00EF0A73" w:rsidP="005069B5">
      <w:pPr>
        <w:pStyle w:val="H23G"/>
        <w:keepNext w:val="0"/>
        <w:keepLines w:val="0"/>
        <w:widowControl w:val="0"/>
        <w:rPr>
          <w:lang w:val="fr-FR"/>
        </w:rPr>
      </w:pPr>
      <w:r>
        <w:rPr>
          <w:bCs/>
          <w:lang w:val="fr-FR"/>
        </w:rPr>
        <w:tab/>
      </w:r>
      <w:r w:rsidR="005069B5" w:rsidRPr="00C11B13">
        <w:rPr>
          <w:bCs/>
          <w:lang w:val="fr-FR"/>
        </w:rPr>
        <w:t>5.</w:t>
      </w:r>
      <w:r w:rsidR="005069B5" w:rsidRPr="00C11B13">
        <w:rPr>
          <w:lang w:val="fr-FR"/>
        </w:rPr>
        <w:tab/>
      </w:r>
      <w:r w:rsidR="005069B5" w:rsidRPr="00C11B13">
        <w:rPr>
          <w:bCs/>
          <w:lang w:val="fr-FR"/>
        </w:rPr>
        <w:t>Dispositions relatives à l</w:t>
      </w:r>
      <w:r w:rsidR="005069B5">
        <w:rPr>
          <w:bCs/>
          <w:lang w:val="fr-FR"/>
        </w:rPr>
        <w:t>’</w:t>
      </w:r>
      <w:r w:rsidR="005069B5" w:rsidRPr="00C11B13">
        <w:rPr>
          <w:bCs/>
          <w:lang w:val="fr-FR"/>
        </w:rPr>
        <w:t>emballage en commun pour le No</w:t>
      </w:r>
      <w:r w:rsidR="002A0EB3">
        <w:rPr>
          <w:bCs/>
          <w:lang w:val="fr-FR"/>
        </w:rPr>
        <w:t> </w:t>
      </w:r>
      <w:r w:rsidR="005069B5" w:rsidRPr="00C11B13">
        <w:rPr>
          <w:bCs/>
          <w:lang w:val="fr-FR"/>
        </w:rPr>
        <w:t>ONU</w:t>
      </w:r>
      <w:r w:rsidR="002A0EB3">
        <w:rPr>
          <w:bCs/>
          <w:lang w:val="fr-FR"/>
        </w:rPr>
        <w:t> </w:t>
      </w:r>
      <w:r w:rsidR="005069B5" w:rsidRPr="00C11B13">
        <w:rPr>
          <w:bCs/>
          <w:lang w:val="fr-FR"/>
        </w:rPr>
        <w:t xml:space="preserve">0514 </w:t>
      </w:r>
      <w:r w:rsidR="002A0EB3">
        <w:rPr>
          <w:bCs/>
          <w:lang w:val="fr-FR"/>
        </w:rPr>
        <w:br/>
      </w:r>
      <w:r w:rsidR="005069B5" w:rsidRPr="00C11B13">
        <w:rPr>
          <w:bCs/>
          <w:lang w:val="fr-FR"/>
        </w:rPr>
        <w:t>(Dispositifs d</w:t>
      </w:r>
      <w:r w:rsidR="005069B5">
        <w:rPr>
          <w:bCs/>
          <w:lang w:val="fr-FR"/>
        </w:rPr>
        <w:t>’</w:t>
      </w:r>
      <w:r w:rsidR="005069B5" w:rsidRPr="00C11B13">
        <w:rPr>
          <w:bCs/>
          <w:lang w:val="fr-FR"/>
        </w:rPr>
        <w:t>extinction par dispersion)</w:t>
      </w:r>
    </w:p>
    <w:p w14:paraId="049F813D" w14:textId="50FA6268" w:rsidR="005069B5" w:rsidRPr="00C11B13" w:rsidRDefault="005069B5" w:rsidP="005069B5">
      <w:pPr>
        <w:pStyle w:val="SingleTxtG"/>
        <w:rPr>
          <w:lang w:val="fr-FR"/>
        </w:rPr>
      </w:pPr>
      <w:r w:rsidRPr="00C11B13">
        <w:rPr>
          <w:lang w:val="fr-FR"/>
        </w:rPr>
        <w:t>16.</w:t>
      </w:r>
      <w:r w:rsidRPr="00C11B13">
        <w:rPr>
          <w:lang w:val="fr-FR"/>
        </w:rPr>
        <w:tab/>
        <w:t>Le Groupe de travail a maintenu entre crochets les dispositions</w:t>
      </w:r>
      <w:r w:rsidR="002A0EB3">
        <w:rPr>
          <w:lang w:val="fr-FR"/>
        </w:rPr>
        <w:t> </w:t>
      </w:r>
      <w:r w:rsidRPr="00C11B13">
        <w:rPr>
          <w:lang w:val="fr-FR"/>
        </w:rPr>
        <w:t>MP23 et MP24 relatives à l</w:t>
      </w:r>
      <w:r>
        <w:rPr>
          <w:lang w:val="fr-FR"/>
        </w:rPr>
        <w:t>’</w:t>
      </w:r>
      <w:r w:rsidRPr="00C11B13">
        <w:rPr>
          <w:lang w:val="fr-FR"/>
        </w:rPr>
        <w:t>emballage en commun dans l</w:t>
      </w:r>
      <w:r>
        <w:rPr>
          <w:lang w:val="fr-FR"/>
        </w:rPr>
        <w:t>’</w:t>
      </w:r>
      <w:r w:rsidRPr="00C11B13">
        <w:rPr>
          <w:lang w:val="fr-FR"/>
        </w:rPr>
        <w:t>attente d</w:t>
      </w:r>
      <w:r>
        <w:rPr>
          <w:lang w:val="fr-FR"/>
        </w:rPr>
        <w:t>’</w:t>
      </w:r>
      <w:r w:rsidRPr="00C11B13">
        <w:rPr>
          <w:lang w:val="fr-FR"/>
        </w:rPr>
        <w:t>éclaircissements sur la manière dont ces dispositifs sont transportés. La question sera portée à l</w:t>
      </w:r>
      <w:r>
        <w:rPr>
          <w:lang w:val="fr-FR"/>
        </w:rPr>
        <w:t>’</w:t>
      </w:r>
      <w:r w:rsidRPr="00C11B13">
        <w:rPr>
          <w:lang w:val="fr-FR"/>
        </w:rPr>
        <w:t>attention du Sous</w:t>
      </w:r>
      <w:r w:rsidR="002A0EB3">
        <w:rPr>
          <w:lang w:val="fr-FR"/>
        </w:rPr>
        <w:noBreakHyphen/>
      </w:r>
      <w:r w:rsidRPr="00C11B13">
        <w:rPr>
          <w:lang w:val="fr-FR"/>
        </w:rPr>
        <w:t>Comité TMD.</w:t>
      </w:r>
    </w:p>
    <w:p w14:paraId="762DAB1E" w14:textId="3AD55F92" w:rsidR="005069B5" w:rsidRPr="00C11B13" w:rsidRDefault="00EF0A73" w:rsidP="005069B5">
      <w:pPr>
        <w:pStyle w:val="H1G"/>
        <w:rPr>
          <w:lang w:val="fr-FR"/>
        </w:rPr>
      </w:pPr>
      <w:r>
        <w:rPr>
          <w:bCs/>
          <w:lang w:val="fr-FR"/>
        </w:rPr>
        <w:tab/>
      </w:r>
      <w:r w:rsidR="005069B5" w:rsidRPr="00C11B13">
        <w:rPr>
          <w:bCs/>
          <w:lang w:val="fr-FR"/>
        </w:rPr>
        <w:t>D.</w:t>
      </w:r>
      <w:r w:rsidR="005069B5" w:rsidRPr="00C11B13">
        <w:rPr>
          <w:lang w:val="fr-FR"/>
        </w:rPr>
        <w:tab/>
      </w:r>
      <w:r w:rsidR="005069B5" w:rsidRPr="00C11B13">
        <w:rPr>
          <w:bCs/>
          <w:lang w:val="fr-FR"/>
        </w:rPr>
        <w:t>Chapitre</w:t>
      </w:r>
      <w:r w:rsidR="002A0EB3">
        <w:rPr>
          <w:bCs/>
          <w:lang w:val="fr-FR"/>
        </w:rPr>
        <w:t> </w:t>
      </w:r>
      <w:r w:rsidR="005069B5" w:rsidRPr="00C11B13">
        <w:rPr>
          <w:bCs/>
          <w:lang w:val="fr-FR"/>
        </w:rPr>
        <w:t>3.3</w:t>
      </w:r>
    </w:p>
    <w:p w14:paraId="510A934F" w14:textId="37DEF4BD" w:rsidR="005069B5" w:rsidRPr="00C11B13" w:rsidRDefault="00EF0A73" w:rsidP="005069B5">
      <w:pPr>
        <w:pStyle w:val="H23G"/>
        <w:rPr>
          <w:lang w:val="fr-FR"/>
        </w:rPr>
      </w:pPr>
      <w:r>
        <w:rPr>
          <w:bCs/>
          <w:lang w:val="fr-FR"/>
        </w:rPr>
        <w:tab/>
      </w:r>
      <w:r w:rsidR="005069B5" w:rsidRPr="00C11B13">
        <w:rPr>
          <w:bCs/>
          <w:lang w:val="fr-FR"/>
        </w:rPr>
        <w:t>1.</w:t>
      </w:r>
      <w:r w:rsidR="005069B5" w:rsidRPr="00C11B13">
        <w:rPr>
          <w:lang w:val="fr-FR"/>
        </w:rPr>
        <w:tab/>
      </w:r>
      <w:r w:rsidR="005069B5" w:rsidRPr="00C11B13">
        <w:rPr>
          <w:bCs/>
          <w:lang w:val="fr-FR"/>
        </w:rPr>
        <w:t>Disposition spéciale</w:t>
      </w:r>
      <w:r w:rsidR="002A0EB3">
        <w:rPr>
          <w:bCs/>
          <w:lang w:val="fr-FR"/>
        </w:rPr>
        <w:t> </w:t>
      </w:r>
      <w:r w:rsidR="005069B5" w:rsidRPr="00C11B13">
        <w:rPr>
          <w:bCs/>
          <w:lang w:val="fr-FR"/>
        </w:rPr>
        <w:t>132</w:t>
      </w:r>
    </w:p>
    <w:p w14:paraId="1DC22FD1" w14:textId="3424C401" w:rsidR="005069B5" w:rsidRPr="00C11B13" w:rsidRDefault="005069B5" w:rsidP="005069B5">
      <w:pPr>
        <w:pStyle w:val="SingleTxtG"/>
        <w:rPr>
          <w:lang w:val="fr-FR"/>
        </w:rPr>
      </w:pPr>
      <w:r w:rsidRPr="00C11B13">
        <w:rPr>
          <w:lang w:val="fr-FR"/>
        </w:rPr>
        <w:t>17.</w:t>
      </w:r>
      <w:r w:rsidRPr="00C11B13">
        <w:rPr>
          <w:lang w:val="fr-FR"/>
        </w:rPr>
        <w:tab/>
        <w:t>S</w:t>
      </w:r>
      <w:r>
        <w:rPr>
          <w:lang w:val="fr-FR"/>
        </w:rPr>
        <w:t>’</w:t>
      </w:r>
      <w:r w:rsidRPr="00C11B13">
        <w:rPr>
          <w:lang w:val="fr-FR"/>
        </w:rPr>
        <w:t>agissant du No</w:t>
      </w:r>
      <w:r w:rsidR="002A0EB3">
        <w:rPr>
          <w:lang w:val="fr-FR"/>
        </w:rPr>
        <w:t> </w:t>
      </w:r>
      <w:r w:rsidRPr="00C11B13">
        <w:rPr>
          <w:lang w:val="fr-FR"/>
        </w:rPr>
        <w:t>ONU</w:t>
      </w:r>
      <w:r w:rsidR="002A0EB3">
        <w:rPr>
          <w:lang w:val="fr-FR"/>
        </w:rPr>
        <w:t> </w:t>
      </w:r>
      <w:r w:rsidRPr="00C11B13">
        <w:rPr>
          <w:lang w:val="fr-FR"/>
        </w:rPr>
        <w:t>3555, le Groupe de travail a recommandé que l</w:t>
      </w:r>
      <w:r>
        <w:rPr>
          <w:lang w:val="fr-FR"/>
        </w:rPr>
        <w:t>’</w:t>
      </w:r>
      <w:r w:rsidRPr="00C11B13">
        <w:rPr>
          <w:lang w:val="fr-FR"/>
        </w:rPr>
        <w:t>instruction d</w:t>
      </w:r>
      <w:r>
        <w:rPr>
          <w:lang w:val="fr-FR"/>
        </w:rPr>
        <w:t>’</w:t>
      </w:r>
      <w:r w:rsidRPr="00C11B13">
        <w:rPr>
          <w:lang w:val="fr-FR"/>
        </w:rPr>
        <w:t>emballage</w:t>
      </w:r>
      <w:r w:rsidR="002A0EB3">
        <w:rPr>
          <w:lang w:val="fr-FR"/>
        </w:rPr>
        <w:t> </w:t>
      </w:r>
      <w:r w:rsidRPr="00C11B13">
        <w:rPr>
          <w:lang w:val="fr-FR"/>
        </w:rPr>
        <w:t>P303 soit adoptée pour le RID et l</w:t>
      </w:r>
      <w:r>
        <w:rPr>
          <w:lang w:val="fr-FR"/>
        </w:rPr>
        <w:t>’</w:t>
      </w:r>
      <w:r w:rsidRPr="00C11B13">
        <w:rPr>
          <w:lang w:val="fr-FR"/>
        </w:rPr>
        <w:t>ADR, mais sans la prescription supplémentaire déjà couverte par la</w:t>
      </w:r>
      <w:r w:rsidR="002A0EB3">
        <w:rPr>
          <w:lang w:val="fr-FR"/>
        </w:rPr>
        <w:t xml:space="preserve"> </w:t>
      </w:r>
      <w:r w:rsidRPr="00C11B13">
        <w:rPr>
          <w:lang w:val="fr-FR"/>
        </w:rPr>
        <w:t>CW29 dans le RID. Pour l</w:t>
      </w:r>
      <w:r>
        <w:rPr>
          <w:lang w:val="fr-FR"/>
        </w:rPr>
        <w:t>’</w:t>
      </w:r>
      <w:r w:rsidRPr="00C11B13">
        <w:rPr>
          <w:lang w:val="fr-FR"/>
        </w:rPr>
        <w:t>ADR, il a été proposé d</w:t>
      </w:r>
      <w:r>
        <w:rPr>
          <w:lang w:val="fr-FR"/>
        </w:rPr>
        <w:t>’</w:t>
      </w:r>
      <w:r w:rsidRPr="00C11B13">
        <w:rPr>
          <w:lang w:val="fr-FR"/>
        </w:rPr>
        <w:t>ajouter une nouvelle disposition</w:t>
      </w:r>
      <w:r w:rsidR="002A0EB3">
        <w:rPr>
          <w:lang w:val="fr-FR"/>
        </w:rPr>
        <w:t> </w:t>
      </w:r>
      <w:r w:rsidRPr="00C11B13">
        <w:rPr>
          <w:lang w:val="fr-FR"/>
        </w:rPr>
        <w:t>CV29 au 7.5.11, identique à la CW29, et de l</w:t>
      </w:r>
      <w:r>
        <w:rPr>
          <w:lang w:val="fr-FR"/>
        </w:rPr>
        <w:t>’</w:t>
      </w:r>
      <w:r w:rsidRPr="00C11B13">
        <w:rPr>
          <w:lang w:val="fr-FR"/>
        </w:rPr>
        <w:t>appliquer aux mêmes matières que dans le RID.</w:t>
      </w:r>
    </w:p>
    <w:p w14:paraId="3DB130E7" w14:textId="79E98DB7" w:rsidR="005069B5" w:rsidRPr="00C11B13" w:rsidRDefault="005069B5" w:rsidP="005069B5">
      <w:pPr>
        <w:pStyle w:val="SingleTxtG"/>
        <w:rPr>
          <w:lang w:val="fr-FR"/>
        </w:rPr>
      </w:pPr>
      <w:r w:rsidRPr="00C11B13">
        <w:rPr>
          <w:lang w:val="fr-FR"/>
        </w:rPr>
        <w:t>18.</w:t>
      </w:r>
      <w:r w:rsidRPr="00C11B13">
        <w:rPr>
          <w:lang w:val="fr-FR"/>
        </w:rPr>
        <w:tab/>
        <w:t>Le Groupe de travail a décidé de ne pas appliquer la disposition spéciale</w:t>
      </w:r>
      <w:r w:rsidR="00B147CF">
        <w:rPr>
          <w:lang w:val="fr-FR"/>
        </w:rPr>
        <w:t> </w:t>
      </w:r>
      <w:r w:rsidRPr="00C11B13">
        <w:rPr>
          <w:lang w:val="fr-FR"/>
        </w:rPr>
        <w:t>132 du Règlement type au No</w:t>
      </w:r>
      <w:r w:rsidR="00B147CF">
        <w:rPr>
          <w:lang w:val="fr-FR"/>
        </w:rPr>
        <w:t> </w:t>
      </w:r>
      <w:r w:rsidRPr="00C11B13">
        <w:rPr>
          <w:lang w:val="fr-FR"/>
        </w:rPr>
        <w:t>ONU</w:t>
      </w:r>
      <w:r w:rsidR="00B147CF">
        <w:rPr>
          <w:lang w:val="fr-FR"/>
        </w:rPr>
        <w:t> </w:t>
      </w:r>
      <w:r w:rsidRPr="00B24565">
        <w:rPr>
          <w:lang w:val="fr-FR"/>
        </w:rPr>
        <w:t>3555, déjà</w:t>
      </w:r>
      <w:r w:rsidRPr="00C11B13">
        <w:rPr>
          <w:lang w:val="fr-FR"/>
        </w:rPr>
        <w:t xml:space="preserve"> couvert par la CV14 de l</w:t>
      </w:r>
      <w:r>
        <w:rPr>
          <w:lang w:val="fr-FR"/>
        </w:rPr>
        <w:t>’</w:t>
      </w:r>
      <w:r w:rsidRPr="00C11B13">
        <w:rPr>
          <w:lang w:val="fr-FR"/>
        </w:rPr>
        <w:t>ADR. Pour le RID, il a été proposé d</w:t>
      </w:r>
      <w:r>
        <w:rPr>
          <w:lang w:val="fr-FR"/>
        </w:rPr>
        <w:t>’</w:t>
      </w:r>
      <w:r w:rsidRPr="00C11B13">
        <w:rPr>
          <w:lang w:val="fr-FR"/>
        </w:rPr>
        <w:t>ajouter une nouvelle disposition</w:t>
      </w:r>
      <w:r w:rsidR="00B147CF">
        <w:rPr>
          <w:lang w:val="fr-FR"/>
        </w:rPr>
        <w:t> </w:t>
      </w:r>
      <w:r w:rsidRPr="00C11B13">
        <w:rPr>
          <w:lang w:val="fr-FR"/>
        </w:rPr>
        <w:t>CW14 au</w:t>
      </w:r>
      <w:r w:rsidR="00B147CF">
        <w:rPr>
          <w:lang w:val="fr-FR"/>
        </w:rPr>
        <w:t> </w:t>
      </w:r>
      <w:r w:rsidRPr="00C11B13">
        <w:rPr>
          <w:lang w:val="fr-FR"/>
        </w:rPr>
        <w:t>7.5.11, identique à la CV14, et de l</w:t>
      </w:r>
      <w:r>
        <w:rPr>
          <w:lang w:val="fr-FR"/>
        </w:rPr>
        <w:t>’</w:t>
      </w:r>
      <w:r w:rsidRPr="00C11B13">
        <w:rPr>
          <w:lang w:val="fr-FR"/>
        </w:rPr>
        <w:t>appliquer aux mêmes matières que dans l</w:t>
      </w:r>
      <w:r>
        <w:rPr>
          <w:lang w:val="fr-FR"/>
        </w:rPr>
        <w:t>’</w:t>
      </w:r>
      <w:r w:rsidRPr="00C11B13">
        <w:rPr>
          <w:lang w:val="fr-FR"/>
        </w:rPr>
        <w:t>ADR.</w:t>
      </w:r>
    </w:p>
    <w:p w14:paraId="51ADEECD" w14:textId="50BEA340" w:rsidR="005069B5" w:rsidRPr="00C11B13" w:rsidRDefault="00EF0A73" w:rsidP="005069B5">
      <w:pPr>
        <w:pStyle w:val="H23G"/>
        <w:rPr>
          <w:lang w:val="fr-FR"/>
        </w:rPr>
      </w:pPr>
      <w:r>
        <w:rPr>
          <w:bCs/>
          <w:lang w:val="fr-FR"/>
        </w:rPr>
        <w:tab/>
      </w:r>
      <w:r w:rsidR="005069B5" w:rsidRPr="00C11B13">
        <w:rPr>
          <w:bCs/>
          <w:lang w:val="fr-FR"/>
        </w:rPr>
        <w:t>2.</w:t>
      </w:r>
      <w:r w:rsidR="005069B5" w:rsidRPr="00C11B13">
        <w:rPr>
          <w:lang w:val="fr-FR"/>
        </w:rPr>
        <w:tab/>
      </w:r>
      <w:r w:rsidR="005069B5" w:rsidRPr="00C11B13">
        <w:rPr>
          <w:bCs/>
          <w:lang w:val="fr-FR"/>
        </w:rPr>
        <w:t>Disposition spéciale</w:t>
      </w:r>
      <w:r w:rsidR="00B147CF">
        <w:rPr>
          <w:bCs/>
          <w:lang w:val="fr-FR"/>
        </w:rPr>
        <w:t> </w:t>
      </w:r>
      <w:r w:rsidR="005069B5" w:rsidRPr="00C11B13">
        <w:rPr>
          <w:bCs/>
          <w:lang w:val="fr-FR"/>
        </w:rPr>
        <w:t>401</w:t>
      </w:r>
    </w:p>
    <w:p w14:paraId="18AF02FF" w14:textId="6CE9548E" w:rsidR="005069B5" w:rsidRPr="00C11B13" w:rsidRDefault="005069B5" w:rsidP="005069B5">
      <w:pPr>
        <w:pStyle w:val="SingleTxtG"/>
        <w:rPr>
          <w:lang w:val="fr-FR"/>
        </w:rPr>
      </w:pPr>
      <w:r w:rsidRPr="00C11B13">
        <w:rPr>
          <w:lang w:val="fr-FR"/>
        </w:rPr>
        <w:t>19.</w:t>
      </w:r>
      <w:r w:rsidRPr="00C11B13">
        <w:rPr>
          <w:lang w:val="fr-FR"/>
        </w:rPr>
        <w:tab/>
        <w:t>Le Groupe de travail a proposé de supprimer la description du No</w:t>
      </w:r>
      <w:r w:rsidR="008D26EE">
        <w:rPr>
          <w:lang w:val="fr-FR"/>
        </w:rPr>
        <w:t> </w:t>
      </w:r>
      <w:r w:rsidRPr="00C11B13">
        <w:rPr>
          <w:lang w:val="fr-FR"/>
        </w:rPr>
        <w:t>ONU</w:t>
      </w:r>
      <w:r w:rsidR="008D26EE">
        <w:rPr>
          <w:lang w:val="fr-FR"/>
        </w:rPr>
        <w:t> </w:t>
      </w:r>
      <w:r w:rsidRPr="00C11B13">
        <w:rPr>
          <w:lang w:val="fr-FR"/>
        </w:rPr>
        <w:t>2795 dans la disposition spéciale</w:t>
      </w:r>
      <w:r w:rsidR="00B24565">
        <w:rPr>
          <w:lang w:val="fr-FR"/>
        </w:rPr>
        <w:t> </w:t>
      </w:r>
      <w:r w:rsidRPr="00C11B13">
        <w:rPr>
          <w:lang w:val="fr-FR"/>
        </w:rPr>
        <w:t>401 à des fins d</w:t>
      </w:r>
      <w:r>
        <w:rPr>
          <w:lang w:val="fr-FR"/>
        </w:rPr>
        <w:t>’</w:t>
      </w:r>
      <w:r w:rsidRPr="00C11B13">
        <w:rPr>
          <w:lang w:val="fr-FR"/>
        </w:rPr>
        <w:t>harmonisation avec les références à d</w:t>
      </w:r>
      <w:r>
        <w:rPr>
          <w:lang w:val="fr-FR"/>
        </w:rPr>
        <w:t>’</w:t>
      </w:r>
      <w:r w:rsidRPr="00C11B13">
        <w:rPr>
          <w:lang w:val="fr-FR"/>
        </w:rPr>
        <w:t>autres numéros ONU faites dans la même disposition spéciale. Il a également proposé d</w:t>
      </w:r>
      <w:r>
        <w:rPr>
          <w:lang w:val="fr-FR"/>
        </w:rPr>
        <w:t>’</w:t>
      </w:r>
      <w:r w:rsidRPr="00C11B13">
        <w:rPr>
          <w:lang w:val="fr-FR"/>
        </w:rPr>
        <w:t>ajouter une référence aux batteries contenant du sodium métallique ou un alliage de sodium dans cette disposition spéciale. La question sera portée à l</w:t>
      </w:r>
      <w:r>
        <w:rPr>
          <w:lang w:val="fr-FR"/>
        </w:rPr>
        <w:t>’</w:t>
      </w:r>
      <w:r w:rsidRPr="00C11B13">
        <w:rPr>
          <w:lang w:val="fr-FR"/>
        </w:rPr>
        <w:t>attention du Sous-Comité TMD.</w:t>
      </w:r>
    </w:p>
    <w:p w14:paraId="0D129FEB" w14:textId="0844690E" w:rsidR="005069B5" w:rsidRPr="00C11B13" w:rsidRDefault="00EF0A73" w:rsidP="005069B5">
      <w:pPr>
        <w:pStyle w:val="H23G"/>
        <w:keepNext w:val="0"/>
        <w:keepLines w:val="0"/>
        <w:widowControl w:val="0"/>
        <w:rPr>
          <w:lang w:val="fr-FR"/>
        </w:rPr>
      </w:pPr>
      <w:r>
        <w:rPr>
          <w:bCs/>
          <w:lang w:val="fr-FR"/>
        </w:rPr>
        <w:tab/>
      </w:r>
      <w:r w:rsidR="005069B5" w:rsidRPr="00C11B13">
        <w:rPr>
          <w:bCs/>
          <w:lang w:val="fr-FR"/>
        </w:rPr>
        <w:t>3.</w:t>
      </w:r>
      <w:r w:rsidR="005069B5" w:rsidRPr="00C11B13">
        <w:rPr>
          <w:lang w:val="fr-FR"/>
        </w:rPr>
        <w:tab/>
      </w:r>
      <w:r w:rsidR="005069B5" w:rsidRPr="00C11B13">
        <w:rPr>
          <w:bCs/>
          <w:lang w:val="fr-FR"/>
        </w:rPr>
        <w:t>Disposition spéciale</w:t>
      </w:r>
      <w:r w:rsidR="00B147CF">
        <w:rPr>
          <w:bCs/>
          <w:lang w:val="fr-FR"/>
        </w:rPr>
        <w:t> </w:t>
      </w:r>
      <w:r w:rsidR="005069B5" w:rsidRPr="00C11B13">
        <w:rPr>
          <w:bCs/>
          <w:lang w:val="fr-FR"/>
        </w:rPr>
        <w:t>403</w:t>
      </w:r>
    </w:p>
    <w:p w14:paraId="1E8DC574" w14:textId="5C10331E" w:rsidR="005069B5" w:rsidRPr="00C11B13" w:rsidRDefault="005069B5" w:rsidP="005069B5">
      <w:pPr>
        <w:pStyle w:val="SingleTxtG"/>
        <w:rPr>
          <w:lang w:val="fr-FR"/>
        </w:rPr>
      </w:pPr>
      <w:r w:rsidRPr="00C11B13">
        <w:rPr>
          <w:lang w:val="fr-FR"/>
        </w:rPr>
        <w:t>20.</w:t>
      </w:r>
      <w:r w:rsidRPr="00C11B13">
        <w:rPr>
          <w:lang w:val="fr-FR"/>
        </w:rPr>
        <w:tab/>
        <w:t>En ce qui concerne la disposition spéciale</w:t>
      </w:r>
      <w:r w:rsidR="00B147CF">
        <w:rPr>
          <w:lang w:val="fr-FR"/>
        </w:rPr>
        <w:t> </w:t>
      </w:r>
      <w:r w:rsidRPr="00C11B13">
        <w:rPr>
          <w:lang w:val="fr-FR"/>
        </w:rPr>
        <w:t>403, le Groupe de travail a proposé de remplacer «</w:t>
      </w:r>
      <w:r w:rsidR="00B24565">
        <w:rPr>
          <w:lang w:val="fr-FR"/>
        </w:rPr>
        <w:t> </w:t>
      </w:r>
      <w:r w:rsidRPr="00C11B13">
        <w:rPr>
          <w:lang w:val="fr-FR"/>
        </w:rPr>
        <w:t>according to » par « in accordance with » dans le texte anglais. Cette correction d</w:t>
      </w:r>
      <w:r>
        <w:rPr>
          <w:lang w:val="fr-FR"/>
        </w:rPr>
        <w:t>’</w:t>
      </w:r>
      <w:r w:rsidRPr="00C11B13">
        <w:rPr>
          <w:lang w:val="fr-FR"/>
        </w:rPr>
        <w:t>ordre rédactionnel, sans objet en français, sera portée à l</w:t>
      </w:r>
      <w:r>
        <w:rPr>
          <w:lang w:val="fr-FR"/>
        </w:rPr>
        <w:t>’</w:t>
      </w:r>
      <w:r w:rsidRPr="00C11B13">
        <w:rPr>
          <w:lang w:val="fr-FR"/>
        </w:rPr>
        <w:t>attention du Sous</w:t>
      </w:r>
      <w:r w:rsidR="00B147CF">
        <w:rPr>
          <w:lang w:val="fr-FR"/>
        </w:rPr>
        <w:noBreakHyphen/>
      </w:r>
      <w:r w:rsidRPr="00C11B13">
        <w:rPr>
          <w:lang w:val="fr-FR"/>
        </w:rPr>
        <w:t>Comité TMD.</w:t>
      </w:r>
    </w:p>
    <w:p w14:paraId="3FDCA6C4" w14:textId="218F6D4F" w:rsidR="005069B5" w:rsidRPr="00C11B13" w:rsidRDefault="00EF0A73" w:rsidP="005069B5">
      <w:pPr>
        <w:pStyle w:val="H23G"/>
        <w:keepNext w:val="0"/>
        <w:keepLines w:val="0"/>
        <w:widowControl w:val="0"/>
        <w:rPr>
          <w:lang w:val="fr-FR"/>
        </w:rPr>
      </w:pPr>
      <w:r>
        <w:rPr>
          <w:bCs/>
          <w:lang w:val="fr-FR"/>
        </w:rPr>
        <w:tab/>
      </w:r>
      <w:r w:rsidR="005069B5" w:rsidRPr="00C11B13">
        <w:rPr>
          <w:bCs/>
          <w:lang w:val="fr-FR"/>
        </w:rPr>
        <w:t>4.</w:t>
      </w:r>
      <w:r w:rsidR="005069B5" w:rsidRPr="00C11B13">
        <w:rPr>
          <w:lang w:val="fr-FR"/>
        </w:rPr>
        <w:tab/>
      </w:r>
      <w:r w:rsidR="005069B5" w:rsidRPr="00C11B13">
        <w:rPr>
          <w:bCs/>
          <w:lang w:val="fr-FR"/>
        </w:rPr>
        <w:t>Disposition spéciale</w:t>
      </w:r>
      <w:r w:rsidR="00B147CF">
        <w:rPr>
          <w:bCs/>
          <w:lang w:val="fr-FR"/>
        </w:rPr>
        <w:t> </w:t>
      </w:r>
      <w:r w:rsidR="005069B5" w:rsidRPr="00C11B13">
        <w:rPr>
          <w:bCs/>
          <w:lang w:val="fr-FR"/>
        </w:rPr>
        <w:t>405</w:t>
      </w:r>
    </w:p>
    <w:p w14:paraId="0EF68CD1" w14:textId="5CBB427B" w:rsidR="005069B5" w:rsidRPr="00C11B13" w:rsidRDefault="005069B5" w:rsidP="005069B5">
      <w:pPr>
        <w:pStyle w:val="SingleTxtG"/>
        <w:widowControl w:val="0"/>
        <w:rPr>
          <w:lang w:val="fr-FR"/>
        </w:rPr>
      </w:pPr>
      <w:r w:rsidRPr="00C11B13">
        <w:rPr>
          <w:lang w:val="fr-FR"/>
        </w:rPr>
        <w:t>21.</w:t>
      </w:r>
      <w:r w:rsidRPr="00C11B13">
        <w:rPr>
          <w:lang w:val="fr-FR"/>
        </w:rPr>
        <w:tab/>
        <w:t>Le Groupe de travail a recommandé que le texte de la nouvelle disposition spéciale</w:t>
      </w:r>
      <w:r w:rsidR="00B147CF">
        <w:rPr>
          <w:lang w:val="fr-FR"/>
        </w:rPr>
        <w:t> </w:t>
      </w:r>
      <w:r w:rsidRPr="00C11B13">
        <w:rPr>
          <w:lang w:val="fr-FR"/>
        </w:rPr>
        <w:t>405 soit inséré dans l</w:t>
      </w:r>
      <w:r>
        <w:rPr>
          <w:lang w:val="fr-FR"/>
        </w:rPr>
        <w:t>’</w:t>
      </w:r>
      <w:r w:rsidRPr="00C11B13">
        <w:rPr>
          <w:lang w:val="fr-FR"/>
        </w:rPr>
        <w:t>actuelle disposition spéciale</w:t>
      </w:r>
      <w:r w:rsidR="00B147CF">
        <w:rPr>
          <w:lang w:val="fr-FR"/>
        </w:rPr>
        <w:t> </w:t>
      </w:r>
      <w:r w:rsidRPr="00C11B13">
        <w:rPr>
          <w:lang w:val="fr-FR"/>
        </w:rPr>
        <w:t xml:space="preserve">666 du RID/ADR/ADN relative aux équipements mus par des accumulateurs et aux véhicules transportés en tant que </w:t>
      </w:r>
      <w:r w:rsidRPr="00C11B13">
        <w:rPr>
          <w:lang w:val="fr-FR"/>
        </w:rPr>
        <w:lastRenderedPageBreak/>
        <w:t>chargement. La formulation de la nouvelle disposition spéciale</w:t>
      </w:r>
      <w:r w:rsidR="00B147CF">
        <w:rPr>
          <w:lang w:val="fr-FR"/>
        </w:rPr>
        <w:t> </w:t>
      </w:r>
      <w:r w:rsidRPr="00C11B13">
        <w:rPr>
          <w:lang w:val="fr-FR"/>
        </w:rPr>
        <w:t>405 a été améliorée et la modification d</w:t>
      </w:r>
      <w:r>
        <w:rPr>
          <w:lang w:val="fr-FR"/>
        </w:rPr>
        <w:t>’</w:t>
      </w:r>
      <w:r w:rsidRPr="00C11B13">
        <w:rPr>
          <w:lang w:val="fr-FR"/>
        </w:rPr>
        <w:t>ordre rédactionnel qui en découle sera portée à l</w:t>
      </w:r>
      <w:r>
        <w:rPr>
          <w:lang w:val="fr-FR"/>
        </w:rPr>
        <w:t>’</w:t>
      </w:r>
      <w:r w:rsidRPr="00C11B13">
        <w:rPr>
          <w:lang w:val="fr-FR"/>
        </w:rPr>
        <w:t>attention du Sous</w:t>
      </w:r>
      <w:r w:rsidR="00B147CF">
        <w:rPr>
          <w:lang w:val="fr-FR"/>
        </w:rPr>
        <w:noBreakHyphen/>
      </w:r>
      <w:r w:rsidRPr="00C11B13">
        <w:rPr>
          <w:lang w:val="fr-FR"/>
        </w:rPr>
        <w:t>Comité TMD.</w:t>
      </w:r>
    </w:p>
    <w:p w14:paraId="2384D8B6" w14:textId="6BCB9F5B" w:rsidR="005069B5" w:rsidRPr="00C11B13" w:rsidRDefault="00EF0A73" w:rsidP="005069B5">
      <w:pPr>
        <w:pStyle w:val="H1G"/>
        <w:keepNext w:val="0"/>
        <w:keepLines w:val="0"/>
        <w:widowControl w:val="0"/>
        <w:rPr>
          <w:lang w:val="fr-FR"/>
        </w:rPr>
      </w:pPr>
      <w:r>
        <w:rPr>
          <w:bCs/>
          <w:lang w:val="fr-FR"/>
        </w:rPr>
        <w:tab/>
      </w:r>
      <w:r w:rsidR="005069B5" w:rsidRPr="00C11B13">
        <w:rPr>
          <w:bCs/>
          <w:lang w:val="fr-FR"/>
        </w:rPr>
        <w:t>E.</w:t>
      </w:r>
      <w:r w:rsidR="005069B5" w:rsidRPr="00C11B13">
        <w:rPr>
          <w:lang w:val="fr-FR"/>
        </w:rPr>
        <w:tab/>
      </w:r>
      <w:r w:rsidR="005069B5" w:rsidRPr="00C11B13">
        <w:rPr>
          <w:bCs/>
          <w:lang w:val="fr-FR"/>
        </w:rPr>
        <w:t>Chapitre</w:t>
      </w:r>
      <w:r w:rsidR="00B147CF">
        <w:rPr>
          <w:bCs/>
          <w:lang w:val="fr-FR"/>
        </w:rPr>
        <w:t> </w:t>
      </w:r>
      <w:r w:rsidR="005069B5" w:rsidRPr="00C11B13">
        <w:rPr>
          <w:bCs/>
          <w:lang w:val="fr-FR"/>
        </w:rPr>
        <w:t>4.1</w:t>
      </w:r>
    </w:p>
    <w:p w14:paraId="3A7A8D18" w14:textId="17B4ADAB" w:rsidR="005069B5" w:rsidRPr="00C11B13" w:rsidRDefault="00EF0A73" w:rsidP="005069B5">
      <w:pPr>
        <w:pStyle w:val="H23G"/>
        <w:keepNext w:val="0"/>
        <w:keepLines w:val="0"/>
        <w:widowControl w:val="0"/>
        <w:rPr>
          <w:lang w:val="fr-FR"/>
        </w:rPr>
      </w:pPr>
      <w:r>
        <w:rPr>
          <w:bCs/>
          <w:lang w:val="fr-FR"/>
        </w:rPr>
        <w:tab/>
      </w:r>
      <w:r w:rsidR="005069B5" w:rsidRPr="00C11B13">
        <w:rPr>
          <w:bCs/>
          <w:lang w:val="fr-FR"/>
        </w:rPr>
        <w:t>1.</w:t>
      </w:r>
      <w:r w:rsidR="005069B5" w:rsidRPr="00C11B13">
        <w:rPr>
          <w:lang w:val="fr-FR"/>
        </w:rPr>
        <w:tab/>
      </w:r>
      <w:r w:rsidR="005069B5" w:rsidRPr="00C11B13">
        <w:rPr>
          <w:bCs/>
          <w:lang w:val="fr-FR"/>
        </w:rPr>
        <w:t>4.1.4.1,</w:t>
      </w:r>
      <w:r w:rsidR="00B147CF">
        <w:rPr>
          <w:bCs/>
          <w:lang w:val="fr-FR"/>
        </w:rPr>
        <w:t> </w:t>
      </w:r>
      <w:r w:rsidR="005069B5" w:rsidRPr="00C11B13">
        <w:rPr>
          <w:bCs/>
          <w:lang w:val="fr-FR"/>
        </w:rPr>
        <w:t>P200, tableau</w:t>
      </w:r>
      <w:r w:rsidR="00B147CF">
        <w:rPr>
          <w:bCs/>
          <w:lang w:val="fr-FR"/>
        </w:rPr>
        <w:t> </w:t>
      </w:r>
      <w:r w:rsidR="005069B5" w:rsidRPr="00C11B13">
        <w:rPr>
          <w:bCs/>
          <w:lang w:val="fr-FR"/>
        </w:rPr>
        <w:t>2</w:t>
      </w:r>
    </w:p>
    <w:p w14:paraId="0A83966E" w14:textId="39503BB0" w:rsidR="005069B5" w:rsidRPr="00C11B13" w:rsidRDefault="005069B5" w:rsidP="005069B5">
      <w:pPr>
        <w:pStyle w:val="SingleTxtG"/>
        <w:rPr>
          <w:lang w:val="fr-FR"/>
        </w:rPr>
      </w:pPr>
      <w:r w:rsidRPr="00C11B13">
        <w:rPr>
          <w:lang w:val="fr-FR"/>
        </w:rPr>
        <w:t>22.</w:t>
      </w:r>
      <w:r w:rsidRPr="00C11B13">
        <w:rPr>
          <w:lang w:val="fr-FR"/>
        </w:rPr>
        <w:tab/>
        <w:t xml:space="preserve">Le Groupe de travail a confirmé que la </w:t>
      </w:r>
      <w:r>
        <w:rPr>
          <w:lang w:val="fr-FR"/>
        </w:rPr>
        <w:t>référence</w:t>
      </w:r>
      <w:r w:rsidRPr="00C11B13">
        <w:rPr>
          <w:lang w:val="fr-FR"/>
        </w:rPr>
        <w:t xml:space="preserve"> à l</w:t>
      </w:r>
      <w:r>
        <w:rPr>
          <w:lang w:val="fr-FR"/>
        </w:rPr>
        <w:t>’</w:t>
      </w:r>
      <w:r w:rsidRPr="00C11B13">
        <w:rPr>
          <w:lang w:val="fr-FR"/>
        </w:rPr>
        <w:t>épreuve de pression de 52</w:t>
      </w:r>
      <w:r w:rsidR="00B147CF">
        <w:rPr>
          <w:lang w:val="fr-FR"/>
        </w:rPr>
        <w:t> </w:t>
      </w:r>
      <w:r w:rsidRPr="00C11B13">
        <w:rPr>
          <w:lang w:val="fr-FR"/>
        </w:rPr>
        <w:t>bar</w:t>
      </w:r>
      <w:r w:rsidR="00F564D0">
        <w:rPr>
          <w:lang w:val="fr-FR"/>
        </w:rPr>
        <w:t>s</w:t>
      </w:r>
      <w:r w:rsidRPr="00C11B13">
        <w:rPr>
          <w:lang w:val="fr-FR"/>
        </w:rPr>
        <w:t xml:space="preserve"> pour les Nos</w:t>
      </w:r>
      <w:r w:rsidR="00B147CF">
        <w:rPr>
          <w:lang w:val="fr-FR"/>
        </w:rPr>
        <w:t> </w:t>
      </w:r>
      <w:r w:rsidRPr="00C11B13">
        <w:rPr>
          <w:lang w:val="fr-FR"/>
        </w:rPr>
        <w:t>ONU</w:t>
      </w:r>
      <w:r w:rsidR="00B147CF">
        <w:rPr>
          <w:lang w:val="fr-FR"/>
        </w:rPr>
        <w:t> </w:t>
      </w:r>
      <w:r w:rsidRPr="00C11B13">
        <w:rPr>
          <w:lang w:val="fr-FR"/>
        </w:rPr>
        <w:t>1001 et 3374 ne devait pas être incluse dans le tableau</w:t>
      </w:r>
      <w:r w:rsidR="00B147CF">
        <w:rPr>
          <w:lang w:val="fr-FR"/>
        </w:rPr>
        <w:t> </w:t>
      </w:r>
      <w:r w:rsidRPr="00C11B13">
        <w:rPr>
          <w:lang w:val="fr-FR"/>
        </w:rPr>
        <w:t>2 de l</w:t>
      </w:r>
      <w:r>
        <w:rPr>
          <w:lang w:val="fr-FR"/>
        </w:rPr>
        <w:t>’</w:t>
      </w:r>
      <w:r w:rsidRPr="00C11B13">
        <w:rPr>
          <w:lang w:val="fr-FR"/>
        </w:rPr>
        <w:t>instruction d</w:t>
      </w:r>
      <w:r>
        <w:rPr>
          <w:lang w:val="fr-FR"/>
        </w:rPr>
        <w:t>’</w:t>
      </w:r>
      <w:r w:rsidRPr="00C11B13">
        <w:rPr>
          <w:lang w:val="fr-FR"/>
        </w:rPr>
        <w:t>emballage P200 du RID et de l</w:t>
      </w:r>
      <w:r>
        <w:rPr>
          <w:lang w:val="fr-FR"/>
        </w:rPr>
        <w:t>’</w:t>
      </w:r>
      <w:r w:rsidRPr="00C11B13">
        <w:rPr>
          <w:lang w:val="fr-FR"/>
        </w:rPr>
        <w:t>ADR, conformément à la décision prise par la Réunion commune lors de l</w:t>
      </w:r>
      <w:r>
        <w:rPr>
          <w:lang w:val="fr-FR"/>
        </w:rPr>
        <w:t>’</w:t>
      </w:r>
      <w:r w:rsidRPr="00C11B13">
        <w:rPr>
          <w:lang w:val="fr-FR"/>
        </w:rPr>
        <w:t>alignement de l</w:t>
      </w:r>
      <w:r>
        <w:rPr>
          <w:lang w:val="fr-FR"/>
        </w:rPr>
        <w:t>’</w:t>
      </w:r>
      <w:r w:rsidRPr="00C11B13">
        <w:rPr>
          <w:lang w:val="fr-FR"/>
        </w:rPr>
        <w:t>instruction d</w:t>
      </w:r>
      <w:r>
        <w:rPr>
          <w:lang w:val="fr-FR"/>
        </w:rPr>
        <w:t>’</w:t>
      </w:r>
      <w:r w:rsidRPr="00C11B13">
        <w:rPr>
          <w:lang w:val="fr-FR"/>
        </w:rPr>
        <w:t>emballage</w:t>
      </w:r>
      <w:r w:rsidR="00B147CF">
        <w:rPr>
          <w:lang w:val="fr-FR"/>
        </w:rPr>
        <w:t> </w:t>
      </w:r>
      <w:r w:rsidRPr="00C11B13">
        <w:rPr>
          <w:lang w:val="fr-FR"/>
        </w:rPr>
        <w:t>P200 sur la douzième édition révisée du Règlement type (sur la base du document TRANS/WP.15/AC.1/2001/32, élaboré par l</w:t>
      </w:r>
      <w:r>
        <w:rPr>
          <w:lang w:val="fr-FR"/>
        </w:rPr>
        <w:t>’</w:t>
      </w:r>
      <w:r w:rsidRPr="00C11B13">
        <w:rPr>
          <w:lang w:val="fr-FR"/>
        </w:rPr>
        <w:t>EIGA).</w:t>
      </w:r>
    </w:p>
    <w:p w14:paraId="752EC317" w14:textId="6043CDBE" w:rsidR="005069B5" w:rsidRPr="00C11B13" w:rsidRDefault="00EF0A73" w:rsidP="005069B5">
      <w:pPr>
        <w:pStyle w:val="H23G"/>
        <w:keepNext w:val="0"/>
        <w:keepLines w:val="0"/>
        <w:widowControl w:val="0"/>
        <w:rPr>
          <w:lang w:val="fr-FR"/>
        </w:rPr>
      </w:pPr>
      <w:r>
        <w:rPr>
          <w:bCs/>
          <w:lang w:val="fr-FR"/>
        </w:rPr>
        <w:tab/>
      </w:r>
      <w:r w:rsidR="005069B5" w:rsidRPr="00C11B13">
        <w:rPr>
          <w:bCs/>
          <w:lang w:val="fr-FR"/>
        </w:rPr>
        <w:t>2.</w:t>
      </w:r>
      <w:r w:rsidR="005069B5" w:rsidRPr="00C11B13">
        <w:rPr>
          <w:lang w:val="fr-FR"/>
        </w:rPr>
        <w:tab/>
      </w:r>
      <w:r w:rsidR="005069B5" w:rsidRPr="00C11B13">
        <w:rPr>
          <w:bCs/>
          <w:lang w:val="fr-FR"/>
        </w:rPr>
        <w:t>4.1.1.4, P912</w:t>
      </w:r>
      <w:r w:rsidR="00B147CF">
        <w:rPr>
          <w:bCs/>
          <w:lang w:val="fr-FR"/>
        </w:rPr>
        <w:t> </w:t>
      </w:r>
      <w:r w:rsidR="005069B5" w:rsidRPr="00C11B13">
        <w:rPr>
          <w:bCs/>
          <w:lang w:val="fr-FR"/>
        </w:rPr>
        <w:t>c)</w:t>
      </w:r>
    </w:p>
    <w:p w14:paraId="1DFF2DFD" w14:textId="644630EB" w:rsidR="005069B5" w:rsidRPr="00C11B13" w:rsidRDefault="005069B5" w:rsidP="005069B5">
      <w:pPr>
        <w:pStyle w:val="SingleTxtG"/>
        <w:rPr>
          <w:lang w:val="fr-FR"/>
        </w:rPr>
      </w:pPr>
      <w:r w:rsidRPr="00C11B13">
        <w:rPr>
          <w:lang w:val="fr-FR"/>
        </w:rPr>
        <w:t>23.</w:t>
      </w:r>
      <w:r w:rsidRPr="00C11B13">
        <w:rPr>
          <w:lang w:val="fr-FR"/>
        </w:rPr>
        <w:tab/>
        <w:t xml:space="preserve">Le Groupe de travail a </w:t>
      </w:r>
      <w:r>
        <w:rPr>
          <w:lang w:val="fr-FR"/>
        </w:rPr>
        <w:t>indiqué</w:t>
      </w:r>
      <w:r w:rsidRPr="00C11B13">
        <w:rPr>
          <w:lang w:val="fr-FR"/>
        </w:rPr>
        <w:t xml:space="preserve"> que la formulation de l</w:t>
      </w:r>
      <w:r>
        <w:rPr>
          <w:lang w:val="fr-FR"/>
        </w:rPr>
        <w:t>’</w:t>
      </w:r>
      <w:r w:rsidRPr="00C11B13">
        <w:rPr>
          <w:lang w:val="fr-FR"/>
        </w:rPr>
        <w:t>alinéa</w:t>
      </w:r>
      <w:r w:rsidR="00B147CF">
        <w:rPr>
          <w:lang w:val="fr-FR"/>
        </w:rPr>
        <w:t> </w:t>
      </w:r>
      <w:r w:rsidRPr="00C11B13">
        <w:rPr>
          <w:lang w:val="fr-FR"/>
        </w:rPr>
        <w:t>c) de l</w:t>
      </w:r>
      <w:r>
        <w:rPr>
          <w:lang w:val="fr-FR"/>
        </w:rPr>
        <w:t>’</w:t>
      </w:r>
      <w:r w:rsidRPr="00C11B13">
        <w:rPr>
          <w:lang w:val="fr-FR"/>
        </w:rPr>
        <w:t>instruction d</w:t>
      </w:r>
      <w:r>
        <w:rPr>
          <w:lang w:val="fr-FR"/>
        </w:rPr>
        <w:t>’</w:t>
      </w:r>
      <w:r w:rsidRPr="00C11B13">
        <w:rPr>
          <w:lang w:val="fr-FR"/>
        </w:rPr>
        <w:t>emballage</w:t>
      </w:r>
      <w:r w:rsidR="00B147CF">
        <w:rPr>
          <w:lang w:val="fr-FR"/>
        </w:rPr>
        <w:t> </w:t>
      </w:r>
      <w:r w:rsidRPr="00C11B13">
        <w:rPr>
          <w:lang w:val="fr-FR"/>
        </w:rPr>
        <w:t>P912 pourrait être améliorée dans la version anglaise du texte. Il n</w:t>
      </w:r>
      <w:r>
        <w:rPr>
          <w:lang w:val="fr-FR"/>
        </w:rPr>
        <w:t>’</w:t>
      </w:r>
      <w:r w:rsidRPr="00C11B13">
        <w:rPr>
          <w:lang w:val="fr-FR"/>
        </w:rPr>
        <w:t xml:space="preserve">était en effet pas nécessaire de répéter « the vehicles », </w:t>
      </w:r>
      <w:r w:rsidRPr="00083E5D">
        <w:rPr>
          <w:lang w:val="fr-FR"/>
        </w:rPr>
        <w:t>qui pouvait être remplacé par le pronom « they ». Cette correction d’ordre rédactionnel, sans objet en français, sera portée</w:t>
      </w:r>
      <w:r w:rsidRPr="00C11B13">
        <w:rPr>
          <w:lang w:val="fr-FR"/>
        </w:rPr>
        <w:t xml:space="preserve"> à l</w:t>
      </w:r>
      <w:r>
        <w:rPr>
          <w:lang w:val="fr-FR"/>
        </w:rPr>
        <w:t>’</w:t>
      </w:r>
      <w:r w:rsidRPr="00C11B13">
        <w:rPr>
          <w:lang w:val="fr-FR"/>
        </w:rPr>
        <w:t>attention du Sous</w:t>
      </w:r>
      <w:r w:rsidR="00B147CF">
        <w:rPr>
          <w:lang w:val="fr-FR"/>
        </w:rPr>
        <w:noBreakHyphen/>
      </w:r>
      <w:r w:rsidRPr="00C11B13">
        <w:rPr>
          <w:lang w:val="fr-FR"/>
        </w:rPr>
        <w:t>Comité</w:t>
      </w:r>
      <w:r w:rsidR="00B147CF">
        <w:rPr>
          <w:lang w:val="fr-FR"/>
        </w:rPr>
        <w:t> </w:t>
      </w:r>
      <w:r w:rsidRPr="00C11B13">
        <w:rPr>
          <w:lang w:val="fr-FR"/>
        </w:rPr>
        <w:t>TMD.</w:t>
      </w:r>
    </w:p>
    <w:p w14:paraId="6193F449" w14:textId="6BAAD802" w:rsidR="005069B5" w:rsidRPr="00C11B13" w:rsidRDefault="00EF0A73" w:rsidP="005069B5">
      <w:pPr>
        <w:pStyle w:val="H23G"/>
        <w:keepNext w:val="0"/>
        <w:keepLines w:val="0"/>
        <w:widowControl w:val="0"/>
        <w:rPr>
          <w:lang w:val="fr-FR"/>
        </w:rPr>
      </w:pPr>
      <w:bookmarkStart w:id="0" w:name="_Hlk74504761"/>
      <w:r>
        <w:rPr>
          <w:bCs/>
          <w:lang w:val="fr-FR"/>
        </w:rPr>
        <w:tab/>
      </w:r>
      <w:r w:rsidR="005069B5" w:rsidRPr="00C11B13">
        <w:rPr>
          <w:bCs/>
          <w:lang w:val="fr-FR"/>
        </w:rPr>
        <w:t>3.</w:t>
      </w:r>
      <w:r w:rsidR="005069B5" w:rsidRPr="00C11B13">
        <w:rPr>
          <w:lang w:val="fr-FR"/>
        </w:rPr>
        <w:tab/>
      </w:r>
      <w:r w:rsidR="005069B5" w:rsidRPr="00C11B13">
        <w:rPr>
          <w:bCs/>
          <w:lang w:val="fr-FR"/>
        </w:rPr>
        <w:t>4.1.1.4</w:t>
      </w:r>
      <w:r w:rsidR="005069B5">
        <w:rPr>
          <w:bCs/>
          <w:lang w:val="fr-FR"/>
        </w:rPr>
        <w:t> :</w:t>
      </w:r>
      <w:r w:rsidR="005069B5" w:rsidRPr="00C11B13">
        <w:rPr>
          <w:bCs/>
          <w:lang w:val="fr-FR"/>
        </w:rPr>
        <w:t xml:space="preserve"> « Contenance »</w:t>
      </w:r>
    </w:p>
    <w:p w14:paraId="040F8943" w14:textId="5A11EF48" w:rsidR="005069B5" w:rsidRPr="00C11B13" w:rsidRDefault="005069B5" w:rsidP="005069B5">
      <w:pPr>
        <w:pStyle w:val="SingleTxtG"/>
        <w:rPr>
          <w:lang w:val="fr-FR"/>
        </w:rPr>
      </w:pPr>
      <w:r w:rsidRPr="00C11B13">
        <w:rPr>
          <w:lang w:val="fr-FR"/>
        </w:rPr>
        <w:t>24.</w:t>
      </w:r>
      <w:r w:rsidRPr="00C11B13">
        <w:rPr>
          <w:lang w:val="fr-FR"/>
        </w:rPr>
        <w:tab/>
        <w:t>S</w:t>
      </w:r>
      <w:r>
        <w:rPr>
          <w:lang w:val="fr-FR"/>
        </w:rPr>
        <w:t>’</w:t>
      </w:r>
      <w:r w:rsidRPr="00C11B13">
        <w:rPr>
          <w:lang w:val="fr-FR"/>
        </w:rPr>
        <w:t>agissant des modifications proposées da</w:t>
      </w:r>
      <w:r w:rsidR="00B147CF">
        <w:rPr>
          <w:lang w:val="fr-FR"/>
        </w:rPr>
        <w:t>n</w:t>
      </w:r>
      <w:r w:rsidRPr="00C11B13">
        <w:rPr>
          <w:lang w:val="fr-FR"/>
        </w:rPr>
        <w:t>s le document informel</w:t>
      </w:r>
      <w:r w:rsidR="00B147CF">
        <w:rPr>
          <w:lang w:val="fr-FR"/>
        </w:rPr>
        <w:t> </w:t>
      </w:r>
      <w:r w:rsidRPr="00C11B13">
        <w:rPr>
          <w:lang w:val="fr-FR"/>
        </w:rPr>
        <w:t>INF.11 de la session de printemps 2023 de la Réunion commune</w:t>
      </w:r>
      <w:r w:rsidR="00B147CF">
        <w:rPr>
          <w:lang w:val="fr-FR"/>
        </w:rPr>
        <w:t> </w:t>
      </w:r>
      <w:r w:rsidRPr="00C11B13">
        <w:rPr>
          <w:lang w:val="fr-FR"/>
        </w:rPr>
        <w:t>RID/ADR/ADN, le Groupe de travail a dit préférer conserver le texte actuel, étant donné que des amendements de conséquence pourraient être nécessaires au cas par cas. Le représentant de la Belgique s</w:t>
      </w:r>
      <w:r>
        <w:rPr>
          <w:lang w:val="fr-FR"/>
        </w:rPr>
        <w:t>’</w:t>
      </w:r>
      <w:r w:rsidRPr="00C11B13">
        <w:rPr>
          <w:lang w:val="fr-FR"/>
        </w:rPr>
        <w:t>est porté volontaire pour revoir la proposition et soumettre un nouveau document à une session ultérieure.</w:t>
      </w:r>
      <w:bookmarkEnd w:id="0"/>
    </w:p>
    <w:p w14:paraId="631182AA" w14:textId="142DAF0E" w:rsidR="005069B5" w:rsidRPr="00C11B13" w:rsidRDefault="00EF0A73" w:rsidP="00B147CF">
      <w:pPr>
        <w:pStyle w:val="H1G"/>
        <w:keepNext w:val="0"/>
        <w:rPr>
          <w:lang w:val="fr-FR"/>
        </w:rPr>
      </w:pPr>
      <w:r>
        <w:rPr>
          <w:bCs/>
          <w:lang w:val="fr-FR"/>
        </w:rPr>
        <w:tab/>
      </w:r>
      <w:r w:rsidR="005069B5" w:rsidRPr="00C11B13">
        <w:rPr>
          <w:bCs/>
          <w:lang w:val="fr-FR"/>
        </w:rPr>
        <w:t>F.</w:t>
      </w:r>
      <w:r w:rsidR="005069B5" w:rsidRPr="00C11B13">
        <w:rPr>
          <w:lang w:val="fr-FR"/>
        </w:rPr>
        <w:tab/>
      </w:r>
      <w:r w:rsidR="005069B5" w:rsidRPr="00C11B13">
        <w:rPr>
          <w:bCs/>
          <w:lang w:val="fr-FR"/>
        </w:rPr>
        <w:t>Objets et groupes d</w:t>
      </w:r>
      <w:r w:rsidR="005069B5">
        <w:rPr>
          <w:bCs/>
          <w:lang w:val="fr-FR"/>
        </w:rPr>
        <w:t>’</w:t>
      </w:r>
      <w:r w:rsidR="005069B5" w:rsidRPr="00C11B13">
        <w:rPr>
          <w:bCs/>
          <w:lang w:val="fr-FR"/>
        </w:rPr>
        <w:t>emballage</w:t>
      </w:r>
    </w:p>
    <w:p w14:paraId="31CE9DDC" w14:textId="0730845F" w:rsidR="005069B5" w:rsidRPr="00C11B13" w:rsidRDefault="005069B5" w:rsidP="00D04216">
      <w:pPr>
        <w:pStyle w:val="SingleTxtG"/>
        <w:rPr>
          <w:lang w:val="fr-FR"/>
        </w:rPr>
      </w:pPr>
      <w:r w:rsidRPr="00C11B13">
        <w:rPr>
          <w:lang w:val="fr-FR"/>
        </w:rPr>
        <w:t>25.</w:t>
      </w:r>
      <w:r w:rsidRPr="00C11B13">
        <w:rPr>
          <w:lang w:val="fr-FR"/>
        </w:rPr>
        <w:tab/>
        <w:t>Le Groupe de travail a approuvé la plupart des amendements proposés dans le document ECE/TRANS/WP.15/AC.1/HAR/2023/2/Rev.1 (propositions</w:t>
      </w:r>
      <w:r w:rsidR="00B147CF">
        <w:rPr>
          <w:lang w:val="fr-FR"/>
        </w:rPr>
        <w:t> </w:t>
      </w:r>
      <w:r w:rsidRPr="00C11B13">
        <w:rPr>
          <w:lang w:val="fr-FR"/>
        </w:rPr>
        <w:t>1</w:t>
      </w:r>
      <w:r>
        <w:rPr>
          <w:lang w:val="fr-FR"/>
        </w:rPr>
        <w:t xml:space="preserve"> et</w:t>
      </w:r>
      <w:r w:rsidRPr="00C11B13">
        <w:rPr>
          <w:lang w:val="fr-FR"/>
        </w:rPr>
        <w:t xml:space="preserve"> 3 à 8, à l</w:t>
      </w:r>
      <w:r>
        <w:rPr>
          <w:lang w:val="fr-FR"/>
        </w:rPr>
        <w:t>’</w:t>
      </w:r>
      <w:r w:rsidRPr="00C11B13">
        <w:rPr>
          <w:lang w:val="fr-FR"/>
        </w:rPr>
        <w:t>exception du paragraphe</w:t>
      </w:r>
      <w:r w:rsidR="00B147CF">
        <w:rPr>
          <w:lang w:val="fr-FR"/>
        </w:rPr>
        <w:t> </w:t>
      </w:r>
      <w:r w:rsidRPr="00C11B13">
        <w:rPr>
          <w:lang w:val="fr-FR"/>
        </w:rPr>
        <w:t>41 de la proposition</w:t>
      </w:r>
      <w:r w:rsidR="00B147CF">
        <w:rPr>
          <w:lang w:val="fr-FR"/>
        </w:rPr>
        <w:t> </w:t>
      </w:r>
      <w:r w:rsidRPr="00C11B13">
        <w:rPr>
          <w:lang w:val="fr-FR"/>
        </w:rPr>
        <w:t>8). S</w:t>
      </w:r>
      <w:r>
        <w:rPr>
          <w:lang w:val="fr-FR"/>
        </w:rPr>
        <w:t>’</w:t>
      </w:r>
      <w:r w:rsidRPr="00C11B13">
        <w:rPr>
          <w:lang w:val="fr-FR"/>
        </w:rPr>
        <w:t>agissant de la proposition</w:t>
      </w:r>
      <w:r w:rsidR="00B147CF">
        <w:rPr>
          <w:lang w:val="fr-FR"/>
        </w:rPr>
        <w:t> </w:t>
      </w:r>
      <w:r w:rsidRPr="00C11B13">
        <w:rPr>
          <w:lang w:val="fr-FR"/>
        </w:rPr>
        <w:t>2, le Groupe de travail a dit préférer ne pas inclure de référence à la disposition spéciale</w:t>
      </w:r>
      <w:r w:rsidR="00B147CF">
        <w:rPr>
          <w:lang w:val="fr-FR"/>
        </w:rPr>
        <w:t> </w:t>
      </w:r>
      <w:r w:rsidRPr="00C11B13">
        <w:rPr>
          <w:lang w:val="fr-FR"/>
        </w:rPr>
        <w:t>278 dans la colonne</w:t>
      </w:r>
      <w:r w:rsidR="00B147CF">
        <w:rPr>
          <w:lang w:val="fr-FR"/>
        </w:rPr>
        <w:t> </w:t>
      </w:r>
      <w:r w:rsidRPr="00C11B13">
        <w:rPr>
          <w:lang w:val="fr-FR"/>
        </w:rPr>
        <w:t>(5) du tableau</w:t>
      </w:r>
      <w:r w:rsidR="00B147CF">
        <w:rPr>
          <w:lang w:val="fr-FR"/>
        </w:rPr>
        <w:t> </w:t>
      </w:r>
      <w:r w:rsidRPr="00C11B13">
        <w:rPr>
          <w:lang w:val="fr-FR"/>
        </w:rPr>
        <w:t>A, mais plutôt ajouter une explication à l</w:t>
      </w:r>
      <w:r>
        <w:rPr>
          <w:lang w:val="fr-FR"/>
        </w:rPr>
        <w:t>’</w:t>
      </w:r>
      <w:r w:rsidRPr="00C11B13">
        <w:rPr>
          <w:lang w:val="fr-FR"/>
        </w:rPr>
        <w:t>alinéa</w:t>
      </w:r>
      <w:r w:rsidR="00B147CF">
        <w:rPr>
          <w:lang w:val="fr-FR"/>
        </w:rPr>
        <w:t> </w:t>
      </w:r>
      <w:r w:rsidRPr="00C11B13">
        <w:rPr>
          <w:lang w:val="fr-FR"/>
        </w:rPr>
        <w:t>4) du</w:t>
      </w:r>
      <w:r w:rsidR="00B147CF">
        <w:rPr>
          <w:lang w:val="fr-FR"/>
        </w:rPr>
        <w:t> </w:t>
      </w:r>
      <w:r w:rsidRPr="00C11B13">
        <w:rPr>
          <w:lang w:val="fr-FR"/>
        </w:rPr>
        <w:t>3.2.1.</w:t>
      </w:r>
    </w:p>
    <w:p w14:paraId="5E8ABC30" w14:textId="0FF26B17" w:rsidR="005069B5" w:rsidRPr="00C11B13" w:rsidRDefault="00EF0A73" w:rsidP="00B147CF">
      <w:pPr>
        <w:pStyle w:val="H1G"/>
        <w:keepNext w:val="0"/>
        <w:widowControl w:val="0"/>
        <w:rPr>
          <w:lang w:val="fr-FR"/>
        </w:rPr>
      </w:pPr>
      <w:r>
        <w:rPr>
          <w:bCs/>
          <w:lang w:val="fr-FR"/>
        </w:rPr>
        <w:tab/>
      </w:r>
      <w:r w:rsidR="005069B5" w:rsidRPr="00C11B13">
        <w:rPr>
          <w:bCs/>
          <w:lang w:val="fr-FR"/>
        </w:rPr>
        <w:t>G.</w:t>
      </w:r>
      <w:r w:rsidR="005069B5" w:rsidRPr="00C11B13">
        <w:rPr>
          <w:lang w:val="fr-FR"/>
        </w:rPr>
        <w:tab/>
      </w:r>
      <w:r w:rsidR="005069B5" w:rsidRPr="00C11B13">
        <w:rPr>
          <w:bCs/>
          <w:lang w:val="fr-FR"/>
        </w:rPr>
        <w:t xml:space="preserve">« Degree of filling » (degré de remplissage) et « filling ratio » </w:t>
      </w:r>
      <w:r w:rsidR="00D50B53">
        <w:rPr>
          <w:bCs/>
          <w:lang w:val="fr-FR"/>
        </w:rPr>
        <w:br/>
      </w:r>
      <w:r w:rsidR="005069B5" w:rsidRPr="00C11B13">
        <w:rPr>
          <w:bCs/>
          <w:lang w:val="fr-FR"/>
        </w:rPr>
        <w:t>(taux de remplissage)</w:t>
      </w:r>
    </w:p>
    <w:p w14:paraId="0B627148" w14:textId="77777777" w:rsidR="005069B5" w:rsidRPr="00C11B13" w:rsidRDefault="005069B5" w:rsidP="00D04216">
      <w:pPr>
        <w:pStyle w:val="SingleTxtG"/>
        <w:rPr>
          <w:lang w:val="fr-FR"/>
        </w:rPr>
      </w:pPr>
      <w:r w:rsidRPr="00C11B13">
        <w:rPr>
          <w:lang w:val="fr-FR"/>
        </w:rPr>
        <w:t>26.</w:t>
      </w:r>
      <w:r w:rsidRPr="00C11B13">
        <w:rPr>
          <w:lang w:val="fr-FR"/>
        </w:rPr>
        <w:tab/>
        <w:t>Le Groupe de travail a adopté les amendements proposés dans le document ECE/TRANS/WP.15/AC.1/HAR/2023/3/Rev.1 en vue d</w:t>
      </w:r>
      <w:r>
        <w:rPr>
          <w:lang w:val="fr-FR"/>
        </w:rPr>
        <w:t>’</w:t>
      </w:r>
      <w:r w:rsidRPr="00C11B13">
        <w:rPr>
          <w:lang w:val="fr-FR"/>
        </w:rPr>
        <w:t>harmoniser l</w:t>
      </w:r>
      <w:r>
        <w:rPr>
          <w:lang w:val="fr-FR"/>
        </w:rPr>
        <w:t>’</w:t>
      </w:r>
      <w:r w:rsidRPr="00C11B13">
        <w:rPr>
          <w:lang w:val="fr-FR"/>
        </w:rPr>
        <w:t>emploi de « degré de remplissage » et de « taux de remplissage », avec quelques modifications. Le secrétariat du Comité de sécurité de l</w:t>
      </w:r>
      <w:r>
        <w:rPr>
          <w:lang w:val="fr-FR"/>
        </w:rPr>
        <w:t>’</w:t>
      </w:r>
      <w:r w:rsidRPr="00C11B13">
        <w:rPr>
          <w:lang w:val="fr-FR"/>
        </w:rPr>
        <w:t>ADN s</w:t>
      </w:r>
      <w:r>
        <w:rPr>
          <w:lang w:val="fr-FR"/>
        </w:rPr>
        <w:t>’</w:t>
      </w:r>
      <w:r w:rsidRPr="00C11B13">
        <w:rPr>
          <w:lang w:val="fr-FR"/>
        </w:rPr>
        <w:t>est porté volontaire pour vérifier les points de l</w:t>
      </w:r>
      <w:r>
        <w:rPr>
          <w:lang w:val="fr-FR"/>
        </w:rPr>
        <w:t>’</w:t>
      </w:r>
      <w:r w:rsidRPr="00C11B13">
        <w:rPr>
          <w:lang w:val="fr-FR"/>
        </w:rPr>
        <w:t>ADN concernés par cette harmonisation. D</w:t>
      </w:r>
      <w:r>
        <w:rPr>
          <w:lang w:val="fr-FR"/>
        </w:rPr>
        <w:t>’</w:t>
      </w:r>
      <w:r w:rsidRPr="00C11B13">
        <w:rPr>
          <w:lang w:val="fr-FR"/>
        </w:rPr>
        <w:t>autres propositions de modifications qui concernent le Règlement type seront portées à l</w:t>
      </w:r>
      <w:r>
        <w:rPr>
          <w:lang w:val="fr-FR"/>
        </w:rPr>
        <w:t>’</w:t>
      </w:r>
      <w:r w:rsidRPr="00C11B13">
        <w:rPr>
          <w:lang w:val="fr-FR"/>
        </w:rPr>
        <w:t>attention du Sous-Comité TMD.</w:t>
      </w:r>
    </w:p>
    <w:p w14:paraId="5AA08396" w14:textId="535C9DFD" w:rsidR="005069B5" w:rsidRPr="00C11B13" w:rsidRDefault="00EF0A73" w:rsidP="00B147CF">
      <w:pPr>
        <w:pStyle w:val="H1G"/>
        <w:rPr>
          <w:lang w:val="fr-FR"/>
        </w:rPr>
      </w:pPr>
      <w:r>
        <w:rPr>
          <w:bCs/>
          <w:lang w:val="fr-FR"/>
        </w:rPr>
        <w:tab/>
      </w:r>
      <w:r w:rsidR="005069B5" w:rsidRPr="00C11B13">
        <w:rPr>
          <w:bCs/>
          <w:lang w:val="fr-FR"/>
        </w:rPr>
        <w:t>H.</w:t>
      </w:r>
      <w:r w:rsidR="005069B5" w:rsidRPr="00C11B13">
        <w:rPr>
          <w:lang w:val="fr-FR"/>
        </w:rPr>
        <w:tab/>
      </w:r>
      <w:r w:rsidR="005069B5" w:rsidRPr="00C11B13">
        <w:rPr>
          <w:bCs/>
          <w:lang w:val="fr-FR"/>
        </w:rPr>
        <w:t>Autres amendements qu</w:t>
      </w:r>
      <w:r w:rsidR="005069B5">
        <w:rPr>
          <w:bCs/>
          <w:lang w:val="fr-FR"/>
        </w:rPr>
        <w:t>’</w:t>
      </w:r>
      <w:r w:rsidR="005069B5" w:rsidRPr="00C11B13">
        <w:rPr>
          <w:bCs/>
          <w:lang w:val="fr-FR"/>
        </w:rPr>
        <w:t>il est proposé d</w:t>
      </w:r>
      <w:r w:rsidR="005069B5">
        <w:rPr>
          <w:bCs/>
          <w:lang w:val="fr-FR"/>
        </w:rPr>
        <w:t>’</w:t>
      </w:r>
      <w:r w:rsidR="005069B5" w:rsidRPr="00C11B13">
        <w:rPr>
          <w:bCs/>
          <w:lang w:val="fr-FR"/>
        </w:rPr>
        <w:t>apporter au Règlement type</w:t>
      </w:r>
    </w:p>
    <w:p w14:paraId="5AE506AE" w14:textId="3CF4C185" w:rsidR="005069B5" w:rsidRPr="00C11B13" w:rsidRDefault="005069B5" w:rsidP="00B147CF">
      <w:pPr>
        <w:pStyle w:val="SingleTxtG"/>
        <w:keepNext/>
        <w:keepLines/>
        <w:rPr>
          <w:lang w:val="fr-FR"/>
        </w:rPr>
      </w:pPr>
      <w:r w:rsidRPr="00C11B13">
        <w:rPr>
          <w:lang w:val="fr-FR"/>
        </w:rPr>
        <w:t>27.</w:t>
      </w:r>
      <w:r w:rsidRPr="00C11B13">
        <w:rPr>
          <w:lang w:val="fr-FR"/>
        </w:rPr>
        <w:tab/>
        <w:t>Le Groupe de travail a proposé d</w:t>
      </w:r>
      <w:r>
        <w:rPr>
          <w:lang w:val="fr-FR"/>
        </w:rPr>
        <w:t>’</w:t>
      </w:r>
      <w:r w:rsidRPr="00C11B13">
        <w:rPr>
          <w:lang w:val="fr-FR"/>
        </w:rPr>
        <w:t>apporter au Règlement type les amendements suivants, qui seront portés à l</w:t>
      </w:r>
      <w:r>
        <w:rPr>
          <w:lang w:val="fr-FR"/>
        </w:rPr>
        <w:t>’</w:t>
      </w:r>
      <w:r w:rsidRPr="00C11B13">
        <w:rPr>
          <w:lang w:val="fr-FR"/>
        </w:rPr>
        <w:t>attention du Sous-comité TMD</w:t>
      </w:r>
      <w:r>
        <w:rPr>
          <w:lang w:val="fr-FR"/>
        </w:rPr>
        <w:t> :</w:t>
      </w:r>
    </w:p>
    <w:p w14:paraId="1F3E1E59" w14:textId="601F12DD" w:rsidR="005069B5" w:rsidRPr="00C11B13" w:rsidRDefault="005069B5" w:rsidP="00B147CF">
      <w:pPr>
        <w:pStyle w:val="Bullet1G"/>
        <w:rPr>
          <w:lang w:val="fr-FR"/>
        </w:rPr>
      </w:pPr>
      <w:r w:rsidRPr="00C11B13">
        <w:rPr>
          <w:lang w:val="fr-FR"/>
        </w:rPr>
        <w:t>Ajouter une phrase dans les dispositions spéciales</w:t>
      </w:r>
      <w:r w:rsidR="00B147CF">
        <w:rPr>
          <w:lang w:val="fr-FR"/>
        </w:rPr>
        <w:t> </w:t>
      </w:r>
      <w:r w:rsidR="008D26EE">
        <w:rPr>
          <w:lang w:val="fr-FR"/>
        </w:rPr>
        <w:t>3</w:t>
      </w:r>
      <w:r w:rsidRPr="00C11B13">
        <w:rPr>
          <w:lang w:val="fr-FR"/>
        </w:rPr>
        <w:t>63 et 388 pour inclure les batteries au sodium ionique</w:t>
      </w:r>
      <w:r>
        <w:rPr>
          <w:lang w:val="fr-FR"/>
        </w:rPr>
        <w:t> ;</w:t>
      </w:r>
    </w:p>
    <w:p w14:paraId="2D1F0DB5" w14:textId="6F75E38C" w:rsidR="005069B5" w:rsidRPr="00C11B13" w:rsidRDefault="005069B5" w:rsidP="00B147CF">
      <w:pPr>
        <w:pStyle w:val="Bullet1G"/>
        <w:rPr>
          <w:lang w:val="fr-FR"/>
        </w:rPr>
      </w:pPr>
      <w:r w:rsidRPr="00C11B13">
        <w:rPr>
          <w:lang w:val="fr-FR"/>
        </w:rPr>
        <w:t>Clarifier la disposition spéciale</w:t>
      </w:r>
      <w:r w:rsidR="00B147CF">
        <w:rPr>
          <w:lang w:val="fr-FR"/>
        </w:rPr>
        <w:t> </w:t>
      </w:r>
      <w:r w:rsidRPr="00C11B13">
        <w:rPr>
          <w:lang w:val="fr-FR"/>
        </w:rPr>
        <w:t>408 et l</w:t>
      </w:r>
      <w:r>
        <w:rPr>
          <w:lang w:val="fr-FR"/>
        </w:rPr>
        <w:t>’</w:t>
      </w:r>
      <w:r w:rsidRPr="00C11B13">
        <w:rPr>
          <w:lang w:val="fr-FR"/>
        </w:rPr>
        <w:t>instruction d</w:t>
      </w:r>
      <w:r>
        <w:rPr>
          <w:lang w:val="fr-FR"/>
        </w:rPr>
        <w:t>’</w:t>
      </w:r>
      <w:r w:rsidRPr="00C11B13">
        <w:rPr>
          <w:lang w:val="fr-FR"/>
        </w:rPr>
        <w:t>emballage</w:t>
      </w:r>
      <w:r w:rsidR="00B147CF">
        <w:rPr>
          <w:lang w:val="fr-FR"/>
        </w:rPr>
        <w:t> </w:t>
      </w:r>
      <w:r w:rsidRPr="00C11B13">
        <w:rPr>
          <w:lang w:val="fr-FR"/>
        </w:rPr>
        <w:t>P912</w:t>
      </w:r>
      <w:r>
        <w:rPr>
          <w:lang w:val="fr-FR"/>
        </w:rPr>
        <w:t> ;</w:t>
      </w:r>
    </w:p>
    <w:p w14:paraId="1B5D9646" w14:textId="5AC938DF" w:rsidR="005069B5" w:rsidRPr="00C11B13" w:rsidRDefault="005069B5" w:rsidP="00B147CF">
      <w:pPr>
        <w:pStyle w:val="Bullet1G"/>
        <w:rPr>
          <w:lang w:val="fr-FR"/>
        </w:rPr>
      </w:pPr>
      <w:r w:rsidRPr="00C11B13">
        <w:rPr>
          <w:lang w:val="fr-FR"/>
        </w:rPr>
        <w:lastRenderedPageBreak/>
        <w:t>Apporter des modifications d</w:t>
      </w:r>
      <w:r>
        <w:rPr>
          <w:lang w:val="fr-FR"/>
        </w:rPr>
        <w:t>’</w:t>
      </w:r>
      <w:r w:rsidRPr="00C11B13">
        <w:rPr>
          <w:lang w:val="fr-FR"/>
        </w:rPr>
        <w:t>ordre rédactionnel à la version française du texte</w:t>
      </w:r>
      <w:r w:rsidR="00B147CF">
        <w:rPr>
          <w:lang w:val="fr-FR"/>
        </w:rPr>
        <w:t xml:space="preserve"> </w:t>
      </w:r>
      <w:r w:rsidRPr="00C11B13">
        <w:rPr>
          <w:lang w:val="fr-FR"/>
        </w:rPr>
        <w:t>(2.5.3.2.4 et dispositions spéciales</w:t>
      </w:r>
      <w:r w:rsidR="00B147CF">
        <w:rPr>
          <w:lang w:val="fr-FR"/>
        </w:rPr>
        <w:t> </w:t>
      </w:r>
      <w:r w:rsidRPr="00C11B13">
        <w:rPr>
          <w:lang w:val="fr-FR"/>
        </w:rPr>
        <w:t>252, 310, 328, 363, 404 et 407).</w:t>
      </w:r>
    </w:p>
    <w:p w14:paraId="705AB3C6" w14:textId="2325D43E" w:rsidR="005069B5" w:rsidRPr="00C11B13" w:rsidRDefault="00EF0A73" w:rsidP="005069B5">
      <w:pPr>
        <w:pStyle w:val="HChG"/>
        <w:tabs>
          <w:tab w:val="left" w:pos="1134"/>
          <w:tab w:val="left" w:pos="1701"/>
          <w:tab w:val="left" w:pos="2268"/>
          <w:tab w:val="left" w:pos="2835"/>
          <w:tab w:val="center" w:pos="4252"/>
          <w:tab w:val="left" w:pos="4690"/>
        </w:tabs>
        <w:rPr>
          <w:lang w:val="fr-FR"/>
        </w:rPr>
      </w:pPr>
      <w:r>
        <w:rPr>
          <w:bCs/>
          <w:lang w:val="fr-FR"/>
        </w:rPr>
        <w:tab/>
      </w:r>
      <w:r w:rsidR="005069B5" w:rsidRPr="00C11B13">
        <w:rPr>
          <w:bCs/>
          <w:lang w:val="fr-FR"/>
        </w:rPr>
        <w:t>III.</w:t>
      </w:r>
      <w:r w:rsidR="005069B5" w:rsidRPr="00C11B13">
        <w:rPr>
          <w:lang w:val="fr-FR"/>
        </w:rPr>
        <w:tab/>
      </w:r>
      <w:r w:rsidR="005069B5" w:rsidRPr="00C11B13">
        <w:rPr>
          <w:bCs/>
          <w:lang w:val="fr-FR"/>
        </w:rPr>
        <w:t>Questions diverses</w:t>
      </w:r>
    </w:p>
    <w:p w14:paraId="62AFA38C" w14:textId="4817A1F0" w:rsidR="005069B5" w:rsidRPr="00C11B13" w:rsidRDefault="005069B5" w:rsidP="005069B5">
      <w:pPr>
        <w:pStyle w:val="SingleTxtG"/>
        <w:rPr>
          <w:lang w:val="fr-FR"/>
        </w:rPr>
      </w:pPr>
      <w:r w:rsidRPr="00C11B13">
        <w:rPr>
          <w:lang w:val="fr-FR"/>
        </w:rPr>
        <w:t>28.</w:t>
      </w:r>
      <w:r w:rsidRPr="00C11B13">
        <w:rPr>
          <w:lang w:val="fr-FR"/>
        </w:rPr>
        <w:tab/>
        <w:t>Aucun document n</w:t>
      </w:r>
      <w:r>
        <w:rPr>
          <w:lang w:val="fr-FR"/>
        </w:rPr>
        <w:t>’</w:t>
      </w:r>
      <w:r w:rsidRPr="00C11B13">
        <w:rPr>
          <w:lang w:val="fr-FR"/>
        </w:rPr>
        <w:t>ayant été soumis, il n</w:t>
      </w:r>
      <w:r>
        <w:rPr>
          <w:lang w:val="fr-FR"/>
        </w:rPr>
        <w:t>’y</w:t>
      </w:r>
      <w:r w:rsidR="00B147CF">
        <w:rPr>
          <w:lang w:val="fr-FR"/>
        </w:rPr>
        <w:t xml:space="preserve"> </w:t>
      </w:r>
      <w:r w:rsidRPr="00C11B13">
        <w:rPr>
          <w:lang w:val="fr-FR"/>
        </w:rPr>
        <w:t>a pas eu d</w:t>
      </w:r>
      <w:r>
        <w:rPr>
          <w:lang w:val="fr-FR"/>
        </w:rPr>
        <w:t>’</w:t>
      </w:r>
      <w:r w:rsidRPr="00C11B13">
        <w:rPr>
          <w:lang w:val="fr-FR"/>
        </w:rPr>
        <w:t>échange de vues au titre de ce point de l</w:t>
      </w:r>
      <w:r>
        <w:rPr>
          <w:lang w:val="fr-FR"/>
        </w:rPr>
        <w:t>’</w:t>
      </w:r>
      <w:r w:rsidRPr="00C11B13">
        <w:rPr>
          <w:lang w:val="fr-FR"/>
        </w:rPr>
        <w:t>ordre du jour.</w:t>
      </w:r>
    </w:p>
    <w:p w14:paraId="07220C00" w14:textId="7D4C267C" w:rsidR="005069B5" w:rsidRPr="00C11B13" w:rsidRDefault="00EF0A73" w:rsidP="005069B5">
      <w:pPr>
        <w:pStyle w:val="HChG"/>
        <w:rPr>
          <w:lang w:val="fr-FR"/>
        </w:rPr>
      </w:pPr>
      <w:r>
        <w:rPr>
          <w:bCs/>
          <w:lang w:val="fr-FR"/>
        </w:rPr>
        <w:tab/>
      </w:r>
      <w:r w:rsidR="005069B5" w:rsidRPr="00C11B13">
        <w:rPr>
          <w:bCs/>
          <w:lang w:val="fr-FR"/>
        </w:rPr>
        <w:t>IV.</w:t>
      </w:r>
      <w:r w:rsidR="005069B5" w:rsidRPr="00C11B13">
        <w:rPr>
          <w:lang w:val="fr-FR"/>
        </w:rPr>
        <w:tab/>
      </w:r>
      <w:r w:rsidR="005069B5" w:rsidRPr="00C11B13">
        <w:rPr>
          <w:bCs/>
          <w:lang w:val="fr-FR"/>
        </w:rPr>
        <w:t>Adoption du rapport</w:t>
      </w:r>
    </w:p>
    <w:p w14:paraId="4033232F" w14:textId="42A5465A" w:rsidR="005069B5" w:rsidRDefault="005069B5" w:rsidP="005069B5">
      <w:pPr>
        <w:pStyle w:val="SingleTxtG"/>
        <w:rPr>
          <w:lang w:val="fr-FR"/>
        </w:rPr>
      </w:pPr>
      <w:r w:rsidRPr="00C11B13">
        <w:rPr>
          <w:lang w:val="fr-FR"/>
        </w:rPr>
        <w:t>29.</w:t>
      </w:r>
      <w:r w:rsidRPr="00C11B13">
        <w:rPr>
          <w:lang w:val="fr-FR"/>
        </w:rPr>
        <w:tab/>
        <w:t>Le Groupe de travail a adopté le rapport de sa session par correspondance, sur la base d</w:t>
      </w:r>
      <w:r>
        <w:rPr>
          <w:lang w:val="fr-FR"/>
        </w:rPr>
        <w:t>’</w:t>
      </w:r>
      <w:r w:rsidRPr="00C11B13">
        <w:rPr>
          <w:lang w:val="fr-FR"/>
        </w:rPr>
        <w:t xml:space="preserve">un projet établi par le secrétariat, </w:t>
      </w:r>
      <w:r>
        <w:rPr>
          <w:lang w:val="fr-FR"/>
        </w:rPr>
        <w:t>y </w:t>
      </w:r>
      <w:r w:rsidRPr="00C11B13">
        <w:rPr>
          <w:lang w:val="fr-FR"/>
        </w:rPr>
        <w:t>compris les projets d</w:t>
      </w:r>
      <w:r>
        <w:rPr>
          <w:lang w:val="fr-FR"/>
        </w:rPr>
        <w:t>’</w:t>
      </w:r>
      <w:r w:rsidRPr="00C11B13">
        <w:rPr>
          <w:lang w:val="fr-FR"/>
        </w:rPr>
        <w:t>amendements au RID, à l</w:t>
      </w:r>
      <w:r>
        <w:rPr>
          <w:lang w:val="fr-FR"/>
        </w:rPr>
        <w:t>’</w:t>
      </w:r>
      <w:r w:rsidRPr="00C11B13">
        <w:rPr>
          <w:lang w:val="fr-FR"/>
        </w:rPr>
        <w:t>ADR et à l</w:t>
      </w:r>
      <w:r>
        <w:rPr>
          <w:lang w:val="fr-FR"/>
        </w:rPr>
        <w:t>’</w:t>
      </w:r>
      <w:r w:rsidRPr="00C11B13">
        <w:rPr>
          <w:lang w:val="fr-FR"/>
        </w:rPr>
        <w:t>ADN consignés dans le document ECE/TRANS/WP.15/AC.1/2023/23/Add.1.</w:t>
      </w:r>
    </w:p>
    <w:p w14:paraId="19EF8FB4" w14:textId="1349FB05" w:rsidR="00EF0A73" w:rsidRPr="00EF0A73" w:rsidRDefault="00EF0A73" w:rsidP="00EF0A7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EF0A73" w:rsidRPr="00EF0A73" w:rsidSect="00480A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A4E3" w14:textId="77777777" w:rsidR="00DE6934" w:rsidRDefault="00DE6934" w:rsidP="00F95C08">
      <w:pPr>
        <w:spacing w:line="240" w:lineRule="auto"/>
      </w:pPr>
    </w:p>
  </w:endnote>
  <w:endnote w:type="continuationSeparator" w:id="0">
    <w:p w14:paraId="1034F959" w14:textId="77777777" w:rsidR="00DE6934" w:rsidRPr="00AC3823" w:rsidRDefault="00DE6934" w:rsidP="00AC3823">
      <w:pPr>
        <w:pStyle w:val="Pieddepage"/>
      </w:pPr>
    </w:p>
  </w:endnote>
  <w:endnote w:type="continuationNotice" w:id="1">
    <w:p w14:paraId="6EB10DDE" w14:textId="77777777" w:rsidR="00DE6934" w:rsidRDefault="00DE69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A41" w14:textId="2F5294F2" w:rsidR="00480ACE" w:rsidRPr="00480ACE" w:rsidRDefault="00480ACE" w:rsidP="00480ACE">
    <w:pPr>
      <w:pStyle w:val="Pieddepage"/>
      <w:tabs>
        <w:tab w:val="right" w:pos="9638"/>
      </w:tabs>
    </w:pPr>
    <w:r w:rsidRPr="00480ACE">
      <w:rPr>
        <w:b/>
        <w:sz w:val="18"/>
      </w:rPr>
      <w:fldChar w:fldCharType="begin"/>
    </w:r>
    <w:r w:rsidRPr="00480ACE">
      <w:rPr>
        <w:b/>
        <w:sz w:val="18"/>
      </w:rPr>
      <w:instrText xml:space="preserve"> PAGE  \* MERGEFORMAT </w:instrText>
    </w:r>
    <w:r w:rsidRPr="00480ACE">
      <w:rPr>
        <w:b/>
        <w:sz w:val="18"/>
      </w:rPr>
      <w:fldChar w:fldCharType="separate"/>
    </w:r>
    <w:r w:rsidRPr="00480ACE">
      <w:rPr>
        <w:b/>
        <w:noProof/>
        <w:sz w:val="18"/>
      </w:rPr>
      <w:t>2</w:t>
    </w:r>
    <w:r w:rsidRPr="00480ACE">
      <w:rPr>
        <w:b/>
        <w:sz w:val="18"/>
      </w:rPr>
      <w:fldChar w:fldCharType="end"/>
    </w:r>
    <w:r>
      <w:rPr>
        <w:b/>
        <w:sz w:val="18"/>
      </w:rPr>
      <w:tab/>
    </w:r>
    <w:r>
      <w:t>GE.23-11670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3539" w14:textId="2ED58720" w:rsidR="00480ACE" w:rsidRPr="00480ACE" w:rsidRDefault="00480ACE" w:rsidP="00480ACE">
    <w:pPr>
      <w:pStyle w:val="Pieddepage"/>
      <w:tabs>
        <w:tab w:val="right" w:pos="9638"/>
      </w:tabs>
      <w:rPr>
        <w:b/>
        <w:sz w:val="18"/>
      </w:rPr>
    </w:pPr>
    <w:r>
      <w:t>GE.23-11670</w:t>
    </w:r>
    <w:r>
      <w:tab/>
    </w:r>
    <w:r w:rsidRPr="00480ACE">
      <w:rPr>
        <w:b/>
        <w:sz w:val="18"/>
      </w:rPr>
      <w:fldChar w:fldCharType="begin"/>
    </w:r>
    <w:r w:rsidRPr="00480ACE">
      <w:rPr>
        <w:b/>
        <w:sz w:val="18"/>
      </w:rPr>
      <w:instrText xml:space="preserve"> PAGE  \* MERGEFORMAT </w:instrText>
    </w:r>
    <w:r w:rsidRPr="00480ACE">
      <w:rPr>
        <w:b/>
        <w:sz w:val="18"/>
      </w:rPr>
      <w:fldChar w:fldCharType="separate"/>
    </w:r>
    <w:r w:rsidRPr="00480ACE">
      <w:rPr>
        <w:b/>
        <w:noProof/>
        <w:sz w:val="18"/>
      </w:rPr>
      <w:t>3</w:t>
    </w:r>
    <w:r w:rsidRPr="00480A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C53E" w14:textId="7B115FBF" w:rsidR="007F20FA" w:rsidRPr="00480ACE" w:rsidRDefault="00480ACE" w:rsidP="00480AC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C3FC94" wp14:editId="5459229D">
          <wp:simplePos x="0" y="0"/>
          <wp:positionH relativeFrom="margin">
            <wp:posOffset>4319905</wp:posOffset>
          </wp:positionH>
          <wp:positionV relativeFrom="margin">
            <wp:posOffset>9144000</wp:posOffset>
          </wp:positionV>
          <wp:extent cx="1105200" cy="234000"/>
          <wp:effectExtent l="0" t="0" r="0" b="0"/>
          <wp:wrapNone/>
          <wp:docPr id="524230967" name="Image 52423096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23-11670  (F)</w:t>
    </w:r>
    <w:r>
      <w:rPr>
        <w:noProof/>
        <w:sz w:val="20"/>
      </w:rPr>
      <w:drawing>
        <wp:anchor distT="0" distB="0" distL="114300" distR="114300" simplePos="0" relativeHeight="251660288" behindDoc="0" locked="0" layoutInCell="1" allowOverlap="1" wp14:anchorId="0AD478AE" wp14:editId="22888660">
          <wp:simplePos x="0" y="0"/>
          <wp:positionH relativeFrom="margin">
            <wp:posOffset>5489575</wp:posOffset>
          </wp:positionH>
          <wp:positionV relativeFrom="margin">
            <wp:posOffset>8891905</wp:posOffset>
          </wp:positionV>
          <wp:extent cx="638175" cy="638175"/>
          <wp:effectExtent l="0" t="0" r="9525" b="9525"/>
          <wp:wrapNone/>
          <wp:docPr id="625646500" name="Image 625646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200723    210723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C800" w14:textId="77777777" w:rsidR="00DE6934" w:rsidRPr="00AC3823" w:rsidRDefault="00DE6934" w:rsidP="00AC3823">
      <w:pPr>
        <w:pStyle w:val="Pieddepage"/>
        <w:tabs>
          <w:tab w:val="right" w:pos="2155"/>
        </w:tabs>
        <w:spacing w:after="80" w:line="240" w:lineRule="atLeast"/>
        <w:ind w:left="680"/>
        <w:rPr>
          <w:u w:val="single"/>
        </w:rPr>
      </w:pPr>
      <w:r>
        <w:rPr>
          <w:u w:val="single"/>
        </w:rPr>
        <w:tab/>
      </w:r>
    </w:p>
  </w:footnote>
  <w:footnote w:type="continuationSeparator" w:id="0">
    <w:p w14:paraId="32648232" w14:textId="77777777" w:rsidR="00DE6934" w:rsidRPr="00AC3823" w:rsidRDefault="00DE6934" w:rsidP="00AC3823">
      <w:pPr>
        <w:pStyle w:val="Pieddepage"/>
        <w:tabs>
          <w:tab w:val="right" w:pos="2155"/>
        </w:tabs>
        <w:spacing w:after="80" w:line="240" w:lineRule="atLeast"/>
        <w:ind w:left="680"/>
        <w:rPr>
          <w:u w:val="single"/>
        </w:rPr>
      </w:pPr>
      <w:r>
        <w:rPr>
          <w:u w:val="single"/>
        </w:rPr>
        <w:tab/>
      </w:r>
    </w:p>
  </w:footnote>
  <w:footnote w:type="continuationNotice" w:id="1">
    <w:p w14:paraId="380651D0" w14:textId="77777777" w:rsidR="00DE6934" w:rsidRPr="00AC3823" w:rsidRDefault="00DE6934">
      <w:pPr>
        <w:spacing w:line="240" w:lineRule="auto"/>
        <w:rPr>
          <w:sz w:val="2"/>
          <w:szCs w:val="2"/>
        </w:rPr>
      </w:pPr>
    </w:p>
  </w:footnote>
  <w:footnote w:id="2">
    <w:p w14:paraId="212E5DAE" w14:textId="2182C2D9" w:rsidR="005069B5" w:rsidRPr="005069B5" w:rsidRDefault="005069B5">
      <w:pPr>
        <w:pStyle w:val="Notedebasdepage"/>
        <w:rPr>
          <w:lang w:val="fr-FR"/>
        </w:rPr>
      </w:pPr>
      <w:r>
        <w:rPr>
          <w:rStyle w:val="Appelnotedebasdep"/>
        </w:rPr>
        <w:tab/>
      </w:r>
      <w:r w:rsidRPr="005069B5">
        <w:rPr>
          <w:rStyle w:val="Appelnotedebasdep"/>
          <w:sz w:val="20"/>
          <w:vertAlign w:val="baseline"/>
        </w:rPr>
        <w:t>*</w:t>
      </w:r>
      <w:r>
        <w:rPr>
          <w:rStyle w:val="Appelnotedebasdep"/>
          <w:sz w:val="20"/>
          <w:vertAlign w:val="baseline"/>
        </w:rPr>
        <w:tab/>
      </w:r>
      <w:r>
        <w:rPr>
          <w:lang w:val="fr-FR"/>
        </w:rPr>
        <w:t>A/77/6 (Sect. 20), tableau 20.6.</w:t>
      </w:r>
    </w:p>
  </w:footnote>
  <w:footnote w:id="3">
    <w:p w14:paraId="20A45DB7" w14:textId="34400AA6" w:rsidR="005069B5" w:rsidRPr="005069B5" w:rsidRDefault="005069B5">
      <w:pPr>
        <w:pStyle w:val="Notedebasdepage"/>
        <w:rPr>
          <w:lang w:val="fr-FR"/>
        </w:rPr>
      </w:pPr>
      <w:r>
        <w:rPr>
          <w:rStyle w:val="Appelnotedebasdep"/>
        </w:rPr>
        <w:tab/>
      </w:r>
      <w:r w:rsidRPr="005069B5">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OTIF/RID/RC/2023/23.</w:t>
      </w:r>
    </w:p>
  </w:footnote>
  <w:footnote w:id="4">
    <w:p w14:paraId="58383E4F" w14:textId="48D02D57" w:rsidR="005069B5" w:rsidRPr="00216627" w:rsidRDefault="005069B5" w:rsidP="005069B5">
      <w:pPr>
        <w:pStyle w:val="Notedebasdepage"/>
        <w:rPr>
          <w:lang w:val="fr-FR"/>
        </w:rPr>
      </w:pPr>
      <w:r>
        <w:rPr>
          <w:lang w:val="fr-FR"/>
        </w:rPr>
        <w:tab/>
      </w:r>
      <w:r w:rsidRPr="007B70B5">
        <w:rPr>
          <w:rStyle w:val="Appelnotedebasdep"/>
        </w:rPr>
        <w:footnoteRef/>
      </w:r>
      <w:r>
        <w:rPr>
          <w:lang w:val="fr-FR"/>
        </w:rPr>
        <w:t xml:space="preserve"> </w:t>
      </w:r>
      <w:r>
        <w:rPr>
          <w:lang w:val="fr-FR"/>
        </w:rPr>
        <w:tab/>
        <w:t xml:space="preserve">Disponible à l'adresse suivante : </w:t>
      </w:r>
      <w:hyperlink r:id="rId1" w:history="1">
        <w:r w:rsidR="00EF0A73" w:rsidRPr="008D6CC8">
          <w:rPr>
            <w:rStyle w:val="Lienhypertexte"/>
            <w:lang w:val="fr-FR"/>
          </w:rPr>
          <w:t>https://unece.org/info/Transport/Dangerous-Goods/events/373851</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DD65" w14:textId="09BCA672" w:rsidR="00480ACE" w:rsidRPr="00480ACE" w:rsidRDefault="00083E5D">
    <w:pPr>
      <w:pStyle w:val="En-tte"/>
    </w:pPr>
    <w:fldSimple w:instr=" TITLE  \* MERGEFORMAT ">
      <w:r w:rsidR="00480ACE">
        <w:t>ECE/TRANS/WP.15/AC.1/2023/23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61CE" w14:textId="18E6AEE6" w:rsidR="00480ACE" w:rsidRPr="00480ACE" w:rsidRDefault="00083E5D" w:rsidP="00480ACE">
    <w:pPr>
      <w:pStyle w:val="En-tte"/>
      <w:jc w:val="right"/>
    </w:pPr>
    <w:fldSimple w:instr=" TITLE  \* MERGEFORMAT ">
      <w:r w:rsidR="00480ACE">
        <w:t>ECE/TRANS/WP.15/AC.1/2023/23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65195"/>
    <w:multiLevelType w:val="hybridMultilevel"/>
    <w:tmpl w:val="F7D09CDA"/>
    <w:lvl w:ilvl="0" w:tplc="3B64B33E">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86692086">
    <w:abstractNumId w:val="14"/>
  </w:num>
  <w:num w:numId="2" w16cid:durableId="917861090">
    <w:abstractNumId w:val="13"/>
  </w:num>
  <w:num w:numId="3" w16cid:durableId="1866627237">
    <w:abstractNumId w:val="11"/>
  </w:num>
  <w:num w:numId="4" w16cid:durableId="451293245">
    <w:abstractNumId w:val="8"/>
  </w:num>
  <w:num w:numId="5" w16cid:durableId="2088645933">
    <w:abstractNumId w:val="3"/>
  </w:num>
  <w:num w:numId="6" w16cid:durableId="1595015266">
    <w:abstractNumId w:val="2"/>
  </w:num>
  <w:num w:numId="7" w16cid:durableId="1647738787">
    <w:abstractNumId w:val="1"/>
  </w:num>
  <w:num w:numId="8" w16cid:durableId="864363833">
    <w:abstractNumId w:val="0"/>
  </w:num>
  <w:num w:numId="9" w16cid:durableId="1867675541">
    <w:abstractNumId w:val="9"/>
  </w:num>
  <w:num w:numId="10" w16cid:durableId="1261181997">
    <w:abstractNumId w:val="7"/>
  </w:num>
  <w:num w:numId="11" w16cid:durableId="1239823738">
    <w:abstractNumId w:val="6"/>
  </w:num>
  <w:num w:numId="12" w16cid:durableId="757484364">
    <w:abstractNumId w:val="5"/>
  </w:num>
  <w:num w:numId="13" w16cid:durableId="1723867703">
    <w:abstractNumId w:val="4"/>
  </w:num>
  <w:num w:numId="14" w16cid:durableId="799762187">
    <w:abstractNumId w:val="14"/>
  </w:num>
  <w:num w:numId="15" w16cid:durableId="1926725095">
    <w:abstractNumId w:val="13"/>
  </w:num>
  <w:num w:numId="16" w16cid:durableId="791679660">
    <w:abstractNumId w:val="11"/>
  </w:num>
  <w:num w:numId="17" w16cid:durableId="286157955">
    <w:abstractNumId w:val="12"/>
  </w:num>
  <w:num w:numId="18" w16cid:durableId="988830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34"/>
    <w:rsid w:val="00017F94"/>
    <w:rsid w:val="00023842"/>
    <w:rsid w:val="000334F9"/>
    <w:rsid w:val="000432BD"/>
    <w:rsid w:val="00045FEB"/>
    <w:rsid w:val="0007796D"/>
    <w:rsid w:val="00083E5D"/>
    <w:rsid w:val="000B7790"/>
    <w:rsid w:val="000E1A32"/>
    <w:rsid w:val="00111F2F"/>
    <w:rsid w:val="0014365E"/>
    <w:rsid w:val="00143C66"/>
    <w:rsid w:val="00176178"/>
    <w:rsid w:val="001B5D46"/>
    <w:rsid w:val="001F525A"/>
    <w:rsid w:val="00201148"/>
    <w:rsid w:val="00217B18"/>
    <w:rsid w:val="00223272"/>
    <w:rsid w:val="0024779E"/>
    <w:rsid w:val="00257168"/>
    <w:rsid w:val="002744B8"/>
    <w:rsid w:val="002832AC"/>
    <w:rsid w:val="002A0EB3"/>
    <w:rsid w:val="002D7C93"/>
    <w:rsid w:val="00305801"/>
    <w:rsid w:val="003916DE"/>
    <w:rsid w:val="00421996"/>
    <w:rsid w:val="00423EEF"/>
    <w:rsid w:val="00441C3B"/>
    <w:rsid w:val="00446FE5"/>
    <w:rsid w:val="00452396"/>
    <w:rsid w:val="00477EB2"/>
    <w:rsid w:val="00480ACE"/>
    <w:rsid w:val="004837D8"/>
    <w:rsid w:val="0049501D"/>
    <w:rsid w:val="004E2EED"/>
    <w:rsid w:val="004E468C"/>
    <w:rsid w:val="005069B5"/>
    <w:rsid w:val="005505B7"/>
    <w:rsid w:val="00553B75"/>
    <w:rsid w:val="00573BE5"/>
    <w:rsid w:val="00586ED3"/>
    <w:rsid w:val="00593055"/>
    <w:rsid w:val="00596AA9"/>
    <w:rsid w:val="00685948"/>
    <w:rsid w:val="0071601D"/>
    <w:rsid w:val="007549A2"/>
    <w:rsid w:val="007A4B9A"/>
    <w:rsid w:val="007A62E6"/>
    <w:rsid w:val="007F20FA"/>
    <w:rsid w:val="0080684C"/>
    <w:rsid w:val="00871C75"/>
    <w:rsid w:val="008776DC"/>
    <w:rsid w:val="00887494"/>
    <w:rsid w:val="008D26EE"/>
    <w:rsid w:val="008D5EF9"/>
    <w:rsid w:val="009446C0"/>
    <w:rsid w:val="009705C8"/>
    <w:rsid w:val="009A4B32"/>
    <w:rsid w:val="009C1CF4"/>
    <w:rsid w:val="009F6B74"/>
    <w:rsid w:val="00A3029F"/>
    <w:rsid w:val="00A30353"/>
    <w:rsid w:val="00A53BED"/>
    <w:rsid w:val="00A741A4"/>
    <w:rsid w:val="00AC3823"/>
    <w:rsid w:val="00AE323C"/>
    <w:rsid w:val="00AF0CB5"/>
    <w:rsid w:val="00B00181"/>
    <w:rsid w:val="00B00B0D"/>
    <w:rsid w:val="00B147CF"/>
    <w:rsid w:val="00B24565"/>
    <w:rsid w:val="00B45F2E"/>
    <w:rsid w:val="00B765F7"/>
    <w:rsid w:val="00B77993"/>
    <w:rsid w:val="00BA0CA9"/>
    <w:rsid w:val="00BD1DBF"/>
    <w:rsid w:val="00C02897"/>
    <w:rsid w:val="00C97039"/>
    <w:rsid w:val="00D04216"/>
    <w:rsid w:val="00D3162F"/>
    <w:rsid w:val="00D3439C"/>
    <w:rsid w:val="00D50B53"/>
    <w:rsid w:val="00D7622E"/>
    <w:rsid w:val="00DB1831"/>
    <w:rsid w:val="00DD3BFD"/>
    <w:rsid w:val="00DE6934"/>
    <w:rsid w:val="00DF6678"/>
    <w:rsid w:val="00E0299A"/>
    <w:rsid w:val="00E3426D"/>
    <w:rsid w:val="00E62451"/>
    <w:rsid w:val="00E85C74"/>
    <w:rsid w:val="00EA6547"/>
    <w:rsid w:val="00ED7237"/>
    <w:rsid w:val="00EF0A73"/>
    <w:rsid w:val="00EF2E22"/>
    <w:rsid w:val="00F12774"/>
    <w:rsid w:val="00F35BAF"/>
    <w:rsid w:val="00F41588"/>
    <w:rsid w:val="00F564D0"/>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6EEC"/>
  <w15:docId w15:val="{AA37AF62-4EC6-4B3F-BD0B-55C82E0A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5069B5"/>
    <w:rPr>
      <w:rFonts w:ascii="Times New Roman" w:eastAsiaTheme="minorHAnsi" w:hAnsi="Times New Roman" w:cs="Times New Roman"/>
      <w:sz w:val="20"/>
      <w:szCs w:val="20"/>
      <w:lang w:eastAsia="en-US"/>
    </w:rPr>
  </w:style>
  <w:style w:type="character" w:customStyle="1" w:styleId="H1GChar">
    <w:name w:val="_ H_1_G Char"/>
    <w:link w:val="H1G"/>
    <w:rsid w:val="005069B5"/>
    <w:rPr>
      <w:rFonts w:ascii="Times New Roman" w:eastAsiaTheme="minorHAnsi" w:hAnsi="Times New Roman" w:cs="Times New Roman"/>
      <w:b/>
      <w:sz w:val="24"/>
      <w:szCs w:val="20"/>
      <w:lang w:eastAsia="en-US"/>
    </w:rPr>
  </w:style>
  <w:style w:type="character" w:customStyle="1" w:styleId="HChGChar">
    <w:name w:val="_ H _Ch_G Char"/>
    <w:link w:val="HChG"/>
    <w:rsid w:val="005069B5"/>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EF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info/Transport/Dangerous-Goods/events/3738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1827</Words>
  <Characters>12794</Characters>
  <Application>Microsoft Office Word</Application>
  <DocSecurity>0</DocSecurity>
  <Lines>1066</Lines>
  <Paragraphs>584</Paragraphs>
  <ScaleCrop>false</ScaleCrop>
  <HeadingPairs>
    <vt:vector size="2" baseType="variant">
      <vt:variant>
        <vt:lpstr>Titre</vt:lpstr>
      </vt:variant>
      <vt:variant>
        <vt:i4>1</vt:i4>
      </vt:variant>
    </vt:vector>
  </HeadingPairs>
  <TitlesOfParts>
    <vt:vector size="1" baseType="lpstr">
      <vt:lpstr>ECE/TRANS/WP.15/AC.1/2023/23</vt:lpstr>
    </vt:vector>
  </TitlesOfParts>
  <Company>DCM</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ECE/TRANS/WP.15/AC.1/2023/23</dc:title>
  <dc:subject/>
  <dc:creator>Estelle-Delphine DITTA</dc:creator>
  <cp:keywords/>
  <cp:lastModifiedBy>Estelle-Delphine DITTA</cp:lastModifiedBy>
  <cp:revision>2</cp:revision>
  <cp:lastPrinted>2014-05-14T10:59:00Z</cp:lastPrinted>
  <dcterms:created xsi:type="dcterms:W3CDTF">2023-07-21T14:54:00Z</dcterms:created>
  <dcterms:modified xsi:type="dcterms:W3CDTF">2023-07-21T14:54:00Z</dcterms:modified>
</cp:coreProperties>
</file>