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DC18F2" w14:textId="77777777" w:rsidTr="00B20551">
        <w:trPr>
          <w:cantSplit/>
          <w:trHeight w:hRule="exact" w:val="851"/>
        </w:trPr>
        <w:tc>
          <w:tcPr>
            <w:tcW w:w="1276" w:type="dxa"/>
            <w:tcBorders>
              <w:bottom w:val="single" w:sz="4" w:space="0" w:color="auto"/>
            </w:tcBorders>
            <w:vAlign w:val="bottom"/>
          </w:tcPr>
          <w:p w14:paraId="26553BEA" w14:textId="77777777" w:rsidR="009E6CB7" w:rsidRDefault="009E6CB7" w:rsidP="00B20551">
            <w:pPr>
              <w:spacing w:after="80"/>
            </w:pPr>
          </w:p>
        </w:tc>
        <w:tc>
          <w:tcPr>
            <w:tcW w:w="2268" w:type="dxa"/>
            <w:tcBorders>
              <w:bottom w:val="single" w:sz="4" w:space="0" w:color="auto"/>
            </w:tcBorders>
            <w:vAlign w:val="bottom"/>
          </w:tcPr>
          <w:p w14:paraId="2EE8483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2829E6" w14:textId="62F4A2E8" w:rsidR="009E6CB7" w:rsidRPr="00D47EEA" w:rsidRDefault="005E1AAF" w:rsidP="005E1AAF">
            <w:pPr>
              <w:jc w:val="right"/>
            </w:pPr>
            <w:r w:rsidRPr="005E1AAF">
              <w:rPr>
                <w:sz w:val="40"/>
              </w:rPr>
              <w:t>ECE</w:t>
            </w:r>
            <w:r>
              <w:t>/TRANS/WP.15/AC.1/2023/41</w:t>
            </w:r>
          </w:p>
        </w:tc>
      </w:tr>
      <w:tr w:rsidR="009E6CB7" w14:paraId="2734BA24" w14:textId="77777777" w:rsidTr="00B20551">
        <w:trPr>
          <w:cantSplit/>
          <w:trHeight w:hRule="exact" w:val="2835"/>
        </w:trPr>
        <w:tc>
          <w:tcPr>
            <w:tcW w:w="1276" w:type="dxa"/>
            <w:tcBorders>
              <w:top w:val="single" w:sz="4" w:space="0" w:color="auto"/>
              <w:bottom w:val="single" w:sz="12" w:space="0" w:color="auto"/>
            </w:tcBorders>
          </w:tcPr>
          <w:p w14:paraId="79B5E52F" w14:textId="77777777" w:rsidR="009E6CB7" w:rsidRDefault="00686A48" w:rsidP="00B20551">
            <w:pPr>
              <w:spacing w:before="120"/>
            </w:pPr>
            <w:r>
              <w:rPr>
                <w:noProof/>
                <w:lang w:val="de-DE" w:eastAsia="de-DE"/>
              </w:rPr>
              <w:drawing>
                <wp:inline distT="0" distB="0" distL="0" distR="0" wp14:anchorId="20246B69" wp14:editId="303957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26442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06A2EF" w14:textId="77777777" w:rsidR="009E6CB7" w:rsidRDefault="005E1AAF" w:rsidP="005E1AAF">
            <w:pPr>
              <w:spacing w:before="240" w:line="240" w:lineRule="exact"/>
            </w:pPr>
            <w:r>
              <w:t>Distr.: General</w:t>
            </w:r>
          </w:p>
          <w:p w14:paraId="4E9850C6" w14:textId="0D91E91B" w:rsidR="005E1AAF" w:rsidRDefault="00422D6A" w:rsidP="005E1AAF">
            <w:pPr>
              <w:spacing w:line="240" w:lineRule="exact"/>
            </w:pPr>
            <w:r>
              <w:t xml:space="preserve">4 July </w:t>
            </w:r>
            <w:r w:rsidR="005E1AAF">
              <w:t>2023</w:t>
            </w:r>
          </w:p>
          <w:p w14:paraId="2320EB4F" w14:textId="77777777" w:rsidR="005E1AAF" w:rsidRDefault="005E1AAF" w:rsidP="005E1AAF">
            <w:pPr>
              <w:spacing w:line="240" w:lineRule="exact"/>
            </w:pPr>
          </w:p>
          <w:p w14:paraId="211113E3" w14:textId="40EFF29E" w:rsidR="005E1AAF" w:rsidRDefault="005E1AAF" w:rsidP="005E1AAF">
            <w:pPr>
              <w:spacing w:line="240" w:lineRule="exact"/>
            </w:pPr>
            <w:r>
              <w:t>Original: English</w:t>
            </w:r>
          </w:p>
        </w:tc>
      </w:tr>
    </w:tbl>
    <w:p w14:paraId="1F29A1C4" w14:textId="77777777" w:rsidR="005E1AAF" w:rsidRPr="00960236" w:rsidRDefault="005E1AAF" w:rsidP="00C411EB">
      <w:pPr>
        <w:spacing w:before="120"/>
        <w:rPr>
          <w:b/>
          <w:sz w:val="28"/>
          <w:szCs w:val="28"/>
        </w:rPr>
      </w:pPr>
      <w:r w:rsidRPr="00960236">
        <w:rPr>
          <w:b/>
          <w:sz w:val="28"/>
          <w:szCs w:val="28"/>
        </w:rPr>
        <w:t>Economic Commission for Europe</w:t>
      </w:r>
    </w:p>
    <w:p w14:paraId="1B2F8D22" w14:textId="77777777" w:rsidR="005E1AAF" w:rsidRPr="00960236" w:rsidRDefault="005E1AAF" w:rsidP="00C411EB">
      <w:pPr>
        <w:spacing w:before="120"/>
        <w:rPr>
          <w:sz w:val="28"/>
          <w:szCs w:val="28"/>
        </w:rPr>
      </w:pPr>
      <w:r w:rsidRPr="00960236">
        <w:rPr>
          <w:sz w:val="28"/>
          <w:szCs w:val="28"/>
        </w:rPr>
        <w:t>Inland Transport Committee</w:t>
      </w:r>
    </w:p>
    <w:p w14:paraId="0A461C49" w14:textId="77777777" w:rsidR="005E1AAF" w:rsidRPr="00960236" w:rsidRDefault="005E1AAF" w:rsidP="00C411EB">
      <w:pPr>
        <w:spacing w:before="120"/>
        <w:rPr>
          <w:b/>
          <w:sz w:val="24"/>
          <w:szCs w:val="24"/>
        </w:rPr>
      </w:pPr>
      <w:r w:rsidRPr="00960236">
        <w:rPr>
          <w:b/>
          <w:sz w:val="24"/>
          <w:szCs w:val="24"/>
        </w:rPr>
        <w:t>Working Party on the Transport of Dangerous Goods</w:t>
      </w:r>
    </w:p>
    <w:p w14:paraId="3EB7C235" w14:textId="77777777" w:rsidR="005E1AAF" w:rsidRPr="00960236" w:rsidRDefault="005E1AAF"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AA2531B" w14:textId="09D7B98D" w:rsidR="005E1AAF" w:rsidRDefault="005E1AAF" w:rsidP="00C411EB">
      <w:r>
        <w:rPr>
          <w:color w:val="000000"/>
          <w:lang w:val="en-CA"/>
        </w:rPr>
        <w:t>Geneva</w:t>
      </w:r>
      <w:r w:rsidRPr="00AC5B9D">
        <w:rPr>
          <w:color w:val="000000"/>
          <w:lang w:val="en-CA"/>
        </w:rPr>
        <w:t xml:space="preserve">, </w:t>
      </w:r>
      <w:r>
        <w:rPr>
          <w:color w:val="000000"/>
          <w:lang w:val="en-CA"/>
        </w:rPr>
        <w:t>19</w:t>
      </w:r>
      <w:r w:rsidRPr="003E468A">
        <w:rPr>
          <w:color w:val="000000"/>
          <w:lang w:val="en-CA"/>
        </w:rPr>
        <w:t>-</w:t>
      </w:r>
      <w:r>
        <w:rPr>
          <w:color w:val="000000"/>
          <w:lang w:val="en-CA"/>
        </w:rPr>
        <w:t>29</w:t>
      </w:r>
      <w:r w:rsidRPr="00AC5B9D">
        <w:rPr>
          <w:color w:val="000000"/>
          <w:lang w:val="en-CA"/>
        </w:rPr>
        <w:t xml:space="preserve"> </w:t>
      </w:r>
      <w:r>
        <w:rPr>
          <w:color w:val="000000"/>
          <w:lang w:val="en-CA"/>
        </w:rPr>
        <w:t>September</w:t>
      </w:r>
      <w:r w:rsidRPr="00AC5B9D">
        <w:rPr>
          <w:color w:val="000000"/>
          <w:lang w:val="en-CA"/>
        </w:rPr>
        <w:t xml:space="preserve"> 202</w:t>
      </w:r>
      <w:r w:rsidRPr="003E468A">
        <w:rPr>
          <w:color w:val="000000"/>
          <w:lang w:val="en-CA"/>
        </w:rPr>
        <w:t>3</w:t>
      </w:r>
    </w:p>
    <w:p w14:paraId="305B0335" w14:textId="01470DFF" w:rsidR="005E1AAF" w:rsidRDefault="005E1AAF" w:rsidP="00C411EB">
      <w:r>
        <w:t>Item 5 (a) of the provisional agenda</w:t>
      </w:r>
    </w:p>
    <w:p w14:paraId="178884D0" w14:textId="77777777" w:rsidR="005E1AAF" w:rsidRPr="003E468A" w:rsidRDefault="005E1AAF" w:rsidP="005E1AAF">
      <w:pPr>
        <w:suppressAutoHyphens w:val="0"/>
        <w:spacing w:line="240" w:lineRule="auto"/>
        <w:rPr>
          <w:b/>
          <w:color w:val="000000"/>
          <w:lang w:val="en-CA"/>
        </w:rPr>
      </w:pPr>
      <w:r w:rsidRPr="003E468A">
        <w:rPr>
          <w:b/>
          <w:color w:val="000000"/>
          <w:lang w:val="en-CA"/>
        </w:rPr>
        <w:t xml:space="preserve">Proposals for amendments to RID/ADR/ADN: </w:t>
      </w:r>
    </w:p>
    <w:p w14:paraId="6B5BCFBD" w14:textId="57F6F6D7" w:rsidR="005E1AAF" w:rsidRPr="005E1AAF" w:rsidRDefault="005E1AAF" w:rsidP="005E1AAF">
      <w:pPr>
        <w:spacing w:line="240" w:lineRule="auto"/>
        <w:rPr>
          <w:lang w:val="en-CA"/>
        </w:rPr>
      </w:pPr>
      <w:r>
        <w:rPr>
          <w:b/>
          <w:color w:val="000000"/>
          <w:lang w:val="en-CA"/>
        </w:rPr>
        <w:t>p</w:t>
      </w:r>
      <w:r w:rsidRPr="005E1AAF">
        <w:rPr>
          <w:b/>
          <w:color w:val="000000"/>
          <w:lang w:val="en-CA"/>
        </w:rPr>
        <w:t>ending issues</w:t>
      </w:r>
    </w:p>
    <w:p w14:paraId="065D3C71" w14:textId="18CD3374" w:rsidR="005E1AAF" w:rsidRPr="003E468A" w:rsidRDefault="005E1AAF" w:rsidP="005E1AAF">
      <w:pPr>
        <w:suppressAutoHyphens w:val="0"/>
        <w:spacing w:before="360" w:after="120" w:line="240" w:lineRule="auto"/>
        <w:ind w:left="720"/>
        <w:rPr>
          <w:b/>
          <w:bCs/>
          <w:sz w:val="28"/>
          <w:szCs w:val="28"/>
          <w:lang w:val="en-CA"/>
        </w:rPr>
      </w:pPr>
      <w:r>
        <w:rPr>
          <w:b/>
          <w:bCs/>
          <w:sz w:val="28"/>
          <w:szCs w:val="28"/>
          <w:lang w:val="en-CA"/>
        </w:rPr>
        <w:t xml:space="preserve">Definitions for </w:t>
      </w:r>
      <w:r w:rsidR="00B34C39">
        <w:rPr>
          <w:b/>
          <w:bCs/>
          <w:sz w:val="28"/>
          <w:szCs w:val="28"/>
          <w:lang w:val="en-CA"/>
        </w:rPr>
        <w:t>c</w:t>
      </w:r>
      <w:r>
        <w:rPr>
          <w:b/>
          <w:bCs/>
          <w:sz w:val="28"/>
          <w:szCs w:val="28"/>
          <w:lang w:val="en-CA"/>
        </w:rPr>
        <w:t xml:space="preserve">onsolidation </w:t>
      </w:r>
      <w:r w:rsidR="00B34C39">
        <w:rPr>
          <w:b/>
          <w:bCs/>
          <w:sz w:val="28"/>
          <w:szCs w:val="28"/>
          <w:lang w:val="en-CA"/>
        </w:rPr>
        <w:t>b</w:t>
      </w:r>
      <w:r>
        <w:rPr>
          <w:b/>
          <w:bCs/>
          <w:sz w:val="28"/>
          <w:szCs w:val="28"/>
          <w:lang w:val="en-CA"/>
        </w:rPr>
        <w:t xml:space="preserve">in </w:t>
      </w:r>
      <w:r w:rsidR="00B34C39">
        <w:rPr>
          <w:b/>
          <w:bCs/>
          <w:sz w:val="28"/>
          <w:szCs w:val="28"/>
          <w:lang w:val="en-CA"/>
        </w:rPr>
        <w:t>and</w:t>
      </w:r>
      <w:r>
        <w:rPr>
          <w:b/>
          <w:bCs/>
          <w:sz w:val="28"/>
          <w:szCs w:val="28"/>
          <w:lang w:val="en-CA"/>
        </w:rPr>
        <w:t xml:space="preserve"> </w:t>
      </w:r>
      <w:r w:rsidR="00B34C39">
        <w:rPr>
          <w:b/>
          <w:bCs/>
          <w:sz w:val="28"/>
          <w:szCs w:val="28"/>
          <w:lang w:val="en-CA"/>
        </w:rPr>
        <w:t>o</w:t>
      </w:r>
      <w:r>
        <w:rPr>
          <w:b/>
          <w:bCs/>
          <w:sz w:val="28"/>
          <w:szCs w:val="28"/>
          <w:lang w:val="en-CA"/>
        </w:rPr>
        <w:t>verpack</w:t>
      </w:r>
    </w:p>
    <w:p w14:paraId="55D960FB" w14:textId="2CA7287C" w:rsidR="00FC4646" w:rsidRPr="00104A1E" w:rsidRDefault="005E1AAF" w:rsidP="00FC4646">
      <w:pPr>
        <w:pStyle w:val="H1G"/>
        <w:tabs>
          <w:tab w:val="clear" w:pos="851"/>
        </w:tabs>
        <w:spacing w:before="240" w:line="240" w:lineRule="auto"/>
        <w:ind w:left="720" w:right="720" w:hanging="720"/>
        <w:rPr>
          <w:b w:val="0"/>
          <w:sz w:val="18"/>
          <w:szCs w:val="18"/>
        </w:rPr>
      </w:pPr>
      <w:r w:rsidRPr="003E468A">
        <w:rPr>
          <w:sz w:val="22"/>
          <w:szCs w:val="22"/>
          <w:lang w:val="en-CA"/>
        </w:rPr>
        <w:tab/>
        <w:t>Submitted by the Council on Safe Transportation of Hazardous Articles (COSTHA</w:t>
      </w:r>
      <w:r w:rsidR="00FC4646" w:rsidRPr="00104A1E">
        <w:t>)</w:t>
      </w:r>
      <w:r w:rsidR="00FC4646" w:rsidRPr="000D7273">
        <w:rPr>
          <w:rStyle w:val="FootnoteReference"/>
          <w:sz w:val="20"/>
        </w:rPr>
        <w:footnoteReference w:customMarkFollows="1" w:id="2"/>
        <w:t>*</w:t>
      </w:r>
      <w:r w:rsidR="00FC4646" w:rsidRPr="000D7273">
        <w:rPr>
          <w:sz w:val="20"/>
          <w:vertAlign w:val="superscript"/>
        </w:rPr>
        <w:t>,</w:t>
      </w:r>
      <w:r w:rsidR="00FC4646" w:rsidRPr="00104A1E">
        <w:rPr>
          <w:sz w:val="20"/>
        </w:rPr>
        <w:t xml:space="preserve"> </w:t>
      </w:r>
      <w:r w:rsidR="00FC4646" w:rsidRPr="00104A1E">
        <w:rPr>
          <w:rStyle w:val="FootnoteReference"/>
          <w:sz w:val="20"/>
        </w:rPr>
        <w:footnoteReference w:customMarkFollows="1" w:id="3"/>
        <w:t>**</w:t>
      </w:r>
    </w:p>
    <w:p w14:paraId="480EA2BD" w14:textId="77777777" w:rsidR="00FC4646" w:rsidRPr="00FC4646" w:rsidRDefault="00FC4646" w:rsidP="00FC4646">
      <w:pPr>
        <w:rPr>
          <w:lang w:val="en-CA"/>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65693" w14:paraId="7689602C" w14:textId="77777777" w:rsidTr="006E5E26">
        <w:trPr>
          <w:jc w:val="center"/>
        </w:trPr>
        <w:tc>
          <w:tcPr>
            <w:tcW w:w="9637" w:type="dxa"/>
            <w:shd w:val="clear" w:color="auto" w:fill="auto"/>
          </w:tcPr>
          <w:p w14:paraId="09F42703" w14:textId="77777777" w:rsidR="00965693" w:rsidRPr="00C6263E" w:rsidRDefault="00965693" w:rsidP="006E5E26">
            <w:pPr>
              <w:spacing w:before="240" w:after="120"/>
              <w:ind w:left="255"/>
              <w:rPr>
                <w:i/>
                <w:sz w:val="24"/>
              </w:rPr>
            </w:pPr>
            <w:r w:rsidRPr="00C6263E">
              <w:rPr>
                <w:i/>
                <w:sz w:val="24"/>
              </w:rPr>
              <w:t>Summary</w:t>
            </w:r>
          </w:p>
        </w:tc>
      </w:tr>
      <w:tr w:rsidR="00965693" w14:paraId="78AF4D79" w14:textId="77777777" w:rsidTr="006E5E26">
        <w:trPr>
          <w:jc w:val="center"/>
        </w:trPr>
        <w:tc>
          <w:tcPr>
            <w:tcW w:w="9637" w:type="dxa"/>
            <w:shd w:val="clear" w:color="auto" w:fill="auto"/>
          </w:tcPr>
          <w:p w14:paraId="6B139DC9" w14:textId="2173C52A" w:rsidR="00611D1E" w:rsidRDefault="00151796" w:rsidP="00077C79">
            <w:pPr>
              <w:pStyle w:val="SingleTxtG"/>
              <w:tabs>
                <w:tab w:val="left" w:pos="1701"/>
                <w:tab w:val="left" w:pos="2268"/>
                <w:tab w:val="left" w:pos="2835"/>
              </w:tabs>
              <w:ind w:left="3402" w:hanging="2268"/>
            </w:pPr>
            <w:r w:rsidRPr="003E468A">
              <w:rPr>
                <w:b/>
                <w:lang w:val="en-CA"/>
              </w:rPr>
              <w:t>Executive summary:</w:t>
            </w:r>
            <w:r w:rsidR="00077C79">
              <w:rPr>
                <w:b/>
              </w:rPr>
              <w:tab/>
            </w:r>
            <w:r w:rsidR="00611D1E" w:rsidRPr="004D2E8F">
              <w:t xml:space="preserve">The amount of dangerous goods transported directly to end consumers has increased in volume in recent years. However, the </w:t>
            </w:r>
            <w:r w:rsidR="00611D1E">
              <w:t>RID/</w:t>
            </w:r>
            <w:r w:rsidR="00611D1E" w:rsidRPr="004D2E8F">
              <w:t>ADR</w:t>
            </w:r>
            <w:r w:rsidR="00611D1E">
              <w:t>/ADN</w:t>
            </w:r>
            <w:r w:rsidR="00611D1E" w:rsidRPr="004D2E8F">
              <w:t>, as written, predominantly covers transportation between businesses</w:t>
            </w:r>
            <w:r w:rsidR="00611D1E">
              <w:t>,</w:t>
            </w:r>
            <w:r w:rsidR="00611D1E" w:rsidRPr="004D2E8F">
              <w:t xml:space="preserve"> whether those businesses are manufacturers, shippers, retail locations or distribution</w:t>
            </w:r>
            <w:r w:rsidR="00611D1E">
              <w:t xml:space="preserve"> </w:t>
            </w:r>
            <w:r w:rsidR="00611D1E" w:rsidRPr="004D2E8F">
              <w:t>sites.</w:t>
            </w:r>
          </w:p>
          <w:p w14:paraId="0F3B8022" w14:textId="715F981F" w:rsidR="00965693" w:rsidRDefault="00077C79" w:rsidP="00077C79">
            <w:pPr>
              <w:pStyle w:val="SingleTxtG"/>
              <w:ind w:left="3402" w:hanging="2268"/>
            </w:pPr>
            <w:r>
              <w:tab/>
            </w:r>
            <w:r w:rsidR="00611D1E" w:rsidRPr="004D2E8F">
              <w:t xml:space="preserve">The direct delivery to an end consumer has historically been handled by parcel delivery companies, </w:t>
            </w:r>
            <w:r w:rsidR="00611D1E">
              <w:t xml:space="preserve">the </w:t>
            </w:r>
            <w:r w:rsidR="00611D1E" w:rsidRPr="004D2E8F">
              <w:t xml:space="preserve">postal </w:t>
            </w:r>
            <w:proofErr w:type="gramStart"/>
            <w:r w:rsidR="00611D1E" w:rsidRPr="004D2E8F">
              <w:t>services</w:t>
            </w:r>
            <w:proofErr w:type="gramEnd"/>
            <w:r w:rsidR="00611D1E" w:rsidRPr="004D2E8F">
              <w:t xml:space="preserve"> and the consumer themselves. To that end, the regulations have exceptions intended to limit the transport requirements for some of these types of shipments</w:t>
            </w:r>
            <w:r w:rsidR="00611D1E">
              <w:t>.</w:t>
            </w:r>
          </w:p>
        </w:tc>
      </w:tr>
      <w:tr w:rsidR="005C1D3B" w14:paraId="2285DC30" w14:textId="77777777" w:rsidTr="006E5E26">
        <w:trPr>
          <w:jc w:val="center"/>
        </w:trPr>
        <w:tc>
          <w:tcPr>
            <w:tcW w:w="9637" w:type="dxa"/>
            <w:shd w:val="clear" w:color="auto" w:fill="auto"/>
          </w:tcPr>
          <w:p w14:paraId="32026FC0" w14:textId="413FF593" w:rsidR="005C1D3B" w:rsidRPr="003E468A" w:rsidRDefault="00BC1AE8" w:rsidP="00077C79">
            <w:pPr>
              <w:pStyle w:val="SingleTxtG"/>
              <w:tabs>
                <w:tab w:val="left" w:pos="1701"/>
                <w:tab w:val="left" w:pos="2268"/>
                <w:tab w:val="left" w:pos="2835"/>
              </w:tabs>
              <w:ind w:left="3402" w:hanging="2268"/>
              <w:rPr>
                <w:b/>
                <w:lang w:val="en-CA"/>
              </w:rPr>
            </w:pPr>
            <w:r w:rsidRPr="003E468A">
              <w:rPr>
                <w:b/>
                <w:lang w:val="en-CA"/>
              </w:rPr>
              <w:t>Action to be taken:</w:t>
            </w:r>
            <w:r>
              <w:rPr>
                <w:b/>
                <w:lang w:val="en-CA"/>
              </w:rPr>
              <w:tab/>
            </w:r>
            <w:r w:rsidR="00B928EB">
              <w:rPr>
                <w:b/>
                <w:lang w:val="en-CA"/>
              </w:rPr>
              <w:tab/>
            </w:r>
            <w:r w:rsidR="00B928EB" w:rsidRPr="00B928EB">
              <w:t>Introduce</w:t>
            </w:r>
            <w:r w:rsidR="00B928EB">
              <w:rPr>
                <w:bCs/>
              </w:rPr>
              <w:t xml:space="preserve"> a new definition for </w:t>
            </w:r>
            <w:r w:rsidR="00CA7F0E">
              <w:rPr>
                <w:bCs/>
              </w:rPr>
              <w:t>"</w:t>
            </w:r>
            <w:r w:rsidR="00B928EB">
              <w:rPr>
                <w:bCs/>
              </w:rPr>
              <w:t>consolidation bin</w:t>
            </w:r>
            <w:r w:rsidR="00CA7F0E">
              <w:rPr>
                <w:bCs/>
              </w:rPr>
              <w:t>"</w:t>
            </w:r>
            <w:r w:rsidR="00B928EB">
              <w:rPr>
                <w:bCs/>
              </w:rPr>
              <w:t xml:space="preserve"> and update the definition for </w:t>
            </w:r>
            <w:r w:rsidR="00CA7F0E">
              <w:rPr>
                <w:bCs/>
              </w:rPr>
              <w:t>"</w:t>
            </w:r>
            <w:r w:rsidR="00B928EB">
              <w:rPr>
                <w:bCs/>
              </w:rPr>
              <w:t>overpack</w:t>
            </w:r>
            <w:r w:rsidR="00CA7F0E">
              <w:rPr>
                <w:bCs/>
              </w:rPr>
              <w:t>"</w:t>
            </w:r>
            <w:r w:rsidR="00B928EB">
              <w:rPr>
                <w:bCs/>
              </w:rPr>
              <w:t xml:space="preserve"> in RID/ADR/ADN</w:t>
            </w:r>
            <w:r w:rsidR="00B928EB" w:rsidRPr="006C0AE1">
              <w:t>.</w:t>
            </w:r>
          </w:p>
        </w:tc>
      </w:tr>
      <w:tr w:rsidR="00B928EB" w14:paraId="2B821F1C" w14:textId="77777777" w:rsidTr="006E5E26">
        <w:trPr>
          <w:jc w:val="center"/>
        </w:trPr>
        <w:tc>
          <w:tcPr>
            <w:tcW w:w="9637" w:type="dxa"/>
            <w:shd w:val="clear" w:color="auto" w:fill="auto"/>
          </w:tcPr>
          <w:p w14:paraId="70A9572C" w14:textId="41276DFE" w:rsidR="00B928EB" w:rsidRPr="003E468A" w:rsidRDefault="00524030" w:rsidP="00077C79">
            <w:pPr>
              <w:pStyle w:val="SingleTxtG"/>
              <w:tabs>
                <w:tab w:val="left" w:pos="1701"/>
                <w:tab w:val="left" w:pos="2268"/>
                <w:tab w:val="left" w:pos="2835"/>
              </w:tabs>
              <w:ind w:left="3402" w:hanging="2268"/>
              <w:rPr>
                <w:b/>
                <w:lang w:val="en-CA"/>
              </w:rPr>
            </w:pPr>
            <w:r w:rsidRPr="003E468A">
              <w:rPr>
                <w:b/>
                <w:lang w:val="en-CA"/>
              </w:rPr>
              <w:t>Related documents:</w:t>
            </w:r>
            <w:r w:rsidR="003E33B7">
              <w:rPr>
                <w:b/>
                <w:lang w:val="en-CA"/>
              </w:rPr>
              <w:tab/>
            </w:r>
            <w:r>
              <w:rPr>
                <w:b/>
                <w:lang w:val="en-CA"/>
              </w:rPr>
              <w:tab/>
            </w:r>
            <w:bookmarkStart w:id="0" w:name="_Hlk89264015"/>
            <w:r w:rsidR="003E33B7" w:rsidRPr="00B57810">
              <w:t xml:space="preserve">Informal document INF.31 (COSTHA) of the </w:t>
            </w:r>
            <w:r w:rsidR="000E2B19">
              <w:t>s</w:t>
            </w:r>
            <w:r w:rsidR="003E33B7" w:rsidRPr="00B57810">
              <w:t>pring 2022 session</w:t>
            </w:r>
            <w:bookmarkEnd w:id="0"/>
            <w:r w:rsidR="003E33B7" w:rsidRPr="00B57810">
              <w:t>, d</w:t>
            </w:r>
            <w:r w:rsidR="003E33B7" w:rsidRPr="008A01F2">
              <w:rPr>
                <w:szCs w:val="8"/>
              </w:rPr>
              <w:t>ocuments ST</w:t>
            </w:r>
            <w:r w:rsidR="003E33B7" w:rsidRPr="00B57810">
              <w:t xml:space="preserve">/SG/AC.10/C.3/2022/27 and </w:t>
            </w:r>
            <w:r w:rsidR="003E33B7" w:rsidRPr="008A01F2">
              <w:rPr>
                <w:szCs w:val="8"/>
              </w:rPr>
              <w:t>ST</w:t>
            </w:r>
            <w:r w:rsidR="003E33B7" w:rsidRPr="00B57810">
              <w:t xml:space="preserve">/SG/AC.10/C.3/2022/28, informal documents </w:t>
            </w:r>
            <w:r w:rsidR="003E33B7" w:rsidRPr="008A01F2">
              <w:rPr>
                <w:rFonts w:cstheme="minorHAnsi"/>
              </w:rPr>
              <w:t xml:space="preserve">INF.20 (COSTHA) </w:t>
            </w:r>
            <w:r w:rsidR="00020865">
              <w:rPr>
                <w:rFonts w:cstheme="minorHAnsi"/>
              </w:rPr>
              <w:t>and</w:t>
            </w:r>
            <w:r w:rsidR="003E33B7" w:rsidRPr="008A01F2">
              <w:rPr>
                <w:rFonts w:cstheme="minorHAnsi"/>
              </w:rPr>
              <w:t xml:space="preserve"> INF.29 (RECHARGE) of the Autumn 2022 session</w:t>
            </w:r>
            <w:r w:rsidR="003E33B7">
              <w:rPr>
                <w:rFonts w:cstheme="minorHAnsi"/>
              </w:rPr>
              <w:t xml:space="preserve"> and informal document INF.22 (COSTHA) </w:t>
            </w:r>
            <w:r w:rsidR="003E33B7" w:rsidRPr="00B57810">
              <w:t>of the Spring 202</w:t>
            </w:r>
            <w:r w:rsidR="003E33B7">
              <w:t>3</w:t>
            </w:r>
            <w:r w:rsidR="003E33B7" w:rsidRPr="00B57810">
              <w:t xml:space="preserve"> session</w:t>
            </w:r>
            <w:r w:rsidR="003E33B7" w:rsidRPr="008A01F2">
              <w:rPr>
                <w:rFonts w:cstheme="minorHAnsi"/>
              </w:rPr>
              <w:t>.</w:t>
            </w:r>
          </w:p>
        </w:tc>
      </w:tr>
      <w:tr w:rsidR="00965693" w14:paraId="33ABB3EC" w14:textId="77777777" w:rsidTr="006E5E26">
        <w:trPr>
          <w:jc w:val="center"/>
        </w:trPr>
        <w:tc>
          <w:tcPr>
            <w:tcW w:w="9637" w:type="dxa"/>
            <w:shd w:val="clear" w:color="auto" w:fill="auto"/>
          </w:tcPr>
          <w:p w14:paraId="783C12D7" w14:textId="77777777" w:rsidR="00965693" w:rsidRDefault="00965693" w:rsidP="006E5E26"/>
        </w:tc>
      </w:tr>
    </w:tbl>
    <w:p w14:paraId="43947D15" w14:textId="77777777" w:rsidR="00551DA3" w:rsidRDefault="00551DA3" w:rsidP="00965693"/>
    <w:p w14:paraId="3D2AC86F" w14:textId="577BCDD6" w:rsidR="005E1AAF" w:rsidRPr="00E07C04" w:rsidRDefault="00D84661" w:rsidP="00D84661">
      <w:pPr>
        <w:pStyle w:val="HChG"/>
      </w:pPr>
      <w:r>
        <w:lastRenderedPageBreak/>
        <w:tab/>
      </w:r>
      <w:r>
        <w:tab/>
      </w:r>
      <w:r w:rsidR="005E1AAF">
        <w:t>Background</w:t>
      </w:r>
    </w:p>
    <w:p w14:paraId="2D5828BC" w14:textId="228B97C5" w:rsidR="005E1AAF" w:rsidRPr="00D84661" w:rsidRDefault="00942C3B" w:rsidP="00942C3B">
      <w:pPr>
        <w:pStyle w:val="SingleTxtG"/>
      </w:pPr>
      <w:r>
        <w:t>1.</w:t>
      </w:r>
      <w:r>
        <w:tab/>
      </w:r>
      <w:r w:rsidR="005E1AAF" w:rsidRPr="00D84661">
        <w:t xml:space="preserve">At the March 2022 session of the Joint Meeting of the RID Committee of Experts and the Working Party on the Transport of Dangerous Goods (WP.15/AC.1), COSTHA presented informal document INF.31 for discussion purposes and gathered initial comments from delegations to prepare a working paper for the September 2022 session of the Joint Meeting. Based on comments and additional research, COSTHA presented an informal </w:t>
      </w:r>
      <w:r w:rsidR="007C0B52">
        <w:t>document</w:t>
      </w:r>
      <w:r w:rsidR="007C0B52" w:rsidRPr="00D84661">
        <w:t xml:space="preserve"> </w:t>
      </w:r>
      <w:r w:rsidR="005E1AAF" w:rsidRPr="00D84661">
        <w:t xml:space="preserve">for the </w:t>
      </w:r>
      <w:r w:rsidR="000E2B19">
        <w:t>s</w:t>
      </w:r>
      <w:r w:rsidR="005E1AAF" w:rsidRPr="00D84661">
        <w:t>pring 2023 session.</w:t>
      </w:r>
    </w:p>
    <w:p w14:paraId="2A1F890B" w14:textId="0918312D" w:rsidR="005E1AAF" w:rsidRDefault="00942C3B" w:rsidP="00D84661">
      <w:pPr>
        <w:pStyle w:val="SingleTxtG"/>
      </w:pPr>
      <w:r>
        <w:t>2.</w:t>
      </w:r>
      <w:r>
        <w:tab/>
      </w:r>
      <w:r w:rsidR="005E1AAF" w:rsidRPr="00D84661">
        <w:t>Working document ECE/TRANS/WP.15/AC.1/2022/28 proposed to either amend the definition of overpack or to amend 3.4.1.1, 3.5.4.3, and special provision 188 of the RID/ADR/A</w:t>
      </w:r>
      <w:r w:rsidR="000E2B19">
        <w:t>D</w:t>
      </w:r>
      <w:r w:rsidR="005E1AAF" w:rsidRPr="00D84661">
        <w:t>N</w:t>
      </w:r>
      <w:r w:rsidR="005E1AAF">
        <w:t xml:space="preserve"> to account for the use of overpacks for packages of dangerous goods in limited quantities, in excepted quantities, and those containing small, excepted lithium batteries; and was based on the fact that there is a differ</w:t>
      </w:r>
      <w:r w:rsidR="005E1AAF" w:rsidRPr="00C03871">
        <w:t xml:space="preserve">ence </w:t>
      </w:r>
      <w:r w:rsidR="005E1AAF">
        <w:t xml:space="preserve">in </w:t>
      </w:r>
      <w:r w:rsidR="005E1AAF" w:rsidRPr="00C03871">
        <w:t xml:space="preserve">the definition of </w:t>
      </w:r>
      <w:r w:rsidR="00E27404">
        <w:t>"</w:t>
      </w:r>
      <w:r w:rsidR="005E1AAF" w:rsidRPr="00C03871">
        <w:t>overpack</w:t>
      </w:r>
      <w:r w:rsidR="00E27404">
        <w:t>"</w:t>
      </w:r>
      <w:r w:rsidR="005E1AAF">
        <w:t xml:space="preserve"> </w:t>
      </w:r>
      <w:r w:rsidR="005E1AAF" w:rsidRPr="00C03871">
        <w:t>between the UN Model Regulations and RID/ADR/AD</w:t>
      </w:r>
      <w:r w:rsidR="00CD426E">
        <w:t>N</w:t>
      </w:r>
      <w:r w:rsidR="005E1AAF" w:rsidRPr="00C03871">
        <w:t xml:space="preserve">. </w:t>
      </w:r>
      <w:r w:rsidR="005E1AAF">
        <w:t xml:space="preserve">Informal document </w:t>
      </w:r>
      <w:r w:rsidR="005E1AAF" w:rsidRPr="00594F76">
        <w:rPr>
          <w:rFonts w:cstheme="minorHAnsi"/>
        </w:rPr>
        <w:t xml:space="preserve">INF.22 </w:t>
      </w:r>
      <w:r w:rsidR="005E1AAF" w:rsidRPr="00B57810">
        <w:t xml:space="preserve">of the </w:t>
      </w:r>
      <w:r w:rsidR="000E2B19">
        <w:t>s</w:t>
      </w:r>
      <w:r w:rsidR="005E1AAF" w:rsidRPr="00B57810">
        <w:t>pring 202</w:t>
      </w:r>
      <w:r w:rsidR="005E1AAF">
        <w:t>3</w:t>
      </w:r>
      <w:r w:rsidR="005E1AAF" w:rsidRPr="00B57810">
        <w:t xml:space="preserve"> session</w:t>
      </w:r>
      <w:r w:rsidR="005E1AAF">
        <w:t xml:space="preserve"> was prepared to introduce a concept used in other regulatory texts for potential ways to resolve the issue and provide clarity.</w:t>
      </w:r>
    </w:p>
    <w:p w14:paraId="16D92F2F" w14:textId="624AE08A" w:rsidR="005E1AAF" w:rsidRPr="00D84661" w:rsidRDefault="00942C3B" w:rsidP="00D84661">
      <w:pPr>
        <w:pStyle w:val="SingleTxtG"/>
      </w:pPr>
      <w:r>
        <w:t>3.</w:t>
      </w:r>
      <w:r>
        <w:tab/>
      </w:r>
      <w:r w:rsidR="005E1AAF" w:rsidRPr="00D84661">
        <w:t xml:space="preserve">As previously mentioned, many carriers (especially parcel delivery and postal services) use a handling device (i.e., bag, tote, bin, etc.) during last mile deliveries. While such handling devices/bags increase the overall safety of these parcels in transport by providing yet another level of containment and protection, they are used mostly to facilitate the carriage of multiple parcels by organizing them in the delivery truck. These </w:t>
      </w:r>
      <w:r>
        <w:t>"</w:t>
      </w:r>
      <w:r w:rsidR="005E1AAF" w:rsidRPr="00D84661">
        <w:t>bags</w:t>
      </w:r>
      <w:r>
        <w:t>"</w:t>
      </w:r>
      <w:r w:rsidR="005E1AAF" w:rsidRPr="00D84661">
        <w:t xml:space="preserve"> are then unloaded at different stops along a delivery route. Similar bags are utilized in other operations such as deliveries by bike and hand delivery; postal services and other delivery operations involving the hand carriage of parcels will also often utilize bags. Some competent authorities who have derogations on file to except these types of bags from overpack markings, while others follow the </w:t>
      </w:r>
      <w:r w:rsidR="0089561F">
        <w:t>RID/</w:t>
      </w:r>
      <w:r w:rsidR="005E1AAF" w:rsidRPr="00D84661">
        <w:t>ADR</w:t>
      </w:r>
      <w:r w:rsidR="0089561F">
        <w:t>/ADN</w:t>
      </w:r>
      <w:r w:rsidR="005E1AAF" w:rsidRPr="00D84661">
        <w:t xml:space="preserve"> to strictly interpret the markings as being necessary during all legs of the transportation, including the last mile.</w:t>
      </w:r>
    </w:p>
    <w:p w14:paraId="24F3DCCB" w14:textId="0413FBD3" w:rsidR="005E1AAF" w:rsidRPr="00626DCA" w:rsidRDefault="00D84661" w:rsidP="00D84661">
      <w:pPr>
        <w:pStyle w:val="HChG"/>
      </w:pPr>
      <w:r>
        <w:tab/>
      </w:r>
      <w:r>
        <w:tab/>
      </w:r>
      <w:r w:rsidR="005E1AAF" w:rsidRPr="00626DCA">
        <w:t>Justification</w:t>
      </w:r>
    </w:p>
    <w:p w14:paraId="3A6A0C7F" w14:textId="074E9C18" w:rsidR="005E1AAF" w:rsidRPr="00D84661" w:rsidRDefault="00E27404" w:rsidP="00D84661">
      <w:pPr>
        <w:pStyle w:val="SingleTxtG"/>
      </w:pPr>
      <w:r>
        <w:t>4.</w:t>
      </w:r>
      <w:r>
        <w:tab/>
      </w:r>
      <w:r w:rsidR="005E1AAF" w:rsidRPr="00D84661">
        <w:t xml:space="preserve">It must once again be highlighted that the contents of the bags are constantly changing as the drivers deliver individual parcels. Bags often contains both marked (dangerous) and unmarked (non-dangerous) goods, and drivers do not always know when the final marked </w:t>
      </w:r>
      <w:r w:rsidR="007C3F38">
        <w:t>dangerous goods</w:t>
      </w:r>
      <w:r w:rsidR="005E1AAF" w:rsidRPr="00D84661">
        <w:t xml:space="preserve"> consignment is removed from any one of the bags contained within a last mile delivery vehicle during the duration of a run. According to </w:t>
      </w:r>
      <w:r w:rsidR="001B0236">
        <w:t xml:space="preserve">the </w:t>
      </w:r>
      <w:r w:rsidR="005E1AAF" w:rsidRPr="00D84661">
        <w:t xml:space="preserve">ADR, once the last consignment containing dangerous goods is removed, the marking required for an overpack (and/or LQ, </w:t>
      </w:r>
      <w:r w:rsidR="000E2B19">
        <w:t>lithium battery mark</w:t>
      </w:r>
      <w:r w:rsidR="005E1AAF" w:rsidRPr="00D84661">
        <w:t>) must be removed, since it is no longer applicable or appropriate. Not removing the marking would communicate a hazard that does not exist and violate the ADR requirements. This places additional pressure and responsibility on the driver to constantly watch the content of the bags by looking through the bags and handling the packages to verify compliance (the drivers do not have the space or time to safely carry out this function after every delivery throughout the run) and remove the marks from the handling device as appropriate. COSTHA sees the primary duty and focus of delivery employees on safe navigation, handling, and delivery of the packages to the end consumer.</w:t>
      </w:r>
    </w:p>
    <w:p w14:paraId="116E392F" w14:textId="388FCCE0" w:rsidR="005E1AAF" w:rsidRPr="00626DCA" w:rsidRDefault="00E27404" w:rsidP="00E27404">
      <w:pPr>
        <w:pStyle w:val="HChG"/>
      </w:pPr>
      <w:r>
        <w:tab/>
      </w:r>
      <w:r>
        <w:tab/>
      </w:r>
      <w:r w:rsidR="005E1AAF" w:rsidRPr="00626DCA">
        <w:t>Definition of overpack</w:t>
      </w:r>
    </w:p>
    <w:p w14:paraId="4C9479C5" w14:textId="6DC6EF0D" w:rsidR="005E1AAF" w:rsidRPr="006931E7" w:rsidRDefault="00E27404" w:rsidP="00D84661">
      <w:pPr>
        <w:pStyle w:val="SingleTxtG"/>
      </w:pPr>
      <w:r>
        <w:t>5.</w:t>
      </w:r>
      <w:r>
        <w:tab/>
      </w:r>
      <w:r w:rsidR="005E1AAF" w:rsidRPr="007513C0">
        <w:t xml:space="preserve">In the </w:t>
      </w:r>
      <w:r w:rsidR="005E1AAF" w:rsidRPr="006931E7">
        <w:t xml:space="preserve">Model Regulations, an overpack means an enclosure used by a single consignor to contain one or more packages and to form one unit for convenience. Examples of overpacks are </w:t>
      </w:r>
      <w:proofErr w:type="gramStart"/>
      <w:r w:rsidR="005E1AAF" w:rsidRPr="006931E7">
        <w:t>a number of</w:t>
      </w:r>
      <w:proofErr w:type="gramEnd"/>
      <w:r w:rsidR="005E1AAF" w:rsidRPr="006931E7">
        <w:t xml:space="preserve"> packages either:</w:t>
      </w:r>
    </w:p>
    <w:p w14:paraId="77104F28" w14:textId="03CDB79E" w:rsidR="005E1AAF" w:rsidRPr="006931E7" w:rsidRDefault="003457CA" w:rsidP="00422D6A">
      <w:pPr>
        <w:pStyle w:val="SingleTxtG"/>
        <w:ind w:firstLine="567"/>
      </w:pPr>
      <w:r>
        <w:t>(a)</w:t>
      </w:r>
      <w:r w:rsidR="005E1AAF" w:rsidRPr="006931E7">
        <w:tab/>
        <w:t>Placed or stacked onto a load board such as a pallet and secured by strapping, shrink wrapping, stretch wrapping, or other suitable means; or</w:t>
      </w:r>
    </w:p>
    <w:p w14:paraId="47B9B481" w14:textId="0609DF79" w:rsidR="005E1AAF" w:rsidRPr="006931E7" w:rsidRDefault="003457CA" w:rsidP="00422D6A">
      <w:pPr>
        <w:pStyle w:val="SingleTxtG"/>
        <w:ind w:firstLine="567"/>
      </w:pPr>
      <w:r>
        <w:t>(b)</w:t>
      </w:r>
      <w:r w:rsidR="005E1AAF" w:rsidRPr="006931E7">
        <w:tab/>
        <w:t>Placed in a protective outer packaging such as a box or crate.</w:t>
      </w:r>
    </w:p>
    <w:p w14:paraId="3A4EA62F" w14:textId="59E61EF0" w:rsidR="005E1AAF" w:rsidRPr="006931E7" w:rsidRDefault="003457CA" w:rsidP="00D84661">
      <w:pPr>
        <w:pStyle w:val="SingleTxtG"/>
      </w:pPr>
      <w:r>
        <w:lastRenderedPageBreak/>
        <w:t>6.</w:t>
      </w:r>
      <w:r>
        <w:tab/>
      </w:r>
      <w:r w:rsidR="005E1AAF" w:rsidRPr="006931E7">
        <w:t>In RID/ADR/ADN, an overpack means an enclosure used (by a single consignor in the case of radioactive material) to contain one or more packages, consolidated into a single unit easier to handle and stow during carriage. Examples of overpacks:</w:t>
      </w:r>
    </w:p>
    <w:p w14:paraId="764A336F" w14:textId="77777777" w:rsidR="005E1AAF" w:rsidRPr="006931E7" w:rsidRDefault="005E1AAF" w:rsidP="003457CA">
      <w:pPr>
        <w:pStyle w:val="SingleTxtG"/>
        <w:ind w:firstLine="567"/>
      </w:pPr>
      <w:r w:rsidRPr="006931E7">
        <w:t>(a)</w:t>
      </w:r>
      <w:r w:rsidRPr="006931E7">
        <w:tab/>
        <w:t xml:space="preserve">A loading tray such as a pallet, on which several packages are placed and stacked and secured by a plastics strip, shrink or stretch wrapping or other appropriate </w:t>
      </w:r>
      <w:proofErr w:type="gramStart"/>
      <w:r w:rsidRPr="006931E7">
        <w:t>means;</w:t>
      </w:r>
      <w:proofErr w:type="gramEnd"/>
      <w:r w:rsidRPr="006931E7">
        <w:t xml:space="preserve"> or</w:t>
      </w:r>
    </w:p>
    <w:p w14:paraId="17A42BC7" w14:textId="77777777" w:rsidR="005E1AAF" w:rsidRPr="006931E7" w:rsidRDefault="005E1AAF" w:rsidP="003457CA">
      <w:pPr>
        <w:pStyle w:val="SingleTxtG"/>
        <w:ind w:firstLine="567"/>
      </w:pPr>
      <w:r w:rsidRPr="006931E7">
        <w:t>(b)</w:t>
      </w:r>
      <w:r w:rsidRPr="006931E7">
        <w:tab/>
        <w:t>An outer protective packaging such as a box or a crate.</w:t>
      </w:r>
    </w:p>
    <w:p w14:paraId="10302DEA" w14:textId="743A6A7F" w:rsidR="005E1AAF" w:rsidRDefault="003457CA" w:rsidP="00D84661">
      <w:pPr>
        <w:pStyle w:val="SingleTxtG"/>
      </w:pPr>
      <w:r>
        <w:t>7.</w:t>
      </w:r>
      <w:r>
        <w:tab/>
      </w:r>
      <w:r w:rsidR="005E1AAF" w:rsidRPr="006931E7">
        <w:t>In the International Civil Aviation Organization (ICAO) Technical Instructions, the International Maritime Dangerous Goods (IMDG Code), the United States Department of Transp</w:t>
      </w:r>
      <w:r w:rsidR="00004CD2">
        <w:t>o</w:t>
      </w:r>
      <w:r w:rsidR="005E1AAF" w:rsidRPr="006931E7">
        <w:t>r</w:t>
      </w:r>
      <w:r w:rsidR="00004CD2">
        <w:t>t</w:t>
      </w:r>
      <w:r w:rsidR="005E1AAF" w:rsidRPr="006931E7">
        <w:t>ation’s Hazardous</w:t>
      </w:r>
      <w:r w:rsidR="005E1AAF">
        <w:t xml:space="preserve"> Material Regulations (US DOT 49 CFR) and in Transport Canada’s Transportation of Dangerous Goods Regulations, the definition of an overpack is the same as in the Model Regulations.</w:t>
      </w:r>
    </w:p>
    <w:p w14:paraId="235E1B76" w14:textId="425951B6" w:rsidR="005E1AAF" w:rsidRPr="00626DCA" w:rsidRDefault="00D84661" w:rsidP="00D84661">
      <w:pPr>
        <w:pStyle w:val="HChG"/>
      </w:pPr>
      <w:r>
        <w:tab/>
      </w:r>
      <w:r>
        <w:tab/>
      </w:r>
      <w:r w:rsidR="005E1AAF" w:rsidRPr="00D84661">
        <w:t>Consolidation</w:t>
      </w:r>
      <w:r w:rsidR="005E1AAF" w:rsidRPr="00626DCA">
        <w:t xml:space="preserve"> bins</w:t>
      </w:r>
    </w:p>
    <w:p w14:paraId="6C505335" w14:textId="3D85AC70" w:rsidR="005E1AAF" w:rsidRPr="00D84661" w:rsidRDefault="00484029" w:rsidP="00D84661">
      <w:pPr>
        <w:pStyle w:val="SingleTxtG"/>
      </w:pPr>
      <w:r>
        <w:t>8.</w:t>
      </w:r>
      <w:r>
        <w:tab/>
      </w:r>
      <w:r w:rsidR="005E1AAF" w:rsidRPr="00D84661">
        <w:t>The United States Department of Transportation’s Hazardous Material Regulations (US</w:t>
      </w:r>
      <w:r>
        <w:t> </w:t>
      </w:r>
      <w:r w:rsidR="005E1AAF" w:rsidRPr="00D84661">
        <w:t>DOT</w:t>
      </w:r>
      <w:r>
        <w:t> </w:t>
      </w:r>
      <w:r w:rsidR="005E1AAF" w:rsidRPr="00D84661">
        <w:t xml:space="preserve">49 CFR) and Transport Canada’s Transportation of Dangerous Goods (TDG) Regulations have utilized a regulatory term, consolidation bin, and have included requirements associated with the use of the bins. </w:t>
      </w:r>
    </w:p>
    <w:p w14:paraId="6095142F" w14:textId="001490B6" w:rsidR="005E1AAF" w:rsidRPr="00D84661" w:rsidRDefault="00484029" w:rsidP="00D84661">
      <w:pPr>
        <w:pStyle w:val="SingleTxtG"/>
      </w:pPr>
      <w:r>
        <w:t>9.</w:t>
      </w:r>
      <w:r>
        <w:tab/>
      </w:r>
      <w:r w:rsidR="005E1AAF" w:rsidRPr="00D84661">
        <w:t xml:space="preserve">Within </w:t>
      </w:r>
      <w:r w:rsidR="005E7B8D">
        <w:t xml:space="preserve">paragraph </w:t>
      </w:r>
      <w:r w:rsidR="005E1AAF" w:rsidRPr="00D84661">
        <w:t xml:space="preserve">172.404(c) of 49 CFR, consolidation bins used by a single motor carrier: </w:t>
      </w:r>
    </w:p>
    <w:p w14:paraId="523439B2" w14:textId="7C4A4833" w:rsidR="005E1AAF" w:rsidRPr="00D84661" w:rsidRDefault="005E7B8D" w:rsidP="005E7B8D">
      <w:pPr>
        <w:pStyle w:val="SingleTxtG"/>
        <w:ind w:firstLine="567"/>
      </w:pPr>
      <w:r>
        <w:t>(a)</w:t>
      </w:r>
      <w:r>
        <w:tab/>
      </w:r>
      <w:r w:rsidR="005E1AAF" w:rsidRPr="00D84661">
        <w:t>must be reusable, made of materials such as plastic, wood, or metal and have a capacity of 1.8 m</w:t>
      </w:r>
      <w:r w:rsidR="005E1AAF" w:rsidRPr="00422D6A">
        <w:rPr>
          <w:vertAlign w:val="superscript"/>
        </w:rPr>
        <w:t>3</w:t>
      </w:r>
      <w:r w:rsidR="005E1AAF" w:rsidRPr="00D84661">
        <w:t xml:space="preserve"> or </w:t>
      </w:r>
      <w:proofErr w:type="gramStart"/>
      <w:r w:rsidR="005E1AAF" w:rsidRPr="00D84661">
        <w:t>less;</w:t>
      </w:r>
      <w:proofErr w:type="gramEnd"/>
      <w:r w:rsidR="005E1AAF" w:rsidRPr="00D84661">
        <w:t xml:space="preserve"> </w:t>
      </w:r>
    </w:p>
    <w:p w14:paraId="38964DB6" w14:textId="78E61EEE" w:rsidR="005E1AAF" w:rsidRPr="00D84661" w:rsidRDefault="005E7B8D" w:rsidP="005E7B8D">
      <w:pPr>
        <w:pStyle w:val="SingleTxtG"/>
        <w:ind w:firstLine="567"/>
      </w:pPr>
      <w:r>
        <w:t>(b)</w:t>
      </w:r>
      <w:r>
        <w:tab/>
      </w:r>
      <w:r w:rsidR="005E1AAF" w:rsidRPr="00D84661">
        <w:t>must be properly blocked and braced within the transport vehicle; and</w:t>
      </w:r>
    </w:p>
    <w:p w14:paraId="7930161B" w14:textId="1B575B0F" w:rsidR="005E1AAF" w:rsidRDefault="005E7B8D" w:rsidP="005E7B8D">
      <w:pPr>
        <w:pStyle w:val="SingleTxtG"/>
        <w:ind w:firstLine="567"/>
      </w:pPr>
      <w:r>
        <w:t>(c)</w:t>
      </w:r>
      <w:r>
        <w:tab/>
      </w:r>
      <w:r w:rsidR="005E1AAF" w:rsidRPr="00D84661">
        <w:t xml:space="preserve">may only be </w:t>
      </w:r>
      <w:bookmarkStart w:id="1" w:name="_Hlk126586006"/>
      <w:r w:rsidR="005E1AAF" w:rsidRPr="00D84661">
        <w:t>transported by a single motor carrier, or on railcars transporting such vehicles</w:t>
      </w:r>
      <w:bookmarkEnd w:id="1"/>
      <w:r w:rsidR="005E1AAF" w:rsidRPr="00D84661">
        <w:t>; and</w:t>
      </w:r>
    </w:p>
    <w:p w14:paraId="44CD0597" w14:textId="0016290A" w:rsidR="005E1AAF" w:rsidRPr="00D84661" w:rsidRDefault="00246251" w:rsidP="00246251">
      <w:pPr>
        <w:pStyle w:val="SingleTxtG"/>
        <w:ind w:firstLine="567"/>
      </w:pPr>
      <w:r>
        <w:t>(d)</w:t>
      </w:r>
      <w:r>
        <w:tab/>
      </w:r>
      <w:r w:rsidR="005E1AAF" w:rsidRPr="00D84661">
        <w:t>the outside of the consolidation bin must be labelled as required for each class of hazardous material contained therein, unless labels representative of each hazardous material are visible from the outside of the consolidation bin. Alternatively, labelling of a consolidation bin is not required if the consolidation bin is clearly and legibly marked on a tag or fixed display device with an indication of each hazard class or division contained within the bin.</w:t>
      </w:r>
    </w:p>
    <w:p w14:paraId="085C4E65" w14:textId="3DC42476" w:rsidR="005E1AAF" w:rsidRPr="00D84661" w:rsidRDefault="00660482" w:rsidP="00D84661">
      <w:pPr>
        <w:pStyle w:val="SingleTxtG"/>
      </w:pPr>
      <w:r>
        <w:t>10.</w:t>
      </w:r>
      <w:r>
        <w:tab/>
      </w:r>
      <w:r w:rsidR="005E1AAF" w:rsidRPr="00D84661">
        <w:t>Additionally, dangerous goods packages placed in the consolidation bin:</w:t>
      </w:r>
    </w:p>
    <w:p w14:paraId="583838AE" w14:textId="1B4B245C" w:rsidR="005E1AAF" w:rsidRPr="00D84661" w:rsidRDefault="00660482" w:rsidP="00660482">
      <w:pPr>
        <w:pStyle w:val="SingleTxtG"/>
        <w:ind w:firstLine="567"/>
      </w:pPr>
      <w:r>
        <w:t>(a)</w:t>
      </w:r>
      <w:r>
        <w:tab/>
      </w:r>
      <w:r w:rsidR="005E1AAF" w:rsidRPr="00D84661">
        <w:t xml:space="preserve">must be marked and labelled as required by the </w:t>
      </w:r>
      <w:proofErr w:type="gramStart"/>
      <w:r w:rsidR="005E1AAF" w:rsidRPr="00D84661">
        <w:t>regulations;</w:t>
      </w:r>
      <w:proofErr w:type="gramEnd"/>
    </w:p>
    <w:p w14:paraId="7FE349B1" w14:textId="04D963C0" w:rsidR="005E1AAF" w:rsidRPr="00D84661" w:rsidRDefault="00660482" w:rsidP="00660482">
      <w:pPr>
        <w:pStyle w:val="SingleTxtG"/>
        <w:ind w:firstLine="567"/>
      </w:pPr>
      <w:r>
        <w:t>(b)</w:t>
      </w:r>
      <w:r>
        <w:tab/>
      </w:r>
      <w:r w:rsidR="005E1AAF" w:rsidRPr="00D84661">
        <w:t xml:space="preserve">must not require </w:t>
      </w:r>
      <w:proofErr w:type="gramStart"/>
      <w:r w:rsidR="005E1AAF" w:rsidRPr="00D84661">
        <w:t>segregation;</w:t>
      </w:r>
      <w:proofErr w:type="gramEnd"/>
    </w:p>
    <w:p w14:paraId="4D8F0D60" w14:textId="159A96D8" w:rsidR="005E1AAF" w:rsidRPr="00D84661" w:rsidRDefault="00660482" w:rsidP="00660482">
      <w:pPr>
        <w:pStyle w:val="SingleTxtG"/>
        <w:ind w:firstLine="567"/>
      </w:pPr>
      <w:r>
        <w:t>(c)</w:t>
      </w:r>
      <w:r>
        <w:tab/>
      </w:r>
      <w:r w:rsidR="005E1AAF" w:rsidRPr="00D84661">
        <w:t>may only be placed within the consolidation bin, and the bin be loaded on a motor vehicle, by an employee of a single motor carrier; and</w:t>
      </w:r>
    </w:p>
    <w:p w14:paraId="0401024E" w14:textId="394B5C77" w:rsidR="005E1AAF" w:rsidRPr="00D84661" w:rsidRDefault="00660482" w:rsidP="00660482">
      <w:pPr>
        <w:pStyle w:val="SingleTxtG"/>
        <w:ind w:firstLine="567"/>
      </w:pPr>
      <w:r>
        <w:t>(d)</w:t>
      </w:r>
      <w:r>
        <w:tab/>
      </w:r>
      <w:r w:rsidR="005E1AAF" w:rsidRPr="00D84661">
        <w:t>must be secured within the consolidation bin by other packages or by other suitable means in such a manner as to prevent shifting of, or significant relative motion between, the packages that would likely compromise the integrity of any package.</w:t>
      </w:r>
    </w:p>
    <w:p w14:paraId="35C2296D" w14:textId="5EBDA254" w:rsidR="005E1AAF" w:rsidRPr="00D84661" w:rsidRDefault="00660482" w:rsidP="00D84661">
      <w:pPr>
        <w:pStyle w:val="SingleTxtG"/>
      </w:pPr>
      <w:r>
        <w:t>11.</w:t>
      </w:r>
      <w:r>
        <w:tab/>
      </w:r>
      <w:r w:rsidR="005E1AAF" w:rsidRPr="00D84661">
        <w:t>Within Section 1.4, Definitions, of Transport Canada’s TDG Regulations, a consolidation bin is defined as a bin that is used in a road vehicle:</w:t>
      </w:r>
    </w:p>
    <w:p w14:paraId="74BC1230" w14:textId="30005249" w:rsidR="005E1AAF" w:rsidRPr="00D84661" w:rsidRDefault="00D173AF" w:rsidP="00D173AF">
      <w:pPr>
        <w:pStyle w:val="SingleTxtG"/>
        <w:ind w:left="1701"/>
      </w:pPr>
      <w:r>
        <w:t>"</w:t>
      </w:r>
      <w:r w:rsidR="005E1AAF" w:rsidRPr="00D84661">
        <w:t>(a)</w:t>
      </w:r>
      <w:r w:rsidR="007A18AA">
        <w:tab/>
      </w:r>
      <w:r w:rsidR="005E1AAF" w:rsidRPr="00D84661">
        <w:t>to secure one or more small means of containment so that, under normal conditions of transport, they will not shift in a way that might compromise their integrity; and</w:t>
      </w:r>
    </w:p>
    <w:p w14:paraId="6E12A23D" w14:textId="17618EE5" w:rsidR="005E1AAF" w:rsidRPr="00D84661" w:rsidRDefault="005E1AAF" w:rsidP="00D173AF">
      <w:pPr>
        <w:pStyle w:val="SingleTxtG"/>
        <w:ind w:left="1701"/>
      </w:pPr>
      <w:r w:rsidRPr="00D84661">
        <w:t>(b)</w:t>
      </w:r>
      <w:r w:rsidR="007A18AA">
        <w:tab/>
      </w:r>
      <w:r w:rsidRPr="00D84661">
        <w:t>to allow small means of containment to be added or removed during transport.</w:t>
      </w:r>
      <w:r w:rsidR="00D173AF">
        <w:t>"</w:t>
      </w:r>
    </w:p>
    <w:p w14:paraId="5BE6E017" w14:textId="77777777" w:rsidR="005E1AAF" w:rsidRPr="00D84661" w:rsidRDefault="005E1AAF" w:rsidP="005D29CD">
      <w:pPr>
        <w:pStyle w:val="SingleTxtG"/>
      </w:pPr>
      <w:r w:rsidRPr="00D173AF">
        <w:rPr>
          <w:i/>
          <w:iCs/>
        </w:rPr>
        <w:t>Note:</w:t>
      </w:r>
      <w:r w:rsidRPr="00D84661">
        <w:t xml:space="preserve"> According to paragraph (b) above, a consolidation bin allows users to add or remove small means of containment during transport (unlike an overpack). A typical user of consolidation bins would be a delivery service that makes many deliveries in one route.</w:t>
      </w:r>
    </w:p>
    <w:p w14:paraId="432FBBC8" w14:textId="14B3962D" w:rsidR="005E1AAF" w:rsidRPr="00D84661" w:rsidRDefault="00FD2240" w:rsidP="00D84661">
      <w:pPr>
        <w:pStyle w:val="SingleTxtG"/>
      </w:pPr>
      <w:r>
        <w:lastRenderedPageBreak/>
        <w:t>12.</w:t>
      </w:r>
      <w:r>
        <w:tab/>
      </w:r>
      <w:r w:rsidR="005E1AAF" w:rsidRPr="00D84661">
        <w:t>Part 4, Dangerous Goods Safety Marks, of the TDG Regulations contains the marking and labelling requirements. Section 4.10.2, Safety Marks on a Consolidation Bin, states that</w:t>
      </w:r>
      <w:r w:rsidR="0045100C">
        <w:t>:</w:t>
      </w:r>
    </w:p>
    <w:p w14:paraId="1943B0F0" w14:textId="75F3C2BC" w:rsidR="005E1AAF" w:rsidRPr="00D84661" w:rsidRDefault="00901C0A" w:rsidP="00422D6A">
      <w:pPr>
        <w:pStyle w:val="SingleTxtG"/>
        <w:ind w:left="1701"/>
      </w:pPr>
      <w:r>
        <w:t>"</w:t>
      </w:r>
      <w:r w:rsidR="005E1AAF" w:rsidRPr="00D84661">
        <w:t>When a label is required by this Part to be displayed on a small means of containment that is inside a consolidation bin, an indication of each class of dangerous goods contained in the consolidation bin must be clearly and legibly marked on a tag or fixed display device that is attached to the bin.</w:t>
      </w:r>
      <w:r>
        <w:t>"</w:t>
      </w:r>
    </w:p>
    <w:p w14:paraId="54E7B363" w14:textId="4894EB8D" w:rsidR="005E1AAF" w:rsidRPr="00D84661" w:rsidRDefault="008648DE" w:rsidP="00D84661">
      <w:pPr>
        <w:pStyle w:val="SingleTxtG"/>
      </w:pPr>
      <w:r>
        <w:t>13.</w:t>
      </w:r>
      <w:r>
        <w:tab/>
      </w:r>
      <w:r w:rsidR="005E1AAF" w:rsidRPr="00D84661">
        <w:t>Part 5, Means of Containment, of the TDG Regulations contains the packaging requirements. Section 5.18 contains further details on the use of consolidation bins as follows:</w:t>
      </w:r>
    </w:p>
    <w:p w14:paraId="57D9D2C0" w14:textId="4A505BC2" w:rsidR="005E1AAF" w:rsidRPr="00D84661" w:rsidRDefault="00901C0A" w:rsidP="00422D6A">
      <w:pPr>
        <w:pStyle w:val="SingleTxtG"/>
        <w:ind w:left="1701"/>
      </w:pPr>
      <w:r>
        <w:t>"</w:t>
      </w:r>
      <w:r w:rsidR="005E1AAF" w:rsidRPr="00D84661">
        <w:t>A person must not use a consolidation bin to handle or transport dangerous goods in a road vehicle unless</w:t>
      </w:r>
    </w:p>
    <w:p w14:paraId="5A76FE45" w14:textId="141D6AB3" w:rsidR="005E1AAF" w:rsidRPr="00D84661" w:rsidRDefault="005E1AAF" w:rsidP="00422D6A">
      <w:pPr>
        <w:pStyle w:val="SingleTxtG"/>
        <w:ind w:left="1701"/>
      </w:pPr>
      <w:r w:rsidRPr="00D84661">
        <w:t>(a)</w:t>
      </w:r>
      <w:r w:rsidR="00364086">
        <w:tab/>
      </w:r>
      <w:r w:rsidRPr="00D84661">
        <w:t>the capacity of the consolidation bin is less than or equal to 1.8 m</w:t>
      </w:r>
      <w:r w:rsidRPr="00422D6A">
        <w:rPr>
          <w:vertAlign w:val="superscript"/>
        </w:rPr>
        <w:t>3</w:t>
      </w:r>
      <w:r w:rsidRPr="00D84661">
        <w:t xml:space="preserve"> (64 cubic feet</w:t>
      </w:r>
      <w:proofErr w:type="gramStart"/>
      <w:r w:rsidRPr="00D84661">
        <w:t>);</w:t>
      </w:r>
      <w:proofErr w:type="gramEnd"/>
    </w:p>
    <w:p w14:paraId="220573D6" w14:textId="47930CC6" w:rsidR="005E1AAF" w:rsidRPr="00D84661" w:rsidRDefault="005E1AAF" w:rsidP="00422D6A">
      <w:pPr>
        <w:pStyle w:val="SingleTxtG"/>
        <w:ind w:left="1701"/>
      </w:pPr>
      <w:r w:rsidRPr="00D84661">
        <w:t>(b)</w:t>
      </w:r>
      <w:r w:rsidR="00364086">
        <w:tab/>
      </w:r>
      <w:r w:rsidRPr="00D84661">
        <w:t xml:space="preserve">the consolidation bin is reusable and constructed of plastic, </w:t>
      </w:r>
      <w:proofErr w:type="gramStart"/>
      <w:r w:rsidRPr="00D84661">
        <w:t>wood</w:t>
      </w:r>
      <w:proofErr w:type="gramEnd"/>
      <w:r w:rsidRPr="00D84661">
        <w:t xml:space="preserve"> or metal; and</w:t>
      </w:r>
    </w:p>
    <w:p w14:paraId="46399941" w14:textId="6F5DE729" w:rsidR="005E1AAF" w:rsidRPr="00D84661" w:rsidRDefault="005E1AAF" w:rsidP="00422D6A">
      <w:pPr>
        <w:pStyle w:val="SingleTxtG"/>
        <w:ind w:left="1701"/>
      </w:pPr>
      <w:r w:rsidRPr="00D84661">
        <w:t>(c)</w:t>
      </w:r>
      <w:r w:rsidR="00364086">
        <w:tab/>
      </w:r>
      <w:r w:rsidRPr="00D84661">
        <w:t>the consolidation bin is blocked or braced within the road vehicle.</w:t>
      </w:r>
      <w:r w:rsidR="00901C0A">
        <w:t>"</w:t>
      </w:r>
    </w:p>
    <w:p w14:paraId="2AB93B84" w14:textId="007A0AEE" w:rsidR="005E1AAF" w:rsidRPr="00D84661" w:rsidRDefault="00901C0A" w:rsidP="00D84661">
      <w:pPr>
        <w:pStyle w:val="SingleTxtG"/>
      </w:pPr>
      <w:r>
        <w:t>14.</w:t>
      </w:r>
      <w:r>
        <w:tab/>
      </w:r>
      <w:r w:rsidR="005E1AAF" w:rsidRPr="00D84661">
        <w:t>Similarly, the ICAO Technical Instructions, when dangerous goods packages which require a hazard label are loaded into Unit Load Devices (ULDs), each ULD must display an identification tag on its exterior indicating that dangerous goods are contained within the ULD.</w:t>
      </w:r>
    </w:p>
    <w:p w14:paraId="1F2CF5D2" w14:textId="2BAC7AEE" w:rsidR="005E1AAF" w:rsidRPr="00D84661" w:rsidRDefault="00901C0A" w:rsidP="00D84661">
      <w:pPr>
        <w:pStyle w:val="SingleTxtG"/>
      </w:pPr>
      <w:r>
        <w:t>15.</w:t>
      </w:r>
      <w:r>
        <w:tab/>
      </w:r>
      <w:r w:rsidR="005E1AAF" w:rsidRPr="00D84661">
        <w:t>COSTHA believes that the requirements within 49 CFR and the TDG Regulations for consolidation bins, and those in the ICAO Technical Instructions for unit load devices (ULDs), present a possible way forward for introducing a definition of a carrier specific handling device that would be subject to appropriate hazard communication requirements.</w:t>
      </w:r>
    </w:p>
    <w:p w14:paraId="1ADF3BFA" w14:textId="5B1737C4" w:rsidR="005E1AAF" w:rsidRPr="004B0695" w:rsidRDefault="00D84661" w:rsidP="00D84661">
      <w:pPr>
        <w:pStyle w:val="HChG"/>
      </w:pPr>
      <w:r>
        <w:tab/>
      </w:r>
      <w:r>
        <w:tab/>
      </w:r>
      <w:r w:rsidR="005E1AAF" w:rsidRPr="004B0695">
        <w:t>Proposal 1</w:t>
      </w:r>
    </w:p>
    <w:p w14:paraId="010CB2A0" w14:textId="1A3FDACB" w:rsidR="005E1AAF" w:rsidRPr="00D84661" w:rsidRDefault="005C219F" w:rsidP="00D84661">
      <w:pPr>
        <w:pStyle w:val="SingleTxtG"/>
      </w:pPr>
      <w:r>
        <w:t>16.</w:t>
      </w:r>
      <w:r>
        <w:tab/>
      </w:r>
      <w:r w:rsidR="009C1A0A">
        <w:t>I</w:t>
      </w:r>
      <w:r w:rsidR="009C1A0A" w:rsidRPr="00D84661">
        <w:t xml:space="preserve">n 1.2.1 of RID/ADR/ADN </w:t>
      </w:r>
      <w:r w:rsidR="009C1A0A">
        <w:t>a</w:t>
      </w:r>
      <w:r w:rsidR="005E1AAF" w:rsidRPr="00D84661">
        <w:t>dd a new definition for consolidation bin as follows:</w:t>
      </w:r>
    </w:p>
    <w:p w14:paraId="5F2D5E91" w14:textId="1EB95558" w:rsidR="005E1AAF" w:rsidRPr="00D84661" w:rsidRDefault="006D594D" w:rsidP="00422D6A">
      <w:pPr>
        <w:pStyle w:val="SingleTxtG"/>
        <w:ind w:left="1701"/>
      </w:pPr>
      <w:r>
        <w:t>"</w:t>
      </w:r>
      <w:r w:rsidR="005E1AAF" w:rsidRPr="00D84661">
        <w:t xml:space="preserve">Consolidation bin means an enclosure used by a single carrier to secure one or more dangerous goods packages so that, under normal conditions of transport, they will not shift in a way that might compromise their integrity. </w:t>
      </w:r>
    </w:p>
    <w:p w14:paraId="6A91D497" w14:textId="470FC2D3" w:rsidR="005E1AAF" w:rsidRPr="00D84661" w:rsidRDefault="00477DE7" w:rsidP="00422D6A">
      <w:pPr>
        <w:pStyle w:val="SingleTxtG"/>
        <w:ind w:firstLine="567"/>
      </w:pPr>
      <w:r>
        <w:t>(a)</w:t>
      </w:r>
      <w:r>
        <w:tab/>
      </w:r>
      <w:r w:rsidR="005E1AAF" w:rsidRPr="00D84661">
        <w:t xml:space="preserve">Consolidation bins: </w:t>
      </w:r>
    </w:p>
    <w:p w14:paraId="77958A15" w14:textId="11CFE317" w:rsidR="005E1AAF" w:rsidRPr="00D84661" w:rsidRDefault="00477DE7" w:rsidP="00422D6A">
      <w:pPr>
        <w:pStyle w:val="SingleTxtG"/>
        <w:ind w:left="2268"/>
      </w:pPr>
      <w:r>
        <w:t>(i)</w:t>
      </w:r>
      <w:r w:rsidR="00F8701E">
        <w:tab/>
      </w:r>
      <w:r w:rsidR="005E1AAF" w:rsidRPr="00D84661">
        <w:t>must be reusable, made of materials such as plastic, wood, or metal and have a capacity of 1.8 m</w:t>
      </w:r>
      <w:r w:rsidR="005E1AAF" w:rsidRPr="00422D6A">
        <w:rPr>
          <w:vertAlign w:val="superscript"/>
        </w:rPr>
        <w:t>3</w:t>
      </w:r>
      <w:r w:rsidR="005E1AAF" w:rsidRPr="00D84661">
        <w:t xml:space="preserve"> or </w:t>
      </w:r>
      <w:proofErr w:type="gramStart"/>
      <w:r w:rsidR="005E1AAF" w:rsidRPr="00D84661">
        <w:t>less;</w:t>
      </w:r>
      <w:proofErr w:type="gramEnd"/>
      <w:r w:rsidR="005E1AAF" w:rsidRPr="00D84661">
        <w:t xml:space="preserve"> </w:t>
      </w:r>
    </w:p>
    <w:p w14:paraId="3EDF30AE" w14:textId="470BE244" w:rsidR="005E1AAF" w:rsidRPr="00D84661" w:rsidRDefault="00B56C63" w:rsidP="00422D6A">
      <w:pPr>
        <w:pStyle w:val="SingleTxtG"/>
        <w:ind w:left="1701" w:firstLine="567"/>
      </w:pPr>
      <w:r>
        <w:t>(ii)</w:t>
      </w:r>
      <w:r>
        <w:tab/>
      </w:r>
      <w:r w:rsidR="005E1AAF" w:rsidRPr="00D84661">
        <w:t xml:space="preserve">must be properly blocked and braced within the </w:t>
      </w:r>
      <w:r w:rsidR="0089561F">
        <w:t>wagon/</w:t>
      </w:r>
      <w:r w:rsidR="005E1AAF" w:rsidRPr="00D84661">
        <w:t>vehicle; and</w:t>
      </w:r>
    </w:p>
    <w:p w14:paraId="135B502A" w14:textId="2DF4279E" w:rsidR="005E1AAF" w:rsidRPr="00D84661" w:rsidRDefault="00923C6B" w:rsidP="00422D6A">
      <w:pPr>
        <w:pStyle w:val="SingleTxtG"/>
        <w:ind w:left="2268"/>
      </w:pPr>
      <w:r>
        <w:t>(iii)</w:t>
      </w:r>
      <w:r>
        <w:tab/>
      </w:r>
      <w:r w:rsidR="005E1AAF" w:rsidRPr="00D84661">
        <w:t xml:space="preserve">may allow small means of containment to be added or removed during </w:t>
      </w:r>
      <w:r w:rsidR="0089561F">
        <w:t>carriage</w:t>
      </w:r>
      <w:r w:rsidR="005E1AAF" w:rsidRPr="00D84661">
        <w:t>.</w:t>
      </w:r>
    </w:p>
    <w:p w14:paraId="311F23A4" w14:textId="3EA1B969" w:rsidR="005E1AAF" w:rsidRPr="00D84661" w:rsidRDefault="00923C6B" w:rsidP="00422D6A">
      <w:pPr>
        <w:pStyle w:val="SingleTxtG"/>
        <w:ind w:firstLine="567"/>
      </w:pPr>
      <w:r>
        <w:t>(b)</w:t>
      </w:r>
      <w:r>
        <w:tab/>
      </w:r>
      <w:r w:rsidR="005E1AAF" w:rsidRPr="00D84661">
        <w:t>Dangerous goods packages placed in a consolidation bin:</w:t>
      </w:r>
    </w:p>
    <w:p w14:paraId="12A70FE4" w14:textId="0AA094DF" w:rsidR="005E1AAF" w:rsidRPr="00D84661" w:rsidRDefault="00923C6B" w:rsidP="00422D6A">
      <w:pPr>
        <w:pStyle w:val="SingleTxtG"/>
        <w:ind w:left="1701" w:firstLine="567"/>
      </w:pPr>
      <w:r>
        <w:t>(i)</w:t>
      </w:r>
      <w:r>
        <w:tab/>
      </w:r>
      <w:r w:rsidR="005E1AAF" w:rsidRPr="00D84661">
        <w:t xml:space="preserve">must be marked and labelled as required by </w:t>
      </w:r>
      <w:r w:rsidR="0089561F">
        <w:t>RID/ADR/</w:t>
      </w:r>
      <w:proofErr w:type="gramStart"/>
      <w:r w:rsidR="0089561F">
        <w:t>ADN</w:t>
      </w:r>
      <w:r w:rsidR="005E1AAF" w:rsidRPr="00D84661">
        <w:t>;</w:t>
      </w:r>
      <w:proofErr w:type="gramEnd"/>
    </w:p>
    <w:p w14:paraId="2E1951FB" w14:textId="3A1F03D7" w:rsidR="005E1AAF" w:rsidRPr="00D84661" w:rsidRDefault="00923C6B" w:rsidP="00422D6A">
      <w:pPr>
        <w:pStyle w:val="SingleTxtG"/>
        <w:ind w:left="1701" w:firstLine="567"/>
      </w:pPr>
      <w:r>
        <w:t>(ii)</w:t>
      </w:r>
      <w:r>
        <w:tab/>
      </w:r>
      <w:r w:rsidR="005E1AAF" w:rsidRPr="00D84661">
        <w:t>must not require segregation; and</w:t>
      </w:r>
    </w:p>
    <w:p w14:paraId="1C6ACDD9" w14:textId="224862A1" w:rsidR="005E1AAF" w:rsidRPr="00D84661" w:rsidRDefault="00427760" w:rsidP="00422D6A">
      <w:pPr>
        <w:pStyle w:val="SingleTxtG"/>
        <w:ind w:left="2268"/>
      </w:pPr>
      <w:r>
        <w:t>(iii)</w:t>
      </w:r>
      <w:r>
        <w:tab/>
      </w:r>
      <w:r w:rsidR="005E1AAF" w:rsidRPr="00D84661">
        <w:t xml:space="preserve">may only be placed within the consolidation bin, and the bin be loaded </w:t>
      </w:r>
      <w:r w:rsidR="0089561F">
        <w:t>i</w:t>
      </w:r>
      <w:r w:rsidR="005E1AAF" w:rsidRPr="00D84661">
        <w:t xml:space="preserve">n a </w:t>
      </w:r>
      <w:r w:rsidR="0089561F">
        <w:t>wagon/</w:t>
      </w:r>
      <w:r w:rsidR="005E1AAF" w:rsidRPr="00D84661">
        <w:t>vehicle, by an employee of a single carrier.</w:t>
      </w:r>
      <w:r w:rsidR="006D594D">
        <w:t>"</w:t>
      </w:r>
    </w:p>
    <w:p w14:paraId="4867B222" w14:textId="0CC50793" w:rsidR="005E1AAF" w:rsidRPr="00492250" w:rsidRDefault="00D84661" w:rsidP="00D84661">
      <w:pPr>
        <w:pStyle w:val="HChG"/>
      </w:pPr>
      <w:r>
        <w:tab/>
      </w:r>
      <w:r>
        <w:tab/>
      </w:r>
      <w:r w:rsidR="005E1AAF" w:rsidRPr="00492250">
        <w:t>Proposal</w:t>
      </w:r>
      <w:r w:rsidR="005E1AAF">
        <w:t xml:space="preserve"> 2</w:t>
      </w:r>
    </w:p>
    <w:p w14:paraId="4D2993F3" w14:textId="7CE55026" w:rsidR="005E1AAF" w:rsidRDefault="007F73FD" w:rsidP="00D84661">
      <w:pPr>
        <w:pStyle w:val="SingleTxtG"/>
      </w:pPr>
      <w:r>
        <w:t>17.</w:t>
      </w:r>
      <w:r>
        <w:tab/>
      </w:r>
      <w:r w:rsidR="009C1A0A">
        <w:t>In 1.2.1 of RID/ADR/ADN a</w:t>
      </w:r>
      <w:r w:rsidR="005E1AAF">
        <w:t>mend the definition of overpack to harmonize with the one found in the Model Regulations as follows:</w:t>
      </w:r>
    </w:p>
    <w:p w14:paraId="4F1DA3B3" w14:textId="0440C3CF" w:rsidR="005E1AAF" w:rsidRPr="00422D6A" w:rsidRDefault="001E1F10" w:rsidP="00422D6A">
      <w:pPr>
        <w:pStyle w:val="SingleTxtG"/>
        <w:ind w:left="1701"/>
      </w:pPr>
      <w:r>
        <w:t>"</w:t>
      </w:r>
      <w:r w:rsidR="005E1AAF" w:rsidRPr="007F73FD">
        <w:t xml:space="preserve">Overpack </w:t>
      </w:r>
      <w:r w:rsidR="005E1AAF" w:rsidRPr="00422D6A">
        <w:t xml:space="preserve">means an enclosure used (by a single consignor in the case of radioactive material) to contain one or more packages, consolidated into a single unit easier to handle and stow during carriage. Examples of overpacks: </w:t>
      </w:r>
    </w:p>
    <w:p w14:paraId="3F1DDC60" w14:textId="77777777" w:rsidR="005E1AAF" w:rsidRPr="00422D6A" w:rsidRDefault="005E1AAF" w:rsidP="00422D6A">
      <w:pPr>
        <w:pStyle w:val="SingleTxtG"/>
        <w:ind w:left="1701"/>
      </w:pPr>
      <w:r w:rsidRPr="00422D6A">
        <w:lastRenderedPageBreak/>
        <w:t>(a)</w:t>
      </w:r>
      <w:r w:rsidRPr="00422D6A">
        <w:tab/>
        <w:t xml:space="preserve">A loading tray such as a pallet, on which several packages are placed and stacked and secured by a plastics strip, shrink or stretch wrapping or other appropriate </w:t>
      </w:r>
      <w:proofErr w:type="gramStart"/>
      <w:r w:rsidRPr="00422D6A">
        <w:t>means;</w:t>
      </w:r>
      <w:proofErr w:type="gramEnd"/>
      <w:r w:rsidRPr="00422D6A">
        <w:t xml:space="preserve"> or </w:t>
      </w:r>
    </w:p>
    <w:p w14:paraId="779C1A40" w14:textId="43A4955F" w:rsidR="005E1AAF" w:rsidRPr="00422D6A" w:rsidRDefault="005E1AAF" w:rsidP="00422D6A">
      <w:pPr>
        <w:pStyle w:val="SingleTxtG"/>
        <w:ind w:left="1701"/>
      </w:pPr>
      <w:r w:rsidRPr="00422D6A">
        <w:t>(b)</w:t>
      </w:r>
      <w:r w:rsidRPr="00422D6A">
        <w:tab/>
        <w:t>An outer protective packaging such as a box or a crate.</w:t>
      </w:r>
      <w:r w:rsidR="001E1F10">
        <w:t>"</w:t>
      </w:r>
    </w:p>
    <w:p w14:paraId="3AA7FF1D" w14:textId="01130F86" w:rsidR="005E1AAF" w:rsidRPr="00492250" w:rsidRDefault="00D84661" w:rsidP="00D84661">
      <w:pPr>
        <w:pStyle w:val="HChG"/>
      </w:pPr>
      <w:r>
        <w:tab/>
      </w:r>
      <w:r>
        <w:tab/>
      </w:r>
      <w:r w:rsidR="005E1AAF" w:rsidRPr="00492250">
        <w:t>Proposal</w:t>
      </w:r>
      <w:r w:rsidR="005E1AAF">
        <w:t xml:space="preserve"> 3</w:t>
      </w:r>
    </w:p>
    <w:p w14:paraId="59F2CABC" w14:textId="0CD86A42" w:rsidR="005E1AAF" w:rsidRDefault="001E1F10" w:rsidP="00D84661">
      <w:pPr>
        <w:pStyle w:val="SingleTxtG"/>
      </w:pPr>
      <w:r>
        <w:t>18.</w:t>
      </w:r>
      <w:r>
        <w:tab/>
      </w:r>
      <w:r w:rsidR="005E1AAF">
        <w:t xml:space="preserve">Amend 3.4.11 and 3.5.4.3 (Use of overpacks for dangerous goods in limited and excepted quantities) of </w:t>
      </w:r>
      <w:r w:rsidR="0089561F">
        <w:t>RID/</w:t>
      </w:r>
      <w:r w:rsidR="005E1AAF">
        <w:t>ADR</w:t>
      </w:r>
      <w:r w:rsidR="0089561F">
        <w:t>/ADN</w:t>
      </w:r>
      <w:r w:rsidR="005E1AAF">
        <w:t xml:space="preserve"> by adding the following text after the last paragraph (new text underlined):</w:t>
      </w:r>
    </w:p>
    <w:p w14:paraId="525867E9" w14:textId="40168466" w:rsidR="005E1AAF" w:rsidRPr="009611C8" w:rsidRDefault="00BF5568" w:rsidP="00422D6A">
      <w:pPr>
        <w:pStyle w:val="SingleTxtG"/>
        <w:ind w:left="1701"/>
        <w:rPr>
          <w:u w:val="single"/>
        </w:rPr>
      </w:pPr>
      <w:r>
        <w:rPr>
          <w:u w:val="single"/>
        </w:rPr>
        <w:t>"</w:t>
      </w:r>
      <w:r w:rsidR="005E1AAF" w:rsidRPr="00BD3440">
        <w:rPr>
          <w:u w:val="single"/>
        </w:rPr>
        <w:t xml:space="preserve">When packages are </w:t>
      </w:r>
      <w:r w:rsidR="005E1AAF" w:rsidRPr="00FD1709">
        <w:rPr>
          <w:u w:val="single"/>
        </w:rPr>
        <w:t xml:space="preserve">placed in a consolidation bin, the </w:t>
      </w:r>
      <w:r w:rsidR="005E1AAF">
        <w:rPr>
          <w:u w:val="single"/>
        </w:rPr>
        <w:t xml:space="preserve">limited (excepted) quantities </w:t>
      </w:r>
      <w:r w:rsidR="005E1AAF" w:rsidRPr="00FD1709">
        <w:rPr>
          <w:u w:val="single"/>
        </w:rPr>
        <w:t xml:space="preserve">mark shall either be clearly visible or be reproduced on the outside of the consolidation bin. </w:t>
      </w:r>
      <w:r w:rsidR="005E1AAF" w:rsidRPr="009611C8">
        <w:rPr>
          <w:u w:val="single"/>
        </w:rPr>
        <w:t xml:space="preserve">For </w:t>
      </w:r>
      <w:r w:rsidR="0089561F">
        <w:rPr>
          <w:u w:val="single"/>
        </w:rPr>
        <w:t>land transport</w:t>
      </w:r>
      <w:r w:rsidR="005E1AAF" w:rsidRPr="009611C8">
        <w:rPr>
          <w:u w:val="single"/>
        </w:rPr>
        <w:t xml:space="preserve"> only, th</w:t>
      </w:r>
      <w:r w:rsidR="005E1AAF">
        <w:rPr>
          <w:u w:val="single"/>
        </w:rPr>
        <w:t>is</w:t>
      </w:r>
      <w:r w:rsidR="005E1AAF" w:rsidRPr="009611C8">
        <w:rPr>
          <w:u w:val="single"/>
        </w:rPr>
        <w:t xml:space="preserve"> marking requirement do</w:t>
      </w:r>
      <w:r w:rsidR="005E1AAF">
        <w:rPr>
          <w:u w:val="single"/>
        </w:rPr>
        <w:t>es</w:t>
      </w:r>
      <w:r w:rsidR="005E1AAF" w:rsidRPr="009611C8">
        <w:rPr>
          <w:u w:val="single"/>
        </w:rPr>
        <w:t xml:space="preserve"> not apply if the </w:t>
      </w:r>
      <w:r w:rsidR="005E1AAF">
        <w:rPr>
          <w:u w:val="single"/>
        </w:rPr>
        <w:t>consolidation</w:t>
      </w:r>
      <w:r w:rsidR="005E1AAF" w:rsidRPr="009611C8">
        <w:rPr>
          <w:u w:val="single"/>
        </w:rPr>
        <w:t xml:space="preserve"> </w:t>
      </w:r>
      <w:r w:rsidR="005E1AAF">
        <w:rPr>
          <w:u w:val="single"/>
        </w:rPr>
        <w:t>bin c</w:t>
      </w:r>
      <w:r w:rsidR="005E1AAF" w:rsidRPr="009611C8">
        <w:rPr>
          <w:u w:val="single"/>
        </w:rPr>
        <w:t>ontain</w:t>
      </w:r>
      <w:r w:rsidR="005E1AAF">
        <w:rPr>
          <w:u w:val="single"/>
        </w:rPr>
        <w:t>s no</w:t>
      </w:r>
      <w:r w:rsidR="005E1AAF" w:rsidRPr="009611C8">
        <w:rPr>
          <w:u w:val="single"/>
        </w:rPr>
        <w:t xml:space="preserve"> more than </w:t>
      </w:r>
      <w:r w:rsidR="005E1AAF">
        <w:rPr>
          <w:u w:val="single"/>
        </w:rPr>
        <w:t>[XX]</w:t>
      </w:r>
      <w:r w:rsidR="005E1AAF" w:rsidRPr="009611C8">
        <w:rPr>
          <w:u w:val="single"/>
        </w:rPr>
        <w:t xml:space="preserve"> packages of dangerous goods packed in limited </w:t>
      </w:r>
      <w:r w:rsidR="005E1AAF">
        <w:rPr>
          <w:u w:val="single"/>
        </w:rPr>
        <w:t xml:space="preserve">(excepted) </w:t>
      </w:r>
      <w:r w:rsidR="005E1AAF" w:rsidRPr="009611C8">
        <w:rPr>
          <w:u w:val="single"/>
        </w:rPr>
        <w:t>quantities.</w:t>
      </w:r>
      <w:r>
        <w:rPr>
          <w:u w:val="single"/>
        </w:rPr>
        <w:t>"</w:t>
      </w:r>
    </w:p>
    <w:p w14:paraId="249738C7" w14:textId="76382B17" w:rsidR="005E1AAF" w:rsidRPr="00557E1C" w:rsidRDefault="00BF5568" w:rsidP="00D84661">
      <w:pPr>
        <w:pStyle w:val="SingleTxtG"/>
        <w:rPr>
          <w:b/>
          <w:bCs/>
        </w:rPr>
      </w:pPr>
      <w:r>
        <w:t>19.</w:t>
      </w:r>
      <w:r>
        <w:tab/>
      </w:r>
      <w:r w:rsidR="005E1AAF" w:rsidRPr="00180A98">
        <w:t>Amend special provision 188</w:t>
      </w:r>
      <w:r w:rsidR="005E1AAF">
        <w:t xml:space="preserve"> </w:t>
      </w:r>
      <w:r w:rsidR="005E1AAF" w:rsidRPr="00557E1C">
        <w:t xml:space="preserve">of </w:t>
      </w:r>
      <w:r w:rsidR="0089561F">
        <w:t>RID/</w:t>
      </w:r>
      <w:r w:rsidR="005E1AAF" w:rsidRPr="00557E1C">
        <w:t>ADR</w:t>
      </w:r>
      <w:r w:rsidR="0089561F">
        <w:t>/ADN</w:t>
      </w:r>
      <w:r w:rsidR="005E1AAF" w:rsidRPr="00557E1C">
        <w:t xml:space="preserve"> by adding the following text after the last </w:t>
      </w:r>
      <w:r w:rsidR="005E1AAF">
        <w:t xml:space="preserve">sentence of </w:t>
      </w:r>
      <w:r w:rsidR="005E1AAF" w:rsidRPr="00557E1C">
        <w:t>paragraph</w:t>
      </w:r>
      <w:r w:rsidR="005E1AAF">
        <w:t xml:space="preserve"> (f)</w:t>
      </w:r>
      <w:r w:rsidR="005E1AAF" w:rsidRPr="00557E1C">
        <w:t xml:space="preserve"> (new text underlined):</w:t>
      </w:r>
    </w:p>
    <w:p w14:paraId="5869E9AE" w14:textId="6929E10D" w:rsidR="005E1AAF" w:rsidRPr="00180A98" w:rsidRDefault="00EA4BB6" w:rsidP="00422D6A">
      <w:pPr>
        <w:pStyle w:val="SingleTxtG"/>
        <w:ind w:left="2268" w:hanging="567"/>
      </w:pPr>
      <w:r>
        <w:t>"</w:t>
      </w:r>
      <w:r w:rsidR="005E1AAF" w:rsidRPr="00180A98">
        <w:t>188</w:t>
      </w:r>
      <w:r w:rsidR="00A149B3">
        <w:t xml:space="preserve"> </w:t>
      </w:r>
      <w:r w:rsidR="00974D51">
        <w:tab/>
      </w:r>
      <w:r w:rsidR="005E1AAF" w:rsidRPr="00180A98">
        <w:t xml:space="preserve">Cells and batteries offered for carriage are not subject to other provisions of </w:t>
      </w:r>
      <w:r w:rsidR="0089561F">
        <w:t>RID/</w:t>
      </w:r>
      <w:r w:rsidR="005E1AAF" w:rsidRPr="00180A98">
        <w:t>ADR</w:t>
      </w:r>
      <w:r w:rsidR="0089561F">
        <w:t>/ADN</w:t>
      </w:r>
      <w:r w:rsidR="005E1AAF" w:rsidRPr="00180A98">
        <w:t xml:space="preserve"> if they meet the following:</w:t>
      </w:r>
    </w:p>
    <w:p w14:paraId="7236ABAC" w14:textId="77777777" w:rsidR="005E1AAF" w:rsidRPr="00180A98" w:rsidRDefault="005E1AAF" w:rsidP="00422D6A">
      <w:pPr>
        <w:pStyle w:val="SingleTxtG"/>
        <w:ind w:left="2268"/>
      </w:pPr>
      <w:r w:rsidRPr="00180A98">
        <w:t>(a)</w:t>
      </w:r>
      <w:r>
        <w:t xml:space="preserve"> - </w:t>
      </w:r>
      <w:r w:rsidRPr="00180A98">
        <w:t>(e</w:t>
      </w:r>
      <w:r>
        <w:t>)</w:t>
      </w:r>
    </w:p>
    <w:p w14:paraId="3664E22A" w14:textId="02EDAFC2" w:rsidR="005E1AAF" w:rsidRPr="00180A98" w:rsidRDefault="005E1AAF" w:rsidP="00422D6A">
      <w:pPr>
        <w:pStyle w:val="SingleTxtG"/>
        <w:ind w:left="2268"/>
      </w:pPr>
      <w:r w:rsidRPr="00180A98">
        <w:t xml:space="preserve">(f) </w:t>
      </w:r>
      <w:r w:rsidRPr="00180A98">
        <w:tab/>
      </w:r>
      <w:r>
        <w:t>…</w:t>
      </w:r>
    </w:p>
    <w:p w14:paraId="574548B0" w14:textId="77777777" w:rsidR="005E1AAF" w:rsidRPr="00180A98" w:rsidRDefault="005E1AAF" w:rsidP="00422D6A">
      <w:pPr>
        <w:pStyle w:val="SingleTxtG"/>
        <w:ind w:left="2268"/>
      </w:pPr>
      <w:r w:rsidRPr="00180A98">
        <w:t>When packages are placed in an overpack, the lithium battery mark shall either be clearly visible or be reproduced on the outside of the overpack and the overpack shall be marked with the word "OVERPACK". The lettering of the "OVERPACK" mark shall be at least 12 mm high.</w:t>
      </w:r>
    </w:p>
    <w:p w14:paraId="3F341F20" w14:textId="737C50DB" w:rsidR="005B7F3C" w:rsidRDefault="005E1AAF" w:rsidP="00974D51">
      <w:pPr>
        <w:pStyle w:val="SingleTxtG"/>
        <w:ind w:left="2268"/>
        <w:rPr>
          <w:u w:val="single"/>
        </w:rPr>
      </w:pPr>
      <w:r w:rsidRPr="003A4440">
        <w:rPr>
          <w:u w:val="single"/>
        </w:rPr>
        <w:t xml:space="preserve">When packages are placed in a consolidation bin, the lithium battery mark shall either be clearly visible or be reproduced on the outside of the consolidation bin. For </w:t>
      </w:r>
      <w:r w:rsidR="0089561F">
        <w:rPr>
          <w:u w:val="single"/>
        </w:rPr>
        <w:t>land transport</w:t>
      </w:r>
      <w:r w:rsidRPr="003A4440">
        <w:rPr>
          <w:u w:val="single"/>
        </w:rPr>
        <w:t xml:space="preserve"> only, this marking requirement does not apply if the consolidation bin contains no more than [XX] packages of small lithium batteries packed in accordance with this special provision.</w:t>
      </w:r>
    </w:p>
    <w:p w14:paraId="18026334" w14:textId="0336E849" w:rsidR="005E1AAF" w:rsidRPr="003A4440" w:rsidRDefault="00A257FE" w:rsidP="00422D6A">
      <w:pPr>
        <w:pStyle w:val="SingleTxtG"/>
        <w:ind w:left="2268"/>
        <w:rPr>
          <w:u w:val="single"/>
        </w:rPr>
      </w:pPr>
      <w:r>
        <w:rPr>
          <w:u w:val="single"/>
        </w:rPr>
        <w:t>…</w:t>
      </w:r>
      <w:r w:rsidR="00EA4BB6" w:rsidRPr="005B7F3C">
        <w:t>"</w:t>
      </w:r>
    </w:p>
    <w:p w14:paraId="671F4860" w14:textId="3ADF2740" w:rsidR="008F26F5" w:rsidRDefault="008F26F5" w:rsidP="00D84661">
      <w:pPr>
        <w:pStyle w:val="SingleTxtG"/>
      </w:pPr>
      <w:r>
        <w:br w:type="page"/>
      </w:r>
    </w:p>
    <w:p w14:paraId="1DF185C3" w14:textId="7FA4DFC5" w:rsidR="001C6663" w:rsidRDefault="008F26F5" w:rsidP="008F26F5">
      <w:pPr>
        <w:pStyle w:val="HChG"/>
      </w:pPr>
      <w:r>
        <w:lastRenderedPageBreak/>
        <w:t>A</w:t>
      </w:r>
      <w:r w:rsidR="0053129B">
        <w:t>nnex</w:t>
      </w:r>
    </w:p>
    <w:p w14:paraId="24852020" w14:textId="0F554431" w:rsidR="00BE2DE9" w:rsidRPr="00E3257D" w:rsidRDefault="00BE2DE9" w:rsidP="00BE2DE9">
      <w:pPr>
        <w:pStyle w:val="SingleTxtG"/>
        <w:spacing w:before="360" w:after="240"/>
        <w:ind w:left="752" w:right="720"/>
        <w:jc w:val="center"/>
        <w:rPr>
          <w:b/>
          <w:bCs/>
          <w:sz w:val="24"/>
          <w:szCs w:val="24"/>
        </w:rPr>
      </w:pPr>
      <w:r w:rsidRPr="00E3257D">
        <w:rPr>
          <w:b/>
          <w:bCs/>
          <w:sz w:val="24"/>
          <w:szCs w:val="24"/>
        </w:rPr>
        <w:t xml:space="preserve">Comparison between </w:t>
      </w:r>
      <w:r>
        <w:rPr>
          <w:b/>
          <w:bCs/>
          <w:sz w:val="24"/>
          <w:szCs w:val="24"/>
        </w:rPr>
        <w:t>"</w:t>
      </w:r>
      <w:r w:rsidRPr="00E3257D">
        <w:rPr>
          <w:b/>
          <w:bCs/>
          <w:sz w:val="24"/>
          <w:szCs w:val="24"/>
        </w:rPr>
        <w:t>Overpack</w:t>
      </w:r>
      <w:r>
        <w:rPr>
          <w:b/>
          <w:bCs/>
          <w:sz w:val="24"/>
          <w:szCs w:val="24"/>
        </w:rPr>
        <w:t>"</w:t>
      </w:r>
      <w:r w:rsidRPr="00E3257D">
        <w:rPr>
          <w:b/>
          <w:bCs/>
          <w:sz w:val="24"/>
          <w:szCs w:val="24"/>
        </w:rPr>
        <w:t xml:space="preserve"> and </w:t>
      </w:r>
      <w:r>
        <w:rPr>
          <w:b/>
          <w:bCs/>
          <w:sz w:val="24"/>
          <w:szCs w:val="24"/>
        </w:rPr>
        <w:t>"</w:t>
      </w:r>
      <w:r w:rsidRPr="00E3257D">
        <w:rPr>
          <w:b/>
          <w:bCs/>
          <w:sz w:val="24"/>
          <w:szCs w:val="24"/>
        </w:rPr>
        <w:t>Consolidation bin</w:t>
      </w:r>
      <w:r>
        <w:rPr>
          <w:b/>
          <w:bCs/>
          <w:sz w:val="24"/>
          <w:szCs w:val="24"/>
        </w:rP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9"/>
        <w:gridCol w:w="2607"/>
        <w:gridCol w:w="3564"/>
      </w:tblGrid>
      <w:tr w:rsidR="003D155C" w:rsidRPr="003D155C" w14:paraId="38CFEB9B" w14:textId="77777777" w:rsidTr="003D155C">
        <w:trPr>
          <w:tblHeader/>
        </w:trPr>
        <w:tc>
          <w:tcPr>
            <w:tcW w:w="1199" w:type="dxa"/>
            <w:tcBorders>
              <w:top w:val="single" w:sz="4" w:space="0" w:color="auto"/>
              <w:bottom w:val="single" w:sz="12" w:space="0" w:color="auto"/>
            </w:tcBorders>
            <w:shd w:val="clear" w:color="auto" w:fill="auto"/>
            <w:vAlign w:val="bottom"/>
          </w:tcPr>
          <w:p w14:paraId="6ABBA3C3" w14:textId="77777777" w:rsidR="004B4F60" w:rsidRPr="003D155C" w:rsidRDefault="004B4F60" w:rsidP="003D155C">
            <w:pPr>
              <w:spacing w:before="80" w:after="80" w:line="200" w:lineRule="exact"/>
              <w:ind w:right="113"/>
              <w:rPr>
                <w:i/>
                <w:sz w:val="16"/>
              </w:rPr>
            </w:pPr>
          </w:p>
        </w:tc>
        <w:tc>
          <w:tcPr>
            <w:tcW w:w="2607" w:type="dxa"/>
            <w:tcBorders>
              <w:top w:val="single" w:sz="4" w:space="0" w:color="auto"/>
              <w:bottom w:val="single" w:sz="12" w:space="0" w:color="auto"/>
            </w:tcBorders>
            <w:shd w:val="clear" w:color="auto" w:fill="auto"/>
            <w:vAlign w:val="bottom"/>
          </w:tcPr>
          <w:p w14:paraId="3B864E66" w14:textId="77777777" w:rsidR="004B4F60" w:rsidRPr="003D155C" w:rsidRDefault="004B4F60" w:rsidP="003D155C">
            <w:pPr>
              <w:spacing w:before="80" w:after="80" w:line="200" w:lineRule="exact"/>
              <w:ind w:right="113"/>
              <w:rPr>
                <w:i/>
                <w:sz w:val="16"/>
              </w:rPr>
            </w:pPr>
            <w:r w:rsidRPr="003D155C">
              <w:rPr>
                <w:i/>
                <w:sz w:val="16"/>
              </w:rPr>
              <w:t>Overpack</w:t>
            </w:r>
          </w:p>
        </w:tc>
        <w:tc>
          <w:tcPr>
            <w:tcW w:w="3564" w:type="dxa"/>
            <w:tcBorders>
              <w:top w:val="single" w:sz="4" w:space="0" w:color="auto"/>
              <w:bottom w:val="single" w:sz="12" w:space="0" w:color="auto"/>
            </w:tcBorders>
            <w:shd w:val="clear" w:color="auto" w:fill="auto"/>
            <w:vAlign w:val="bottom"/>
          </w:tcPr>
          <w:p w14:paraId="2A7A81BD" w14:textId="77777777" w:rsidR="004B4F60" w:rsidRPr="003D155C" w:rsidRDefault="004B4F60" w:rsidP="003D155C">
            <w:pPr>
              <w:spacing w:before="80" w:after="80" w:line="200" w:lineRule="exact"/>
              <w:ind w:right="113"/>
              <w:rPr>
                <w:i/>
                <w:sz w:val="16"/>
              </w:rPr>
            </w:pPr>
            <w:r w:rsidRPr="003D155C">
              <w:rPr>
                <w:i/>
                <w:sz w:val="16"/>
              </w:rPr>
              <w:t>Consolidation bin</w:t>
            </w:r>
          </w:p>
        </w:tc>
      </w:tr>
      <w:tr w:rsidR="003D155C" w:rsidRPr="003D155C" w14:paraId="2FECB68B" w14:textId="77777777" w:rsidTr="003D155C">
        <w:trPr>
          <w:trHeight w:hRule="exact" w:val="113"/>
        </w:trPr>
        <w:tc>
          <w:tcPr>
            <w:tcW w:w="1199" w:type="dxa"/>
            <w:tcBorders>
              <w:top w:val="single" w:sz="12" w:space="0" w:color="auto"/>
            </w:tcBorders>
            <w:shd w:val="clear" w:color="auto" w:fill="auto"/>
          </w:tcPr>
          <w:p w14:paraId="44C9474E" w14:textId="77777777" w:rsidR="003D155C" w:rsidRPr="003D155C" w:rsidRDefault="003D155C" w:rsidP="003D155C">
            <w:pPr>
              <w:spacing w:before="40" w:after="120"/>
              <w:ind w:right="113"/>
            </w:pPr>
          </w:p>
        </w:tc>
        <w:tc>
          <w:tcPr>
            <w:tcW w:w="2607" w:type="dxa"/>
            <w:tcBorders>
              <w:top w:val="single" w:sz="12" w:space="0" w:color="auto"/>
            </w:tcBorders>
            <w:shd w:val="clear" w:color="auto" w:fill="auto"/>
          </w:tcPr>
          <w:p w14:paraId="78C1473C" w14:textId="77777777" w:rsidR="003D155C" w:rsidRPr="003D155C" w:rsidRDefault="003D155C" w:rsidP="003D155C">
            <w:pPr>
              <w:spacing w:before="40" w:after="120"/>
              <w:ind w:right="113"/>
            </w:pPr>
          </w:p>
        </w:tc>
        <w:tc>
          <w:tcPr>
            <w:tcW w:w="3564" w:type="dxa"/>
            <w:tcBorders>
              <w:top w:val="single" w:sz="12" w:space="0" w:color="auto"/>
            </w:tcBorders>
            <w:shd w:val="clear" w:color="auto" w:fill="auto"/>
          </w:tcPr>
          <w:p w14:paraId="29D6C913" w14:textId="77777777" w:rsidR="003D155C" w:rsidRPr="003D155C" w:rsidRDefault="003D155C" w:rsidP="003D155C">
            <w:pPr>
              <w:spacing w:before="40" w:after="120"/>
              <w:ind w:right="113"/>
            </w:pPr>
          </w:p>
        </w:tc>
      </w:tr>
      <w:tr w:rsidR="004B4F60" w:rsidRPr="003D155C" w14:paraId="5A8C78D5" w14:textId="77777777" w:rsidTr="003D155C">
        <w:tc>
          <w:tcPr>
            <w:tcW w:w="1199" w:type="dxa"/>
            <w:shd w:val="clear" w:color="auto" w:fill="auto"/>
          </w:tcPr>
          <w:p w14:paraId="1B8E58C7" w14:textId="77777777" w:rsidR="004B4F60" w:rsidRPr="003D155C" w:rsidRDefault="004B4F60" w:rsidP="003D155C">
            <w:pPr>
              <w:spacing w:before="40" w:after="120"/>
              <w:ind w:right="113"/>
            </w:pPr>
            <w:r w:rsidRPr="003D155C">
              <w:t>Purpose</w:t>
            </w:r>
          </w:p>
        </w:tc>
        <w:tc>
          <w:tcPr>
            <w:tcW w:w="2607" w:type="dxa"/>
            <w:shd w:val="clear" w:color="auto" w:fill="auto"/>
          </w:tcPr>
          <w:p w14:paraId="3EF07800" w14:textId="77777777" w:rsidR="004B4F60" w:rsidRPr="003D155C" w:rsidRDefault="004B4F60" w:rsidP="003D155C">
            <w:pPr>
              <w:spacing w:before="40" w:after="120"/>
              <w:ind w:right="113"/>
            </w:pPr>
            <w:r w:rsidRPr="003D155C">
              <w:t>Based on the UN definition, this term is primarily intended to cover shippers and their responsibilities.</w:t>
            </w:r>
          </w:p>
        </w:tc>
        <w:tc>
          <w:tcPr>
            <w:tcW w:w="3564" w:type="dxa"/>
            <w:shd w:val="clear" w:color="auto" w:fill="auto"/>
          </w:tcPr>
          <w:p w14:paraId="2A386A33" w14:textId="77777777" w:rsidR="004B4F60" w:rsidRPr="003D155C" w:rsidRDefault="004B4F60" w:rsidP="003D155C">
            <w:pPr>
              <w:spacing w:before="40" w:after="120"/>
              <w:ind w:right="113"/>
            </w:pPr>
            <w:proofErr w:type="gramStart"/>
            <w:r w:rsidRPr="003D155C">
              <w:t>Similar to</w:t>
            </w:r>
            <w:proofErr w:type="gramEnd"/>
            <w:r w:rsidRPr="003D155C">
              <w:t xml:space="preserve"> a ULD, consolidation bins are utilized for the convenience of carriers.</w:t>
            </w:r>
          </w:p>
          <w:p w14:paraId="514EE3F8" w14:textId="77777777" w:rsidR="004B4F60" w:rsidRPr="003D155C" w:rsidRDefault="004B4F60" w:rsidP="003D155C">
            <w:pPr>
              <w:spacing w:before="40" w:after="120"/>
              <w:ind w:right="113"/>
            </w:pPr>
            <w:r w:rsidRPr="003D155C">
              <w:t>The use of a different term allows for specific and necessary requirements to be included based on scope and applicable limitations.</w:t>
            </w:r>
          </w:p>
        </w:tc>
      </w:tr>
      <w:tr w:rsidR="004B4F60" w:rsidRPr="003D155C" w14:paraId="1643467D" w14:textId="77777777" w:rsidTr="003D155C">
        <w:tc>
          <w:tcPr>
            <w:tcW w:w="1199" w:type="dxa"/>
            <w:shd w:val="clear" w:color="auto" w:fill="auto"/>
          </w:tcPr>
          <w:p w14:paraId="5A04781E" w14:textId="77777777" w:rsidR="004B4F60" w:rsidRPr="003D155C" w:rsidRDefault="004B4F60" w:rsidP="003D155C">
            <w:pPr>
              <w:spacing w:before="40" w:after="120"/>
              <w:ind w:right="113"/>
            </w:pPr>
            <w:r w:rsidRPr="003D155C">
              <w:t>Definition</w:t>
            </w:r>
          </w:p>
        </w:tc>
        <w:tc>
          <w:tcPr>
            <w:tcW w:w="2607" w:type="dxa"/>
            <w:shd w:val="clear" w:color="auto" w:fill="auto"/>
          </w:tcPr>
          <w:p w14:paraId="7880F096" w14:textId="77777777" w:rsidR="004B4F60" w:rsidRPr="003D155C" w:rsidRDefault="004B4F60" w:rsidP="003D155C">
            <w:pPr>
              <w:spacing w:before="40" w:after="120"/>
              <w:ind w:right="113"/>
            </w:pPr>
            <w:r w:rsidRPr="003D155C">
              <w:t>An overpack is an enclosure used (by a single consignor in the case of radioactive material) to contain one or more packages, consolidated into a single unit easier to handle and stow during carriage.</w:t>
            </w:r>
          </w:p>
        </w:tc>
        <w:tc>
          <w:tcPr>
            <w:tcW w:w="3564" w:type="dxa"/>
            <w:shd w:val="clear" w:color="auto" w:fill="auto"/>
          </w:tcPr>
          <w:p w14:paraId="059A9498" w14:textId="77777777" w:rsidR="004B4F60" w:rsidRPr="003D155C" w:rsidRDefault="004B4F60" w:rsidP="003D155C">
            <w:pPr>
              <w:spacing w:before="40" w:after="120"/>
              <w:ind w:right="113"/>
            </w:pPr>
            <w:r w:rsidRPr="003D155C">
              <w:t>A consolidation bin is used in a road vehicle to secure one or more dangerous packages so that, under normal conditions of transport, they will not shift in a way that might compromise their integrity. The use of a consolidation bin also allows packages to be added or removed during transport.</w:t>
            </w:r>
          </w:p>
        </w:tc>
      </w:tr>
      <w:tr w:rsidR="004B4F60" w:rsidRPr="003D155C" w14:paraId="142EFD12" w14:textId="77777777" w:rsidTr="003D155C">
        <w:tc>
          <w:tcPr>
            <w:tcW w:w="1199" w:type="dxa"/>
            <w:shd w:val="clear" w:color="auto" w:fill="auto"/>
          </w:tcPr>
          <w:p w14:paraId="2DF3F6E3" w14:textId="77777777" w:rsidR="004B4F60" w:rsidRPr="003D155C" w:rsidRDefault="004B4F60" w:rsidP="003D155C">
            <w:pPr>
              <w:spacing w:before="40" w:after="120"/>
              <w:ind w:right="113"/>
            </w:pPr>
            <w:r w:rsidRPr="003D155C">
              <w:t>Applicability</w:t>
            </w:r>
          </w:p>
        </w:tc>
        <w:tc>
          <w:tcPr>
            <w:tcW w:w="2607" w:type="dxa"/>
            <w:shd w:val="clear" w:color="auto" w:fill="auto"/>
          </w:tcPr>
          <w:p w14:paraId="03533544" w14:textId="77777777" w:rsidR="004B4F60" w:rsidRPr="003D155C" w:rsidRDefault="004B4F60" w:rsidP="003D155C">
            <w:pPr>
              <w:spacing w:before="40" w:after="120"/>
              <w:ind w:right="113"/>
            </w:pPr>
            <w:r w:rsidRPr="003D155C">
              <w:t>Any enclosure of one or more packages.</w:t>
            </w:r>
          </w:p>
        </w:tc>
        <w:tc>
          <w:tcPr>
            <w:tcW w:w="3564" w:type="dxa"/>
            <w:shd w:val="clear" w:color="auto" w:fill="auto"/>
          </w:tcPr>
          <w:p w14:paraId="2A2F1A2B" w14:textId="77777777" w:rsidR="004B4F60" w:rsidRPr="003D155C" w:rsidRDefault="004B4F60" w:rsidP="003D155C">
            <w:pPr>
              <w:spacing w:before="40" w:after="120"/>
              <w:ind w:right="113"/>
            </w:pPr>
            <w:r w:rsidRPr="003D155C">
              <w:t xml:space="preserve">Limited to transportation by a single motor carrier, or on railcars transporting such vehicles (US specific limitation). </w:t>
            </w:r>
          </w:p>
          <w:p w14:paraId="6C0B9A65" w14:textId="77777777" w:rsidR="004B4F60" w:rsidRPr="003D155C" w:rsidRDefault="004B4F60" w:rsidP="003D155C">
            <w:pPr>
              <w:spacing w:before="40" w:after="120"/>
              <w:ind w:right="113"/>
            </w:pPr>
            <w:r w:rsidRPr="003D155C">
              <w:t>This applicability could also require the bin to be prepared by the carrier.</w:t>
            </w:r>
          </w:p>
        </w:tc>
      </w:tr>
      <w:tr w:rsidR="004B4F60" w:rsidRPr="003D155C" w14:paraId="20FEB466" w14:textId="77777777" w:rsidTr="003D155C">
        <w:tc>
          <w:tcPr>
            <w:tcW w:w="1199" w:type="dxa"/>
            <w:tcBorders>
              <w:bottom w:val="single" w:sz="12" w:space="0" w:color="auto"/>
            </w:tcBorders>
            <w:shd w:val="clear" w:color="auto" w:fill="auto"/>
          </w:tcPr>
          <w:p w14:paraId="69AF5010" w14:textId="6C79F356" w:rsidR="004B4F60" w:rsidRPr="003D155C" w:rsidRDefault="004B4F60" w:rsidP="003D155C">
            <w:pPr>
              <w:spacing w:before="40" w:after="120"/>
              <w:ind w:right="113"/>
            </w:pPr>
            <w:r w:rsidRPr="003D155C">
              <w:t xml:space="preserve">Marking </w:t>
            </w:r>
            <w:r w:rsidR="00A257FE">
              <w:t>and</w:t>
            </w:r>
            <w:r w:rsidR="00A257FE" w:rsidRPr="003D155C">
              <w:t xml:space="preserve"> </w:t>
            </w:r>
            <w:r w:rsidRPr="003D155C">
              <w:t>Labelling</w:t>
            </w:r>
          </w:p>
        </w:tc>
        <w:tc>
          <w:tcPr>
            <w:tcW w:w="2607" w:type="dxa"/>
            <w:tcBorders>
              <w:bottom w:val="single" w:sz="12" w:space="0" w:color="auto"/>
            </w:tcBorders>
            <w:shd w:val="clear" w:color="auto" w:fill="auto"/>
          </w:tcPr>
          <w:p w14:paraId="059F5C51" w14:textId="77777777" w:rsidR="004B4F60" w:rsidRPr="003D155C" w:rsidRDefault="004B4F60" w:rsidP="003D155C">
            <w:pPr>
              <w:spacing w:before="40" w:after="120"/>
              <w:ind w:right="113"/>
            </w:pPr>
            <w:r w:rsidRPr="003D155C">
              <w:t>Marked “Overpack” with representative marks/labels replicated as necessary.</w:t>
            </w:r>
          </w:p>
          <w:p w14:paraId="4DA5557C" w14:textId="77777777" w:rsidR="004B4F60" w:rsidRPr="003D155C" w:rsidRDefault="004B4F60" w:rsidP="003D155C">
            <w:pPr>
              <w:spacing w:before="40" w:after="120"/>
              <w:ind w:right="113"/>
            </w:pPr>
            <w:r w:rsidRPr="003D155C">
              <w:t>Marks must be updated as appropriate during transportation.</w:t>
            </w:r>
          </w:p>
        </w:tc>
        <w:tc>
          <w:tcPr>
            <w:tcW w:w="3564" w:type="dxa"/>
            <w:tcBorders>
              <w:bottom w:val="single" w:sz="12" w:space="0" w:color="auto"/>
            </w:tcBorders>
            <w:shd w:val="clear" w:color="auto" w:fill="auto"/>
          </w:tcPr>
          <w:p w14:paraId="5ACD4984" w14:textId="77777777" w:rsidR="004B4F60" w:rsidRPr="003D155C" w:rsidRDefault="004B4F60" w:rsidP="003D155C">
            <w:pPr>
              <w:spacing w:before="40" w:after="120"/>
              <w:ind w:right="113"/>
            </w:pPr>
            <w:r w:rsidRPr="003D155C">
              <w:t>Labelling is only required when labels are present on packages in the consolidation bin (</w:t>
            </w:r>
            <w:proofErr w:type="gramStart"/>
            <w:r w:rsidRPr="003D155C">
              <w:t>similar to</w:t>
            </w:r>
            <w:proofErr w:type="gramEnd"/>
            <w:r w:rsidRPr="003D155C">
              <w:t xml:space="preserve"> requirements for ULD within ICAO TI); a tag may be used instead of labels.</w:t>
            </w:r>
          </w:p>
          <w:p w14:paraId="108A3422" w14:textId="77777777" w:rsidR="004B4F60" w:rsidRPr="003D155C" w:rsidRDefault="004B4F60" w:rsidP="003D155C">
            <w:pPr>
              <w:spacing w:before="40" w:after="120"/>
              <w:ind w:right="113"/>
            </w:pPr>
            <w:r w:rsidRPr="003D155C">
              <w:t>Requirements would need to be developed for when labels are required to be removed or not (i.e., during transportation)</w:t>
            </w:r>
          </w:p>
        </w:tc>
      </w:tr>
    </w:tbl>
    <w:p w14:paraId="6A8FF6C9" w14:textId="60ADD0FC" w:rsidR="008F26F5" w:rsidRPr="003D155C" w:rsidRDefault="003D155C" w:rsidP="003D155C">
      <w:pPr>
        <w:spacing w:before="240"/>
        <w:jc w:val="center"/>
        <w:rPr>
          <w:u w:val="single"/>
        </w:rPr>
      </w:pPr>
      <w:r>
        <w:rPr>
          <w:u w:val="single"/>
        </w:rPr>
        <w:tab/>
      </w:r>
      <w:r>
        <w:rPr>
          <w:u w:val="single"/>
        </w:rPr>
        <w:tab/>
      </w:r>
      <w:r>
        <w:rPr>
          <w:u w:val="single"/>
        </w:rPr>
        <w:tab/>
      </w:r>
    </w:p>
    <w:sectPr w:rsidR="008F26F5" w:rsidRPr="003D155C" w:rsidSect="005E1AA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32BF" w14:textId="77777777" w:rsidR="005D5C43" w:rsidRDefault="005D5C43"/>
  </w:endnote>
  <w:endnote w:type="continuationSeparator" w:id="0">
    <w:p w14:paraId="3CCEA629" w14:textId="77777777" w:rsidR="005D5C43" w:rsidRDefault="005D5C43"/>
  </w:endnote>
  <w:endnote w:type="continuationNotice" w:id="1">
    <w:p w14:paraId="6AA8C471" w14:textId="77777777" w:rsidR="005D5C43" w:rsidRDefault="005D5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BECD" w14:textId="55C1C632" w:rsidR="005E1AAF" w:rsidRPr="005E1AAF" w:rsidRDefault="005E1AAF" w:rsidP="005E1AAF">
    <w:pPr>
      <w:pStyle w:val="Footer"/>
      <w:tabs>
        <w:tab w:val="right" w:pos="9638"/>
      </w:tabs>
      <w:rPr>
        <w:sz w:val="18"/>
      </w:rPr>
    </w:pPr>
    <w:r w:rsidRPr="005E1AAF">
      <w:rPr>
        <w:b/>
        <w:sz w:val="18"/>
      </w:rPr>
      <w:fldChar w:fldCharType="begin"/>
    </w:r>
    <w:r w:rsidRPr="005E1AAF">
      <w:rPr>
        <w:b/>
        <w:sz w:val="18"/>
      </w:rPr>
      <w:instrText xml:space="preserve"> PAGE  \* MERGEFORMAT </w:instrText>
    </w:r>
    <w:r w:rsidRPr="005E1AAF">
      <w:rPr>
        <w:b/>
        <w:sz w:val="18"/>
      </w:rPr>
      <w:fldChar w:fldCharType="separate"/>
    </w:r>
    <w:r w:rsidR="00FB616B">
      <w:rPr>
        <w:b/>
        <w:noProof/>
        <w:sz w:val="18"/>
      </w:rPr>
      <w:t>6</w:t>
    </w:r>
    <w:r w:rsidRPr="005E1A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A8B8" w14:textId="75C66E99" w:rsidR="005E1AAF" w:rsidRPr="005E1AAF" w:rsidRDefault="005E1AAF" w:rsidP="005E1AAF">
    <w:pPr>
      <w:pStyle w:val="Footer"/>
      <w:tabs>
        <w:tab w:val="right" w:pos="9638"/>
      </w:tabs>
      <w:rPr>
        <w:b/>
        <w:sz w:val="18"/>
      </w:rPr>
    </w:pPr>
    <w:r>
      <w:tab/>
    </w:r>
    <w:r w:rsidRPr="005E1AAF">
      <w:rPr>
        <w:b/>
        <w:sz w:val="18"/>
      </w:rPr>
      <w:fldChar w:fldCharType="begin"/>
    </w:r>
    <w:r w:rsidRPr="005E1AAF">
      <w:rPr>
        <w:b/>
        <w:sz w:val="18"/>
      </w:rPr>
      <w:instrText xml:space="preserve"> PAGE  \* MERGEFORMAT </w:instrText>
    </w:r>
    <w:r w:rsidRPr="005E1AAF">
      <w:rPr>
        <w:b/>
        <w:sz w:val="18"/>
      </w:rPr>
      <w:fldChar w:fldCharType="separate"/>
    </w:r>
    <w:r w:rsidR="00FB616B">
      <w:rPr>
        <w:b/>
        <w:noProof/>
        <w:sz w:val="18"/>
      </w:rPr>
      <w:t>5</w:t>
    </w:r>
    <w:r w:rsidRPr="005E1A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58DF" w14:textId="77777777" w:rsidR="0035223F" w:rsidRPr="005E1AAF" w:rsidRDefault="00686A48">
    <w:pPr>
      <w:pStyle w:val="Footer"/>
      <w:rPr>
        <w:sz w:val="20"/>
      </w:rPr>
    </w:pPr>
    <w:r>
      <w:rPr>
        <w:noProof/>
        <w:lang w:val="de-DE" w:eastAsia="de-DE"/>
      </w:rPr>
      <w:drawing>
        <wp:anchor distT="0" distB="0" distL="114300" distR="114300" simplePos="0" relativeHeight="251657728" behindDoc="0" locked="1" layoutInCell="1" allowOverlap="1" wp14:anchorId="2F7666A9" wp14:editId="6C4D1D09">
          <wp:simplePos x="0" y="0"/>
          <wp:positionH relativeFrom="margin">
            <wp:posOffset>5147945</wp:posOffset>
          </wp:positionH>
          <wp:positionV relativeFrom="margin">
            <wp:posOffset>9071610</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98C" w14:textId="77777777" w:rsidR="005D5C43" w:rsidRPr="000B175B" w:rsidRDefault="005D5C43" w:rsidP="000B175B">
      <w:pPr>
        <w:tabs>
          <w:tab w:val="right" w:pos="2155"/>
        </w:tabs>
        <w:spacing w:after="80"/>
        <w:ind w:left="680"/>
        <w:rPr>
          <w:u w:val="single"/>
        </w:rPr>
      </w:pPr>
      <w:r>
        <w:rPr>
          <w:u w:val="single"/>
        </w:rPr>
        <w:tab/>
      </w:r>
    </w:p>
  </w:footnote>
  <w:footnote w:type="continuationSeparator" w:id="0">
    <w:p w14:paraId="0C29213D" w14:textId="77777777" w:rsidR="005D5C43" w:rsidRPr="00FC68B7" w:rsidRDefault="005D5C43" w:rsidP="00FC68B7">
      <w:pPr>
        <w:tabs>
          <w:tab w:val="left" w:pos="2155"/>
        </w:tabs>
        <w:spacing w:after="80"/>
        <w:ind w:left="680"/>
        <w:rPr>
          <w:u w:val="single"/>
        </w:rPr>
      </w:pPr>
      <w:r>
        <w:rPr>
          <w:u w:val="single"/>
        </w:rPr>
        <w:tab/>
      </w:r>
    </w:p>
  </w:footnote>
  <w:footnote w:type="continuationNotice" w:id="1">
    <w:p w14:paraId="3BBF9F31" w14:textId="77777777" w:rsidR="005D5C43" w:rsidRDefault="005D5C43"/>
  </w:footnote>
  <w:footnote w:id="2">
    <w:p w14:paraId="6272ECD5" w14:textId="77777777" w:rsidR="00FC4646" w:rsidRPr="000D7273" w:rsidRDefault="00FC4646" w:rsidP="00FC4646">
      <w:pPr>
        <w:pStyle w:val="FootnoteText"/>
        <w:rPr>
          <w:lang w:val="en-US"/>
        </w:rPr>
      </w:pPr>
      <w:r>
        <w:rPr>
          <w:rStyle w:val="FootnoteReference"/>
        </w:rPr>
        <w:tab/>
      </w:r>
      <w:r w:rsidRPr="000D7273">
        <w:rPr>
          <w:rStyle w:val="FootnoteReference"/>
          <w:sz w:val="20"/>
        </w:rPr>
        <w:t>*</w:t>
      </w:r>
      <w:r>
        <w:rPr>
          <w:rStyle w:val="FootnoteReference"/>
          <w:sz w:val="20"/>
          <w:vertAlign w:val="baseline"/>
        </w:rPr>
        <w:tab/>
      </w:r>
      <w:r>
        <w:t>A/77/6 (Sect.20), para. 20.76.</w:t>
      </w:r>
    </w:p>
  </w:footnote>
  <w:footnote w:id="3">
    <w:p w14:paraId="6DF4A209" w14:textId="1D791AA4" w:rsidR="00FC4646" w:rsidRPr="001A76F1" w:rsidRDefault="00FC4646" w:rsidP="00FC4646">
      <w:pPr>
        <w:pStyle w:val="FootnoteText"/>
        <w:rPr>
          <w:sz w:val="20"/>
        </w:rPr>
      </w:pPr>
      <w:r>
        <w:rPr>
          <w:sz w:val="20"/>
        </w:rPr>
        <w:tab/>
      </w:r>
      <w:r w:rsidRPr="00C36F9E">
        <w:rPr>
          <w:rStyle w:val="FootnoteReference"/>
          <w:sz w:val="20"/>
        </w:rPr>
        <w:t>**</w:t>
      </w:r>
      <w:r>
        <w:rPr>
          <w:sz w:val="20"/>
        </w:rPr>
        <w:tab/>
      </w:r>
      <w:r w:rsidRPr="00F30C99">
        <w:t xml:space="preserve">Circulated by the Intergovernmental Organisation for International Carriage by Rail (OTIF) under the symbol </w:t>
      </w:r>
      <w:r w:rsidRPr="00561474">
        <w:t>OTIF/RID/RC/20</w:t>
      </w:r>
      <w:r>
        <w:t>23</w:t>
      </w:r>
      <w:r w:rsidRPr="00561474">
        <w:t>/</w:t>
      </w:r>
      <w:r>
        <w:t>4</w:t>
      </w:r>
      <w:r w:rsidR="00A61262">
        <w:t>1</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BA4F" w14:textId="4E2ACA00" w:rsidR="005E1AAF" w:rsidRPr="005E1AAF" w:rsidRDefault="0053129B">
    <w:pPr>
      <w:pStyle w:val="Header"/>
    </w:pPr>
    <w:fldSimple w:instr=" TITLE  \* MERGEFORMAT ">
      <w:r w:rsidR="00A856F1">
        <w:t>ECE/TRANS/WP.15/AC.1/2023/41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245F" w14:textId="02F98218" w:rsidR="005E1AAF" w:rsidRPr="005E1AAF" w:rsidRDefault="0053129B" w:rsidP="005E1AAF">
    <w:pPr>
      <w:pStyle w:val="Header"/>
      <w:jc w:val="right"/>
    </w:pPr>
    <w:fldSimple w:instr=" TITLE  \* MERGEFORMAT ">
      <w:r w:rsidR="00A856F1">
        <w:t>ECE/TRANS/WP.15/AC.1/2023/41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12757"/>
    <w:multiLevelType w:val="hybridMultilevel"/>
    <w:tmpl w:val="F9C47F2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E74B6"/>
    <w:multiLevelType w:val="hybridMultilevel"/>
    <w:tmpl w:val="7608A6B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275C36C6"/>
    <w:multiLevelType w:val="hybridMultilevel"/>
    <w:tmpl w:val="EB32A33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2C253B12"/>
    <w:multiLevelType w:val="hybridMultilevel"/>
    <w:tmpl w:val="43DCA958"/>
    <w:lvl w:ilvl="0" w:tplc="FFFFFFFF">
      <w:start w:val="1"/>
      <w:numFmt w:val="decimal"/>
      <w:lvlText w:val="%1."/>
      <w:lvlJc w:val="left"/>
      <w:pPr>
        <w:ind w:left="1693" w:hanging="555"/>
      </w:pPr>
      <w:rPr>
        <w:rFonts w:hint="default"/>
        <w:b w:val="0"/>
        <w:bCs w:val="0"/>
        <w:i w:val="0"/>
        <w:iCs w:val="0"/>
        <w:sz w:val="20"/>
        <w:szCs w:val="20"/>
      </w:rPr>
    </w:lvl>
    <w:lvl w:ilvl="1" w:tplc="FFFFFFFF">
      <w:start w:val="1"/>
      <w:numFmt w:val="lowerLetter"/>
      <w:lvlText w:val="(%2)"/>
      <w:lvlJc w:val="left"/>
      <w:pPr>
        <w:ind w:left="2218" w:hanging="360"/>
      </w:pPr>
      <w:rPr>
        <w:rFonts w:hint="default"/>
      </w:rPr>
    </w:lvl>
    <w:lvl w:ilvl="2" w:tplc="017A0C7A">
      <w:start w:val="1"/>
      <w:numFmt w:val="lowerRoman"/>
      <w:lvlText w:val="(%3)"/>
      <w:lvlJc w:val="left"/>
      <w:pPr>
        <w:ind w:left="3118" w:hanging="360"/>
      </w:pPr>
      <w:rPr>
        <w:rFonts w:hint="default"/>
      </w:rPr>
    </w:lvl>
    <w:lvl w:ilvl="3" w:tplc="FFFFFFFF" w:tentative="1">
      <w:start w:val="1"/>
      <w:numFmt w:val="decimal"/>
      <w:lvlText w:val="%4."/>
      <w:lvlJc w:val="left"/>
      <w:pPr>
        <w:ind w:left="3658" w:hanging="360"/>
      </w:pPr>
    </w:lvl>
    <w:lvl w:ilvl="4" w:tplc="FFFFFFFF" w:tentative="1">
      <w:start w:val="1"/>
      <w:numFmt w:val="lowerLetter"/>
      <w:lvlText w:val="%5."/>
      <w:lvlJc w:val="left"/>
      <w:pPr>
        <w:ind w:left="4378" w:hanging="360"/>
      </w:pPr>
    </w:lvl>
    <w:lvl w:ilvl="5" w:tplc="FFFFFFFF" w:tentative="1">
      <w:start w:val="1"/>
      <w:numFmt w:val="lowerRoman"/>
      <w:lvlText w:val="%6."/>
      <w:lvlJc w:val="right"/>
      <w:pPr>
        <w:ind w:left="5098" w:hanging="180"/>
      </w:pPr>
    </w:lvl>
    <w:lvl w:ilvl="6" w:tplc="FFFFFFFF" w:tentative="1">
      <w:start w:val="1"/>
      <w:numFmt w:val="decimal"/>
      <w:lvlText w:val="%7."/>
      <w:lvlJc w:val="left"/>
      <w:pPr>
        <w:ind w:left="5818" w:hanging="360"/>
      </w:pPr>
    </w:lvl>
    <w:lvl w:ilvl="7" w:tplc="FFFFFFFF" w:tentative="1">
      <w:start w:val="1"/>
      <w:numFmt w:val="lowerLetter"/>
      <w:lvlText w:val="%8."/>
      <w:lvlJc w:val="left"/>
      <w:pPr>
        <w:ind w:left="6538" w:hanging="360"/>
      </w:pPr>
    </w:lvl>
    <w:lvl w:ilvl="8" w:tplc="FFFFFFFF" w:tentative="1">
      <w:start w:val="1"/>
      <w:numFmt w:val="lowerRoman"/>
      <w:lvlText w:val="%9."/>
      <w:lvlJc w:val="right"/>
      <w:pPr>
        <w:ind w:left="7258"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402879"/>
    <w:multiLevelType w:val="hybridMultilevel"/>
    <w:tmpl w:val="70C6E462"/>
    <w:lvl w:ilvl="0" w:tplc="12988FC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C372A8C"/>
    <w:multiLevelType w:val="hybridMultilevel"/>
    <w:tmpl w:val="E7F40BBA"/>
    <w:lvl w:ilvl="0" w:tplc="FFFFFFFF">
      <w:start w:val="1"/>
      <w:numFmt w:val="decimal"/>
      <w:lvlText w:val="%1."/>
      <w:lvlJc w:val="left"/>
      <w:pPr>
        <w:ind w:left="1693" w:hanging="555"/>
      </w:pPr>
      <w:rPr>
        <w:rFonts w:hint="default"/>
        <w:b w:val="0"/>
        <w:bCs w:val="0"/>
        <w:i w:val="0"/>
        <w:iCs w:val="0"/>
        <w:sz w:val="20"/>
        <w:szCs w:val="20"/>
      </w:rPr>
    </w:lvl>
    <w:lvl w:ilvl="1" w:tplc="B1741FAE">
      <w:start w:val="1"/>
      <w:numFmt w:val="lowerLetter"/>
      <w:lvlText w:val="%2."/>
      <w:lvlJc w:val="left"/>
      <w:pPr>
        <w:ind w:left="2218" w:hanging="360"/>
      </w:pPr>
      <w:rPr>
        <w:rFonts w:hint="default"/>
      </w:rPr>
    </w:lvl>
    <w:lvl w:ilvl="2" w:tplc="1C184BF0">
      <w:start w:val="1"/>
      <w:numFmt w:val="lowerLetter"/>
      <w:lvlText w:val="(%3)"/>
      <w:lvlJc w:val="left"/>
      <w:pPr>
        <w:ind w:left="3118" w:hanging="360"/>
      </w:pPr>
      <w:rPr>
        <w:rFonts w:hint="default"/>
        <w:u w:val="none"/>
      </w:rPr>
    </w:lvl>
    <w:lvl w:ilvl="3" w:tplc="FFFFFFFF" w:tentative="1">
      <w:start w:val="1"/>
      <w:numFmt w:val="decimal"/>
      <w:lvlText w:val="%4."/>
      <w:lvlJc w:val="left"/>
      <w:pPr>
        <w:ind w:left="3658" w:hanging="360"/>
      </w:pPr>
    </w:lvl>
    <w:lvl w:ilvl="4" w:tplc="FFFFFFFF" w:tentative="1">
      <w:start w:val="1"/>
      <w:numFmt w:val="lowerLetter"/>
      <w:lvlText w:val="%5."/>
      <w:lvlJc w:val="left"/>
      <w:pPr>
        <w:ind w:left="4378" w:hanging="360"/>
      </w:pPr>
    </w:lvl>
    <w:lvl w:ilvl="5" w:tplc="FFFFFFFF" w:tentative="1">
      <w:start w:val="1"/>
      <w:numFmt w:val="lowerRoman"/>
      <w:lvlText w:val="%6."/>
      <w:lvlJc w:val="right"/>
      <w:pPr>
        <w:ind w:left="5098" w:hanging="180"/>
      </w:pPr>
    </w:lvl>
    <w:lvl w:ilvl="6" w:tplc="FFFFFFFF" w:tentative="1">
      <w:start w:val="1"/>
      <w:numFmt w:val="decimal"/>
      <w:lvlText w:val="%7."/>
      <w:lvlJc w:val="left"/>
      <w:pPr>
        <w:ind w:left="5818" w:hanging="360"/>
      </w:pPr>
    </w:lvl>
    <w:lvl w:ilvl="7" w:tplc="FFFFFFFF" w:tentative="1">
      <w:start w:val="1"/>
      <w:numFmt w:val="lowerLetter"/>
      <w:lvlText w:val="%8."/>
      <w:lvlJc w:val="left"/>
      <w:pPr>
        <w:ind w:left="6538" w:hanging="360"/>
      </w:pPr>
    </w:lvl>
    <w:lvl w:ilvl="8" w:tplc="FFFFFFFF" w:tentative="1">
      <w:start w:val="1"/>
      <w:numFmt w:val="lowerRoman"/>
      <w:lvlText w:val="%9."/>
      <w:lvlJc w:val="right"/>
      <w:pPr>
        <w:ind w:left="7258" w:hanging="180"/>
      </w:pPr>
    </w:lvl>
  </w:abstractNum>
  <w:abstractNum w:abstractNumId="23" w15:restartNumberingAfterBreak="0">
    <w:nsid w:val="5DB06639"/>
    <w:multiLevelType w:val="hybridMultilevel"/>
    <w:tmpl w:val="C3CABA34"/>
    <w:lvl w:ilvl="0" w:tplc="133402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E0D11"/>
    <w:multiLevelType w:val="hybridMultilevel"/>
    <w:tmpl w:val="FEC8DE1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3C269B"/>
    <w:multiLevelType w:val="hybridMultilevel"/>
    <w:tmpl w:val="30A48F14"/>
    <w:lvl w:ilvl="0" w:tplc="9F96E2EA">
      <w:start w:val="1"/>
      <w:numFmt w:val="lowerLetter"/>
      <w:lvlText w:val="(%1)"/>
      <w:lvlJc w:val="left"/>
      <w:pPr>
        <w:ind w:left="720" w:hanging="360"/>
      </w:pPr>
      <w:rPr>
        <w:rFonts w:ascii="Times New Roman" w:hAnsi="Times New Roman" w:cs="Times New Roman" w:hint="default"/>
        <w:color w:val="0000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005A3"/>
    <w:multiLevelType w:val="hybridMultilevel"/>
    <w:tmpl w:val="4E8CAD72"/>
    <w:lvl w:ilvl="0" w:tplc="632CF05A">
      <w:start w:val="1"/>
      <w:numFmt w:val="decimal"/>
      <w:lvlText w:val="%1."/>
      <w:lvlJc w:val="left"/>
      <w:pPr>
        <w:ind w:left="1693" w:hanging="555"/>
      </w:pPr>
      <w:rPr>
        <w:rFonts w:hint="default"/>
        <w:b w:val="0"/>
        <w:bCs w:val="0"/>
        <w:i w:val="0"/>
        <w:iCs w:val="0"/>
        <w:sz w:val="20"/>
        <w:szCs w:val="20"/>
      </w:rPr>
    </w:lvl>
    <w:lvl w:ilvl="1" w:tplc="4E1AACDE">
      <w:start w:val="1"/>
      <w:numFmt w:val="lowerLetter"/>
      <w:lvlText w:val="(%2)"/>
      <w:lvlJc w:val="left"/>
      <w:pPr>
        <w:ind w:left="2218" w:hanging="360"/>
      </w:pPr>
      <w:rPr>
        <w:rFonts w:hint="default"/>
      </w:rPr>
    </w:lvl>
    <w:lvl w:ilvl="2" w:tplc="1009001B">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29" w15:restartNumberingAfterBreak="0">
    <w:nsid w:val="7F9E32FA"/>
    <w:multiLevelType w:val="hybridMultilevel"/>
    <w:tmpl w:val="1ADE2688"/>
    <w:lvl w:ilvl="0" w:tplc="FFFFFFFF">
      <w:start w:val="1"/>
      <w:numFmt w:val="decimal"/>
      <w:lvlText w:val="%1."/>
      <w:lvlJc w:val="left"/>
      <w:pPr>
        <w:ind w:left="1693" w:hanging="555"/>
      </w:pPr>
      <w:rPr>
        <w:rFonts w:hint="default"/>
        <w:b w:val="0"/>
        <w:bCs w:val="0"/>
        <w:i w:val="0"/>
        <w:iCs w:val="0"/>
        <w:sz w:val="20"/>
        <w:szCs w:val="20"/>
      </w:rPr>
    </w:lvl>
    <w:lvl w:ilvl="1" w:tplc="FFFFFFFF">
      <w:start w:val="1"/>
      <w:numFmt w:val="lowerRoman"/>
      <w:lvlText w:val="(%2)"/>
      <w:lvlJc w:val="left"/>
      <w:pPr>
        <w:ind w:left="2218" w:hanging="360"/>
      </w:pPr>
      <w:rPr>
        <w:rFonts w:hint="default"/>
      </w:rPr>
    </w:lvl>
    <w:lvl w:ilvl="2" w:tplc="017A0C7A">
      <w:start w:val="1"/>
      <w:numFmt w:val="lowerRoman"/>
      <w:lvlText w:val="(%3)"/>
      <w:lvlJc w:val="left"/>
      <w:pPr>
        <w:ind w:left="3118" w:hanging="360"/>
      </w:pPr>
      <w:rPr>
        <w:rFonts w:hint="default"/>
      </w:rPr>
    </w:lvl>
    <w:lvl w:ilvl="3" w:tplc="FFFFFFFF" w:tentative="1">
      <w:start w:val="1"/>
      <w:numFmt w:val="decimal"/>
      <w:lvlText w:val="%4."/>
      <w:lvlJc w:val="left"/>
      <w:pPr>
        <w:ind w:left="3658" w:hanging="360"/>
      </w:pPr>
    </w:lvl>
    <w:lvl w:ilvl="4" w:tplc="FFFFFFFF" w:tentative="1">
      <w:start w:val="1"/>
      <w:numFmt w:val="lowerLetter"/>
      <w:lvlText w:val="%5."/>
      <w:lvlJc w:val="left"/>
      <w:pPr>
        <w:ind w:left="4378" w:hanging="360"/>
      </w:pPr>
    </w:lvl>
    <w:lvl w:ilvl="5" w:tplc="FFFFFFFF" w:tentative="1">
      <w:start w:val="1"/>
      <w:numFmt w:val="lowerRoman"/>
      <w:lvlText w:val="%6."/>
      <w:lvlJc w:val="right"/>
      <w:pPr>
        <w:ind w:left="5098" w:hanging="180"/>
      </w:pPr>
    </w:lvl>
    <w:lvl w:ilvl="6" w:tplc="FFFFFFFF" w:tentative="1">
      <w:start w:val="1"/>
      <w:numFmt w:val="decimal"/>
      <w:lvlText w:val="%7."/>
      <w:lvlJc w:val="left"/>
      <w:pPr>
        <w:ind w:left="5818" w:hanging="360"/>
      </w:pPr>
    </w:lvl>
    <w:lvl w:ilvl="7" w:tplc="FFFFFFFF" w:tentative="1">
      <w:start w:val="1"/>
      <w:numFmt w:val="lowerLetter"/>
      <w:lvlText w:val="%8."/>
      <w:lvlJc w:val="left"/>
      <w:pPr>
        <w:ind w:left="6538" w:hanging="360"/>
      </w:pPr>
    </w:lvl>
    <w:lvl w:ilvl="8" w:tplc="FFFFFFFF" w:tentative="1">
      <w:start w:val="1"/>
      <w:numFmt w:val="lowerRoman"/>
      <w:lvlText w:val="%9."/>
      <w:lvlJc w:val="right"/>
      <w:pPr>
        <w:ind w:left="7258" w:hanging="180"/>
      </w:pPr>
    </w:lvl>
  </w:abstractNum>
  <w:num w:numId="1" w16cid:durableId="1729644604">
    <w:abstractNumId w:val="1"/>
  </w:num>
  <w:num w:numId="2" w16cid:durableId="519246040">
    <w:abstractNumId w:val="0"/>
  </w:num>
  <w:num w:numId="3" w16cid:durableId="181089783">
    <w:abstractNumId w:val="2"/>
  </w:num>
  <w:num w:numId="4" w16cid:durableId="561524193">
    <w:abstractNumId w:val="3"/>
  </w:num>
  <w:num w:numId="5" w16cid:durableId="664822055">
    <w:abstractNumId w:val="8"/>
  </w:num>
  <w:num w:numId="6" w16cid:durableId="1544294093">
    <w:abstractNumId w:val="9"/>
  </w:num>
  <w:num w:numId="7" w16cid:durableId="2020227820">
    <w:abstractNumId w:val="7"/>
  </w:num>
  <w:num w:numId="8" w16cid:durableId="646209587">
    <w:abstractNumId w:val="6"/>
  </w:num>
  <w:num w:numId="9" w16cid:durableId="162817084">
    <w:abstractNumId w:val="5"/>
  </w:num>
  <w:num w:numId="10" w16cid:durableId="912201572">
    <w:abstractNumId w:val="4"/>
  </w:num>
  <w:num w:numId="11" w16cid:durableId="150952782">
    <w:abstractNumId w:val="19"/>
  </w:num>
  <w:num w:numId="12" w16cid:durableId="1437604368">
    <w:abstractNumId w:val="15"/>
  </w:num>
  <w:num w:numId="13" w16cid:durableId="2123305515">
    <w:abstractNumId w:val="10"/>
  </w:num>
  <w:num w:numId="14" w16cid:durableId="129790397">
    <w:abstractNumId w:val="13"/>
  </w:num>
  <w:num w:numId="15" w16cid:durableId="1972713583">
    <w:abstractNumId w:val="20"/>
  </w:num>
  <w:num w:numId="16" w16cid:durableId="2115856739">
    <w:abstractNumId w:val="14"/>
  </w:num>
  <w:num w:numId="17" w16cid:durableId="1366128518">
    <w:abstractNumId w:val="24"/>
  </w:num>
  <w:num w:numId="18" w16cid:durableId="1650135640">
    <w:abstractNumId w:val="27"/>
  </w:num>
  <w:num w:numId="19" w16cid:durableId="1891064310">
    <w:abstractNumId w:val="12"/>
  </w:num>
  <w:num w:numId="20" w16cid:durableId="1451431413">
    <w:abstractNumId w:val="12"/>
  </w:num>
  <w:num w:numId="21" w16cid:durableId="1812483476">
    <w:abstractNumId w:val="26"/>
  </w:num>
  <w:num w:numId="22" w16cid:durableId="771239088">
    <w:abstractNumId w:val="28"/>
  </w:num>
  <w:num w:numId="23" w16cid:durableId="722365710">
    <w:abstractNumId w:val="22"/>
  </w:num>
  <w:num w:numId="24" w16cid:durableId="951941471">
    <w:abstractNumId w:val="29"/>
  </w:num>
  <w:num w:numId="25" w16cid:durableId="620114529">
    <w:abstractNumId w:val="18"/>
  </w:num>
  <w:num w:numId="26" w16cid:durableId="488329802">
    <w:abstractNumId w:val="23"/>
  </w:num>
  <w:num w:numId="27" w16cid:durableId="749932222">
    <w:abstractNumId w:val="21"/>
  </w:num>
  <w:num w:numId="28" w16cid:durableId="1063601820">
    <w:abstractNumId w:val="25"/>
  </w:num>
  <w:num w:numId="29" w16cid:durableId="883832672">
    <w:abstractNumId w:val="11"/>
  </w:num>
  <w:num w:numId="30" w16cid:durableId="434905156">
    <w:abstractNumId w:val="16"/>
  </w:num>
  <w:num w:numId="31" w16cid:durableId="114465930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AF"/>
    <w:rsid w:val="00002A7D"/>
    <w:rsid w:val="000038A8"/>
    <w:rsid w:val="00004CD2"/>
    <w:rsid w:val="00006790"/>
    <w:rsid w:val="000207AB"/>
    <w:rsid w:val="00020865"/>
    <w:rsid w:val="00027624"/>
    <w:rsid w:val="00050F6B"/>
    <w:rsid w:val="000678CD"/>
    <w:rsid w:val="00072C8C"/>
    <w:rsid w:val="00077C79"/>
    <w:rsid w:val="00081CE0"/>
    <w:rsid w:val="00084D30"/>
    <w:rsid w:val="00090320"/>
    <w:rsid w:val="000931C0"/>
    <w:rsid w:val="0009732C"/>
    <w:rsid w:val="000A01F9"/>
    <w:rsid w:val="000A2E09"/>
    <w:rsid w:val="000B175B"/>
    <w:rsid w:val="000B3A0F"/>
    <w:rsid w:val="000E0415"/>
    <w:rsid w:val="000E2B19"/>
    <w:rsid w:val="000F277B"/>
    <w:rsid w:val="000F7715"/>
    <w:rsid w:val="00110FF9"/>
    <w:rsid w:val="00151796"/>
    <w:rsid w:val="00156B99"/>
    <w:rsid w:val="00166124"/>
    <w:rsid w:val="00177444"/>
    <w:rsid w:val="00184DDA"/>
    <w:rsid w:val="001900CD"/>
    <w:rsid w:val="001A0452"/>
    <w:rsid w:val="001B0236"/>
    <w:rsid w:val="001B4B04"/>
    <w:rsid w:val="001B5875"/>
    <w:rsid w:val="001C4B9C"/>
    <w:rsid w:val="001C6663"/>
    <w:rsid w:val="001C7895"/>
    <w:rsid w:val="001D26DF"/>
    <w:rsid w:val="001E04AE"/>
    <w:rsid w:val="001E1F10"/>
    <w:rsid w:val="001F1599"/>
    <w:rsid w:val="001F19C4"/>
    <w:rsid w:val="002043F0"/>
    <w:rsid w:val="00211C42"/>
    <w:rsid w:val="00211E0B"/>
    <w:rsid w:val="00223F2C"/>
    <w:rsid w:val="00232575"/>
    <w:rsid w:val="00246251"/>
    <w:rsid w:val="00247258"/>
    <w:rsid w:val="00257CAC"/>
    <w:rsid w:val="00264441"/>
    <w:rsid w:val="0027237A"/>
    <w:rsid w:val="002914A4"/>
    <w:rsid w:val="002974E9"/>
    <w:rsid w:val="002A7F94"/>
    <w:rsid w:val="002B109A"/>
    <w:rsid w:val="002C6D45"/>
    <w:rsid w:val="002D6E53"/>
    <w:rsid w:val="002F046D"/>
    <w:rsid w:val="002F3023"/>
    <w:rsid w:val="00301764"/>
    <w:rsid w:val="003070C5"/>
    <w:rsid w:val="003229D8"/>
    <w:rsid w:val="00336C97"/>
    <w:rsid w:val="00337F88"/>
    <w:rsid w:val="00342432"/>
    <w:rsid w:val="003457CA"/>
    <w:rsid w:val="0035223F"/>
    <w:rsid w:val="00352D4B"/>
    <w:rsid w:val="0035638C"/>
    <w:rsid w:val="00364086"/>
    <w:rsid w:val="003A46BB"/>
    <w:rsid w:val="003A4EC7"/>
    <w:rsid w:val="003A7295"/>
    <w:rsid w:val="003B1F60"/>
    <w:rsid w:val="003C1A4E"/>
    <w:rsid w:val="003C2CC4"/>
    <w:rsid w:val="003D155C"/>
    <w:rsid w:val="003D4B23"/>
    <w:rsid w:val="003E278A"/>
    <w:rsid w:val="003E33B7"/>
    <w:rsid w:val="00413520"/>
    <w:rsid w:val="0041459C"/>
    <w:rsid w:val="00422D6A"/>
    <w:rsid w:val="00427760"/>
    <w:rsid w:val="004325CB"/>
    <w:rsid w:val="00436473"/>
    <w:rsid w:val="00440A07"/>
    <w:rsid w:val="0045100C"/>
    <w:rsid w:val="00455475"/>
    <w:rsid w:val="00462880"/>
    <w:rsid w:val="00476F24"/>
    <w:rsid w:val="00477DE7"/>
    <w:rsid w:val="00484029"/>
    <w:rsid w:val="004B4F60"/>
    <w:rsid w:val="004C55B0"/>
    <w:rsid w:val="004F6BA0"/>
    <w:rsid w:val="00503BEA"/>
    <w:rsid w:val="00524030"/>
    <w:rsid w:val="0053129B"/>
    <w:rsid w:val="00533616"/>
    <w:rsid w:val="00535ABA"/>
    <w:rsid w:val="0053768B"/>
    <w:rsid w:val="005420F2"/>
    <w:rsid w:val="0054285C"/>
    <w:rsid w:val="00551DA3"/>
    <w:rsid w:val="00584173"/>
    <w:rsid w:val="00595520"/>
    <w:rsid w:val="005A44B9"/>
    <w:rsid w:val="005B1BA0"/>
    <w:rsid w:val="005B3DB3"/>
    <w:rsid w:val="005B7F3C"/>
    <w:rsid w:val="005C1D3B"/>
    <w:rsid w:val="005C219F"/>
    <w:rsid w:val="005D15CA"/>
    <w:rsid w:val="005D29CD"/>
    <w:rsid w:val="005D5C43"/>
    <w:rsid w:val="005D7969"/>
    <w:rsid w:val="005E1AAF"/>
    <w:rsid w:val="005E7B8D"/>
    <w:rsid w:val="005F08DF"/>
    <w:rsid w:val="005F3066"/>
    <w:rsid w:val="005F3E61"/>
    <w:rsid w:val="00604DDD"/>
    <w:rsid w:val="006115CC"/>
    <w:rsid w:val="00611D1E"/>
    <w:rsid w:val="00611FC4"/>
    <w:rsid w:val="006176FB"/>
    <w:rsid w:val="00630FCB"/>
    <w:rsid w:val="00640B26"/>
    <w:rsid w:val="0065766B"/>
    <w:rsid w:val="00660482"/>
    <w:rsid w:val="006770B2"/>
    <w:rsid w:val="00686A48"/>
    <w:rsid w:val="006940E1"/>
    <w:rsid w:val="006A3C72"/>
    <w:rsid w:val="006A7392"/>
    <w:rsid w:val="006B03A1"/>
    <w:rsid w:val="006B67D9"/>
    <w:rsid w:val="006C5535"/>
    <w:rsid w:val="006D0589"/>
    <w:rsid w:val="006D594D"/>
    <w:rsid w:val="006E564B"/>
    <w:rsid w:val="006E7154"/>
    <w:rsid w:val="007003CD"/>
    <w:rsid w:val="0070701E"/>
    <w:rsid w:val="0072632A"/>
    <w:rsid w:val="007358E8"/>
    <w:rsid w:val="00736ECE"/>
    <w:rsid w:val="0074533B"/>
    <w:rsid w:val="007643BC"/>
    <w:rsid w:val="00780C68"/>
    <w:rsid w:val="007959FE"/>
    <w:rsid w:val="007A0CF1"/>
    <w:rsid w:val="007A18AA"/>
    <w:rsid w:val="007A478E"/>
    <w:rsid w:val="007B6BA5"/>
    <w:rsid w:val="007C0B52"/>
    <w:rsid w:val="007C3390"/>
    <w:rsid w:val="007C3F38"/>
    <w:rsid w:val="007C42D8"/>
    <w:rsid w:val="007C4F4B"/>
    <w:rsid w:val="007D7362"/>
    <w:rsid w:val="007F5CE2"/>
    <w:rsid w:val="007F6611"/>
    <w:rsid w:val="007F73FD"/>
    <w:rsid w:val="00800522"/>
    <w:rsid w:val="00807DBA"/>
    <w:rsid w:val="00810BAC"/>
    <w:rsid w:val="008175E9"/>
    <w:rsid w:val="008242D7"/>
    <w:rsid w:val="0082577B"/>
    <w:rsid w:val="008272DD"/>
    <w:rsid w:val="008648DE"/>
    <w:rsid w:val="00866893"/>
    <w:rsid w:val="00866F02"/>
    <w:rsid w:val="00867D18"/>
    <w:rsid w:val="00871F9A"/>
    <w:rsid w:val="00871FD5"/>
    <w:rsid w:val="0088172E"/>
    <w:rsid w:val="00881EFA"/>
    <w:rsid w:val="008879CB"/>
    <w:rsid w:val="0089561F"/>
    <w:rsid w:val="008979B1"/>
    <w:rsid w:val="008A6B25"/>
    <w:rsid w:val="008A6C4F"/>
    <w:rsid w:val="008A77AE"/>
    <w:rsid w:val="008B389E"/>
    <w:rsid w:val="008D045E"/>
    <w:rsid w:val="008D3F25"/>
    <w:rsid w:val="008D4201"/>
    <w:rsid w:val="008D4D82"/>
    <w:rsid w:val="008E0E46"/>
    <w:rsid w:val="008E7116"/>
    <w:rsid w:val="008F143B"/>
    <w:rsid w:val="008F26F5"/>
    <w:rsid w:val="008F2BAD"/>
    <w:rsid w:val="008F3882"/>
    <w:rsid w:val="008F4B7C"/>
    <w:rsid w:val="00901C0A"/>
    <w:rsid w:val="00923C6B"/>
    <w:rsid w:val="00926E47"/>
    <w:rsid w:val="00942C3B"/>
    <w:rsid w:val="00947162"/>
    <w:rsid w:val="009610D0"/>
    <w:rsid w:val="0096375C"/>
    <w:rsid w:val="00965693"/>
    <w:rsid w:val="009662E6"/>
    <w:rsid w:val="0097095E"/>
    <w:rsid w:val="00974D51"/>
    <w:rsid w:val="0098592B"/>
    <w:rsid w:val="00985FC4"/>
    <w:rsid w:val="00990766"/>
    <w:rsid w:val="00991261"/>
    <w:rsid w:val="009964C4"/>
    <w:rsid w:val="009A153F"/>
    <w:rsid w:val="009A7B81"/>
    <w:rsid w:val="009C1A0A"/>
    <w:rsid w:val="009C1AB3"/>
    <w:rsid w:val="009D01C0"/>
    <w:rsid w:val="009D6A08"/>
    <w:rsid w:val="009E0A16"/>
    <w:rsid w:val="009E6CB7"/>
    <w:rsid w:val="009E7970"/>
    <w:rsid w:val="009F2EAC"/>
    <w:rsid w:val="009F57E3"/>
    <w:rsid w:val="00A10F4F"/>
    <w:rsid w:val="00A11067"/>
    <w:rsid w:val="00A149B3"/>
    <w:rsid w:val="00A1704A"/>
    <w:rsid w:val="00A257FE"/>
    <w:rsid w:val="00A425EB"/>
    <w:rsid w:val="00A60B1B"/>
    <w:rsid w:val="00A61262"/>
    <w:rsid w:val="00A65F38"/>
    <w:rsid w:val="00A72F22"/>
    <w:rsid w:val="00A733BC"/>
    <w:rsid w:val="00A748A6"/>
    <w:rsid w:val="00A76A69"/>
    <w:rsid w:val="00A856F1"/>
    <w:rsid w:val="00A879A4"/>
    <w:rsid w:val="00AA0FF8"/>
    <w:rsid w:val="00AC0F2C"/>
    <w:rsid w:val="00AC502A"/>
    <w:rsid w:val="00AF58C1"/>
    <w:rsid w:val="00B04A3F"/>
    <w:rsid w:val="00B06643"/>
    <w:rsid w:val="00B15055"/>
    <w:rsid w:val="00B20551"/>
    <w:rsid w:val="00B30179"/>
    <w:rsid w:val="00B33FC7"/>
    <w:rsid w:val="00B34C39"/>
    <w:rsid w:val="00B37B15"/>
    <w:rsid w:val="00B45C02"/>
    <w:rsid w:val="00B56C63"/>
    <w:rsid w:val="00B70B63"/>
    <w:rsid w:val="00B72A1E"/>
    <w:rsid w:val="00B81E12"/>
    <w:rsid w:val="00B928EB"/>
    <w:rsid w:val="00BA339B"/>
    <w:rsid w:val="00BB23CC"/>
    <w:rsid w:val="00BC1AE8"/>
    <w:rsid w:val="00BC1E7E"/>
    <w:rsid w:val="00BC74E9"/>
    <w:rsid w:val="00BE2DE9"/>
    <w:rsid w:val="00BE36A9"/>
    <w:rsid w:val="00BE618E"/>
    <w:rsid w:val="00BE7BEC"/>
    <w:rsid w:val="00BF0A5A"/>
    <w:rsid w:val="00BF0E63"/>
    <w:rsid w:val="00BF12A3"/>
    <w:rsid w:val="00BF16D7"/>
    <w:rsid w:val="00BF2373"/>
    <w:rsid w:val="00BF5568"/>
    <w:rsid w:val="00C0294F"/>
    <w:rsid w:val="00C044E2"/>
    <w:rsid w:val="00C048CB"/>
    <w:rsid w:val="00C066F3"/>
    <w:rsid w:val="00C408B7"/>
    <w:rsid w:val="00C411EB"/>
    <w:rsid w:val="00C463DD"/>
    <w:rsid w:val="00C53F72"/>
    <w:rsid w:val="00C62BF3"/>
    <w:rsid w:val="00C745C3"/>
    <w:rsid w:val="00C74986"/>
    <w:rsid w:val="00C978F5"/>
    <w:rsid w:val="00CA1C39"/>
    <w:rsid w:val="00CA24A4"/>
    <w:rsid w:val="00CA7F0E"/>
    <w:rsid w:val="00CB348D"/>
    <w:rsid w:val="00CD426E"/>
    <w:rsid w:val="00CD46F5"/>
    <w:rsid w:val="00CE4A8F"/>
    <w:rsid w:val="00CE78F6"/>
    <w:rsid w:val="00CF071D"/>
    <w:rsid w:val="00D0123D"/>
    <w:rsid w:val="00D15B04"/>
    <w:rsid w:val="00D173AF"/>
    <w:rsid w:val="00D2031B"/>
    <w:rsid w:val="00D25FE2"/>
    <w:rsid w:val="00D368BE"/>
    <w:rsid w:val="00D37DA9"/>
    <w:rsid w:val="00D406A7"/>
    <w:rsid w:val="00D40765"/>
    <w:rsid w:val="00D40C69"/>
    <w:rsid w:val="00D41542"/>
    <w:rsid w:val="00D43252"/>
    <w:rsid w:val="00D44D86"/>
    <w:rsid w:val="00D50B7D"/>
    <w:rsid w:val="00D52012"/>
    <w:rsid w:val="00D704E5"/>
    <w:rsid w:val="00D72727"/>
    <w:rsid w:val="00D84661"/>
    <w:rsid w:val="00D978C6"/>
    <w:rsid w:val="00DA0956"/>
    <w:rsid w:val="00DA357F"/>
    <w:rsid w:val="00DA3E12"/>
    <w:rsid w:val="00DC18AD"/>
    <w:rsid w:val="00DF7CAE"/>
    <w:rsid w:val="00E27404"/>
    <w:rsid w:val="00E423C0"/>
    <w:rsid w:val="00E6414C"/>
    <w:rsid w:val="00E7260F"/>
    <w:rsid w:val="00E8702D"/>
    <w:rsid w:val="00E905F4"/>
    <w:rsid w:val="00E916A9"/>
    <w:rsid w:val="00E916DE"/>
    <w:rsid w:val="00E925AD"/>
    <w:rsid w:val="00E96630"/>
    <w:rsid w:val="00EA4BB6"/>
    <w:rsid w:val="00ED18DC"/>
    <w:rsid w:val="00ED6201"/>
    <w:rsid w:val="00ED7A2A"/>
    <w:rsid w:val="00EF1D7F"/>
    <w:rsid w:val="00F0137E"/>
    <w:rsid w:val="00F21786"/>
    <w:rsid w:val="00F3742B"/>
    <w:rsid w:val="00F41FDB"/>
    <w:rsid w:val="00F50596"/>
    <w:rsid w:val="00F56D63"/>
    <w:rsid w:val="00F609A9"/>
    <w:rsid w:val="00F80C99"/>
    <w:rsid w:val="00F867EC"/>
    <w:rsid w:val="00F8701E"/>
    <w:rsid w:val="00F91B2B"/>
    <w:rsid w:val="00FB616B"/>
    <w:rsid w:val="00FC03CD"/>
    <w:rsid w:val="00FC0646"/>
    <w:rsid w:val="00FC4646"/>
    <w:rsid w:val="00FC68B7"/>
    <w:rsid w:val="00FD2240"/>
    <w:rsid w:val="00FE6985"/>
    <w:rsid w:val="00FF01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EA91F"/>
  <w15:docId w15:val="{CE0B0A8D-3823-4D11-841D-6252FC01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5E1AAF"/>
    <w:pPr>
      <w:suppressAutoHyphens w:val="0"/>
      <w:spacing w:after="200" w:line="276" w:lineRule="auto"/>
      <w:ind w:left="720"/>
      <w:contextualSpacing/>
    </w:pPr>
    <w:rPr>
      <w:rFonts w:ascii="Calibri" w:hAnsi="Calibri"/>
      <w:color w:val="00000A"/>
      <w:sz w:val="22"/>
      <w:szCs w:val="22"/>
      <w:lang w:eastAsia="en-US"/>
    </w:rPr>
  </w:style>
  <w:style w:type="character" w:customStyle="1" w:styleId="FootnoteTextChar">
    <w:name w:val="Footnote Text Char"/>
    <w:aliases w:val="5_G Char"/>
    <w:basedOn w:val="DefaultParagraphFont"/>
    <w:link w:val="FootnoteText"/>
    <w:rsid w:val="005E1AAF"/>
    <w:rPr>
      <w:sz w:val="18"/>
      <w:lang w:val="en-GB"/>
    </w:rPr>
  </w:style>
  <w:style w:type="character" w:customStyle="1" w:styleId="HChGChar">
    <w:name w:val="_ H _Ch_G Char"/>
    <w:link w:val="HChG"/>
    <w:qFormat/>
    <w:rsid w:val="005E1AAF"/>
    <w:rPr>
      <w:b/>
      <w:sz w:val="28"/>
      <w:lang w:val="en-GB"/>
    </w:rPr>
  </w:style>
  <w:style w:type="character" w:customStyle="1" w:styleId="HeaderChar">
    <w:name w:val="Header Char"/>
    <w:aliases w:val="6_G Char"/>
    <w:basedOn w:val="DefaultParagraphFont"/>
    <w:link w:val="Header"/>
    <w:rsid w:val="00611D1E"/>
    <w:rPr>
      <w:b/>
      <w:sz w:val="18"/>
      <w:lang w:val="en-GB"/>
    </w:rPr>
  </w:style>
  <w:style w:type="paragraph" w:styleId="Revision">
    <w:name w:val="Revision"/>
    <w:hidden/>
    <w:uiPriority w:val="99"/>
    <w:semiHidden/>
    <w:rsid w:val="001E04AE"/>
    <w:rPr>
      <w:lang w:val="en-GB"/>
    </w:rPr>
  </w:style>
  <w:style w:type="character" w:customStyle="1" w:styleId="H1GChar">
    <w:name w:val="_ H_1_G Char"/>
    <w:link w:val="H1G"/>
    <w:rsid w:val="00FC4646"/>
    <w:rPr>
      <w:b/>
      <w:sz w:val="24"/>
      <w:lang w:val="en-GB"/>
    </w:rPr>
  </w:style>
  <w:style w:type="character" w:styleId="CommentReference">
    <w:name w:val="annotation reference"/>
    <w:basedOn w:val="DefaultParagraphFont"/>
    <w:semiHidden/>
    <w:unhideWhenUsed/>
    <w:rsid w:val="00FC4646"/>
    <w:rPr>
      <w:sz w:val="16"/>
      <w:szCs w:val="16"/>
    </w:rPr>
  </w:style>
  <w:style w:type="paragraph" w:styleId="CommentText">
    <w:name w:val="annotation text"/>
    <w:basedOn w:val="Normal"/>
    <w:link w:val="CommentTextChar"/>
    <w:semiHidden/>
    <w:unhideWhenUsed/>
    <w:rsid w:val="00FC4646"/>
    <w:pPr>
      <w:spacing w:line="240" w:lineRule="auto"/>
    </w:pPr>
  </w:style>
  <w:style w:type="character" w:customStyle="1" w:styleId="CommentTextChar">
    <w:name w:val="Comment Text Char"/>
    <w:basedOn w:val="DefaultParagraphFont"/>
    <w:link w:val="CommentText"/>
    <w:semiHidden/>
    <w:rsid w:val="00FC46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C7FF4-5751-42B6-8DAF-A4163C4AE03B}">
  <ds:schemaRefs>
    <ds:schemaRef ds:uri="http://schemas.microsoft.com/sharepoint/v3/contenttype/forms"/>
  </ds:schemaRefs>
</ds:datastoreItem>
</file>

<file path=customXml/itemProps2.xml><?xml version="1.0" encoding="utf-8"?>
<ds:datastoreItem xmlns:ds="http://schemas.openxmlformats.org/officeDocument/2006/customXml" ds:itemID="{BF41EA7E-D69D-4897-A8C9-4062DDDF406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4D9979C-467A-4AC3-A734-657FDE41D6AE}">
  <ds:schemaRefs>
    <ds:schemaRef ds:uri="http://schemas.openxmlformats.org/officeDocument/2006/bibliography"/>
  </ds:schemaRefs>
</ds:datastoreItem>
</file>

<file path=customXml/itemProps4.xml><?xml version="1.0" encoding="utf-8"?>
<ds:datastoreItem xmlns:ds="http://schemas.openxmlformats.org/officeDocument/2006/customXml" ds:itemID="{4D3CD665-235A-4F71-A4BC-1937DA3D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19</TotalTime>
  <Pages>6</Pages>
  <Words>2237</Words>
  <Characters>12757</Characters>
  <Application>Microsoft Office Word</Application>
  <DocSecurity>0</DocSecurity>
  <Lines>106</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ECE/TRANS/WP.15/AC.1/2023/41</vt:lpstr>
      <vt:lpstr>ECE/TRANS/WP.15/AC.1/2023/41</vt:lpstr>
      <vt:lpstr/>
    </vt:vector>
  </TitlesOfParts>
  <Company>CSD</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ECE/TRANS/WP.15/AC.1/2023/41</dc:title>
  <dc:creator>Nadiya Dzyubynska</dc:creator>
  <cp:lastModifiedBy>ND</cp:lastModifiedBy>
  <cp:revision>7</cp:revision>
  <cp:lastPrinted>2023-07-10T09:54:00Z</cp:lastPrinted>
  <dcterms:created xsi:type="dcterms:W3CDTF">2023-06-29T09:42:00Z</dcterms:created>
  <dcterms:modified xsi:type="dcterms:W3CDTF">2023-07-10T09:54:00Z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