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CC15D1B" w14:textId="77777777" w:rsidTr="005316B0">
        <w:trPr>
          <w:trHeight w:hRule="exact" w:val="851"/>
        </w:trPr>
        <w:tc>
          <w:tcPr>
            <w:tcW w:w="1276" w:type="dxa"/>
            <w:tcBorders>
              <w:bottom w:val="single" w:sz="4" w:space="0" w:color="auto"/>
            </w:tcBorders>
          </w:tcPr>
          <w:p w14:paraId="461C4731" w14:textId="77777777" w:rsidR="001433FD" w:rsidRPr="00DB58B5" w:rsidRDefault="001433FD" w:rsidP="0001207F"/>
        </w:tc>
        <w:tc>
          <w:tcPr>
            <w:tcW w:w="2268" w:type="dxa"/>
            <w:tcBorders>
              <w:bottom w:val="single" w:sz="4" w:space="0" w:color="auto"/>
            </w:tcBorders>
            <w:vAlign w:val="bottom"/>
          </w:tcPr>
          <w:p w14:paraId="45E3EF4D"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4604845" w14:textId="2A519A4B" w:rsidR="001433FD" w:rsidRPr="00E6273B" w:rsidRDefault="00E6273B" w:rsidP="00E6273B">
            <w:pPr>
              <w:jc w:val="right"/>
            </w:pPr>
            <w:r w:rsidRPr="00E6273B">
              <w:rPr>
                <w:sz w:val="40"/>
              </w:rPr>
              <w:t>ECE</w:t>
            </w:r>
            <w:r>
              <w:t>/TRANS/WP.15/AC.1/2023/37</w:t>
            </w:r>
          </w:p>
        </w:tc>
      </w:tr>
      <w:tr w:rsidR="001433FD" w:rsidRPr="00DB58B5" w14:paraId="21BD33CD" w14:textId="77777777" w:rsidTr="007D3236">
        <w:trPr>
          <w:trHeight w:hRule="exact" w:val="2835"/>
        </w:trPr>
        <w:tc>
          <w:tcPr>
            <w:tcW w:w="1276" w:type="dxa"/>
            <w:tcBorders>
              <w:top w:val="single" w:sz="4" w:space="0" w:color="auto"/>
              <w:bottom w:val="single" w:sz="12" w:space="0" w:color="auto"/>
            </w:tcBorders>
          </w:tcPr>
          <w:p w14:paraId="711D86B5" w14:textId="77777777" w:rsidR="001433FD" w:rsidRPr="00DB58B5" w:rsidRDefault="001433FD" w:rsidP="007D3236">
            <w:pPr>
              <w:spacing w:before="120"/>
              <w:jc w:val="center"/>
            </w:pPr>
            <w:r>
              <w:rPr>
                <w:noProof/>
                <w:lang w:eastAsia="fr-CH"/>
              </w:rPr>
              <w:drawing>
                <wp:inline distT="0" distB="0" distL="0" distR="0" wp14:anchorId="24F63DFD" wp14:editId="15B4DDEB">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C5CCE9"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352C391" w14:textId="77777777" w:rsidR="0001207F" w:rsidRDefault="00A64FD1" w:rsidP="00A64FD1">
            <w:pPr>
              <w:spacing w:before="240" w:line="240" w:lineRule="exact"/>
            </w:pPr>
            <w:proofErr w:type="spellStart"/>
            <w:r>
              <w:t>Distr</w:t>
            </w:r>
            <w:proofErr w:type="spellEnd"/>
            <w:r>
              <w:t>. générale</w:t>
            </w:r>
          </w:p>
          <w:p w14:paraId="192538A4" w14:textId="4827A36D" w:rsidR="00A64FD1" w:rsidRDefault="00A64FD1" w:rsidP="00A64FD1">
            <w:pPr>
              <w:spacing w:line="240" w:lineRule="exact"/>
            </w:pPr>
            <w:r>
              <w:t>28 ju</w:t>
            </w:r>
            <w:r w:rsidR="008C1879">
              <w:t>i</w:t>
            </w:r>
            <w:r>
              <w:t>n 2023</w:t>
            </w:r>
          </w:p>
          <w:p w14:paraId="43FAB071" w14:textId="77777777" w:rsidR="00A64FD1" w:rsidRDefault="00A64FD1" w:rsidP="00A64FD1">
            <w:pPr>
              <w:spacing w:line="240" w:lineRule="exact"/>
            </w:pPr>
          </w:p>
          <w:p w14:paraId="034FA6C3" w14:textId="77777777" w:rsidR="00A64FD1" w:rsidRPr="00DB58B5" w:rsidRDefault="00A64FD1" w:rsidP="00A64FD1">
            <w:pPr>
              <w:spacing w:line="240" w:lineRule="exact"/>
            </w:pPr>
            <w:r>
              <w:t>Original : français</w:t>
            </w:r>
          </w:p>
        </w:tc>
      </w:tr>
    </w:tbl>
    <w:p w14:paraId="3F44F06C" w14:textId="77777777" w:rsidR="00A64FD1" w:rsidRDefault="00A64FD1" w:rsidP="00FD1581">
      <w:pPr>
        <w:spacing w:before="120"/>
        <w:rPr>
          <w:b/>
          <w:sz w:val="28"/>
          <w:szCs w:val="28"/>
        </w:rPr>
      </w:pPr>
      <w:r w:rsidRPr="00883605">
        <w:rPr>
          <w:b/>
          <w:sz w:val="28"/>
          <w:szCs w:val="28"/>
        </w:rPr>
        <w:t>Commission économique pour l’Europe</w:t>
      </w:r>
    </w:p>
    <w:p w14:paraId="52C83015" w14:textId="77777777" w:rsidR="00A64FD1" w:rsidRPr="008A7BD0" w:rsidRDefault="00A64FD1" w:rsidP="00FD1581">
      <w:pPr>
        <w:spacing w:before="120"/>
        <w:rPr>
          <w:sz w:val="28"/>
          <w:szCs w:val="28"/>
          <w:lang w:val="fr-CA"/>
        </w:rPr>
      </w:pPr>
      <w:r w:rsidRPr="008A7BD0">
        <w:rPr>
          <w:sz w:val="28"/>
          <w:szCs w:val="28"/>
          <w:lang w:val="fr-CA"/>
        </w:rPr>
        <w:t>Comité des transports intérieurs</w:t>
      </w:r>
    </w:p>
    <w:p w14:paraId="64E96F17" w14:textId="77777777" w:rsidR="00A64FD1" w:rsidRPr="008A7BD0" w:rsidRDefault="00A64FD1" w:rsidP="00FD1581">
      <w:pPr>
        <w:spacing w:before="120"/>
        <w:rPr>
          <w:b/>
          <w:sz w:val="24"/>
          <w:szCs w:val="24"/>
          <w:lang w:val="fr-CA"/>
        </w:rPr>
      </w:pPr>
      <w:r w:rsidRPr="008A7BD0">
        <w:rPr>
          <w:b/>
          <w:bCs/>
          <w:sz w:val="24"/>
          <w:szCs w:val="24"/>
          <w:lang w:val="fr-FR"/>
        </w:rPr>
        <w:t xml:space="preserve">Groupe de travail des transports </w:t>
      </w:r>
      <w:r w:rsidRPr="008A7BD0">
        <w:rPr>
          <w:b/>
          <w:bCs/>
          <w:sz w:val="24"/>
          <w:szCs w:val="24"/>
          <w:lang w:val="fr-FR"/>
        </w:rPr>
        <w:br/>
        <w:t>de marchandises dangereuses</w:t>
      </w:r>
    </w:p>
    <w:p w14:paraId="6A57C0E9" w14:textId="59ED329F" w:rsidR="00A64FD1" w:rsidRDefault="00A64FD1" w:rsidP="00FD1581">
      <w:pPr>
        <w:spacing w:before="120"/>
        <w:rPr>
          <w:b/>
          <w:lang w:val="fr-FR"/>
        </w:rPr>
      </w:pPr>
      <w:r w:rsidRPr="008A7BD0">
        <w:rPr>
          <w:b/>
          <w:lang w:val="fr-FR"/>
        </w:rPr>
        <w:t xml:space="preserve">Réunion commune de la Commission d’experts du RID </w:t>
      </w:r>
      <w:r w:rsidRPr="008A7BD0">
        <w:rPr>
          <w:b/>
          <w:lang w:val="fr-FR"/>
        </w:rPr>
        <w:br/>
        <w:t xml:space="preserve">et du Groupe de travail des transports </w:t>
      </w:r>
      <w:r w:rsidRPr="008A7BD0">
        <w:rPr>
          <w:b/>
          <w:lang w:val="fr-FR"/>
        </w:rPr>
        <w:br/>
        <w:t>de marchandises dangereuses</w:t>
      </w:r>
    </w:p>
    <w:p w14:paraId="74D44C5E" w14:textId="77777777" w:rsidR="000E15D0" w:rsidRPr="00CE2861" w:rsidRDefault="000E15D0" w:rsidP="000E15D0">
      <w:pPr>
        <w:rPr>
          <w:rFonts w:eastAsiaTheme="minorHAnsi"/>
          <w:lang w:val="fr-FR" w:eastAsia="en-US"/>
        </w:rPr>
      </w:pPr>
      <w:r w:rsidRPr="00CE2861">
        <w:rPr>
          <w:rFonts w:eastAsiaTheme="minorHAnsi"/>
          <w:lang w:val="fr-FR" w:eastAsia="en-US"/>
        </w:rPr>
        <w:t>Genève, 19-29 septembre 2023</w:t>
      </w:r>
    </w:p>
    <w:p w14:paraId="0F82A2C5" w14:textId="2F826815" w:rsidR="000E15D0" w:rsidRPr="008A7BD0" w:rsidRDefault="000E15D0" w:rsidP="000E15D0">
      <w:pPr>
        <w:rPr>
          <w:lang w:val="fr-FR"/>
        </w:rPr>
      </w:pPr>
      <w:r w:rsidRPr="001331C0">
        <w:t xml:space="preserve">Point </w:t>
      </w:r>
      <w:r w:rsidR="00466F6C" w:rsidRPr="001331C0">
        <w:t>2</w:t>
      </w:r>
      <w:r>
        <w:rPr>
          <w:lang w:val="fr-FR"/>
        </w:rPr>
        <w:t xml:space="preserve"> </w:t>
      </w:r>
      <w:r w:rsidRPr="008A7BD0">
        <w:rPr>
          <w:lang w:val="fr-FR"/>
        </w:rPr>
        <w:t>de l’ordre du jour provisoire</w:t>
      </w:r>
    </w:p>
    <w:p w14:paraId="3B11DE27" w14:textId="4968EECF" w:rsidR="000E15D0" w:rsidRPr="00CA2991" w:rsidRDefault="00466F6C" w:rsidP="000E15D0">
      <w:pPr>
        <w:rPr>
          <w:b/>
          <w:bCs/>
          <w:lang w:val="fr-BE"/>
        </w:rPr>
      </w:pPr>
      <w:r>
        <w:rPr>
          <w:b/>
          <w:bCs/>
          <w:lang w:val="fr-BE"/>
        </w:rPr>
        <w:t>Citernes</w:t>
      </w:r>
    </w:p>
    <w:p w14:paraId="15BADF39" w14:textId="3DF9977C" w:rsidR="000E15D0" w:rsidRPr="006F6E2E" w:rsidRDefault="000E15D0" w:rsidP="000E15D0">
      <w:pPr>
        <w:pStyle w:val="HChG"/>
        <w:rPr>
          <w:lang w:val="fr-BE"/>
        </w:rPr>
      </w:pPr>
      <w:r w:rsidRPr="006F6E2E">
        <w:rPr>
          <w:lang w:val="fr-BE"/>
        </w:rPr>
        <w:tab/>
      </w:r>
      <w:r w:rsidRPr="006F6E2E">
        <w:rPr>
          <w:lang w:val="fr-BE"/>
        </w:rPr>
        <w:tab/>
      </w:r>
      <w:r w:rsidRPr="006F6E2E">
        <w:rPr>
          <w:szCs w:val="28"/>
          <w:lang w:val="fr-BE"/>
        </w:rPr>
        <w:t>6.8.1.5.</w:t>
      </w:r>
      <w:r>
        <w:rPr>
          <w:szCs w:val="28"/>
          <w:lang w:val="fr-BE"/>
        </w:rPr>
        <w:t xml:space="preserve">1 </w:t>
      </w:r>
      <w:r w:rsidR="00217A11">
        <w:rPr>
          <w:szCs w:val="28"/>
          <w:lang w:val="fr-BE"/>
        </w:rPr>
        <w:t>et</w:t>
      </w:r>
      <w:r>
        <w:rPr>
          <w:szCs w:val="28"/>
          <w:lang w:val="fr-BE"/>
        </w:rPr>
        <w:t xml:space="preserve"> 6.8.1.5.4</w:t>
      </w:r>
      <w:r w:rsidRPr="006F6E2E">
        <w:rPr>
          <w:szCs w:val="28"/>
          <w:lang w:val="fr-BE"/>
        </w:rPr>
        <w:t xml:space="preserve"> – Incohérence entre l’ADR et le RID 2023</w:t>
      </w:r>
    </w:p>
    <w:p w14:paraId="3D125CAF" w14:textId="599E5BA1" w:rsidR="000E15D0" w:rsidRPr="006F6E2E" w:rsidRDefault="000E15D0" w:rsidP="000E15D0">
      <w:pPr>
        <w:pStyle w:val="H1G"/>
        <w:rPr>
          <w:lang w:val="fr-BE"/>
        </w:rPr>
      </w:pPr>
      <w:r w:rsidRPr="006F6E2E">
        <w:rPr>
          <w:lang w:val="fr-BE"/>
        </w:rPr>
        <w:tab/>
      </w:r>
      <w:r w:rsidRPr="006F6E2E">
        <w:rPr>
          <w:lang w:val="fr-BE"/>
        </w:rPr>
        <w:tab/>
        <w:t xml:space="preserve">Transmis par le </w:t>
      </w:r>
      <w:r w:rsidR="006B238C">
        <w:rPr>
          <w:lang w:val="fr-BE"/>
        </w:rPr>
        <w:t>G</w:t>
      </w:r>
      <w:r w:rsidRPr="006F6E2E">
        <w:rPr>
          <w:lang w:val="fr-BE"/>
        </w:rPr>
        <w:t>ouvernement de la Belgique</w:t>
      </w:r>
      <w:r w:rsidR="00CA18E7" w:rsidRPr="00CE2861">
        <w:rPr>
          <w:rFonts w:eastAsia="Calibri"/>
          <w:bCs/>
          <w:spacing w:val="4"/>
          <w:w w:val="103"/>
          <w:kern w:val="14"/>
          <w:vertAlign w:val="superscript"/>
          <w:lang w:val="fr-FR" w:eastAsia="en-US"/>
        </w:rPr>
        <w:footnoteReference w:customMarkFollows="1" w:id="2"/>
        <w:t xml:space="preserve">*, </w:t>
      </w:r>
      <w:r w:rsidR="00CA18E7" w:rsidRPr="00CE2861">
        <w:rPr>
          <w:rFonts w:eastAsia="Calibri"/>
          <w:bCs/>
          <w:spacing w:val="4"/>
          <w:w w:val="103"/>
          <w:kern w:val="14"/>
          <w:vertAlign w:val="superscript"/>
          <w:lang w:val="fr-FR" w:eastAsia="en-US"/>
        </w:rPr>
        <w:footnoteReference w:customMarkFollows="1" w:id="3"/>
        <w:t>**</w:t>
      </w:r>
    </w:p>
    <w:p w14:paraId="047A6A4A" w14:textId="77777777" w:rsidR="000E15D0" w:rsidRPr="006F6E2E" w:rsidRDefault="000E15D0" w:rsidP="000E15D0">
      <w:pPr>
        <w:pStyle w:val="HChG"/>
        <w:rPr>
          <w:lang w:val="fr-BE"/>
        </w:rPr>
      </w:pPr>
      <w:r w:rsidRPr="006F6E2E">
        <w:rPr>
          <w:lang w:val="fr-BE"/>
        </w:rPr>
        <w:tab/>
      </w:r>
      <w:r w:rsidRPr="006F6E2E">
        <w:rPr>
          <w:lang w:val="fr-BE"/>
        </w:rPr>
        <w:tab/>
        <w:t>Introduction</w:t>
      </w:r>
    </w:p>
    <w:p w14:paraId="674C3BA6" w14:textId="667327E6" w:rsidR="000E15D0" w:rsidRPr="006F6E2E" w:rsidRDefault="000E15D0" w:rsidP="004627E0">
      <w:pPr>
        <w:pStyle w:val="SingleTxtG"/>
        <w:rPr>
          <w:lang w:val="fr-BE"/>
        </w:rPr>
      </w:pPr>
      <w:r w:rsidRPr="006F6E2E">
        <w:rPr>
          <w:lang w:val="fr-BE"/>
        </w:rPr>
        <w:t>1.</w:t>
      </w:r>
      <w:r w:rsidRPr="006F6E2E">
        <w:rPr>
          <w:lang w:val="fr-BE"/>
        </w:rPr>
        <w:tab/>
        <w:t>L</w:t>
      </w:r>
      <w:r>
        <w:rPr>
          <w:lang w:val="fr-BE"/>
        </w:rPr>
        <w:t>ors de la 113</w:t>
      </w:r>
      <w:r w:rsidRPr="00D762CB">
        <w:rPr>
          <w:vertAlign w:val="superscript"/>
          <w:lang w:val="fr-BE"/>
        </w:rPr>
        <w:t>ème</w:t>
      </w:r>
      <w:r>
        <w:rPr>
          <w:lang w:val="fr-BE"/>
        </w:rPr>
        <w:t xml:space="preserve"> session du </w:t>
      </w:r>
      <w:r w:rsidR="004627E0" w:rsidRPr="004627E0">
        <w:rPr>
          <w:lang w:val="fr-BE"/>
        </w:rPr>
        <w:t xml:space="preserve">Groupe de travail des transports de marchandises dangereuses </w:t>
      </w:r>
      <w:r w:rsidR="00F00FDD">
        <w:rPr>
          <w:lang w:val="fr-BE"/>
        </w:rPr>
        <w:t>(</w:t>
      </w:r>
      <w:r>
        <w:rPr>
          <w:lang w:val="fr-BE"/>
        </w:rPr>
        <w:t>WP</w:t>
      </w:r>
      <w:r w:rsidR="00F00FDD">
        <w:rPr>
          <w:lang w:val="fr-BE"/>
        </w:rPr>
        <w:t>.</w:t>
      </w:r>
      <w:r>
        <w:rPr>
          <w:lang w:val="fr-BE"/>
        </w:rPr>
        <w:t>15</w:t>
      </w:r>
      <w:r w:rsidR="00F00FDD">
        <w:rPr>
          <w:lang w:val="fr-BE"/>
        </w:rPr>
        <w:t>)</w:t>
      </w:r>
      <w:r>
        <w:rPr>
          <w:lang w:val="fr-BE"/>
        </w:rPr>
        <w:t xml:space="preserve">, la Belgique a rapporté dans le document </w:t>
      </w:r>
      <w:r w:rsidR="00E54C42">
        <w:rPr>
          <w:lang w:val="fr-BE"/>
        </w:rPr>
        <w:t xml:space="preserve">informel </w:t>
      </w:r>
      <w:r>
        <w:rPr>
          <w:lang w:val="fr-BE"/>
        </w:rPr>
        <w:t xml:space="preserve">INF.25 une incohérence entre le </w:t>
      </w:r>
      <w:r w:rsidRPr="006F6E2E">
        <w:rPr>
          <w:lang w:val="fr-BE"/>
        </w:rPr>
        <w:t>RID</w:t>
      </w:r>
      <w:r>
        <w:rPr>
          <w:lang w:val="fr-BE"/>
        </w:rPr>
        <w:t xml:space="preserve"> et l’ADR 2023</w:t>
      </w:r>
      <w:r w:rsidRPr="006F6E2E">
        <w:rPr>
          <w:lang w:val="fr-BE"/>
        </w:rPr>
        <w:t>.</w:t>
      </w:r>
    </w:p>
    <w:p w14:paraId="729933EE" w14:textId="77777777" w:rsidR="000E15D0" w:rsidRPr="006F6E2E" w:rsidRDefault="000E15D0" w:rsidP="000E15D0">
      <w:pPr>
        <w:pStyle w:val="SingleTxtG"/>
        <w:rPr>
          <w:lang w:val="fr-BE"/>
        </w:rPr>
      </w:pPr>
      <w:r w:rsidRPr="006F6E2E">
        <w:rPr>
          <w:lang w:val="fr-BE"/>
        </w:rPr>
        <w:t>2.</w:t>
      </w:r>
      <w:r w:rsidRPr="006F6E2E">
        <w:rPr>
          <w:lang w:val="fr-BE"/>
        </w:rPr>
        <w:tab/>
      </w:r>
      <w:r>
        <w:rPr>
          <w:lang w:val="fr-BE"/>
        </w:rPr>
        <w:t>La session de septembre 2021 de la Réunion Commune a adopté les propositions du groupe de travail informel sur l’inspection et l’agrément des citernes</w:t>
      </w:r>
      <w:r w:rsidRPr="006F6E2E">
        <w:rPr>
          <w:lang w:val="fr-BE"/>
        </w:rPr>
        <w:t>.</w:t>
      </w:r>
    </w:p>
    <w:p w14:paraId="7A6A2F7D" w14:textId="1C97C458" w:rsidR="000E15D0" w:rsidRPr="006F6E2E" w:rsidRDefault="000E15D0" w:rsidP="000E15D0">
      <w:pPr>
        <w:pStyle w:val="SingleTxtG"/>
        <w:rPr>
          <w:lang w:val="fr-BE"/>
        </w:rPr>
      </w:pPr>
      <w:r w:rsidRPr="006F6E2E">
        <w:rPr>
          <w:lang w:val="fr-BE"/>
        </w:rPr>
        <w:t>3.</w:t>
      </w:r>
      <w:r w:rsidRPr="006F6E2E">
        <w:rPr>
          <w:lang w:val="fr-BE"/>
        </w:rPr>
        <w:tab/>
      </w:r>
      <w:r>
        <w:rPr>
          <w:lang w:val="fr-BE"/>
        </w:rPr>
        <w:t xml:space="preserve">La Réunion Commune a en même temps adopté les propositions du document </w:t>
      </w:r>
      <w:r w:rsidR="00E54C42">
        <w:rPr>
          <w:lang w:val="fr-BE"/>
        </w:rPr>
        <w:t xml:space="preserve">informel </w:t>
      </w:r>
      <w:r>
        <w:rPr>
          <w:lang w:val="fr-BE"/>
        </w:rPr>
        <w:t>INF.48 de la France relatif aux examens de type et inspections initiales des citernes qui doivent être réalisés par un organisme d’inspection du pays d’immatriculation.</w:t>
      </w:r>
    </w:p>
    <w:p w14:paraId="56ACBC54" w14:textId="77777777" w:rsidR="000E15D0" w:rsidRDefault="000E15D0" w:rsidP="000E15D0">
      <w:pPr>
        <w:pStyle w:val="SingleTxtG"/>
        <w:rPr>
          <w:lang w:val="fr-BE"/>
        </w:rPr>
      </w:pPr>
      <w:r w:rsidRPr="006F6E2E">
        <w:rPr>
          <w:lang w:val="fr-BE"/>
        </w:rPr>
        <w:t>4.</w:t>
      </w:r>
      <w:r>
        <w:rPr>
          <w:lang w:val="fr-BE"/>
        </w:rPr>
        <w:tab/>
      </w:r>
      <w:r w:rsidRPr="006F6E2E">
        <w:rPr>
          <w:lang w:val="fr-BE"/>
        </w:rPr>
        <w:t>C</w:t>
      </w:r>
      <w:r>
        <w:rPr>
          <w:lang w:val="fr-BE"/>
        </w:rPr>
        <w:t>et amendement n’a été adopté que pour l’ADR, introduisant des différences entre l’ADR et le RID.</w:t>
      </w:r>
    </w:p>
    <w:p w14:paraId="3BC1CE57" w14:textId="3F50654C" w:rsidR="000E15D0" w:rsidRDefault="00CA18E7" w:rsidP="000E15D0">
      <w:pPr>
        <w:pStyle w:val="SingleTxtG"/>
        <w:rPr>
          <w:lang w:val="fr-BE"/>
        </w:rPr>
      </w:pPr>
      <w:r>
        <w:rPr>
          <w:lang w:val="fr-BE"/>
        </w:rPr>
        <w:t>5.</w:t>
      </w:r>
      <w:r>
        <w:rPr>
          <w:lang w:val="fr-BE"/>
        </w:rPr>
        <w:tab/>
      </w:r>
      <w:r w:rsidR="000E15D0">
        <w:rPr>
          <w:lang w:val="fr-BE"/>
        </w:rPr>
        <w:t>Les véhicules citernes</w:t>
      </w:r>
      <w:r w:rsidR="00466F6C">
        <w:rPr>
          <w:lang w:val="fr-BE"/>
        </w:rPr>
        <w:t xml:space="preserve"> et </w:t>
      </w:r>
      <w:r w:rsidR="000E15D0">
        <w:rPr>
          <w:lang w:val="fr-BE"/>
        </w:rPr>
        <w:t>véhicules batteries ayant déjà des régimes d’inspection et d’agrément différents de ceux des wagons-citernes</w:t>
      </w:r>
      <w:r w:rsidR="002854CF">
        <w:rPr>
          <w:lang w:val="fr-BE"/>
        </w:rPr>
        <w:t xml:space="preserve"> et </w:t>
      </w:r>
      <w:r w:rsidR="000E15D0">
        <w:rPr>
          <w:lang w:val="fr-BE"/>
        </w:rPr>
        <w:t>wagons-batteries, cela ne fait que confirmer la situation actuelle pour ces citernes.</w:t>
      </w:r>
    </w:p>
    <w:p w14:paraId="1515A1B2" w14:textId="0A4AE60F" w:rsidR="000E15D0" w:rsidRPr="006F6E2E" w:rsidRDefault="00CA18E7" w:rsidP="000E15D0">
      <w:pPr>
        <w:pStyle w:val="SingleTxtG"/>
        <w:rPr>
          <w:lang w:val="fr-BE"/>
        </w:rPr>
      </w:pPr>
      <w:r>
        <w:rPr>
          <w:lang w:val="fr-BE"/>
        </w:rPr>
        <w:lastRenderedPageBreak/>
        <w:t>6.</w:t>
      </w:r>
      <w:r>
        <w:rPr>
          <w:lang w:val="fr-BE"/>
        </w:rPr>
        <w:tab/>
      </w:r>
      <w:r w:rsidR="000E15D0">
        <w:rPr>
          <w:lang w:val="fr-BE"/>
        </w:rPr>
        <w:t xml:space="preserve">Les conteneurs-citernes par contre sont multimodaux et peuvent être utilisés tant par route que par rail. Une incohérence entre les </w:t>
      </w:r>
      <w:r>
        <w:rPr>
          <w:lang w:val="fr-BE"/>
        </w:rPr>
        <w:t>deux</w:t>
      </w:r>
      <w:r w:rsidR="000E15D0">
        <w:rPr>
          <w:lang w:val="fr-BE"/>
        </w:rPr>
        <w:t xml:space="preserve"> règlements est donc très problématique.</w:t>
      </w:r>
    </w:p>
    <w:p w14:paraId="79E8E514" w14:textId="77777777" w:rsidR="000E15D0" w:rsidRPr="006F6E2E" w:rsidRDefault="000E15D0" w:rsidP="000E15D0">
      <w:pPr>
        <w:pStyle w:val="SingleTxtG"/>
        <w:rPr>
          <w:lang w:val="fr-BE"/>
        </w:rPr>
      </w:pPr>
    </w:p>
    <w:p w14:paraId="76A9320A" w14:textId="77777777" w:rsidR="000E15D0" w:rsidRDefault="000E15D0" w:rsidP="000E15D0">
      <w:pPr>
        <w:pStyle w:val="HChG"/>
        <w:rPr>
          <w:lang w:val="fr-BE"/>
        </w:rPr>
      </w:pPr>
      <w:r w:rsidRPr="006F6E2E">
        <w:rPr>
          <w:lang w:val="fr-BE"/>
        </w:rPr>
        <w:tab/>
      </w:r>
      <w:r w:rsidRPr="006F6E2E">
        <w:rPr>
          <w:lang w:val="fr-BE"/>
        </w:rPr>
        <w:tab/>
        <w:t>Proposition</w:t>
      </w:r>
      <w:r>
        <w:rPr>
          <w:lang w:val="fr-BE"/>
        </w:rPr>
        <w:t>s</w:t>
      </w:r>
    </w:p>
    <w:p w14:paraId="53F19A8D" w14:textId="24B3586A" w:rsidR="000E15D0" w:rsidRPr="006F6E2E" w:rsidRDefault="000E15D0" w:rsidP="000E15D0">
      <w:pPr>
        <w:pStyle w:val="HChG"/>
        <w:rPr>
          <w:lang w:val="fr-BE"/>
        </w:rPr>
      </w:pPr>
      <w:r>
        <w:rPr>
          <w:lang w:val="fr-BE"/>
        </w:rPr>
        <w:tab/>
      </w:r>
      <w:r>
        <w:rPr>
          <w:lang w:val="fr-BE"/>
        </w:rPr>
        <w:tab/>
      </w:r>
      <w:r w:rsidR="00C85D9F">
        <w:rPr>
          <w:sz w:val="24"/>
          <w:szCs w:val="24"/>
          <w:u w:val="single"/>
          <w:lang w:val="fr-BE"/>
        </w:rPr>
        <w:t>Op</w:t>
      </w:r>
      <w:r w:rsidRPr="005B0F84">
        <w:rPr>
          <w:sz w:val="24"/>
          <w:szCs w:val="24"/>
          <w:u w:val="single"/>
          <w:lang w:val="fr-BE"/>
        </w:rPr>
        <w:t>tion 1</w:t>
      </w:r>
    </w:p>
    <w:p w14:paraId="76C2E2DE" w14:textId="3ED90061" w:rsidR="000E15D0" w:rsidRPr="006F6E2E" w:rsidRDefault="00CA18E7" w:rsidP="000E15D0">
      <w:pPr>
        <w:pStyle w:val="SingleTxtG"/>
        <w:rPr>
          <w:lang w:val="fr-BE"/>
        </w:rPr>
      </w:pPr>
      <w:r>
        <w:rPr>
          <w:lang w:val="fr-BE"/>
        </w:rPr>
        <w:t>7</w:t>
      </w:r>
      <w:r w:rsidR="000E15D0" w:rsidRPr="006F6E2E">
        <w:rPr>
          <w:lang w:val="fr-BE"/>
        </w:rPr>
        <w:t>.</w:t>
      </w:r>
      <w:r w:rsidR="000E15D0" w:rsidRPr="006F6E2E">
        <w:rPr>
          <w:lang w:val="fr-BE"/>
        </w:rPr>
        <w:tab/>
      </w:r>
      <w:r w:rsidR="00B86577">
        <w:rPr>
          <w:lang w:val="fr-BE"/>
        </w:rPr>
        <w:t>Aux 6.8.1.5.1 et 6.8.1.5.4 de l'ADR s</w:t>
      </w:r>
      <w:r w:rsidR="000E15D0">
        <w:rPr>
          <w:lang w:val="fr-BE"/>
        </w:rPr>
        <w:t xml:space="preserve">upprimer </w:t>
      </w:r>
      <w:r w:rsidR="00B86577">
        <w:rPr>
          <w:lang w:val="fr-BE"/>
        </w:rPr>
        <w:t>le Nota dans</w:t>
      </w:r>
      <w:r w:rsidR="00BB204B">
        <w:rPr>
          <w:lang w:val="fr-BE"/>
        </w:rPr>
        <w:t xml:space="preserve"> </w:t>
      </w:r>
      <w:r w:rsidR="000E15D0">
        <w:rPr>
          <w:lang w:val="fr-BE"/>
        </w:rPr>
        <w:t>la colonne de droite</w:t>
      </w:r>
      <w:r w:rsidR="00C12D3F">
        <w:rPr>
          <w:lang w:val="fr-BE"/>
        </w:rPr>
        <w:t xml:space="preserve"> </w:t>
      </w:r>
      <w:r w:rsidR="00C12D3F">
        <w:t>(les modifications qu’il est proposé d’apporter au texte actuel figurent en caractères biffés pour les suppressions</w:t>
      </w:r>
      <w:r w:rsidR="00775A1F">
        <w:t>) :</w:t>
      </w:r>
    </w:p>
    <w:p w14:paraId="2D866213" w14:textId="5B52B5B0" w:rsidR="000E15D0" w:rsidRPr="004F6CE2" w:rsidRDefault="000E770F" w:rsidP="000E15D0">
      <w:pPr>
        <w:pStyle w:val="SingleTxtG"/>
        <w:rPr>
          <w:lang w:val="fr-BE"/>
        </w:rPr>
      </w:pPr>
      <w:r>
        <w:rPr>
          <w:lang w:val="fr-BE"/>
        </w:rPr>
        <w:t>« </w:t>
      </w:r>
      <w:r w:rsidR="000E15D0" w:rsidRPr="004F6CE2">
        <w:rPr>
          <w:lang w:val="fr-BE"/>
        </w:rPr>
        <w:t>6.8.1.5.1 Examen de type conformément au 1.8.7.2.1</w:t>
      </w:r>
    </w:p>
    <w:p w14:paraId="46257542" w14:textId="0DBE1E23" w:rsidR="004F6CC7" w:rsidRDefault="000E15D0" w:rsidP="004F6CC7">
      <w:pPr>
        <w:pStyle w:val="SingleTxtG"/>
        <w:rPr>
          <w:lang w:val="fr-BE"/>
        </w:rPr>
      </w:pPr>
      <w:r w:rsidRPr="004F6CE2">
        <w:rPr>
          <w:lang w:val="fr-BE"/>
        </w:rPr>
        <w:t>a) Le constructeur de la citerne doit faire appel à un organisme de contrôle unique agréé ou reconnu par l’autorité compétente du pays de construction ou du premier pays d’immatriculation de la première citerne construite de ce type pour assumer la responsabilité de l’examen de type. Si le pays de construction n’est pas une Partie contractante à l’ADR, le constructeur doit faire appel à un organisme de contrôle unique agréé ou reconnu par l’autorité compétente du pays d’immatriculation de la première citerne construite de ce type pour assumer la responsabilité de l’examen de type.</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3"/>
      </w:tblGrid>
      <w:tr w:rsidR="004F6CC7" w14:paraId="6BDDD65A" w14:textId="77777777" w:rsidTr="00993E40">
        <w:tc>
          <w:tcPr>
            <w:tcW w:w="4252" w:type="dxa"/>
          </w:tcPr>
          <w:p w14:paraId="3857FD5F" w14:textId="63C7EF51" w:rsidR="004F6CC7" w:rsidRDefault="004F6CC7" w:rsidP="004F6CC7">
            <w:pPr>
              <w:pStyle w:val="SingleTxtG"/>
              <w:ind w:left="0"/>
              <w:rPr>
                <w:lang w:val="fr-BE"/>
              </w:rPr>
            </w:pPr>
            <w:r w:rsidRPr="004F6CE2">
              <w:rPr>
                <w:lang w:val="fr-BE"/>
              </w:rPr>
              <w:t>NOTA : Jusqu’au 31 décembre 2028, l’examen de type doit être effectué par un organisme de contrôle agréé ou reconnu par le pays d’immatriculation.</w:t>
            </w:r>
          </w:p>
        </w:tc>
        <w:tc>
          <w:tcPr>
            <w:tcW w:w="4253" w:type="dxa"/>
          </w:tcPr>
          <w:p w14:paraId="229FE9EC" w14:textId="1CB30C60" w:rsidR="004F6CC7" w:rsidRDefault="004F6CC7" w:rsidP="004F6CC7">
            <w:pPr>
              <w:pStyle w:val="SingleTxtG"/>
              <w:ind w:left="0"/>
              <w:rPr>
                <w:lang w:val="fr-BE"/>
              </w:rPr>
            </w:pPr>
            <w:r w:rsidRPr="00C73301">
              <w:rPr>
                <w:strike/>
                <w:lang w:val="fr-BE"/>
              </w:rPr>
              <w:t>NOTA : Jusqu’au 31 décembre 2028, l’examen de type doit être effectué par un organisme de contrôle agréé</w:t>
            </w:r>
            <w:r w:rsidR="00993E40">
              <w:rPr>
                <w:strike/>
                <w:lang w:val="fr-BE"/>
              </w:rPr>
              <w:t xml:space="preserve"> </w:t>
            </w:r>
            <w:r w:rsidR="00993E40" w:rsidRPr="00C73301">
              <w:rPr>
                <w:strike/>
                <w:lang w:val="fr-BE"/>
              </w:rPr>
              <w:t>ou reconnu par le pays d’immatriculation.</w:t>
            </w:r>
          </w:p>
        </w:tc>
      </w:tr>
    </w:tbl>
    <w:p w14:paraId="5196CF46" w14:textId="584FED95" w:rsidR="004F6CC7" w:rsidRDefault="00993E40" w:rsidP="004F6CC7">
      <w:pPr>
        <w:pStyle w:val="SingleTxtG"/>
        <w:rPr>
          <w:lang w:val="fr-BE"/>
        </w:rPr>
      </w:pPr>
      <w:r w:rsidRPr="004F6CE2">
        <w:rPr>
          <w:lang w:val="fr-BE"/>
        </w:rPr>
        <w:t>b) Si l’examen de type de l’équipement de service est effectué séparément de la citerne conformément au 6.8.2.3.1, le fabricant de l’équipement de service doit faire appel à un organisme de contrôle unique agréé ou reconnu par l’autorité compétente d’une Partie contractante à l’ADR pour assumer la responsabilité de l’examen de type.</w:t>
      </w:r>
      <w:r w:rsidR="000E770F">
        <w:rPr>
          <w:lang w:val="fr-BE"/>
        </w:rPr>
        <w:t> »</w:t>
      </w:r>
    </w:p>
    <w:p w14:paraId="09DF7302" w14:textId="467EEF2B" w:rsidR="00993E40" w:rsidRPr="004F6CE2" w:rsidRDefault="000E770F" w:rsidP="00993E40">
      <w:pPr>
        <w:pStyle w:val="SingleTxtG"/>
        <w:rPr>
          <w:lang w:val="fr-BE"/>
        </w:rPr>
      </w:pPr>
      <w:r>
        <w:rPr>
          <w:lang w:val="fr-BE"/>
        </w:rPr>
        <w:t>« </w:t>
      </w:r>
      <w:r w:rsidR="00993E40" w:rsidRPr="004F6CE2">
        <w:rPr>
          <w:lang w:val="fr-BE"/>
        </w:rPr>
        <w:t>6.8.1.5.4 Contrôles et épreuves initiaux conformément au 1.8.7.4</w:t>
      </w:r>
    </w:p>
    <w:p w14:paraId="5A22F35F" w14:textId="242C23A6" w:rsidR="00993E40" w:rsidRDefault="00993E40" w:rsidP="00993E40">
      <w:pPr>
        <w:pStyle w:val="SingleTxtG"/>
        <w:rPr>
          <w:lang w:val="fr-BE"/>
        </w:rPr>
      </w:pPr>
      <w:r w:rsidRPr="004F6CE2">
        <w:rPr>
          <w:lang w:val="fr-BE"/>
        </w:rPr>
        <w:t>a) Le constructeur de la citerne doit faire appel à un organisme de contrôle unique agréé ou reconnu par l’autorité compétente du pays d’immatriculation ou du pays de construction pour assumer la responsabilité des contrôles et épreuves initiaux. Si le pays de construction n’est pas une Partie contractante à l’ADR, le constructeur doit faire appel à un organisme de contrôle unique agréé ou reconnu par le pays d’immatriculation pour assumer la responsabilité des contrôles et épreuves initiaux</w:t>
      </w:r>
      <w:r>
        <w:rPr>
          <w:lang w:val="fr-BE"/>
        </w:rPr>
        <w:t>.</w:t>
      </w:r>
    </w:p>
    <w:tbl>
      <w:tblPr>
        <w:tblStyle w:val="Grilledutableau"/>
        <w:tblW w:w="0" w:type="auto"/>
        <w:tblInd w:w="1134" w:type="dxa"/>
        <w:tblLook w:val="04A0" w:firstRow="1" w:lastRow="0" w:firstColumn="1" w:lastColumn="0" w:noHBand="0" w:noVBand="1"/>
      </w:tblPr>
      <w:tblGrid>
        <w:gridCol w:w="4258"/>
        <w:gridCol w:w="4247"/>
      </w:tblGrid>
      <w:tr w:rsidR="00993E40" w14:paraId="398A655A" w14:textId="77777777" w:rsidTr="00993E40">
        <w:tc>
          <w:tcPr>
            <w:tcW w:w="4258" w:type="dxa"/>
            <w:tcBorders>
              <w:top w:val="nil"/>
              <w:left w:val="nil"/>
              <w:bottom w:val="nil"/>
              <w:right w:val="nil"/>
            </w:tcBorders>
          </w:tcPr>
          <w:p w14:paraId="7512AE52" w14:textId="1DF4F6C0" w:rsidR="00993E40" w:rsidRDefault="00993E40" w:rsidP="00993E40">
            <w:pPr>
              <w:pStyle w:val="SingleTxtG"/>
              <w:ind w:left="0"/>
              <w:rPr>
                <w:lang w:val="fr-BE"/>
              </w:rPr>
            </w:pPr>
            <w:r w:rsidRPr="004F6CE2">
              <w:rPr>
                <w:lang w:val="fr-BE"/>
              </w:rPr>
              <w:t>NOTA : Jusqu’au 31 décembre 2032, le contrôle initial doit être effectué par un organisme de contrôle agréé ou reconnu par le pays d’immatriculation.</w:t>
            </w:r>
          </w:p>
        </w:tc>
        <w:tc>
          <w:tcPr>
            <w:tcW w:w="4247" w:type="dxa"/>
            <w:tcBorders>
              <w:top w:val="nil"/>
              <w:left w:val="nil"/>
              <w:bottom w:val="nil"/>
              <w:right w:val="nil"/>
            </w:tcBorders>
          </w:tcPr>
          <w:p w14:paraId="68B66D42" w14:textId="1CC133AC" w:rsidR="00993E40" w:rsidRDefault="00993E40" w:rsidP="00993E40">
            <w:pPr>
              <w:pStyle w:val="SingleTxtG"/>
              <w:ind w:left="0"/>
              <w:rPr>
                <w:lang w:val="fr-BE"/>
              </w:rPr>
            </w:pPr>
            <w:r w:rsidRPr="00A31E11">
              <w:rPr>
                <w:strike/>
                <w:lang w:val="fr-BE"/>
              </w:rPr>
              <w:t>NOTA : Jusqu’au 31 décembre 2032, le contrôle initial doit être effectué par un organisme de contrôle agréé ou reconnu par le pays d’immatriculation</w:t>
            </w:r>
          </w:p>
        </w:tc>
      </w:tr>
    </w:tbl>
    <w:p w14:paraId="25415FFD" w14:textId="546D83EE" w:rsidR="00993E40" w:rsidRDefault="00993E40" w:rsidP="00993E40">
      <w:pPr>
        <w:pStyle w:val="SingleTxtG"/>
        <w:rPr>
          <w:lang w:val="fr-BE"/>
        </w:rPr>
      </w:pPr>
      <w:r w:rsidRPr="004F6CE2">
        <w:rPr>
          <w:lang w:val="fr-BE"/>
        </w:rPr>
        <w:t>b) Si l’équipement de service est agréé par type séparément de la citerne, le fabricant de l’équipement de service doit faire appel au même organisme de contrôle unique engagé aux fins du 6.8.1.5.3 b) pour assumer la responsabilité des contrôles et épreuves initiaux. Le fabricant peut avoir recours à un service interne d’inspection conformément au 1.8.7.7 pour appliquer les procédures du 1.8.7.4.</w:t>
      </w:r>
      <w:r w:rsidR="000E770F">
        <w:rPr>
          <w:lang w:val="fr-BE"/>
        </w:rPr>
        <w:t> »</w:t>
      </w:r>
    </w:p>
    <w:p w14:paraId="0FC421E5" w14:textId="25F069F9" w:rsidR="00993E40" w:rsidRPr="006F6E2E" w:rsidRDefault="00993E40" w:rsidP="00993E40">
      <w:pPr>
        <w:pStyle w:val="HChG"/>
        <w:rPr>
          <w:lang w:val="fr-BE"/>
        </w:rPr>
      </w:pPr>
      <w:r w:rsidRPr="00993E40">
        <w:rPr>
          <w:b w:val="0"/>
          <w:bCs/>
          <w:sz w:val="24"/>
          <w:szCs w:val="24"/>
          <w:lang w:val="fr-BE"/>
        </w:rPr>
        <w:tab/>
      </w:r>
      <w:r w:rsidRPr="00993E40">
        <w:rPr>
          <w:b w:val="0"/>
          <w:bCs/>
          <w:sz w:val="24"/>
          <w:szCs w:val="24"/>
          <w:lang w:val="fr-BE"/>
        </w:rPr>
        <w:tab/>
      </w:r>
      <w:r w:rsidR="000F08CE">
        <w:rPr>
          <w:sz w:val="24"/>
          <w:szCs w:val="24"/>
          <w:u w:val="single"/>
          <w:lang w:val="fr-BE"/>
        </w:rPr>
        <w:t>Op</w:t>
      </w:r>
      <w:r w:rsidRPr="005B0F84">
        <w:rPr>
          <w:sz w:val="24"/>
          <w:szCs w:val="24"/>
          <w:u w:val="single"/>
          <w:lang w:val="fr-BE"/>
        </w:rPr>
        <w:t xml:space="preserve">tion </w:t>
      </w:r>
      <w:r>
        <w:rPr>
          <w:sz w:val="24"/>
          <w:szCs w:val="24"/>
          <w:u w:val="single"/>
          <w:lang w:val="fr-BE"/>
        </w:rPr>
        <w:t>2</w:t>
      </w:r>
    </w:p>
    <w:p w14:paraId="72550CAE" w14:textId="760269E9" w:rsidR="00993E40" w:rsidRPr="006F6E2E" w:rsidRDefault="00993E40" w:rsidP="00993E40">
      <w:pPr>
        <w:pStyle w:val="SingleTxtG"/>
        <w:rPr>
          <w:lang w:val="fr-BE"/>
        </w:rPr>
      </w:pPr>
      <w:r>
        <w:rPr>
          <w:lang w:val="fr-BE"/>
        </w:rPr>
        <w:t>8</w:t>
      </w:r>
      <w:r w:rsidRPr="006F6E2E">
        <w:rPr>
          <w:lang w:val="fr-BE"/>
        </w:rPr>
        <w:t>.</w:t>
      </w:r>
      <w:r w:rsidRPr="006F6E2E">
        <w:rPr>
          <w:lang w:val="fr-BE"/>
        </w:rPr>
        <w:tab/>
      </w:r>
      <w:r w:rsidR="000F08CE">
        <w:rPr>
          <w:lang w:val="fr-BE"/>
        </w:rPr>
        <w:t>Aux 6.8.1.5.1 et 6.8.1.5.4 du RID a</w:t>
      </w:r>
      <w:r>
        <w:rPr>
          <w:lang w:val="fr-BE"/>
        </w:rPr>
        <w:t xml:space="preserve">jouter </w:t>
      </w:r>
      <w:r w:rsidR="000F08CE">
        <w:rPr>
          <w:lang w:val="fr-BE"/>
        </w:rPr>
        <w:t>un Nota dans</w:t>
      </w:r>
      <w:r>
        <w:rPr>
          <w:lang w:val="fr-BE"/>
        </w:rPr>
        <w:t xml:space="preserve"> la colonne de droite</w:t>
      </w:r>
      <w:r w:rsidR="00825BCF">
        <w:rPr>
          <w:lang w:val="fr-BE"/>
        </w:rPr>
        <w:t xml:space="preserve"> (nouveau texte souligné)</w:t>
      </w:r>
      <w:r w:rsidR="00E818CF">
        <w:rPr>
          <w:lang w:val="fr-BE"/>
        </w:rPr>
        <w:t> </w:t>
      </w:r>
      <w:r w:rsidR="00C51670">
        <w:rPr>
          <w:lang w:val="fr-BE"/>
        </w:rPr>
        <w:t>:</w:t>
      </w:r>
    </w:p>
    <w:p w14:paraId="43D45BC8" w14:textId="38BAFEFC" w:rsidR="00993E40" w:rsidRPr="004F6CE2" w:rsidRDefault="00C51670" w:rsidP="00993E40">
      <w:pPr>
        <w:pStyle w:val="SingleTxtG"/>
        <w:rPr>
          <w:lang w:val="fr-BE"/>
        </w:rPr>
      </w:pPr>
      <w:r>
        <w:rPr>
          <w:lang w:val="fr-BE"/>
        </w:rPr>
        <w:t>« </w:t>
      </w:r>
      <w:r w:rsidR="00993E40" w:rsidRPr="004F6CE2">
        <w:rPr>
          <w:lang w:val="fr-BE"/>
        </w:rPr>
        <w:t>6.8.1.5.1 Examen de type conformément au 1.8.7.2.1</w:t>
      </w:r>
    </w:p>
    <w:p w14:paraId="4C6057D1" w14:textId="663A5B6D" w:rsidR="00993E40" w:rsidRDefault="00993E40" w:rsidP="00993E40">
      <w:pPr>
        <w:pStyle w:val="SingleTxtG"/>
        <w:rPr>
          <w:lang w:val="fr-BE"/>
        </w:rPr>
      </w:pPr>
      <w:r w:rsidRPr="004F6CE2">
        <w:rPr>
          <w:lang w:val="fr-BE"/>
        </w:rPr>
        <w:t xml:space="preserve">a) Le constructeur de la citerne doit faire appel à un organisme de contrôle unique agréé ou reconnu par l’autorité compétente du pays de construction ou du premier pays </w:t>
      </w:r>
      <w:r w:rsidRPr="004F6CE2">
        <w:rPr>
          <w:lang w:val="fr-BE"/>
        </w:rPr>
        <w:lastRenderedPageBreak/>
        <w:t>d’immatriculation de la première citerne construite de ce type pour assumer la responsabilité de l’examen de type. Si le pays de construction n’est pas un</w:t>
      </w:r>
      <w:r>
        <w:rPr>
          <w:lang w:val="fr-BE"/>
        </w:rPr>
        <w:t xml:space="preserve"> État p</w:t>
      </w:r>
      <w:r w:rsidRPr="004F6CE2">
        <w:rPr>
          <w:lang w:val="fr-BE"/>
        </w:rPr>
        <w:t xml:space="preserve">artie </w:t>
      </w:r>
      <w:r>
        <w:rPr>
          <w:lang w:val="fr-BE"/>
        </w:rPr>
        <w:t>au RID</w:t>
      </w:r>
      <w:r w:rsidRPr="004F6CE2">
        <w:rPr>
          <w:lang w:val="fr-BE"/>
        </w:rPr>
        <w:t>, le constructeur doit faire appel à un organisme de contrôle unique agréé ou reconnu par l’autorité compétente du pays d’immatriculation de la première citerne construite de ce type pour assumer la responsabilité de l’examen de type</w:t>
      </w:r>
      <w:r>
        <w:rPr>
          <w:lang w:val="fr-BE"/>
        </w:rPr>
        <w:t>.</w:t>
      </w:r>
    </w:p>
    <w:p w14:paraId="1DC0671C" w14:textId="77777777" w:rsidR="00993E40" w:rsidRDefault="00993E40" w:rsidP="00993E40">
      <w:pPr>
        <w:pStyle w:val="SingleTxtG"/>
        <w:rPr>
          <w:lang w:val="fr-BE"/>
        </w:rPr>
      </w:pPr>
    </w:p>
    <w:tbl>
      <w:tblPr>
        <w:tblStyle w:val="Grilledutableau"/>
        <w:tblW w:w="0" w:type="auto"/>
        <w:tblInd w:w="1134" w:type="dxa"/>
        <w:tblLook w:val="04A0" w:firstRow="1" w:lastRow="0" w:firstColumn="1" w:lastColumn="0" w:noHBand="0" w:noVBand="1"/>
      </w:tblPr>
      <w:tblGrid>
        <w:gridCol w:w="4041"/>
        <w:gridCol w:w="4464"/>
      </w:tblGrid>
      <w:tr w:rsidR="00993E40" w14:paraId="77FD91E1" w14:textId="77777777" w:rsidTr="00993E40">
        <w:tc>
          <w:tcPr>
            <w:tcW w:w="4041" w:type="dxa"/>
            <w:tcBorders>
              <w:top w:val="nil"/>
              <w:left w:val="nil"/>
              <w:bottom w:val="nil"/>
              <w:right w:val="nil"/>
            </w:tcBorders>
          </w:tcPr>
          <w:p w14:paraId="00FBFEC1" w14:textId="77777777" w:rsidR="00993E40" w:rsidRDefault="00993E40" w:rsidP="00993E40">
            <w:pPr>
              <w:pStyle w:val="SingleTxtG"/>
              <w:ind w:left="0"/>
              <w:rPr>
                <w:lang w:val="fr-BE"/>
              </w:rPr>
            </w:pPr>
          </w:p>
        </w:tc>
        <w:tc>
          <w:tcPr>
            <w:tcW w:w="4464" w:type="dxa"/>
            <w:tcBorders>
              <w:top w:val="nil"/>
              <w:left w:val="nil"/>
              <w:bottom w:val="nil"/>
              <w:right w:val="nil"/>
            </w:tcBorders>
          </w:tcPr>
          <w:p w14:paraId="5E68DD45" w14:textId="5C423CD0" w:rsidR="00993E40" w:rsidRPr="00515617" w:rsidRDefault="00993E40" w:rsidP="00993E40">
            <w:pPr>
              <w:pStyle w:val="SingleTxtG"/>
              <w:ind w:left="0"/>
              <w:rPr>
                <w:u w:val="single"/>
                <w:lang w:val="fr-BE"/>
              </w:rPr>
            </w:pPr>
            <w:r w:rsidRPr="00515617">
              <w:rPr>
                <w:u w:val="single"/>
                <w:lang w:val="fr-BE"/>
              </w:rPr>
              <w:t>NOTA : Jusqu’au 31 décembre 2028, l’examen de type doit être effectué par un organisme de contrôle agréé ou reconnu par le pays d’immatriculation.</w:t>
            </w:r>
          </w:p>
        </w:tc>
      </w:tr>
    </w:tbl>
    <w:p w14:paraId="0B13D4F5" w14:textId="41462BCD" w:rsidR="00993E40" w:rsidRDefault="00993E40" w:rsidP="00993E40">
      <w:pPr>
        <w:pStyle w:val="SingleTxtG"/>
        <w:rPr>
          <w:lang w:val="fr-BE"/>
        </w:rPr>
      </w:pPr>
      <w:r w:rsidRPr="004F6CE2">
        <w:rPr>
          <w:lang w:val="fr-BE"/>
        </w:rPr>
        <w:t>b) Si l’examen de type de l’équipement de service est effectué séparément de la citerne conformément au 6.8.2.3.1, le fabricant de l’équipement de service doit faire appel à un organisme de contrôle unique agréé ou reconnu par l’autorité compétente d’un</w:t>
      </w:r>
      <w:r>
        <w:rPr>
          <w:lang w:val="fr-BE"/>
        </w:rPr>
        <w:t xml:space="preserve"> État p</w:t>
      </w:r>
      <w:r w:rsidRPr="004F6CE2">
        <w:rPr>
          <w:lang w:val="fr-BE"/>
        </w:rPr>
        <w:t xml:space="preserve">artie </w:t>
      </w:r>
      <w:r>
        <w:rPr>
          <w:lang w:val="fr-BE"/>
        </w:rPr>
        <w:t>au RID</w:t>
      </w:r>
      <w:r w:rsidRPr="004F6CE2">
        <w:rPr>
          <w:lang w:val="fr-BE"/>
        </w:rPr>
        <w:t xml:space="preserve"> pour assumer la responsabilité de l’examen de type.</w:t>
      </w:r>
      <w:r w:rsidR="00241315">
        <w:rPr>
          <w:lang w:val="fr-BE"/>
        </w:rPr>
        <w:t> »</w:t>
      </w:r>
    </w:p>
    <w:p w14:paraId="12DD614C" w14:textId="06435251" w:rsidR="00993E40" w:rsidRPr="004F6CE2" w:rsidRDefault="00241315" w:rsidP="00993E40">
      <w:pPr>
        <w:pStyle w:val="SingleTxtG"/>
        <w:rPr>
          <w:lang w:val="fr-BE"/>
        </w:rPr>
      </w:pPr>
      <w:r>
        <w:rPr>
          <w:lang w:val="fr-BE"/>
        </w:rPr>
        <w:t>« </w:t>
      </w:r>
      <w:r w:rsidR="00993E40" w:rsidRPr="004F6CE2">
        <w:rPr>
          <w:lang w:val="fr-BE"/>
        </w:rPr>
        <w:t>6.8.1.5.4 Contrôles et épreuves initiaux conformément au 1.8.7.4</w:t>
      </w:r>
    </w:p>
    <w:p w14:paraId="5BD01146" w14:textId="06326DAC" w:rsidR="00993E40" w:rsidRDefault="00993E40" w:rsidP="00993E40">
      <w:pPr>
        <w:pStyle w:val="SingleTxtG"/>
        <w:rPr>
          <w:lang w:val="fr-BE"/>
        </w:rPr>
      </w:pPr>
      <w:r w:rsidRPr="004F6CE2">
        <w:rPr>
          <w:lang w:val="fr-BE"/>
        </w:rPr>
        <w:t>a) Le constructeur de la citerne doit faire appel à un organisme de contrôle unique agréé ou reconnu par l’autorité compétente du pays d’immatriculation ou du pays de construction pour assumer la responsabilité des contrôles et épreuves initiaux. Si le pays de construction n’est pas un</w:t>
      </w:r>
      <w:r>
        <w:rPr>
          <w:lang w:val="fr-BE"/>
        </w:rPr>
        <w:t xml:space="preserve"> État p</w:t>
      </w:r>
      <w:r w:rsidRPr="004F6CE2">
        <w:rPr>
          <w:lang w:val="fr-BE"/>
        </w:rPr>
        <w:t xml:space="preserve">artie </w:t>
      </w:r>
      <w:r>
        <w:rPr>
          <w:lang w:val="fr-BE"/>
        </w:rPr>
        <w:t>au RID</w:t>
      </w:r>
      <w:r w:rsidRPr="004F6CE2">
        <w:rPr>
          <w:lang w:val="fr-BE"/>
        </w:rPr>
        <w:t>, le constructeur doit faire appel à un organisme de contrôle unique agréé ou reconnu par le pays d’immatriculation pour assumer la responsabilité des contrôles et épreuves initiaux</w:t>
      </w:r>
      <w:r>
        <w:rPr>
          <w:lang w:val="fr-BE"/>
        </w:rPr>
        <w:t>.</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4464"/>
      </w:tblGrid>
      <w:tr w:rsidR="00993E40" w14:paraId="7BF6DFDD" w14:textId="77777777" w:rsidTr="00993E40">
        <w:tc>
          <w:tcPr>
            <w:tcW w:w="4041" w:type="dxa"/>
          </w:tcPr>
          <w:p w14:paraId="5FA3E91F" w14:textId="77777777" w:rsidR="00993E40" w:rsidRDefault="00993E40" w:rsidP="00993E40">
            <w:pPr>
              <w:pStyle w:val="SingleTxtG"/>
              <w:ind w:left="0"/>
              <w:rPr>
                <w:lang w:val="fr-BE"/>
              </w:rPr>
            </w:pPr>
          </w:p>
        </w:tc>
        <w:tc>
          <w:tcPr>
            <w:tcW w:w="4464" w:type="dxa"/>
          </w:tcPr>
          <w:p w14:paraId="2E332A9F" w14:textId="5033AFDA" w:rsidR="00993E40" w:rsidRPr="00515617" w:rsidRDefault="00993E40" w:rsidP="00993E40">
            <w:pPr>
              <w:pStyle w:val="SingleTxtG"/>
              <w:ind w:left="0"/>
              <w:rPr>
                <w:u w:val="single"/>
                <w:lang w:val="fr-BE"/>
              </w:rPr>
            </w:pPr>
            <w:r w:rsidRPr="00515617">
              <w:rPr>
                <w:u w:val="single"/>
                <w:lang w:val="fr-BE"/>
              </w:rPr>
              <w:t>NOTA : Jusqu’au 31 décembre 2032, le contrôle initial doit être effectué par un organisme de contrôle agréé ou reconnu par le pays d’immatriculation.</w:t>
            </w:r>
          </w:p>
        </w:tc>
      </w:tr>
    </w:tbl>
    <w:p w14:paraId="57A60DDD" w14:textId="439B1BE8" w:rsidR="00993E40" w:rsidRDefault="00993E40" w:rsidP="00993E40">
      <w:pPr>
        <w:pStyle w:val="SingleTxtG"/>
        <w:rPr>
          <w:lang w:val="fr-BE"/>
        </w:rPr>
      </w:pPr>
      <w:r w:rsidRPr="004F6CE2">
        <w:rPr>
          <w:lang w:val="fr-BE"/>
        </w:rPr>
        <w:t>b) Si l’équipement de service est agréé par type séparément de la citerne, le fabricant de l’équipement de service doit faire appel au même organisme de contrôle unique engagé aux fins du 6.8.1.5.3 b) pour assumer la responsabilité des contrôles et épreuves initiaux. Le fabricant peut avoir recours à un service interne d’inspection conformément au 1.8.7.7 pour appliquer les procédures du 1.8.7.4.</w:t>
      </w:r>
      <w:r w:rsidR="00586383">
        <w:rPr>
          <w:lang w:val="fr-BE"/>
        </w:rPr>
        <w:t> »</w:t>
      </w:r>
    </w:p>
    <w:p w14:paraId="76987E99" w14:textId="55A6038F" w:rsidR="00993E40" w:rsidRPr="006F6E2E" w:rsidRDefault="00993E40" w:rsidP="00993E40">
      <w:pPr>
        <w:pStyle w:val="HChG"/>
        <w:rPr>
          <w:lang w:val="fr-BE"/>
        </w:rPr>
      </w:pPr>
      <w:r w:rsidRPr="006F6E2E">
        <w:rPr>
          <w:lang w:val="fr-BE"/>
        </w:rPr>
        <w:tab/>
      </w:r>
      <w:r w:rsidRPr="006F6E2E">
        <w:rPr>
          <w:lang w:val="fr-BE"/>
        </w:rPr>
        <w:tab/>
        <w:t>Justification</w:t>
      </w:r>
    </w:p>
    <w:p w14:paraId="533DB715" w14:textId="5CE35EC9" w:rsidR="00993E40" w:rsidRPr="006F6E2E" w:rsidRDefault="00993E40" w:rsidP="00993E40">
      <w:pPr>
        <w:pStyle w:val="SingleTxtG"/>
        <w:rPr>
          <w:lang w:val="fr-BE"/>
        </w:rPr>
      </w:pPr>
      <w:r w:rsidRPr="006F6E2E">
        <w:rPr>
          <w:lang w:val="fr-BE"/>
        </w:rPr>
        <w:t>9.</w:t>
      </w:r>
      <w:r>
        <w:rPr>
          <w:lang w:val="fr-BE"/>
        </w:rPr>
        <w:tab/>
        <w:t>L’agrément et l’inspection d’un conteneur-citerne étant valable pour l’ADR et le RID, les règles doivent être les mêmes. On doit donc soit restreindre les possibilités actuelles du RID soit élargir celles de l’ADR en revenant à la situation prévalant avant l’ADR 2023.</w:t>
      </w:r>
    </w:p>
    <w:p w14:paraId="70012294" w14:textId="7C8F6DE4" w:rsidR="00993E40" w:rsidRPr="00993E40" w:rsidRDefault="00993E40" w:rsidP="00993E40">
      <w:pPr>
        <w:spacing w:before="240"/>
        <w:jc w:val="center"/>
        <w:rPr>
          <w:u w:val="single"/>
          <w:lang w:val="fr-BE"/>
        </w:rPr>
      </w:pPr>
      <w:r>
        <w:rPr>
          <w:u w:val="single"/>
          <w:lang w:val="fr-BE"/>
        </w:rPr>
        <w:tab/>
      </w:r>
      <w:r>
        <w:rPr>
          <w:u w:val="single"/>
          <w:lang w:val="fr-BE"/>
        </w:rPr>
        <w:tab/>
      </w:r>
      <w:r>
        <w:rPr>
          <w:u w:val="single"/>
          <w:lang w:val="fr-BE"/>
        </w:rPr>
        <w:tab/>
      </w:r>
    </w:p>
    <w:sectPr w:rsidR="00993E40" w:rsidRPr="00993E40" w:rsidSect="004F6C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C1C8" w14:textId="77777777" w:rsidR="007422D7" w:rsidRDefault="007422D7" w:rsidP="00F95C08">
      <w:pPr>
        <w:spacing w:line="240" w:lineRule="auto"/>
      </w:pPr>
    </w:p>
  </w:endnote>
  <w:endnote w:type="continuationSeparator" w:id="0">
    <w:p w14:paraId="71072B2B" w14:textId="77777777" w:rsidR="007422D7" w:rsidRPr="00AC3823" w:rsidRDefault="007422D7" w:rsidP="00AC3823">
      <w:pPr>
        <w:pStyle w:val="Pieddepage"/>
      </w:pPr>
    </w:p>
  </w:endnote>
  <w:endnote w:type="continuationNotice" w:id="1">
    <w:p w14:paraId="725F609A" w14:textId="77777777" w:rsidR="007422D7" w:rsidRDefault="007422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825E" w14:textId="3D36E439" w:rsidR="00A64FD1" w:rsidRPr="00A64FD1" w:rsidRDefault="00A64FD1" w:rsidP="00A64FD1">
    <w:pPr>
      <w:pStyle w:val="Pieddepage"/>
      <w:tabs>
        <w:tab w:val="right" w:pos="9638"/>
      </w:tabs>
      <w:rPr>
        <w:sz w:val="18"/>
      </w:rPr>
    </w:pPr>
    <w:r w:rsidRPr="00A64FD1">
      <w:rPr>
        <w:b/>
        <w:sz w:val="18"/>
      </w:rPr>
      <w:fldChar w:fldCharType="begin"/>
    </w:r>
    <w:r w:rsidRPr="00A64FD1">
      <w:rPr>
        <w:b/>
        <w:sz w:val="18"/>
      </w:rPr>
      <w:instrText xml:space="preserve"> PAGE  \* MERGEFORMAT </w:instrText>
    </w:r>
    <w:r w:rsidRPr="00A64FD1">
      <w:rPr>
        <w:b/>
        <w:sz w:val="18"/>
      </w:rPr>
      <w:fldChar w:fldCharType="separate"/>
    </w:r>
    <w:r w:rsidRPr="00A64FD1">
      <w:rPr>
        <w:b/>
        <w:noProof/>
        <w:sz w:val="18"/>
      </w:rPr>
      <w:t>2</w:t>
    </w:r>
    <w:r w:rsidRPr="00A64FD1">
      <w:rPr>
        <w:b/>
        <w:sz w:val="18"/>
      </w:rPr>
      <w:fldChar w:fldCharType="end"/>
    </w:r>
    <w:r>
      <w:rPr>
        <w:sz w:val="18"/>
      </w:rPr>
      <w:tab/>
    </w:r>
  </w:p>
  <w:p w14:paraId="47B4F7EC" w14:textId="77777777" w:rsidR="00DA598B" w:rsidRDefault="00DA59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02FB" w14:textId="28EE57CF" w:rsidR="00A64FD1" w:rsidRPr="00A64FD1" w:rsidRDefault="00A64FD1" w:rsidP="00A64FD1">
    <w:pPr>
      <w:pStyle w:val="Pieddepage"/>
      <w:tabs>
        <w:tab w:val="right" w:pos="9638"/>
      </w:tabs>
      <w:rPr>
        <w:b/>
        <w:sz w:val="18"/>
      </w:rPr>
    </w:pPr>
    <w:r>
      <w:tab/>
    </w:r>
    <w:r w:rsidRPr="00A64FD1">
      <w:rPr>
        <w:b/>
        <w:sz w:val="18"/>
      </w:rPr>
      <w:fldChar w:fldCharType="begin"/>
    </w:r>
    <w:r w:rsidRPr="00A64FD1">
      <w:rPr>
        <w:b/>
        <w:sz w:val="18"/>
      </w:rPr>
      <w:instrText xml:space="preserve"> PAGE  \* MERGEFORMAT </w:instrText>
    </w:r>
    <w:r w:rsidRPr="00A64FD1">
      <w:rPr>
        <w:b/>
        <w:sz w:val="18"/>
      </w:rPr>
      <w:fldChar w:fldCharType="separate"/>
    </w:r>
    <w:r w:rsidRPr="00A64FD1">
      <w:rPr>
        <w:b/>
        <w:noProof/>
        <w:sz w:val="18"/>
      </w:rPr>
      <w:t>3</w:t>
    </w:r>
    <w:r w:rsidRPr="00A64FD1">
      <w:rPr>
        <w:b/>
        <w:sz w:val="18"/>
      </w:rPr>
      <w:fldChar w:fldCharType="end"/>
    </w:r>
  </w:p>
  <w:p w14:paraId="05B8738C" w14:textId="77777777" w:rsidR="00DA598B" w:rsidRDefault="00DA59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5FAF" w14:textId="5F12B632" w:rsidR="000D3EE9" w:rsidRPr="00E6273B" w:rsidRDefault="00E6273B" w:rsidP="00E6273B">
    <w:pPr>
      <w:pStyle w:val="Pieddepage"/>
      <w:tabs>
        <w:tab w:val="left" w:pos="6520"/>
        <w:tab w:val="right" w:pos="9638"/>
      </w:tabs>
      <w:spacing w:before="120"/>
      <w:rPr>
        <w:sz w:val="20"/>
      </w:rPr>
    </w:pPr>
    <w:r>
      <w:rPr>
        <w:sz w:val="20"/>
      </w:rPr>
      <w:t>GE.23-12517  (F)</w:t>
    </w:r>
    <w:bookmarkStart w:id="0" w:name="_GoBack"/>
    <w:bookmarkEnd w:id="0"/>
    <w:r>
      <w:rPr>
        <w:sz w:val="20"/>
      </w:rPr>
      <w:tab/>
    </w:r>
    <w:r w:rsidRPr="00E6273B">
      <w:rPr>
        <w:noProof/>
        <w:sz w:val="20"/>
        <w:lang w:eastAsia="fr-CH"/>
      </w:rPr>
      <w:drawing>
        <wp:inline distT="0" distB="0" distL="0" distR="0" wp14:anchorId="6B7A8548" wp14:editId="565809AD">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C061E70" wp14:editId="523D2641">
          <wp:extent cx="639445" cy="639445"/>
          <wp:effectExtent l="0" t="0" r="825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2EA5" w14:textId="77777777" w:rsidR="007422D7" w:rsidRPr="00AC3823" w:rsidRDefault="007422D7" w:rsidP="00AC3823">
      <w:pPr>
        <w:pStyle w:val="Pieddepage"/>
        <w:tabs>
          <w:tab w:val="right" w:pos="2155"/>
        </w:tabs>
        <w:spacing w:after="80" w:line="240" w:lineRule="atLeast"/>
        <w:ind w:left="680"/>
        <w:rPr>
          <w:u w:val="single"/>
        </w:rPr>
      </w:pPr>
      <w:r>
        <w:rPr>
          <w:u w:val="single"/>
        </w:rPr>
        <w:tab/>
      </w:r>
    </w:p>
  </w:footnote>
  <w:footnote w:type="continuationSeparator" w:id="0">
    <w:p w14:paraId="00D879DD" w14:textId="77777777" w:rsidR="007422D7" w:rsidRPr="00AC3823" w:rsidRDefault="007422D7" w:rsidP="00AC3823">
      <w:pPr>
        <w:pStyle w:val="Pieddepage"/>
        <w:tabs>
          <w:tab w:val="right" w:pos="2155"/>
        </w:tabs>
        <w:spacing w:after="80" w:line="240" w:lineRule="atLeast"/>
        <w:ind w:left="680"/>
        <w:rPr>
          <w:u w:val="single"/>
        </w:rPr>
      </w:pPr>
      <w:r>
        <w:rPr>
          <w:u w:val="single"/>
        </w:rPr>
        <w:tab/>
      </w:r>
    </w:p>
  </w:footnote>
  <w:footnote w:type="continuationNotice" w:id="1">
    <w:p w14:paraId="0B06EE2C" w14:textId="77777777" w:rsidR="007422D7" w:rsidRPr="00AC3823" w:rsidRDefault="007422D7">
      <w:pPr>
        <w:spacing w:line="240" w:lineRule="auto"/>
        <w:rPr>
          <w:sz w:val="2"/>
          <w:szCs w:val="2"/>
        </w:rPr>
      </w:pPr>
    </w:p>
  </w:footnote>
  <w:footnote w:id="2">
    <w:p w14:paraId="5C5EE8F7" w14:textId="77777777" w:rsidR="00CA18E7" w:rsidRPr="00017C07" w:rsidRDefault="00CA18E7" w:rsidP="00CA18E7">
      <w:pPr>
        <w:pStyle w:val="Notedebasdepage"/>
      </w:pPr>
      <w:r w:rsidRPr="00BB5C27">
        <w:rPr>
          <w:rStyle w:val="Appelnotedebasdep"/>
          <w:sz w:val="20"/>
        </w:rPr>
        <w:tab/>
        <w:t>*</w:t>
      </w:r>
      <w:r>
        <w:rPr>
          <w:rStyle w:val="Appelnotedebasdep"/>
        </w:rPr>
        <w:tab/>
      </w:r>
      <w:r w:rsidRPr="0083055C">
        <w:t>A/77/6 (Sect. 20), table</w:t>
      </w:r>
      <w:r>
        <w:t>au</w:t>
      </w:r>
      <w:r w:rsidRPr="0083055C">
        <w:t xml:space="preserve"> 20.6</w:t>
      </w:r>
      <w:r>
        <w:t>.</w:t>
      </w:r>
    </w:p>
  </w:footnote>
  <w:footnote w:id="3">
    <w:p w14:paraId="401C2712" w14:textId="7E0E0180" w:rsidR="00CA18E7" w:rsidRPr="00017C07" w:rsidRDefault="00CA18E7" w:rsidP="00CA18E7">
      <w:pPr>
        <w:pStyle w:val="Notedebasdepage"/>
      </w:pPr>
      <w:r>
        <w:rPr>
          <w:rStyle w:val="Appelnotedebasdep"/>
        </w:rPr>
        <w:tab/>
      </w:r>
      <w:r w:rsidRPr="00BB5C27">
        <w:rPr>
          <w:rStyle w:val="Appelnotedebasdep"/>
          <w:sz w:val="20"/>
        </w:rPr>
        <w:t>**</w:t>
      </w:r>
      <w:r>
        <w:rPr>
          <w:rStyle w:val="Appelnotedebasdep"/>
        </w:rPr>
        <w:tab/>
      </w:r>
      <w:r w:rsidRPr="00FE2AF4">
        <w:t>Diffusée par l’Organisation inter</w:t>
      </w:r>
      <w:r>
        <w:t>-</w:t>
      </w:r>
      <w:r w:rsidRPr="00FE2AF4">
        <w:t xml:space="preserve">gouvernementale pour les transports internationaux ferroviaires (OTIF) sous la cote </w:t>
      </w:r>
      <w:r w:rsidRPr="009566B0">
        <w:t>OTIF/RID/RC/</w:t>
      </w:r>
      <w:r>
        <w:t>2023</w:t>
      </w:r>
      <w:r w:rsidRPr="009566B0">
        <w:t>/</w:t>
      </w:r>
      <w:r>
        <w:t>37</w:t>
      </w:r>
      <w:r w:rsidRPr="009566B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85CA" w14:textId="70D5112C" w:rsidR="00A64FD1" w:rsidRPr="00A64FD1" w:rsidRDefault="001331C0">
    <w:pPr>
      <w:pStyle w:val="En-tte"/>
    </w:pPr>
    <w:r>
      <w:fldChar w:fldCharType="begin"/>
    </w:r>
    <w:r>
      <w:instrText xml:space="preserve"> TITLE  \* MERGEFORMAT </w:instrText>
    </w:r>
    <w:r>
      <w:fldChar w:fldCharType="separate"/>
    </w:r>
    <w:r>
      <w:t>ECE/TRANS/WP.15/AC.1/2023/37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4CD4" w14:textId="6A85F79E" w:rsidR="00A64FD1" w:rsidRPr="00A64FD1" w:rsidRDefault="001331C0" w:rsidP="00A64FD1">
    <w:pPr>
      <w:pStyle w:val="En-tte"/>
      <w:jc w:val="right"/>
    </w:pPr>
    <w:r>
      <w:fldChar w:fldCharType="begin"/>
    </w:r>
    <w:r>
      <w:instrText xml:space="preserve"> TITLE  \* MERGEFORMAT </w:instrText>
    </w:r>
    <w:r>
      <w:fldChar w:fldCharType="separate"/>
    </w:r>
    <w:r>
      <w:t>ECE/TRANS/WP.15/AC.1/2023/37</w:t>
    </w:r>
    <w:r>
      <w:fldChar w:fldCharType="end"/>
    </w:r>
  </w:p>
  <w:p w14:paraId="20DC1BC6" w14:textId="77777777" w:rsidR="00DA598B" w:rsidRDefault="00DA59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40675163">
    <w:abstractNumId w:val="12"/>
  </w:num>
  <w:num w:numId="2" w16cid:durableId="1366640386">
    <w:abstractNumId w:val="11"/>
  </w:num>
  <w:num w:numId="3" w16cid:durableId="1661076046">
    <w:abstractNumId w:val="10"/>
  </w:num>
  <w:num w:numId="4" w16cid:durableId="1679428674">
    <w:abstractNumId w:val="8"/>
  </w:num>
  <w:num w:numId="5" w16cid:durableId="1551531204">
    <w:abstractNumId w:val="3"/>
  </w:num>
  <w:num w:numId="6" w16cid:durableId="72629708">
    <w:abstractNumId w:val="2"/>
  </w:num>
  <w:num w:numId="7" w16cid:durableId="2031105692">
    <w:abstractNumId w:val="1"/>
  </w:num>
  <w:num w:numId="8" w16cid:durableId="328561394">
    <w:abstractNumId w:val="0"/>
  </w:num>
  <w:num w:numId="9" w16cid:durableId="365642443">
    <w:abstractNumId w:val="9"/>
  </w:num>
  <w:num w:numId="10" w16cid:durableId="256061577">
    <w:abstractNumId w:val="7"/>
  </w:num>
  <w:num w:numId="11" w16cid:durableId="807011685">
    <w:abstractNumId w:val="6"/>
  </w:num>
  <w:num w:numId="12" w16cid:durableId="781144573">
    <w:abstractNumId w:val="5"/>
  </w:num>
  <w:num w:numId="13" w16cid:durableId="362362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A64FD1"/>
    <w:rsid w:val="0001207F"/>
    <w:rsid w:val="00017F94"/>
    <w:rsid w:val="00023842"/>
    <w:rsid w:val="00027360"/>
    <w:rsid w:val="000334F9"/>
    <w:rsid w:val="0004639C"/>
    <w:rsid w:val="0007796D"/>
    <w:rsid w:val="00083D95"/>
    <w:rsid w:val="000942EE"/>
    <w:rsid w:val="000A52BF"/>
    <w:rsid w:val="000B7790"/>
    <w:rsid w:val="000D3EE9"/>
    <w:rsid w:val="000D62F3"/>
    <w:rsid w:val="000E15D0"/>
    <w:rsid w:val="000E770F"/>
    <w:rsid w:val="000F08CE"/>
    <w:rsid w:val="00111F2F"/>
    <w:rsid w:val="001331C0"/>
    <w:rsid w:val="001433FD"/>
    <w:rsid w:val="0014365E"/>
    <w:rsid w:val="001541D3"/>
    <w:rsid w:val="00156B77"/>
    <w:rsid w:val="00176178"/>
    <w:rsid w:val="00177140"/>
    <w:rsid w:val="001D400F"/>
    <w:rsid w:val="001F525A"/>
    <w:rsid w:val="00217A11"/>
    <w:rsid w:val="00223272"/>
    <w:rsid w:val="00240333"/>
    <w:rsid w:val="00241315"/>
    <w:rsid w:val="0024779E"/>
    <w:rsid w:val="002832AC"/>
    <w:rsid w:val="002854CF"/>
    <w:rsid w:val="002D7C93"/>
    <w:rsid w:val="0037241C"/>
    <w:rsid w:val="003819FF"/>
    <w:rsid w:val="003E0205"/>
    <w:rsid w:val="00432B31"/>
    <w:rsid w:val="00441C3B"/>
    <w:rsid w:val="00446B0A"/>
    <w:rsid w:val="00446FE5"/>
    <w:rsid w:val="00452396"/>
    <w:rsid w:val="004627E0"/>
    <w:rsid w:val="00466F6C"/>
    <w:rsid w:val="00471288"/>
    <w:rsid w:val="0049687C"/>
    <w:rsid w:val="004E468C"/>
    <w:rsid w:val="004F6CC7"/>
    <w:rsid w:val="00515617"/>
    <w:rsid w:val="005316B0"/>
    <w:rsid w:val="00541F86"/>
    <w:rsid w:val="005505B7"/>
    <w:rsid w:val="00573BE5"/>
    <w:rsid w:val="00586383"/>
    <w:rsid w:val="00586ED3"/>
    <w:rsid w:val="00596AA9"/>
    <w:rsid w:val="005B4D0F"/>
    <w:rsid w:val="00607335"/>
    <w:rsid w:val="006B238C"/>
    <w:rsid w:val="00703D0F"/>
    <w:rsid w:val="00706363"/>
    <w:rsid w:val="007158BB"/>
    <w:rsid w:val="0071601D"/>
    <w:rsid w:val="007422D7"/>
    <w:rsid w:val="0075410D"/>
    <w:rsid w:val="00775A1F"/>
    <w:rsid w:val="007A62E6"/>
    <w:rsid w:val="0080684C"/>
    <w:rsid w:val="008204DA"/>
    <w:rsid w:val="00825BCF"/>
    <w:rsid w:val="008535AD"/>
    <w:rsid w:val="00871C75"/>
    <w:rsid w:val="008767E8"/>
    <w:rsid w:val="008776DC"/>
    <w:rsid w:val="00883605"/>
    <w:rsid w:val="008C1879"/>
    <w:rsid w:val="008E6043"/>
    <w:rsid w:val="00961E7B"/>
    <w:rsid w:val="009705C8"/>
    <w:rsid w:val="00993E40"/>
    <w:rsid w:val="009C1CF4"/>
    <w:rsid w:val="009F02C9"/>
    <w:rsid w:val="00A30353"/>
    <w:rsid w:val="00A62D91"/>
    <w:rsid w:val="00A64FD1"/>
    <w:rsid w:val="00A90D54"/>
    <w:rsid w:val="00AA113A"/>
    <w:rsid w:val="00AC3823"/>
    <w:rsid w:val="00AE323C"/>
    <w:rsid w:val="00AF774C"/>
    <w:rsid w:val="00B00181"/>
    <w:rsid w:val="00B00B0D"/>
    <w:rsid w:val="00B40927"/>
    <w:rsid w:val="00B50E25"/>
    <w:rsid w:val="00B64918"/>
    <w:rsid w:val="00B765F7"/>
    <w:rsid w:val="00B824E2"/>
    <w:rsid w:val="00B86577"/>
    <w:rsid w:val="00BA0CA9"/>
    <w:rsid w:val="00BB204B"/>
    <w:rsid w:val="00C02897"/>
    <w:rsid w:val="00C12D3F"/>
    <w:rsid w:val="00C1626B"/>
    <w:rsid w:val="00C51670"/>
    <w:rsid w:val="00C66A47"/>
    <w:rsid w:val="00C7616F"/>
    <w:rsid w:val="00C85D9F"/>
    <w:rsid w:val="00C955F8"/>
    <w:rsid w:val="00CA18E7"/>
    <w:rsid w:val="00CB16B5"/>
    <w:rsid w:val="00CE0608"/>
    <w:rsid w:val="00D3439C"/>
    <w:rsid w:val="00D44CF3"/>
    <w:rsid w:val="00D46C8C"/>
    <w:rsid w:val="00D54199"/>
    <w:rsid w:val="00DA598B"/>
    <w:rsid w:val="00DB1831"/>
    <w:rsid w:val="00DD3BFD"/>
    <w:rsid w:val="00DE239D"/>
    <w:rsid w:val="00DE59D5"/>
    <w:rsid w:val="00DF431C"/>
    <w:rsid w:val="00DF6678"/>
    <w:rsid w:val="00E428C8"/>
    <w:rsid w:val="00E54C42"/>
    <w:rsid w:val="00E6273B"/>
    <w:rsid w:val="00E818CF"/>
    <w:rsid w:val="00ED52A7"/>
    <w:rsid w:val="00EF2E22"/>
    <w:rsid w:val="00F00FDD"/>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28B97"/>
  <w15:docId w15:val="{A44C5B91-CE7D-46EF-89E2-70ABF7DE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rsid w:val="0001207F"/>
    <w:rPr>
      <w:b/>
      <w:sz w:val="28"/>
    </w:rPr>
  </w:style>
  <w:style w:type="character" w:customStyle="1" w:styleId="markedcontent">
    <w:name w:val="markedcontent"/>
    <w:basedOn w:val="Policepardfaut"/>
    <w:rsid w:val="000E15D0"/>
  </w:style>
  <w:style w:type="paragraph" w:styleId="Rvision">
    <w:name w:val="Revision"/>
    <w:hidden/>
    <w:uiPriority w:val="99"/>
    <w:semiHidden/>
    <w:rsid w:val="00E54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A91AB-082E-4D73-8AF6-84BD2DD24806}">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2089477B-48FD-4F58-850A-BEB716A02959}">
  <ds:schemaRefs>
    <ds:schemaRef ds:uri="http://schemas.openxmlformats.org/officeDocument/2006/bibliography"/>
  </ds:schemaRefs>
</ds:datastoreItem>
</file>

<file path=customXml/itemProps3.xml><?xml version="1.0" encoding="utf-8"?>
<ds:datastoreItem xmlns:ds="http://schemas.openxmlformats.org/officeDocument/2006/customXml" ds:itemID="{62C19337-EC5C-4B47-A682-0BCB8ACF3C9C}"/>
</file>

<file path=customXml/itemProps4.xml><?xml version="1.0" encoding="utf-8"?>
<ds:datastoreItem xmlns:ds="http://schemas.openxmlformats.org/officeDocument/2006/customXml" ds:itemID="{07745D63-5097-4CAC-82DB-1A9A9C9FA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5987</Characters>
  <Application>Microsoft Office Word</Application>
  <DocSecurity>0</DocSecurity>
  <Lines>130</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ECE/TRANS/WP.15/AC.1/2023/37</vt:lpstr>
      <vt:lpstr>ECE/EX/22</vt:lpstr>
    </vt:vector>
  </TitlesOfParts>
  <Company>DCM</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ECE/TRANS/WP.15/AC.1/2023/37</dc:title>
  <dc:subject>FINAL</dc:subject>
  <dc:creator>Nadiya Dzyubynska</dc:creator>
  <cp:keywords/>
  <dc:description/>
  <cp:lastModifiedBy>Maud Dariche</cp:lastModifiedBy>
  <cp:revision>3</cp:revision>
  <cp:lastPrinted>2023-06-28T14:08:00Z</cp:lastPrinted>
  <dcterms:created xsi:type="dcterms:W3CDTF">2023-06-28T14:08:00Z</dcterms:created>
  <dcterms:modified xsi:type="dcterms:W3CDTF">2023-06-28T14:09:00Z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