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28B2385" w14:textId="77777777" w:rsidTr="000D1B89">
        <w:trPr>
          <w:cantSplit/>
          <w:trHeight w:hRule="exact" w:val="851"/>
        </w:trPr>
        <w:tc>
          <w:tcPr>
            <w:tcW w:w="1276" w:type="dxa"/>
            <w:tcBorders>
              <w:bottom w:val="single" w:sz="4" w:space="0" w:color="auto"/>
            </w:tcBorders>
            <w:vAlign w:val="bottom"/>
          </w:tcPr>
          <w:p w14:paraId="75B79527" w14:textId="77777777" w:rsidR="00717266" w:rsidRDefault="00717266" w:rsidP="000D1B89">
            <w:pPr>
              <w:spacing w:after="80"/>
            </w:pPr>
          </w:p>
        </w:tc>
        <w:tc>
          <w:tcPr>
            <w:tcW w:w="2268" w:type="dxa"/>
            <w:tcBorders>
              <w:bottom w:val="single" w:sz="4" w:space="0" w:color="auto"/>
            </w:tcBorders>
            <w:vAlign w:val="bottom"/>
          </w:tcPr>
          <w:p w14:paraId="1EE1EE4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7F1666" w14:textId="77777777" w:rsidR="00717266" w:rsidRPr="00D47EEA" w:rsidRDefault="004B6D7C" w:rsidP="004B6D7C">
            <w:pPr>
              <w:suppressAutoHyphens w:val="0"/>
              <w:spacing w:after="20"/>
              <w:jc w:val="right"/>
            </w:pPr>
            <w:r w:rsidRPr="004B6D7C">
              <w:rPr>
                <w:sz w:val="40"/>
              </w:rPr>
              <w:t>ECE</w:t>
            </w:r>
            <w:r>
              <w:t>/TRANS/WP.15/AC.1/2023/36</w:t>
            </w:r>
          </w:p>
        </w:tc>
      </w:tr>
      <w:tr w:rsidR="00717266" w14:paraId="31252F80" w14:textId="77777777" w:rsidTr="000D1B89">
        <w:trPr>
          <w:cantSplit/>
          <w:trHeight w:hRule="exact" w:val="2835"/>
        </w:trPr>
        <w:tc>
          <w:tcPr>
            <w:tcW w:w="1276" w:type="dxa"/>
            <w:tcBorders>
              <w:top w:val="single" w:sz="4" w:space="0" w:color="auto"/>
              <w:bottom w:val="single" w:sz="12" w:space="0" w:color="auto"/>
            </w:tcBorders>
          </w:tcPr>
          <w:p w14:paraId="7EDE5E55" w14:textId="77777777" w:rsidR="00717266" w:rsidRDefault="00717266" w:rsidP="000D1B89">
            <w:pPr>
              <w:spacing w:before="120"/>
            </w:pPr>
            <w:r>
              <w:rPr>
                <w:noProof/>
                <w:lang w:val="fr-CH" w:eastAsia="fr-CH"/>
              </w:rPr>
              <w:drawing>
                <wp:inline distT="0" distB="0" distL="0" distR="0" wp14:anchorId="4B07B652" wp14:editId="01EA31D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D5EBD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704D78" w14:textId="77777777" w:rsidR="004B6D7C" w:rsidRPr="00512711" w:rsidRDefault="004B6D7C" w:rsidP="004B6D7C">
            <w:pPr>
              <w:spacing w:before="240" w:line="240" w:lineRule="exact"/>
              <w:rPr>
                <w:lang w:val="en-US"/>
              </w:rPr>
            </w:pPr>
            <w:r>
              <w:t>Distr.: General</w:t>
            </w:r>
          </w:p>
          <w:p w14:paraId="7058EF2C" w14:textId="77777777" w:rsidR="004B6D7C" w:rsidRPr="00512711" w:rsidRDefault="004B6D7C" w:rsidP="004B6D7C">
            <w:pPr>
              <w:spacing w:line="240" w:lineRule="exact"/>
              <w:rPr>
                <w:lang w:val="en-US"/>
              </w:rPr>
            </w:pPr>
            <w:r>
              <w:t>28 June 2023</w:t>
            </w:r>
          </w:p>
          <w:p w14:paraId="09FA5753" w14:textId="77777777" w:rsidR="004B6D7C" w:rsidRDefault="004B6D7C" w:rsidP="004B6D7C">
            <w:pPr>
              <w:spacing w:line="240" w:lineRule="exact"/>
            </w:pPr>
            <w:r>
              <w:t>English</w:t>
            </w:r>
          </w:p>
          <w:p w14:paraId="6CF29403" w14:textId="27EEC16F" w:rsidR="004B6D7C" w:rsidRDefault="004B6D7C" w:rsidP="004B6D7C">
            <w:pPr>
              <w:suppressAutoHyphens w:val="0"/>
            </w:pPr>
            <w:r>
              <w:t>Original: French</w:t>
            </w:r>
          </w:p>
        </w:tc>
      </w:tr>
    </w:tbl>
    <w:p w14:paraId="71ACF38B" w14:textId="77777777" w:rsidR="006B2D31" w:rsidRPr="006B2D31" w:rsidRDefault="006B2D31" w:rsidP="006B2D31">
      <w:pPr>
        <w:spacing w:before="120"/>
        <w:rPr>
          <w:b/>
          <w:sz w:val="40"/>
          <w:szCs w:val="40"/>
          <w:lang w:val="en-US"/>
        </w:rPr>
      </w:pPr>
      <w:r w:rsidRPr="006B2D31">
        <w:rPr>
          <w:b/>
          <w:bCs/>
          <w:sz w:val="28"/>
          <w:szCs w:val="28"/>
        </w:rPr>
        <w:t>Economic Commission for Europe</w:t>
      </w:r>
    </w:p>
    <w:p w14:paraId="13081841" w14:textId="77777777" w:rsidR="006B2D31" w:rsidRPr="006B2D31" w:rsidRDefault="006B2D31" w:rsidP="006B2D31">
      <w:pPr>
        <w:spacing w:before="120"/>
        <w:rPr>
          <w:sz w:val="36"/>
          <w:szCs w:val="36"/>
          <w:lang w:val="en-US"/>
        </w:rPr>
      </w:pPr>
      <w:r w:rsidRPr="006B2D31">
        <w:rPr>
          <w:sz w:val="24"/>
          <w:szCs w:val="24"/>
        </w:rPr>
        <w:t>Inland Transport Committee</w:t>
      </w:r>
    </w:p>
    <w:p w14:paraId="389739B9" w14:textId="77777777" w:rsidR="006B2D31" w:rsidRPr="006B2D31" w:rsidRDefault="006B2D31" w:rsidP="006B2D31">
      <w:pPr>
        <w:spacing w:before="120"/>
        <w:rPr>
          <w:b/>
          <w:sz w:val="32"/>
          <w:szCs w:val="32"/>
          <w:lang w:val="en-US"/>
        </w:rPr>
      </w:pPr>
      <w:r w:rsidRPr="006B2D31">
        <w:rPr>
          <w:b/>
          <w:bCs/>
          <w:sz w:val="24"/>
          <w:szCs w:val="24"/>
        </w:rPr>
        <w:t>Working Party on the Transport of Dangerous Goods</w:t>
      </w:r>
    </w:p>
    <w:p w14:paraId="1C8E4C52" w14:textId="002E2216" w:rsidR="006B2D31" w:rsidRPr="006B7F63" w:rsidRDefault="006B2D31" w:rsidP="006B2D31">
      <w:pPr>
        <w:spacing w:before="120"/>
        <w:rPr>
          <w:b/>
          <w:lang w:val="en-US"/>
        </w:rPr>
      </w:pPr>
      <w:r>
        <w:rPr>
          <w:b/>
          <w:bCs/>
        </w:rPr>
        <w:t xml:space="preserve">Joint Meeting of the RID Committee of Experts and the </w:t>
      </w:r>
      <w:r>
        <w:rPr>
          <w:b/>
          <w:bCs/>
        </w:rPr>
        <w:br/>
      </w:r>
      <w:r>
        <w:rPr>
          <w:b/>
          <w:bCs/>
        </w:rPr>
        <w:t>Working Party on the Transport of Dangerous Goods</w:t>
      </w:r>
    </w:p>
    <w:p w14:paraId="1A129EAA" w14:textId="77777777" w:rsidR="006B2D31" w:rsidRPr="006B7F63" w:rsidRDefault="006B2D31" w:rsidP="006B2D31">
      <w:pPr>
        <w:rPr>
          <w:rFonts w:eastAsiaTheme="minorHAnsi"/>
          <w:lang w:val="en-US"/>
        </w:rPr>
      </w:pPr>
      <w:r>
        <w:t>Geneva, 19</w:t>
      </w:r>
      <w:r w:rsidRPr="0069489A">
        <w:t>–</w:t>
      </w:r>
      <w:r>
        <w:t>29 September 2023</w:t>
      </w:r>
    </w:p>
    <w:p w14:paraId="575D8E10" w14:textId="35E7561B" w:rsidR="006B2D31" w:rsidRPr="006B7F63" w:rsidRDefault="006B2D31" w:rsidP="006B2D31">
      <w:pPr>
        <w:rPr>
          <w:lang w:val="en-US"/>
        </w:rPr>
      </w:pPr>
      <w:r>
        <w:t xml:space="preserve">Item 5 </w:t>
      </w:r>
      <w:r w:rsidR="004657F6">
        <w:t xml:space="preserve">(b) </w:t>
      </w:r>
      <w:r>
        <w:t>of the provisional agenda</w:t>
      </w:r>
    </w:p>
    <w:p w14:paraId="3B1FDF65" w14:textId="77777777" w:rsidR="006B2D31" w:rsidRPr="006B7F63" w:rsidRDefault="006B2D31" w:rsidP="006B2D31">
      <w:pPr>
        <w:rPr>
          <w:b/>
          <w:bCs/>
          <w:lang w:val="en-US"/>
        </w:rPr>
      </w:pPr>
      <w:r>
        <w:rPr>
          <w:b/>
          <w:bCs/>
        </w:rPr>
        <w:t>Proposals for amendments to RID/ADR/ADN:</w:t>
      </w:r>
    </w:p>
    <w:p w14:paraId="50C9E887" w14:textId="77777777" w:rsidR="006B2D31" w:rsidRPr="00B572F3" w:rsidRDefault="006B2D31" w:rsidP="006B2D31">
      <w:pPr>
        <w:rPr>
          <w:b/>
          <w:lang w:val="en-US"/>
        </w:rPr>
      </w:pPr>
      <w:r w:rsidRPr="00B572F3">
        <w:rPr>
          <w:b/>
          <w:lang w:val="en-US"/>
        </w:rPr>
        <w:t>New proposals</w:t>
      </w:r>
    </w:p>
    <w:p w14:paraId="6CEA5DC7" w14:textId="77777777" w:rsidR="006B2D31" w:rsidRPr="006B7F63" w:rsidRDefault="006B2D31" w:rsidP="006B2D31">
      <w:pPr>
        <w:pStyle w:val="HChG"/>
        <w:rPr>
          <w:lang w:val="en-US"/>
        </w:rPr>
      </w:pPr>
      <w:r w:rsidRPr="006B7F63">
        <w:rPr>
          <w:lang w:val="en-US"/>
        </w:rPr>
        <w:tab/>
      </w:r>
      <w:r w:rsidRPr="006B7F63">
        <w:rPr>
          <w:lang w:val="en-US"/>
        </w:rPr>
        <w:tab/>
        <w:t>Definition of m</w:t>
      </w:r>
      <w:r>
        <w:rPr>
          <w:lang w:val="en-US"/>
        </w:rPr>
        <w:t>aximum capacity</w:t>
      </w:r>
    </w:p>
    <w:p w14:paraId="761C9A38" w14:textId="1ABB508B" w:rsidR="006B2D31" w:rsidRPr="006B7F63" w:rsidRDefault="006B2D31" w:rsidP="006B2D31">
      <w:pPr>
        <w:pStyle w:val="H1G"/>
        <w:rPr>
          <w:lang w:val="en-US"/>
        </w:rPr>
      </w:pPr>
      <w:r w:rsidRPr="006B7F63">
        <w:rPr>
          <w:lang w:val="en-US"/>
        </w:rPr>
        <w:tab/>
      </w:r>
      <w:r w:rsidRPr="006B7F63">
        <w:rPr>
          <w:lang w:val="en-US"/>
        </w:rPr>
        <w:tab/>
      </w:r>
      <w:r>
        <w:rPr>
          <w:bCs/>
        </w:rPr>
        <w:t>Transmitted by the Government of Belgium</w:t>
      </w:r>
      <w:r w:rsidRPr="006B2D31">
        <w:rPr>
          <w:rFonts w:eastAsia="Calibri"/>
          <w:b w:val="0"/>
          <w:spacing w:val="4"/>
          <w:w w:val="103"/>
          <w:kern w:val="14"/>
          <w:sz w:val="22"/>
          <w:szCs w:val="18"/>
        </w:rPr>
        <w:footnoteReference w:customMarkFollows="1" w:id="1"/>
        <w:t>*</w:t>
      </w:r>
      <w:r w:rsidRPr="006B2D31">
        <w:rPr>
          <w:rFonts w:eastAsia="Calibri"/>
          <w:b w:val="0"/>
          <w:w w:val="103"/>
          <w:kern w:val="14"/>
          <w:position w:val="8"/>
          <w:sz w:val="22"/>
          <w:szCs w:val="18"/>
        </w:rPr>
        <w:t>,</w:t>
      </w:r>
      <w:r w:rsidRPr="006B2D31">
        <w:rPr>
          <w:rFonts w:eastAsia="Calibri"/>
          <w:b w:val="0"/>
          <w:w w:val="103"/>
          <w:kern w:val="14"/>
          <w:position w:val="8"/>
          <w:sz w:val="22"/>
          <w:szCs w:val="18"/>
        </w:rPr>
        <w:t xml:space="preserve"> </w:t>
      </w:r>
      <w:r w:rsidRPr="006B2D31">
        <w:rPr>
          <w:rFonts w:eastAsia="Calibri"/>
          <w:b w:val="0"/>
          <w:spacing w:val="4"/>
          <w:w w:val="103"/>
          <w:kern w:val="14"/>
          <w:sz w:val="22"/>
          <w:szCs w:val="18"/>
        </w:rPr>
        <w:footnoteReference w:customMarkFollows="1" w:id="2"/>
        <w:t>**</w:t>
      </w:r>
    </w:p>
    <w:p w14:paraId="42554B28" w14:textId="77777777" w:rsidR="006B2D31" w:rsidRPr="00512711" w:rsidRDefault="006B2D31" w:rsidP="006B2D31">
      <w:pPr>
        <w:pStyle w:val="HChG"/>
        <w:rPr>
          <w:lang w:val="en-US"/>
        </w:rPr>
      </w:pPr>
      <w:r>
        <w:tab/>
      </w:r>
      <w:r>
        <w:tab/>
      </w:r>
      <w:r>
        <w:rPr>
          <w:bCs/>
        </w:rPr>
        <w:t>Introduction</w:t>
      </w:r>
    </w:p>
    <w:p w14:paraId="5D311E43" w14:textId="0DE4461E" w:rsidR="006B2D31" w:rsidRPr="00E46CED" w:rsidRDefault="006B2D31" w:rsidP="006B2D31">
      <w:pPr>
        <w:pStyle w:val="SingleTxtG"/>
        <w:rPr>
          <w:lang w:val="en-US"/>
        </w:rPr>
      </w:pPr>
      <w:r>
        <w:t>1.</w:t>
      </w:r>
      <w:r>
        <w:tab/>
        <w:t xml:space="preserve">RID/ADR/ADN 1.2.1 defines </w:t>
      </w:r>
      <w:r w:rsidR="008C6A45">
        <w:t>“</w:t>
      </w:r>
      <w:r>
        <w:t>maximum capacity</w:t>
      </w:r>
      <w:r w:rsidR="008C6A45">
        <w:t>”</w:t>
      </w:r>
      <w:r>
        <w:t xml:space="preserve"> as </w:t>
      </w:r>
      <w:r w:rsidR="008C6A45">
        <w:t>“</w:t>
      </w:r>
      <w:r>
        <w:t xml:space="preserve">the maximum inner volume of receptacles or </w:t>
      </w:r>
      <w:proofErr w:type="spellStart"/>
      <w:r>
        <w:t>packagings</w:t>
      </w:r>
      <w:proofErr w:type="spellEnd"/>
      <w:r>
        <w:t xml:space="preserve"> including intermediate bulk containers (IBCs) and large </w:t>
      </w:r>
      <w:proofErr w:type="spellStart"/>
      <w:r>
        <w:t>packagings</w:t>
      </w:r>
      <w:proofErr w:type="spellEnd"/>
      <w:r>
        <w:t xml:space="preserve"> expressed in cubic metres or litres</w:t>
      </w:r>
      <w:r w:rsidR="008C6A45">
        <w:t>”</w:t>
      </w:r>
      <w:r>
        <w:t>.</w:t>
      </w:r>
    </w:p>
    <w:p w14:paraId="4062DD49" w14:textId="045B84D3" w:rsidR="006B2D31" w:rsidRPr="006B7F63" w:rsidRDefault="006B2D31" w:rsidP="006B2D31">
      <w:pPr>
        <w:pStyle w:val="SingleTxtG"/>
        <w:rPr>
          <w:lang w:val="en-US"/>
        </w:rPr>
      </w:pPr>
      <w:r>
        <w:t>2.</w:t>
      </w:r>
      <w:r>
        <w:tab/>
      </w:r>
      <w:r w:rsidR="008C6A45">
        <w:t>“</w:t>
      </w:r>
      <w:r>
        <w:t>Maximum capacity</w:t>
      </w:r>
      <w:r w:rsidR="008C6A45">
        <w:t>”</w:t>
      </w:r>
      <w:r>
        <w:t xml:space="preserve"> appears about 40 times in the text, but </w:t>
      </w:r>
      <w:r w:rsidR="008C6A45">
        <w:t>“</w:t>
      </w:r>
      <w:r>
        <w:t>capacity</w:t>
      </w:r>
      <w:r w:rsidR="008C6A45">
        <w:t>”</w:t>
      </w:r>
      <w:r>
        <w:t xml:space="preserve"> also appears more than 170 times. About 15 of these occurrences relate to tanks, not </w:t>
      </w:r>
      <w:proofErr w:type="spellStart"/>
      <w:r>
        <w:t>packagings</w:t>
      </w:r>
      <w:proofErr w:type="spellEnd"/>
      <w:r>
        <w:t>.</w:t>
      </w:r>
    </w:p>
    <w:p w14:paraId="2BD01768" w14:textId="4297B793" w:rsidR="006B2D31" w:rsidRPr="006B7F63" w:rsidRDefault="006B2D31" w:rsidP="006B2D31">
      <w:pPr>
        <w:pStyle w:val="SingleTxtG"/>
        <w:rPr>
          <w:lang w:val="en-US"/>
        </w:rPr>
      </w:pPr>
      <w:r>
        <w:t>3.</w:t>
      </w:r>
      <w:r>
        <w:tab/>
        <w:t xml:space="preserve">In general, </w:t>
      </w:r>
      <w:r w:rsidR="008C6A45">
        <w:t>“</w:t>
      </w:r>
      <w:r>
        <w:t>maximum capacity</w:t>
      </w:r>
      <w:r w:rsidR="008C6A45">
        <w:t>”</w:t>
      </w:r>
      <w:r>
        <w:t xml:space="preserve"> is used in the special provisions and packing instructions to define the capacity limits of a packaging used in accordance with Table A. </w:t>
      </w:r>
      <w:r w:rsidR="008C6A45">
        <w:t>“</w:t>
      </w:r>
      <w:r>
        <w:t>Maximum capacity</w:t>
      </w:r>
      <w:r w:rsidR="008C6A45">
        <w:t>”</w:t>
      </w:r>
      <w:r>
        <w:t xml:space="preserve"> is also used in the packaging requirements of Part 6 generally to define capacity limits for specific types of packaging.</w:t>
      </w:r>
    </w:p>
    <w:p w14:paraId="691EBB1C" w14:textId="67FC09B8" w:rsidR="006B2D31" w:rsidRPr="006B7F63" w:rsidRDefault="006B2D31" w:rsidP="006B2D31">
      <w:pPr>
        <w:pStyle w:val="SingleTxtG"/>
        <w:rPr>
          <w:lang w:val="en-US"/>
        </w:rPr>
      </w:pPr>
      <w:r>
        <w:t>4.</w:t>
      </w:r>
      <w:r>
        <w:tab/>
      </w:r>
      <w:r w:rsidR="008C6A45">
        <w:t>“</w:t>
      </w:r>
      <w:r>
        <w:t>Capacity</w:t>
      </w:r>
      <w:r w:rsidR="008C6A45">
        <w:t>”</w:t>
      </w:r>
      <w:r>
        <w:t xml:space="preserve"> is also frequently used in this context, almost always in a turn of phrase with the same meaning (</w:t>
      </w:r>
      <w:r w:rsidR="008C6A45">
        <w:t>“</w:t>
      </w:r>
      <w:r>
        <w:t>the capacity must not exceed</w:t>
      </w:r>
      <w:r w:rsidR="008C6A45">
        <w:t>”</w:t>
      </w:r>
      <w:r>
        <w:t>, ...).</w:t>
      </w:r>
    </w:p>
    <w:p w14:paraId="5AFD0234" w14:textId="289912FF" w:rsidR="006B2D31" w:rsidRPr="006B7F63" w:rsidRDefault="006B2D31" w:rsidP="006B2D31">
      <w:pPr>
        <w:pStyle w:val="SingleTxtG"/>
        <w:rPr>
          <w:lang w:val="en-US"/>
        </w:rPr>
      </w:pPr>
      <w:r>
        <w:t>5.</w:t>
      </w:r>
      <w:r>
        <w:tab/>
        <w:t xml:space="preserve">Lastly, </w:t>
      </w:r>
      <w:r w:rsidR="008C6A45">
        <w:t>“</w:t>
      </w:r>
      <w:r>
        <w:t>maximum capacity</w:t>
      </w:r>
      <w:r w:rsidR="008C6A45">
        <w:t>”</w:t>
      </w:r>
      <w:r>
        <w:t xml:space="preserve"> is used in the test and marking requirements for packaging in Part 6. In this case, it refers to a particular design type of packaging, and the alternative use of </w:t>
      </w:r>
      <w:r w:rsidR="008C6A45">
        <w:t>“</w:t>
      </w:r>
      <w:r>
        <w:t>capacity</w:t>
      </w:r>
      <w:r w:rsidR="008C6A45">
        <w:t>”</w:t>
      </w:r>
      <w:r>
        <w:t xml:space="preserve"> is also common.</w:t>
      </w:r>
    </w:p>
    <w:p w14:paraId="374A6759" w14:textId="1AED9A7C" w:rsidR="006B2D31" w:rsidRPr="006B7F63" w:rsidRDefault="006B2D31" w:rsidP="006B2D31">
      <w:pPr>
        <w:pStyle w:val="SingleTxtG"/>
        <w:rPr>
          <w:lang w:val="en-US"/>
        </w:rPr>
      </w:pPr>
      <w:r>
        <w:t>6.</w:t>
      </w:r>
      <w:r>
        <w:tab/>
        <w:t xml:space="preserve">In cases relating to a general prescription or a specific packaging (for example, when a filling ratio is defined), </w:t>
      </w:r>
      <w:r w:rsidR="008C6A45">
        <w:t>“</w:t>
      </w:r>
      <w:r>
        <w:t>capacity</w:t>
      </w:r>
      <w:r w:rsidR="008C6A45">
        <w:t>”</w:t>
      </w:r>
      <w:r>
        <w:t xml:space="preserve"> is generally used on its own. However, the term </w:t>
      </w:r>
      <w:r w:rsidR="008C6A45">
        <w:t>“</w:t>
      </w:r>
      <w:r>
        <w:t>capacity</w:t>
      </w:r>
      <w:r w:rsidR="008C6A45">
        <w:t>”</w:t>
      </w:r>
      <w:r>
        <w:t xml:space="preserve"> is undefined, which can lead to confusion.</w:t>
      </w:r>
    </w:p>
    <w:p w14:paraId="3C6B8EBC" w14:textId="77777777" w:rsidR="006B2D31" w:rsidRPr="006B7F63" w:rsidRDefault="006B2D31" w:rsidP="006B2D31">
      <w:pPr>
        <w:pStyle w:val="HChG"/>
        <w:rPr>
          <w:lang w:val="en-US"/>
        </w:rPr>
      </w:pPr>
      <w:r>
        <w:lastRenderedPageBreak/>
        <w:tab/>
      </w:r>
      <w:r>
        <w:tab/>
      </w:r>
      <w:r>
        <w:rPr>
          <w:bCs/>
        </w:rPr>
        <w:t>Proposals</w:t>
      </w:r>
    </w:p>
    <w:p w14:paraId="054F8E21" w14:textId="372D40CF" w:rsidR="006B2D31" w:rsidRPr="006B7F63" w:rsidRDefault="006B2D31" w:rsidP="006B2D31">
      <w:pPr>
        <w:pStyle w:val="SingleTxtG"/>
        <w:rPr>
          <w:lang w:val="en-US"/>
        </w:rPr>
      </w:pPr>
      <w:r>
        <w:t>7.</w:t>
      </w:r>
      <w:r>
        <w:tab/>
        <w:t xml:space="preserve">In 1.2.1, amend the definition of </w:t>
      </w:r>
      <w:r w:rsidR="008C6A45">
        <w:t>“</w:t>
      </w:r>
      <w:r>
        <w:t>maximum capacity</w:t>
      </w:r>
      <w:r w:rsidR="008C6A45">
        <w:t>”</w:t>
      </w:r>
      <w:r>
        <w:t xml:space="preserve"> as follows (deleted wording stricken through):</w:t>
      </w:r>
    </w:p>
    <w:p w14:paraId="580C3492" w14:textId="41376DD8" w:rsidR="006B2D31" w:rsidRPr="006B7F63" w:rsidRDefault="008C6A45" w:rsidP="006B2D31">
      <w:pPr>
        <w:pStyle w:val="SingleTxtG"/>
        <w:rPr>
          <w:lang w:val="en-US"/>
        </w:rPr>
      </w:pPr>
      <w:r>
        <w:t>“</w:t>
      </w:r>
      <w:r w:rsidR="006B2D31" w:rsidRPr="00F86992">
        <w:rPr>
          <w:strike/>
        </w:rPr>
        <w:t xml:space="preserve">Maximum </w:t>
      </w:r>
      <w:proofErr w:type="spellStart"/>
      <w:r w:rsidR="006B2D31" w:rsidRPr="00F86992">
        <w:rPr>
          <w:strike/>
        </w:rPr>
        <w:t>c</w:t>
      </w:r>
      <w:r w:rsidR="006B2D31">
        <w:t>Capacity</w:t>
      </w:r>
      <w:proofErr w:type="spellEnd"/>
      <w:r>
        <w:t>”</w:t>
      </w:r>
      <w:r w:rsidR="006B2D31">
        <w:t xml:space="preserve"> means </w:t>
      </w:r>
      <w:r>
        <w:t>“</w:t>
      </w:r>
      <w:r w:rsidR="006B2D31">
        <w:t xml:space="preserve">the maximum inner volume of receptacles or </w:t>
      </w:r>
      <w:proofErr w:type="spellStart"/>
      <w:r w:rsidR="006B2D31">
        <w:t>packagings</w:t>
      </w:r>
      <w:proofErr w:type="spellEnd"/>
      <w:r w:rsidR="006B2D31">
        <w:t xml:space="preserve"> including intermediate bulk containers (IBCs) and large </w:t>
      </w:r>
      <w:proofErr w:type="spellStart"/>
      <w:r w:rsidR="006B2D31">
        <w:t>packagings</w:t>
      </w:r>
      <w:proofErr w:type="spellEnd"/>
      <w:r w:rsidR="006B2D31">
        <w:t xml:space="preserve"> expressed in cubic metres or litres</w:t>
      </w:r>
      <w:r>
        <w:t>”</w:t>
      </w:r>
      <w:r w:rsidR="006B2D31">
        <w:t>.</w:t>
      </w:r>
    </w:p>
    <w:p w14:paraId="6749A1CC" w14:textId="77777777" w:rsidR="006B2D31" w:rsidRPr="006B7F63" w:rsidRDefault="006B2D31" w:rsidP="006B2D31">
      <w:pPr>
        <w:pStyle w:val="SingleTxtG"/>
        <w:rPr>
          <w:lang w:val="en-US"/>
        </w:rPr>
      </w:pPr>
      <w:r>
        <w:t>8.</w:t>
      </w:r>
      <w:r>
        <w:tab/>
        <w:t xml:space="preserve">In 4.1.4.1, in the French version, </w:t>
      </w:r>
      <w:r w:rsidRPr="0041093B">
        <w:t xml:space="preserve">in the first table of packing instruction P501 (Combination </w:t>
      </w:r>
      <w:proofErr w:type="spellStart"/>
      <w:r w:rsidRPr="0041093B">
        <w:t>packagings</w:t>
      </w:r>
      <w:proofErr w:type="spellEnd"/>
      <w:r w:rsidRPr="0041093B">
        <w:t>), align the text with the other packing instructions:</w:t>
      </w:r>
    </w:p>
    <w:p w14:paraId="0ED10A5F" w14:textId="77777777" w:rsidR="006B2D31" w:rsidRPr="006B7F63" w:rsidRDefault="006B2D31" w:rsidP="006B2D31">
      <w:pPr>
        <w:pStyle w:val="SingleTxtG"/>
        <w:rPr>
          <w:lang w:val="en-US"/>
        </w:rPr>
      </w:pPr>
      <w:r>
        <w:t xml:space="preserve">Inner packaging </w:t>
      </w:r>
      <w:r>
        <w:rPr>
          <w:i/>
          <w:iCs/>
          <w:u w:val="single"/>
        </w:rPr>
        <w:t xml:space="preserve">maximum </w:t>
      </w:r>
      <w:r>
        <w:t xml:space="preserve">capacity </w:t>
      </w:r>
    </w:p>
    <w:p w14:paraId="04878A46" w14:textId="681D0A09" w:rsidR="006B2D31" w:rsidRPr="006B7F63" w:rsidRDefault="006B2D31" w:rsidP="006B2D31">
      <w:pPr>
        <w:pStyle w:val="SingleTxtG"/>
        <w:rPr>
          <w:lang w:val="en-US"/>
        </w:rPr>
      </w:pPr>
      <w:r>
        <w:t>9.</w:t>
      </w:r>
      <w:r>
        <w:tab/>
        <w:t xml:space="preserve">Align 6.1.5.2.1 with 6.2.2.7.3, 6.2.6.3.1.1, 6.2.6.3.2.3.1, 6.3.5.2.1, 6.5.6.10.2, 6.5.6.11.2 and 6.5.6.12.2 by replacing </w:t>
      </w:r>
      <w:r w:rsidR="008C6A45">
        <w:t>“</w:t>
      </w:r>
      <w:r>
        <w:t>maximum capacity</w:t>
      </w:r>
      <w:r w:rsidR="008C6A45">
        <w:t>”</w:t>
      </w:r>
      <w:r>
        <w:t xml:space="preserve"> with </w:t>
      </w:r>
      <w:r w:rsidR="008C6A45">
        <w:t>“</w:t>
      </w:r>
      <w:r>
        <w:t>capacity</w:t>
      </w:r>
      <w:r w:rsidR="008C6A45">
        <w:t>”</w:t>
      </w:r>
      <w:r>
        <w:t>:</w:t>
      </w:r>
    </w:p>
    <w:p w14:paraId="5ED055E7" w14:textId="3A749DED" w:rsidR="006B2D31" w:rsidRPr="006B7F63" w:rsidRDefault="008C6A45" w:rsidP="006B2D31">
      <w:pPr>
        <w:pStyle w:val="SingleTxtG"/>
        <w:ind w:left="1701"/>
        <w:rPr>
          <w:lang w:val="en-US"/>
        </w:rPr>
      </w:pPr>
      <w:r>
        <w:t>“</w:t>
      </w:r>
      <w:r w:rsidR="006B2D31">
        <w:t>6.1.5.2.1</w:t>
      </w:r>
      <w:r w:rsidR="00B3316B">
        <w:tab/>
      </w:r>
      <w:r w:rsidR="006B2D31">
        <w:t xml:space="preserve">Tests shall be carried out on </w:t>
      </w:r>
      <w:proofErr w:type="spellStart"/>
      <w:r w:rsidR="006B2D31">
        <w:t>packagings</w:t>
      </w:r>
      <w:proofErr w:type="spellEnd"/>
      <w:r w:rsidR="006B2D31">
        <w:t xml:space="preserve"> prepared as for transport including, with respect to combination </w:t>
      </w:r>
      <w:proofErr w:type="spellStart"/>
      <w:r w:rsidR="006B2D31">
        <w:t>packagings</w:t>
      </w:r>
      <w:proofErr w:type="spellEnd"/>
      <w:r w:rsidR="006B2D31">
        <w:t xml:space="preserve">, the inner </w:t>
      </w:r>
      <w:proofErr w:type="spellStart"/>
      <w:r w:rsidR="006B2D31">
        <w:t>packagings</w:t>
      </w:r>
      <w:proofErr w:type="spellEnd"/>
      <w:r w:rsidR="006B2D31">
        <w:t xml:space="preserve"> used. Inner or single receptacles or </w:t>
      </w:r>
      <w:proofErr w:type="spellStart"/>
      <w:r w:rsidR="006B2D31">
        <w:t>packagings</w:t>
      </w:r>
      <w:proofErr w:type="spellEnd"/>
      <w:r w:rsidR="006B2D31">
        <w:t xml:space="preserve"> other than bags shall be filled to not less than 98 % of their </w:t>
      </w:r>
      <w:r w:rsidR="006B2D31">
        <w:rPr>
          <w:strike/>
        </w:rPr>
        <w:t xml:space="preserve">maximum </w:t>
      </w:r>
      <w:r w:rsidR="006B2D31">
        <w:t xml:space="preserve">capacity for liquids or 95 % for solids. Bags shall be filled to the maximum mass at which they may be used. For combination </w:t>
      </w:r>
      <w:proofErr w:type="spellStart"/>
      <w:r w:rsidR="006B2D31">
        <w:t>packagings</w:t>
      </w:r>
      <w:proofErr w:type="spellEnd"/>
      <w:r w:rsidR="006B2D31">
        <w:t xml:space="preserve"> where the inner packaging is designed to carry liquids and solids, separate testing is required for both liquid and solid contents. The substances or articles to be transported in the </w:t>
      </w:r>
      <w:proofErr w:type="spellStart"/>
      <w:r w:rsidR="006B2D31">
        <w:t>packagings</w:t>
      </w:r>
      <w:proofErr w:type="spellEnd"/>
      <w:r w:rsidR="006B2D31">
        <w:t xml:space="preserve"> may be replaced by other substances or articles except where this would invalidate the results of the tests. For solids, when another substance is used it shall have the same physical characteristics (mass, grain size, etc.) as the substance to be carried. It is permissible to use additives, such as bags of lead shot, to achieve the requisite total package mass, so long as they are placed so that the test results are not affected.</w:t>
      </w:r>
      <w:r>
        <w:t>”</w:t>
      </w:r>
    </w:p>
    <w:p w14:paraId="797C5AC7" w14:textId="77777777" w:rsidR="006B2D31" w:rsidRPr="006B7F63" w:rsidRDefault="006B2D31" w:rsidP="006B2D31">
      <w:pPr>
        <w:pStyle w:val="SingleTxtG"/>
        <w:rPr>
          <w:lang w:val="en-US"/>
        </w:rPr>
      </w:pPr>
      <w:r>
        <w:t>10.</w:t>
      </w:r>
      <w:r>
        <w:tab/>
        <w:t>Align 6.1.5.8.1 with 6.2.3.9.3, 6.2.3.11.4 and 6.4.21.8 by modifying point 7 (deleted wording stricken through):</w:t>
      </w:r>
    </w:p>
    <w:p w14:paraId="32B378A8" w14:textId="6F3B3A40" w:rsidR="006B2D31" w:rsidRPr="006B7F63" w:rsidRDefault="008C6A45" w:rsidP="006B2D31">
      <w:pPr>
        <w:pStyle w:val="SingleTxtG"/>
        <w:rPr>
          <w:lang w:val="en-US"/>
        </w:rPr>
      </w:pPr>
      <w:r>
        <w:t>“</w:t>
      </w:r>
      <w:r w:rsidR="006B2D31">
        <w:t xml:space="preserve">7. </w:t>
      </w:r>
      <w:r w:rsidR="006B2D31">
        <w:rPr>
          <w:strike/>
        </w:rPr>
        <w:t xml:space="preserve">Maximum </w:t>
      </w:r>
      <w:r w:rsidR="006B2D31">
        <w:t>Capacity;</w:t>
      </w:r>
      <w:r>
        <w:t>”</w:t>
      </w:r>
    </w:p>
    <w:p w14:paraId="2A28A252" w14:textId="77777777" w:rsidR="006B2D31" w:rsidRPr="006B7F63" w:rsidRDefault="006B2D31" w:rsidP="006B2D31">
      <w:pPr>
        <w:pStyle w:val="SingleTxtG"/>
        <w:rPr>
          <w:lang w:val="en-US"/>
        </w:rPr>
      </w:pPr>
      <w:r>
        <w:t>11.</w:t>
      </w:r>
      <w:r>
        <w:tab/>
        <w:t>Align 6.3.5.5.1 with 6.2.3.9.3, 6.2.3.11.4 and 6.4.21.8 by modifying point 7 (deleted wording stricken through):</w:t>
      </w:r>
    </w:p>
    <w:p w14:paraId="73E7DCBB" w14:textId="144165AE" w:rsidR="006B2D31" w:rsidRPr="006B7F63" w:rsidRDefault="008C6A45" w:rsidP="006B2D31">
      <w:pPr>
        <w:pStyle w:val="SingleTxtG"/>
        <w:rPr>
          <w:lang w:val="en-US"/>
        </w:rPr>
      </w:pPr>
      <w:r>
        <w:t>“</w:t>
      </w:r>
      <w:r w:rsidR="006B2D31">
        <w:t xml:space="preserve">7. </w:t>
      </w:r>
      <w:r w:rsidR="006B2D31">
        <w:rPr>
          <w:strike/>
        </w:rPr>
        <w:t xml:space="preserve">Maximum </w:t>
      </w:r>
      <w:r w:rsidR="006B2D31">
        <w:t>Capacity;</w:t>
      </w:r>
      <w:r>
        <w:t>”</w:t>
      </w:r>
    </w:p>
    <w:p w14:paraId="210BF3F0" w14:textId="2CF9F4AB" w:rsidR="006B2D31" w:rsidRPr="006B7F63" w:rsidRDefault="006B2D31" w:rsidP="006B2D31">
      <w:pPr>
        <w:pStyle w:val="SingleTxtG"/>
        <w:rPr>
          <w:lang w:val="en-US"/>
        </w:rPr>
      </w:pPr>
      <w:r>
        <w:t>12.</w:t>
      </w:r>
      <w:r>
        <w:tab/>
        <w:t xml:space="preserve">Align 6.5.6.9.2 with 6.2.2.7.3, 6.2.6.3.1.1, 6.2.6.3.2.3.1, 6.3.5.2.1, 6.5.6.10.2, 6.5.6.11.2 and 6.5.6.12.2 by replacing </w:t>
      </w:r>
      <w:r w:rsidR="008C6A45">
        <w:t>“</w:t>
      </w:r>
      <w:r>
        <w:t>maximum capacity</w:t>
      </w:r>
      <w:r w:rsidR="008C6A45">
        <w:t>”</w:t>
      </w:r>
      <w:r>
        <w:t xml:space="preserve"> with </w:t>
      </w:r>
      <w:r w:rsidR="008C6A45">
        <w:t>“</w:t>
      </w:r>
      <w:r>
        <w:t>capacity</w:t>
      </w:r>
      <w:r w:rsidR="008C6A45">
        <w:t>”</w:t>
      </w:r>
      <w:r>
        <w:t xml:space="preserve"> (deleted wording stricken through):</w:t>
      </w:r>
    </w:p>
    <w:p w14:paraId="6299F75B" w14:textId="60399095" w:rsidR="006B2D31" w:rsidRPr="00E46CED" w:rsidRDefault="008C6A45" w:rsidP="006B2D31">
      <w:pPr>
        <w:pStyle w:val="SingleTxtG"/>
        <w:ind w:left="1701"/>
        <w:rPr>
          <w:lang w:val="en-US"/>
        </w:rPr>
      </w:pPr>
      <w:r>
        <w:t>“</w:t>
      </w:r>
      <w:r w:rsidR="006B2D31">
        <w:t>(a)</w:t>
      </w:r>
      <w:r w:rsidR="00B22066">
        <w:tab/>
      </w:r>
      <w:r w:rsidR="006B2D31">
        <w:t xml:space="preserve">Metal IBCs: the IBC shall be filled to not less than 95 % of its </w:t>
      </w:r>
      <w:r w:rsidR="006B2D31">
        <w:rPr>
          <w:strike/>
        </w:rPr>
        <w:t xml:space="preserve">maximum </w:t>
      </w:r>
      <w:r w:rsidR="006B2D31">
        <w:t xml:space="preserve">capacity for solids or 98 % of its </w:t>
      </w:r>
      <w:r w:rsidR="006B2D31">
        <w:rPr>
          <w:strike/>
        </w:rPr>
        <w:t xml:space="preserve">maximum </w:t>
      </w:r>
      <w:r w:rsidR="006B2D31">
        <w:t>capacity for liquids. Pressure-relief devices shall be removed and their apertures plugged, or shall be rendered inoperative;</w:t>
      </w:r>
    </w:p>
    <w:p w14:paraId="47B34E9A" w14:textId="2C79E125" w:rsidR="006B2D31" w:rsidRPr="006B7F63" w:rsidRDefault="006B2D31" w:rsidP="006B2D31">
      <w:pPr>
        <w:pStyle w:val="SingleTxtG"/>
        <w:ind w:left="1701"/>
        <w:rPr>
          <w:lang w:val="en-US"/>
        </w:rPr>
      </w:pPr>
      <w:r>
        <w:t>(b)</w:t>
      </w:r>
      <w:r w:rsidR="00B22066">
        <w:tab/>
      </w:r>
      <w:r>
        <w:t>Flexible IBCs: the IBC shall be filled to the maximum permissible gross mass, the contents being evenly distributed;</w:t>
      </w:r>
    </w:p>
    <w:p w14:paraId="44DB3D0A" w14:textId="7176371E" w:rsidR="006B2D31" w:rsidRPr="00E46CED" w:rsidRDefault="006B2D31" w:rsidP="006B2D31">
      <w:pPr>
        <w:pStyle w:val="SingleTxtG"/>
        <w:ind w:left="1701"/>
        <w:rPr>
          <w:lang w:val="en-US"/>
        </w:rPr>
      </w:pPr>
      <w:r>
        <w:t>(c)</w:t>
      </w:r>
      <w:r w:rsidR="00B22066">
        <w:tab/>
      </w:r>
      <w:r>
        <w:t xml:space="preserve">Rigid plastics and composite IBCs: the IBC shall be filled to not less than 95 % of its </w:t>
      </w:r>
      <w:r>
        <w:rPr>
          <w:strike/>
        </w:rPr>
        <w:t xml:space="preserve">maximum </w:t>
      </w:r>
      <w:r>
        <w:t xml:space="preserve">capacity for solids or 98 % of its </w:t>
      </w:r>
      <w:r>
        <w:rPr>
          <w:strike/>
        </w:rPr>
        <w:t xml:space="preserve">maximum </w:t>
      </w:r>
      <w:r>
        <w:t>capacity for liquids. Arrangements provided for pressure relief may be removed and plugged or rendered inoperative. Testing of IBCs shall be carried out when the temperature of the test sample and its contents has been reduced to minus 18 °C or lower. Where test samples of composite IBCs are prepared in this way the conditioning specified in 6.5.6.3.1 may be waived.</w:t>
      </w:r>
    </w:p>
    <w:p w14:paraId="29C19355" w14:textId="77777777" w:rsidR="006B2D31" w:rsidRPr="006B7F63" w:rsidRDefault="006B2D31" w:rsidP="006B2D31">
      <w:pPr>
        <w:pStyle w:val="SingleTxtG"/>
        <w:ind w:left="1701"/>
        <w:rPr>
          <w:lang w:val="en-US"/>
        </w:rPr>
      </w:pPr>
      <w:r>
        <w:t>Test liquids shall be kept in the liquid state, if necessary by the addition of anti-freeze. This conditioning may be disregarded if the materials in question are of sufficient ductility and tensile strength at low temperatures;</w:t>
      </w:r>
    </w:p>
    <w:p w14:paraId="023DF089" w14:textId="6F0E050D" w:rsidR="006B2D31" w:rsidRPr="006B7F63" w:rsidRDefault="006B2D31" w:rsidP="006B2D31">
      <w:pPr>
        <w:pStyle w:val="SingleTxtG"/>
        <w:ind w:left="1701"/>
        <w:rPr>
          <w:lang w:val="en-US"/>
        </w:rPr>
      </w:pPr>
      <w:r>
        <w:t>(d)</w:t>
      </w:r>
      <w:r w:rsidR="00B22066">
        <w:tab/>
      </w:r>
      <w:r>
        <w:t xml:space="preserve">Fibreboard and wooden IBCs: The IBC shall be filled to not less than 95 % of its </w:t>
      </w:r>
      <w:r w:rsidRPr="009768F3">
        <w:t>capacity</w:t>
      </w:r>
      <w:r>
        <w:t>.</w:t>
      </w:r>
      <w:r w:rsidR="008C6A45">
        <w:t>”</w:t>
      </w:r>
    </w:p>
    <w:p w14:paraId="1D416448" w14:textId="77777777" w:rsidR="006B2D31" w:rsidRPr="006B7F63" w:rsidRDefault="006B2D31" w:rsidP="006B2D31">
      <w:pPr>
        <w:pStyle w:val="SingleTxtG"/>
        <w:rPr>
          <w:lang w:val="en-US"/>
        </w:rPr>
      </w:pPr>
      <w:r>
        <w:t>13.</w:t>
      </w:r>
      <w:r>
        <w:tab/>
        <w:t>Align 6.5.6.14.1 with 6.2.3.9.3, 6.2.3.11.4 and 6.4.21.8 by modifying point 7 (deleted wording stricken through):</w:t>
      </w:r>
    </w:p>
    <w:p w14:paraId="70B0CD96" w14:textId="60C8E357" w:rsidR="006B2D31" w:rsidRPr="006B7F63" w:rsidRDefault="008C6A45" w:rsidP="006B2D31">
      <w:pPr>
        <w:pStyle w:val="SingleTxtG"/>
        <w:ind w:left="1701"/>
        <w:rPr>
          <w:lang w:val="en-US"/>
        </w:rPr>
      </w:pPr>
      <w:r>
        <w:t>“</w:t>
      </w:r>
      <w:r w:rsidR="006B2D31">
        <w:t xml:space="preserve">7. </w:t>
      </w:r>
      <w:r w:rsidR="006B2D31">
        <w:rPr>
          <w:strike/>
        </w:rPr>
        <w:t xml:space="preserve">Maximum </w:t>
      </w:r>
      <w:r w:rsidR="006B2D31">
        <w:t>Capacity;</w:t>
      </w:r>
      <w:r>
        <w:t>”</w:t>
      </w:r>
    </w:p>
    <w:p w14:paraId="49CBE382" w14:textId="5FEAC139" w:rsidR="006B2D31" w:rsidRPr="006B7F63" w:rsidRDefault="006B2D31" w:rsidP="006B2D31">
      <w:pPr>
        <w:pStyle w:val="SingleTxtG"/>
        <w:rPr>
          <w:lang w:val="en-US"/>
        </w:rPr>
      </w:pPr>
      <w:r>
        <w:t>14.</w:t>
      </w:r>
      <w:r>
        <w:tab/>
        <w:t xml:space="preserve">Align 6.5.5.1.9 (a) with 6.2.2.7.3, 6.2.6.3.1.1, 6.2.6.3.2.3.1, 6.3.5.2.1, 6.5.6.10.2, 6.5.6.11.2 and 6.5.6.12.2 by replacing </w:t>
      </w:r>
      <w:r w:rsidR="008C6A45">
        <w:t>“</w:t>
      </w:r>
      <w:r>
        <w:t>maximum capacity</w:t>
      </w:r>
      <w:r w:rsidR="008C6A45">
        <w:t>”</w:t>
      </w:r>
      <w:r>
        <w:t xml:space="preserve"> with </w:t>
      </w:r>
      <w:r w:rsidR="008C6A45">
        <w:t>“</w:t>
      </w:r>
      <w:r>
        <w:t>capacity</w:t>
      </w:r>
      <w:r w:rsidR="008C6A45">
        <w:t>”</w:t>
      </w:r>
      <w:r>
        <w:t xml:space="preserve"> (deleted wording stricken through):</w:t>
      </w:r>
    </w:p>
    <w:p w14:paraId="2DE3E159" w14:textId="6C5E2FBA" w:rsidR="006B2D31" w:rsidRPr="00E46CED" w:rsidRDefault="008C6A45" w:rsidP="006B2D31">
      <w:pPr>
        <w:pStyle w:val="SingleTxtG"/>
        <w:ind w:left="1701"/>
        <w:rPr>
          <w:lang w:val="en-US"/>
        </w:rPr>
      </w:pPr>
      <w:r>
        <w:t>“</w:t>
      </w:r>
      <w:r w:rsidR="006B2D31">
        <w:t>(a)</w:t>
      </w:r>
      <w:r w:rsidR="00B22066">
        <w:tab/>
      </w:r>
      <w:r w:rsidR="006B2D31">
        <w:t xml:space="preserve">The test substance used in performing the tests shall be water, and the large salvage </w:t>
      </w:r>
      <w:proofErr w:type="spellStart"/>
      <w:r w:rsidR="006B2D31">
        <w:t>packagings</w:t>
      </w:r>
      <w:proofErr w:type="spellEnd"/>
      <w:r w:rsidR="006B2D31">
        <w:t xml:space="preserve"> shall be filled to not less than 98 % of their </w:t>
      </w:r>
      <w:r w:rsidR="006B2D31">
        <w:rPr>
          <w:strike/>
        </w:rPr>
        <w:t xml:space="preserve">maximum </w:t>
      </w:r>
      <w:r w:rsidR="006B2D31">
        <w:t>capacity. It is permissible to use additives, such as bags of lead shot, to achieve the requisite total package mass so long as they are placed so that the test results are not affected. Alternatively, in performing the drop test, the drop height may be varied in accordance with 6.6.5.3.4.4.2 (b);</w:t>
      </w:r>
      <w:r>
        <w:t>”</w:t>
      </w:r>
    </w:p>
    <w:p w14:paraId="1A48D51F" w14:textId="4D01C5EC" w:rsidR="006B2D31" w:rsidRPr="006B7F63" w:rsidRDefault="006B2D31" w:rsidP="006B2D31">
      <w:pPr>
        <w:pStyle w:val="SingleTxtG"/>
        <w:rPr>
          <w:lang w:val="en-US"/>
        </w:rPr>
      </w:pPr>
      <w:r>
        <w:t>15.</w:t>
      </w:r>
      <w:r>
        <w:tab/>
        <w:t xml:space="preserve">Align 6.6.5.2.1 with 6.2.2.7.3, 6.2.6.3.1.1, 6.2.6.3.2.3.1, 6.3.5.2.1, 6.5.6.10.2, 6.5.6.11.2 and 6.5.6.12.2 by replacing </w:t>
      </w:r>
      <w:r w:rsidR="008C6A45">
        <w:t>“</w:t>
      </w:r>
      <w:r>
        <w:t>maximum capacity</w:t>
      </w:r>
      <w:r w:rsidR="008C6A45">
        <w:t>”</w:t>
      </w:r>
      <w:r>
        <w:t xml:space="preserve"> with </w:t>
      </w:r>
      <w:r w:rsidR="008C6A45">
        <w:t>“</w:t>
      </w:r>
      <w:r>
        <w:t>capacity</w:t>
      </w:r>
      <w:r w:rsidR="008C6A45">
        <w:t>”</w:t>
      </w:r>
      <w:r>
        <w:t xml:space="preserve"> (deleted wording stricken through):</w:t>
      </w:r>
    </w:p>
    <w:p w14:paraId="7724CC2B" w14:textId="7D6D069E" w:rsidR="006B2D31" w:rsidRPr="006B7F63" w:rsidRDefault="008C6A45" w:rsidP="006B2D31">
      <w:pPr>
        <w:pStyle w:val="SingleTxtG"/>
        <w:ind w:left="1701"/>
        <w:rPr>
          <w:lang w:val="en-US"/>
        </w:rPr>
      </w:pPr>
      <w:r>
        <w:t>“</w:t>
      </w:r>
      <w:r w:rsidR="006B2D31">
        <w:t xml:space="preserve">Tests shall be carried out on large </w:t>
      </w:r>
      <w:proofErr w:type="spellStart"/>
      <w:r w:rsidR="006B2D31">
        <w:t>packagings</w:t>
      </w:r>
      <w:proofErr w:type="spellEnd"/>
      <w:r w:rsidR="006B2D31">
        <w:t xml:space="preserve"> prepared as for carriage including the inner </w:t>
      </w:r>
      <w:proofErr w:type="spellStart"/>
      <w:r w:rsidR="006B2D31">
        <w:t>packagings</w:t>
      </w:r>
      <w:proofErr w:type="spellEnd"/>
      <w:r w:rsidR="006B2D31">
        <w:t xml:space="preserve"> or articles used. Inner or single receptacles or </w:t>
      </w:r>
      <w:proofErr w:type="spellStart"/>
      <w:r w:rsidR="006B2D31">
        <w:t>packagings</w:t>
      </w:r>
      <w:proofErr w:type="spellEnd"/>
      <w:r w:rsidR="006B2D31">
        <w:t xml:space="preserve"> other than bags shall be filled to not less than 98 % of their </w:t>
      </w:r>
      <w:r w:rsidR="006B2D31">
        <w:rPr>
          <w:strike/>
        </w:rPr>
        <w:t xml:space="preserve">maximum </w:t>
      </w:r>
      <w:r w:rsidR="006B2D31">
        <w:t xml:space="preserve">capacity for liquids or 95 % for solids. For large </w:t>
      </w:r>
      <w:proofErr w:type="spellStart"/>
      <w:r w:rsidR="006B2D31">
        <w:t>packagings</w:t>
      </w:r>
      <w:proofErr w:type="spellEnd"/>
      <w:r w:rsidR="006B2D31">
        <w:t xml:space="preserve"> where the inner </w:t>
      </w:r>
      <w:proofErr w:type="spellStart"/>
      <w:r w:rsidR="006B2D31">
        <w:t>packagings</w:t>
      </w:r>
      <w:proofErr w:type="spellEnd"/>
      <w:r w:rsidR="006B2D31">
        <w:t xml:space="preserve"> are designed to carry liquids and solids, separate testing is required for both liquid and solid contents. The substances in the inner </w:t>
      </w:r>
      <w:proofErr w:type="spellStart"/>
      <w:r w:rsidR="006B2D31">
        <w:t>packagings</w:t>
      </w:r>
      <w:proofErr w:type="spellEnd"/>
      <w:r w:rsidR="006B2D31">
        <w:t xml:space="preserve"> or the articles to be carried in the large </w:t>
      </w:r>
      <w:proofErr w:type="spellStart"/>
      <w:r w:rsidR="006B2D31">
        <w:t>packagings</w:t>
      </w:r>
      <w:proofErr w:type="spellEnd"/>
      <w:r w:rsidR="006B2D31">
        <w:t xml:space="preserve"> may be replaced by other material or articles except where this would invalidate the results of the tests. When other inner </w:t>
      </w:r>
      <w:proofErr w:type="spellStart"/>
      <w:r w:rsidR="006B2D31">
        <w:t>packagings</w:t>
      </w:r>
      <w:proofErr w:type="spellEnd"/>
      <w:r w:rsidR="006B2D31">
        <w:t xml:space="preserve"> or articles are used they shall have the same physical characteristics (mass, etc) as the inner </w:t>
      </w:r>
      <w:proofErr w:type="spellStart"/>
      <w:r w:rsidR="006B2D31">
        <w:t>packagings</w:t>
      </w:r>
      <w:proofErr w:type="spellEnd"/>
      <w:r w:rsidR="006B2D31">
        <w:t xml:space="preserve"> or articles to be carried. It is permissible to use additives, such as bags of lead shot, to achieve the requisite total package mass, so long as they are placed so that the test results are not affected.</w:t>
      </w:r>
      <w:r>
        <w:t>”</w:t>
      </w:r>
    </w:p>
    <w:p w14:paraId="59B97984" w14:textId="77777777" w:rsidR="006B2D31" w:rsidRPr="006B7F63" w:rsidRDefault="006B2D31" w:rsidP="006B2D31">
      <w:pPr>
        <w:pStyle w:val="SingleTxtG"/>
        <w:rPr>
          <w:rFonts w:eastAsiaTheme="minorHAnsi"/>
          <w:lang w:val="en-US"/>
        </w:rPr>
      </w:pPr>
      <w:r>
        <w:t>16.</w:t>
      </w:r>
      <w:r>
        <w:tab/>
        <w:t>Align 6.6.5.4.2 with 6.2.3.9.3, 6.2.3.11.4 and 6.4.21.8 by modifying point 7 (deleted wording stricken through):</w:t>
      </w:r>
    </w:p>
    <w:p w14:paraId="3B77AC5F" w14:textId="30462721" w:rsidR="006B2D31" w:rsidRPr="006B7F63" w:rsidRDefault="008C6A45" w:rsidP="006B2D31">
      <w:pPr>
        <w:pStyle w:val="SingleTxtG"/>
        <w:ind w:left="1701"/>
        <w:rPr>
          <w:lang w:val="en-US"/>
        </w:rPr>
      </w:pPr>
      <w:r>
        <w:t>“</w:t>
      </w:r>
      <w:r w:rsidR="006B2D31">
        <w:t xml:space="preserve">7. </w:t>
      </w:r>
      <w:r w:rsidR="006B2D31">
        <w:rPr>
          <w:strike/>
        </w:rPr>
        <w:t xml:space="preserve">Maximum </w:t>
      </w:r>
      <w:r w:rsidR="006B2D31">
        <w:t>Capacity/maximum permissible gross mass;</w:t>
      </w:r>
      <w:r>
        <w:t>”</w:t>
      </w:r>
    </w:p>
    <w:p w14:paraId="791C962B" w14:textId="77777777" w:rsidR="006B2D31" w:rsidRPr="00512711" w:rsidRDefault="006B2D31" w:rsidP="006B2D31">
      <w:pPr>
        <w:pStyle w:val="HChG"/>
        <w:rPr>
          <w:lang w:val="en-US"/>
        </w:rPr>
      </w:pPr>
      <w:r>
        <w:tab/>
      </w:r>
      <w:r>
        <w:tab/>
      </w:r>
      <w:r>
        <w:rPr>
          <w:bCs/>
        </w:rPr>
        <w:t>Justification</w:t>
      </w:r>
    </w:p>
    <w:p w14:paraId="58B9F1C5" w14:textId="6067E96A" w:rsidR="006B2D31" w:rsidRPr="00E46CED" w:rsidRDefault="006B2D31" w:rsidP="006B2D31">
      <w:pPr>
        <w:pStyle w:val="SingleTxtG"/>
        <w:rPr>
          <w:lang w:val="en-US"/>
        </w:rPr>
      </w:pPr>
      <w:r>
        <w:t>17.</w:t>
      </w:r>
      <w:r>
        <w:tab/>
        <w:t xml:space="preserve">The definition of </w:t>
      </w:r>
      <w:r w:rsidR="008C6A45">
        <w:t>“</w:t>
      </w:r>
      <w:r>
        <w:t>capacity</w:t>
      </w:r>
      <w:r w:rsidR="008C6A45">
        <w:t>”</w:t>
      </w:r>
      <w:r>
        <w:t xml:space="preserve"> explicitly states that it refers to </w:t>
      </w:r>
      <w:r w:rsidR="008C6A45">
        <w:t>“</w:t>
      </w:r>
      <w:r>
        <w:t>maximum internal volume</w:t>
      </w:r>
      <w:r w:rsidR="008C6A45">
        <w:t>”</w:t>
      </w:r>
      <w:r>
        <w:t>. There is therefore no need to expect any problems of interpretation. On the other hand, the proposed amendments make it possible to standardize usage and clearly distinguish between general limits linked to the use of Table A on the one hand and the general requirements or the capacity of a particular packaging on the other.</w:t>
      </w:r>
    </w:p>
    <w:p w14:paraId="707D0009" w14:textId="77777777" w:rsidR="006B2D31" w:rsidRPr="00E46CED" w:rsidRDefault="006B2D31" w:rsidP="006B2D31">
      <w:pPr>
        <w:spacing w:before="240"/>
        <w:jc w:val="center"/>
        <w:rPr>
          <w:u w:val="single"/>
          <w:lang w:val="en-US"/>
        </w:rPr>
      </w:pPr>
      <w:r w:rsidRPr="00E46CED">
        <w:rPr>
          <w:u w:val="single"/>
          <w:lang w:val="en-US"/>
        </w:rPr>
        <w:tab/>
      </w:r>
      <w:r w:rsidRPr="00E46CED">
        <w:rPr>
          <w:u w:val="single"/>
          <w:lang w:val="en-US"/>
        </w:rPr>
        <w:tab/>
      </w:r>
      <w:r w:rsidRPr="00E46CED">
        <w:rPr>
          <w:u w:val="single"/>
          <w:lang w:val="en-US"/>
        </w:rPr>
        <w:tab/>
      </w:r>
    </w:p>
    <w:sectPr w:rsidR="006B2D31" w:rsidRPr="00E46CE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60E3" w14:textId="77777777" w:rsidR="0094012F" w:rsidRPr="00FB1744" w:rsidRDefault="0094012F" w:rsidP="00FB1744">
      <w:pPr>
        <w:pStyle w:val="Footer"/>
      </w:pPr>
    </w:p>
  </w:endnote>
  <w:endnote w:type="continuationSeparator" w:id="0">
    <w:p w14:paraId="5B278D1F" w14:textId="77777777" w:rsidR="0094012F" w:rsidRPr="00FB1744" w:rsidRDefault="0094012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EE1" w14:textId="77777777" w:rsidR="004B6D7C" w:rsidRDefault="004B6D7C" w:rsidP="004B6D7C">
    <w:pPr>
      <w:pStyle w:val="Footer"/>
      <w:tabs>
        <w:tab w:val="right" w:pos="9638"/>
      </w:tabs>
    </w:pPr>
    <w:r w:rsidRPr="004B6D7C">
      <w:rPr>
        <w:b/>
        <w:bCs/>
        <w:sz w:val="18"/>
      </w:rPr>
      <w:fldChar w:fldCharType="begin"/>
    </w:r>
    <w:r w:rsidRPr="004B6D7C">
      <w:rPr>
        <w:b/>
        <w:bCs/>
        <w:sz w:val="18"/>
      </w:rPr>
      <w:instrText xml:space="preserve"> PAGE  \* MERGEFORMAT </w:instrText>
    </w:r>
    <w:r w:rsidRPr="004B6D7C">
      <w:rPr>
        <w:b/>
        <w:bCs/>
        <w:sz w:val="18"/>
      </w:rPr>
      <w:fldChar w:fldCharType="separate"/>
    </w:r>
    <w:r w:rsidRPr="004B6D7C">
      <w:rPr>
        <w:b/>
        <w:bCs/>
        <w:noProof/>
        <w:sz w:val="18"/>
      </w:rPr>
      <w:t>2</w:t>
    </w:r>
    <w:r w:rsidRPr="004B6D7C">
      <w:rPr>
        <w:b/>
        <w:bCs/>
        <w:sz w:val="18"/>
      </w:rPr>
      <w:fldChar w:fldCharType="end"/>
    </w:r>
    <w:r>
      <w:tab/>
      <w:t>GE.23-12515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5452" w14:textId="77777777" w:rsidR="004B6D7C" w:rsidRDefault="004B6D7C" w:rsidP="004B6D7C">
    <w:pPr>
      <w:pStyle w:val="Footer"/>
      <w:tabs>
        <w:tab w:val="right" w:pos="9638"/>
      </w:tabs>
    </w:pPr>
    <w:r>
      <w:t>GE.23-12515</w:t>
    </w:r>
    <w:r>
      <w:tab/>
    </w:r>
    <w:r w:rsidRPr="004B6D7C">
      <w:rPr>
        <w:b/>
        <w:bCs/>
        <w:sz w:val="18"/>
      </w:rPr>
      <w:fldChar w:fldCharType="begin"/>
    </w:r>
    <w:r w:rsidRPr="004B6D7C">
      <w:rPr>
        <w:b/>
        <w:bCs/>
        <w:sz w:val="18"/>
      </w:rPr>
      <w:instrText xml:space="preserve"> PAGE  \* MERGEFORMAT </w:instrText>
    </w:r>
    <w:r w:rsidRPr="004B6D7C">
      <w:rPr>
        <w:b/>
        <w:bCs/>
        <w:sz w:val="18"/>
      </w:rPr>
      <w:fldChar w:fldCharType="separate"/>
    </w:r>
    <w:r w:rsidRPr="004B6D7C">
      <w:rPr>
        <w:b/>
        <w:bCs/>
        <w:noProof/>
        <w:sz w:val="18"/>
      </w:rPr>
      <w:t>3</w:t>
    </w:r>
    <w:r w:rsidRPr="004B6D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5492" w14:textId="77777777" w:rsidR="00C448F7" w:rsidRDefault="004B6D7C">
    <w:pPr>
      <w:pStyle w:val="Footer"/>
      <w:rPr>
        <w:sz w:val="20"/>
      </w:rPr>
    </w:pPr>
    <w:r w:rsidRPr="0027112F">
      <w:rPr>
        <w:noProof/>
        <w:lang w:val="en-US"/>
      </w:rPr>
      <w:drawing>
        <wp:anchor distT="0" distB="0" distL="114300" distR="114300" simplePos="0" relativeHeight="251659264" behindDoc="0" locked="1" layoutInCell="1" allowOverlap="1" wp14:anchorId="2E8FF2DD" wp14:editId="6364C4E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4F2912" w14:textId="093FA302" w:rsidR="004B6D7C" w:rsidRPr="004B6D7C" w:rsidRDefault="004B6D7C" w:rsidP="004B6D7C">
    <w:pPr>
      <w:pStyle w:val="Footer"/>
      <w:tabs>
        <w:tab w:val="right" w:pos="7370"/>
      </w:tabs>
      <w:rPr>
        <w:sz w:val="20"/>
      </w:rPr>
    </w:pPr>
    <w:r>
      <w:rPr>
        <w:sz w:val="20"/>
      </w:rPr>
      <w:t>GE.23-12515  (E)</w:t>
    </w:r>
    <w:r>
      <w:rPr>
        <w:noProof/>
        <w:sz w:val="20"/>
      </w:rPr>
      <w:drawing>
        <wp:anchor distT="0" distB="0" distL="114300" distR="114300" simplePos="0" relativeHeight="251660288" behindDoc="0" locked="0" layoutInCell="1" allowOverlap="1" wp14:anchorId="2BE2A9BC" wp14:editId="319666A4">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EC">
      <w:rPr>
        <w:sz w:val="20"/>
      </w:rPr>
      <w:t xml:space="preserve">    060723    060723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0203" w14:textId="77777777" w:rsidR="0094012F" w:rsidRPr="00FB1744" w:rsidRDefault="0094012F" w:rsidP="00FB1744">
      <w:pPr>
        <w:tabs>
          <w:tab w:val="right" w:pos="2155"/>
        </w:tabs>
        <w:spacing w:after="80" w:line="240" w:lineRule="auto"/>
        <w:ind w:left="680"/>
      </w:pPr>
      <w:r>
        <w:rPr>
          <w:u w:val="single"/>
        </w:rPr>
        <w:tab/>
      </w:r>
    </w:p>
  </w:footnote>
  <w:footnote w:type="continuationSeparator" w:id="0">
    <w:p w14:paraId="3FA50874" w14:textId="77777777" w:rsidR="0094012F" w:rsidRPr="00FB1744" w:rsidRDefault="0094012F" w:rsidP="00FB1744">
      <w:pPr>
        <w:tabs>
          <w:tab w:val="right" w:pos="2155"/>
        </w:tabs>
        <w:spacing w:after="80" w:line="240" w:lineRule="auto"/>
        <w:ind w:left="680"/>
      </w:pPr>
      <w:r>
        <w:rPr>
          <w:u w:val="single"/>
        </w:rPr>
        <w:tab/>
      </w:r>
    </w:p>
  </w:footnote>
  <w:footnote w:id="1">
    <w:p w14:paraId="06774193" w14:textId="4F6CD00B" w:rsidR="006B2D31" w:rsidRPr="006B7F63" w:rsidRDefault="006B2D31" w:rsidP="006B2D31">
      <w:pPr>
        <w:pStyle w:val="FootnoteText"/>
        <w:rPr>
          <w:lang w:val="en-US"/>
        </w:rPr>
      </w:pPr>
      <w:r w:rsidRPr="003B02EC">
        <w:rPr>
          <w:rStyle w:val="FootnoteReference"/>
          <w:sz w:val="20"/>
          <w:szCs w:val="22"/>
          <w:vertAlign w:val="baseline"/>
        </w:rPr>
        <w:tab/>
        <w:t>*</w:t>
      </w:r>
      <w:r w:rsidRPr="003B02EC">
        <w:rPr>
          <w:rStyle w:val="FootnoteReference"/>
          <w:sz w:val="20"/>
          <w:szCs w:val="22"/>
          <w:vertAlign w:val="baseline"/>
        </w:rPr>
        <w:tab/>
      </w:r>
      <w:r>
        <w:t>A/77/6 (Sect. 20), table 20.6</w:t>
      </w:r>
      <w:r w:rsidR="00584807">
        <w:t>.</w:t>
      </w:r>
    </w:p>
  </w:footnote>
  <w:footnote w:id="2">
    <w:p w14:paraId="281B51E3" w14:textId="77777777" w:rsidR="006B2D31" w:rsidRPr="006B7F63" w:rsidRDefault="006B2D31" w:rsidP="006B2D31">
      <w:pPr>
        <w:pStyle w:val="FootnoteText"/>
        <w:rPr>
          <w:lang w:val="en-US"/>
        </w:rPr>
      </w:pPr>
      <w:r w:rsidRPr="003B02EC">
        <w:tab/>
        <w:t>**</w:t>
      </w:r>
      <w:r w:rsidRPr="003B02EC">
        <w:tab/>
      </w:r>
      <w:r>
        <w:t>Circulated by the Intergovernmental Organization for International Carriage by Rail (OTIF) under the symbol OTIF/RID/RC/2023/36.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F8EF" w14:textId="77777777" w:rsidR="004B6D7C" w:rsidRDefault="004B6D7C" w:rsidP="004B6D7C">
    <w:pPr>
      <w:pStyle w:val="Header"/>
    </w:pPr>
    <w:r>
      <w:t>ECE/TRANS/WP.15/AC.1/2023/36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911" w14:textId="77777777" w:rsidR="004B6D7C" w:rsidRDefault="004B6D7C" w:rsidP="004B6D7C">
    <w:pPr>
      <w:pStyle w:val="Header"/>
      <w:jc w:val="right"/>
    </w:pPr>
    <w:r>
      <w:t>ECE/TRANS/WP.15/AC.1/2023/36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6763107">
    <w:abstractNumId w:val="3"/>
  </w:num>
  <w:num w:numId="2" w16cid:durableId="1868448462">
    <w:abstractNumId w:val="2"/>
  </w:num>
  <w:num w:numId="3" w16cid:durableId="1129933429">
    <w:abstractNumId w:val="0"/>
  </w:num>
  <w:num w:numId="4" w16cid:durableId="853106128">
    <w:abstractNumId w:val="4"/>
  </w:num>
  <w:num w:numId="5" w16cid:durableId="775095319">
    <w:abstractNumId w:val="5"/>
  </w:num>
  <w:num w:numId="6" w16cid:durableId="1883400302">
    <w:abstractNumId w:val="6"/>
  </w:num>
  <w:num w:numId="7" w16cid:durableId="1434714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4012F"/>
    <w:rsid w:val="00046E92"/>
    <w:rsid w:val="000D1B89"/>
    <w:rsid w:val="000F6E29"/>
    <w:rsid w:val="001170DC"/>
    <w:rsid w:val="00247E2C"/>
    <w:rsid w:val="002D6C53"/>
    <w:rsid w:val="002F5595"/>
    <w:rsid w:val="00334F6A"/>
    <w:rsid w:val="00342AC8"/>
    <w:rsid w:val="003B02EC"/>
    <w:rsid w:val="003B4550"/>
    <w:rsid w:val="0043448D"/>
    <w:rsid w:val="00461253"/>
    <w:rsid w:val="004657F6"/>
    <w:rsid w:val="004B357F"/>
    <w:rsid w:val="004B6D7C"/>
    <w:rsid w:val="005042C2"/>
    <w:rsid w:val="00506C12"/>
    <w:rsid w:val="0056599A"/>
    <w:rsid w:val="00584807"/>
    <w:rsid w:val="00585AE1"/>
    <w:rsid w:val="00587690"/>
    <w:rsid w:val="00671529"/>
    <w:rsid w:val="006A5598"/>
    <w:rsid w:val="006B2D31"/>
    <w:rsid w:val="006F20E0"/>
    <w:rsid w:val="00717266"/>
    <w:rsid w:val="007268F9"/>
    <w:rsid w:val="007C52B0"/>
    <w:rsid w:val="008C6A45"/>
    <w:rsid w:val="0094012F"/>
    <w:rsid w:val="009411B4"/>
    <w:rsid w:val="009D0139"/>
    <w:rsid w:val="009F5CDC"/>
    <w:rsid w:val="00A429CD"/>
    <w:rsid w:val="00A775CF"/>
    <w:rsid w:val="00AB3C7E"/>
    <w:rsid w:val="00B06045"/>
    <w:rsid w:val="00B22066"/>
    <w:rsid w:val="00B3316B"/>
    <w:rsid w:val="00B572F3"/>
    <w:rsid w:val="00C35A27"/>
    <w:rsid w:val="00C448F7"/>
    <w:rsid w:val="00E02C2B"/>
    <w:rsid w:val="00E665C4"/>
    <w:rsid w:val="00E929D6"/>
    <w:rsid w:val="00ED6C48"/>
    <w:rsid w:val="00EF76C5"/>
    <w:rsid w:val="00F65F5D"/>
    <w:rsid w:val="00F86A3A"/>
    <w:rsid w:val="00FB1744"/>
    <w:rsid w:val="00FB4759"/>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B0EB"/>
  <w15:docId w15:val="{1578B9B5-7C87-46BC-9EC0-5284E2A3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rsid w:val="006B2D31"/>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695E03F3-3BFA-41C4-A80A-0C97D980D01D}"/>
</file>

<file path=customXml/itemProps3.xml><?xml version="1.0" encoding="utf-8"?>
<ds:datastoreItem xmlns:ds="http://schemas.openxmlformats.org/officeDocument/2006/customXml" ds:itemID="{D12B16D2-F280-4D66-A8F6-BC497736DB70}"/>
</file>

<file path=docProps/app.xml><?xml version="1.0" encoding="utf-8"?>
<Properties xmlns="http://schemas.openxmlformats.org/officeDocument/2006/extended-properties" xmlns:vt="http://schemas.openxmlformats.org/officeDocument/2006/docPropsVTypes">
  <Template>CESCR.dotm</Template>
  <TotalTime>0</TotalTime>
  <Pages>3</Pages>
  <Words>1218</Words>
  <Characters>6577</Characters>
  <Application>Microsoft Office Word</Application>
  <DocSecurity>0</DocSecurity>
  <Lines>125</Lines>
  <Paragraphs>51</Paragraphs>
  <ScaleCrop>false</ScaleCrop>
  <Company>DCM</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ECE/TRANS/WP.15/AC.1/2023/36</dc:title>
  <dc:subject>2312515</dc:subject>
  <dc:creator>cg</dc:creator>
  <cp:keywords/>
  <dc:description/>
  <cp:lastModifiedBy>Maria Rosario Corazon Gatmaytan</cp:lastModifiedBy>
  <cp:revision>2</cp:revision>
  <dcterms:created xsi:type="dcterms:W3CDTF">2023-07-06T09:46:00Z</dcterms:created>
  <dcterms:modified xsi:type="dcterms:W3CDTF">2023-07-06T09:46:00Z</dcterms:modified>
</cp:coreProperties>
</file>