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0F3CF53" w14:textId="77777777" w:rsidTr="00C97039">
        <w:trPr>
          <w:trHeight w:hRule="exact" w:val="851"/>
        </w:trPr>
        <w:tc>
          <w:tcPr>
            <w:tcW w:w="1276" w:type="dxa"/>
            <w:tcBorders>
              <w:bottom w:val="single" w:sz="4" w:space="0" w:color="auto"/>
            </w:tcBorders>
          </w:tcPr>
          <w:p w14:paraId="1125EB65" w14:textId="77777777" w:rsidR="00F35BAF" w:rsidRPr="00DB58B5" w:rsidRDefault="00F35BAF" w:rsidP="00213458"/>
        </w:tc>
        <w:tc>
          <w:tcPr>
            <w:tcW w:w="2268" w:type="dxa"/>
            <w:tcBorders>
              <w:bottom w:val="single" w:sz="4" w:space="0" w:color="auto"/>
            </w:tcBorders>
            <w:vAlign w:val="bottom"/>
          </w:tcPr>
          <w:p w14:paraId="76C4411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2018FBA" w14:textId="577C941A" w:rsidR="00F35BAF" w:rsidRPr="00DB58B5" w:rsidRDefault="00213458" w:rsidP="00213458">
            <w:pPr>
              <w:jc w:val="right"/>
            </w:pPr>
            <w:r w:rsidRPr="00213458">
              <w:rPr>
                <w:sz w:val="40"/>
              </w:rPr>
              <w:t>ECE</w:t>
            </w:r>
            <w:r>
              <w:t>/TRANS/WP.15/AC.1/2023/31</w:t>
            </w:r>
          </w:p>
        </w:tc>
      </w:tr>
      <w:tr w:rsidR="00F35BAF" w:rsidRPr="00DB58B5" w14:paraId="0C0A5960" w14:textId="77777777" w:rsidTr="00C97039">
        <w:trPr>
          <w:trHeight w:hRule="exact" w:val="2835"/>
        </w:trPr>
        <w:tc>
          <w:tcPr>
            <w:tcW w:w="1276" w:type="dxa"/>
            <w:tcBorders>
              <w:top w:val="single" w:sz="4" w:space="0" w:color="auto"/>
              <w:bottom w:val="single" w:sz="12" w:space="0" w:color="auto"/>
            </w:tcBorders>
          </w:tcPr>
          <w:p w14:paraId="54658D8D" w14:textId="77777777" w:rsidR="00F35BAF" w:rsidRPr="00DB58B5" w:rsidRDefault="00F35BAF" w:rsidP="00C97039">
            <w:pPr>
              <w:spacing w:before="120"/>
              <w:jc w:val="center"/>
            </w:pPr>
            <w:r>
              <w:rPr>
                <w:noProof/>
                <w:lang w:eastAsia="fr-CH"/>
              </w:rPr>
              <w:drawing>
                <wp:inline distT="0" distB="0" distL="0" distR="0" wp14:anchorId="14AA6887" wp14:editId="6878C8B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F4315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D8CF065" w14:textId="77777777" w:rsidR="00F35BAF" w:rsidRDefault="00213458" w:rsidP="00C97039">
            <w:pPr>
              <w:spacing w:before="240"/>
            </w:pPr>
            <w:r>
              <w:t>Distr. générale</w:t>
            </w:r>
          </w:p>
          <w:p w14:paraId="2A14F03C" w14:textId="58944DA0" w:rsidR="00213458" w:rsidRDefault="00213458" w:rsidP="00213458">
            <w:pPr>
              <w:spacing w:line="240" w:lineRule="exact"/>
            </w:pPr>
            <w:r>
              <w:t>27 juin 2023</w:t>
            </w:r>
          </w:p>
          <w:p w14:paraId="65C9B908" w14:textId="77777777" w:rsidR="00213458" w:rsidRDefault="00213458" w:rsidP="00213458">
            <w:pPr>
              <w:spacing w:line="240" w:lineRule="exact"/>
            </w:pPr>
            <w:r>
              <w:t>Français</w:t>
            </w:r>
          </w:p>
          <w:p w14:paraId="7116A023" w14:textId="6EE84677" w:rsidR="00213458" w:rsidRPr="00DB58B5" w:rsidRDefault="00213458" w:rsidP="00213458">
            <w:pPr>
              <w:spacing w:line="240" w:lineRule="exact"/>
            </w:pPr>
            <w:r>
              <w:t>Original : anglais</w:t>
            </w:r>
          </w:p>
        </w:tc>
      </w:tr>
    </w:tbl>
    <w:p w14:paraId="041378B1" w14:textId="77777777" w:rsidR="007F20FA" w:rsidRPr="000312C0" w:rsidRDefault="007F20FA" w:rsidP="007F20FA">
      <w:pPr>
        <w:spacing w:before="120"/>
        <w:rPr>
          <w:b/>
          <w:sz w:val="28"/>
          <w:szCs w:val="28"/>
        </w:rPr>
      </w:pPr>
      <w:r w:rsidRPr="000312C0">
        <w:rPr>
          <w:b/>
          <w:sz w:val="28"/>
          <w:szCs w:val="28"/>
        </w:rPr>
        <w:t>Commission économique pour l’Europe</w:t>
      </w:r>
    </w:p>
    <w:p w14:paraId="7A09D658" w14:textId="77777777" w:rsidR="007F20FA" w:rsidRDefault="007F20FA" w:rsidP="007F20FA">
      <w:pPr>
        <w:spacing w:before="120"/>
        <w:rPr>
          <w:sz w:val="28"/>
          <w:szCs w:val="28"/>
        </w:rPr>
      </w:pPr>
      <w:r w:rsidRPr="00685843">
        <w:rPr>
          <w:sz w:val="28"/>
          <w:szCs w:val="28"/>
        </w:rPr>
        <w:t>Comité des transports intérieurs</w:t>
      </w:r>
    </w:p>
    <w:p w14:paraId="36AB58AC" w14:textId="77777777" w:rsidR="00213458" w:rsidRPr="009E01B8" w:rsidRDefault="00213458"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667585AA" w14:textId="1172C0E4" w:rsidR="00213458" w:rsidRPr="004812F5" w:rsidRDefault="00213458" w:rsidP="00AF0CB5">
      <w:pPr>
        <w:spacing w:before="120"/>
        <w:rPr>
          <w:b/>
        </w:rPr>
      </w:pPr>
      <w:r w:rsidRPr="004812F5">
        <w:rPr>
          <w:b/>
          <w:lang w:val="fr-FR"/>
        </w:rPr>
        <w:t xml:space="preserve">Réunion commune </w:t>
      </w:r>
      <w:r w:rsidRPr="005E6020">
        <w:rPr>
          <w:b/>
          <w:bCs/>
          <w:lang w:val="fr-FR"/>
        </w:rPr>
        <w:t>de la Commission d</w:t>
      </w:r>
      <w:r>
        <w:rPr>
          <w:b/>
          <w:bCs/>
          <w:lang w:val="fr-FR"/>
        </w:rPr>
        <w:t>’</w:t>
      </w:r>
      <w:r w:rsidRPr="005E6020">
        <w:rPr>
          <w:b/>
          <w:bCs/>
          <w:lang w:val="fr-FR"/>
        </w:rPr>
        <w:t xml:space="preserve">experts du RID et </w:t>
      </w:r>
      <w:r>
        <w:rPr>
          <w:b/>
          <w:bCs/>
          <w:lang w:val="fr-FR"/>
        </w:rPr>
        <w:br/>
      </w:r>
      <w:r w:rsidRPr="005E6020">
        <w:rPr>
          <w:b/>
          <w:bCs/>
          <w:lang w:val="fr-FR"/>
        </w:rPr>
        <w:t>du Groupe de travail des transports de marchandises dangereuses</w:t>
      </w:r>
    </w:p>
    <w:p w14:paraId="1C0E6E45" w14:textId="464B39CE" w:rsidR="00213458" w:rsidRDefault="00213458" w:rsidP="00AF0CB5">
      <w:r>
        <w:t>Genève, 19-29 septembre 2023</w:t>
      </w:r>
    </w:p>
    <w:p w14:paraId="70A90ABB" w14:textId="018FF830" w:rsidR="00213458" w:rsidRDefault="00213458" w:rsidP="00AF0CB5">
      <w:r w:rsidRPr="00B93E72">
        <w:t>Point</w:t>
      </w:r>
      <w:r>
        <w:t> 6</w:t>
      </w:r>
      <w:r w:rsidRPr="00B93E72">
        <w:t xml:space="preserve"> de l’ordre du jour provisoire</w:t>
      </w:r>
    </w:p>
    <w:p w14:paraId="78CDD680" w14:textId="77777777" w:rsidR="00213458" w:rsidRPr="005E6020" w:rsidRDefault="00213458" w:rsidP="00213458">
      <w:pPr>
        <w:rPr>
          <w:b/>
          <w:bCs/>
          <w:lang w:val="fr-FR"/>
        </w:rPr>
      </w:pPr>
      <w:r w:rsidRPr="005E6020">
        <w:rPr>
          <w:b/>
          <w:bCs/>
          <w:lang w:val="fr-FR"/>
        </w:rPr>
        <w:t>Interprétation du RID, de l</w:t>
      </w:r>
      <w:r>
        <w:rPr>
          <w:b/>
          <w:bCs/>
          <w:lang w:val="fr-FR"/>
        </w:rPr>
        <w:t>’</w:t>
      </w:r>
      <w:r w:rsidRPr="005E6020">
        <w:rPr>
          <w:b/>
          <w:bCs/>
          <w:lang w:val="fr-FR"/>
        </w:rPr>
        <w:t>ADR et de l</w:t>
      </w:r>
      <w:r>
        <w:rPr>
          <w:b/>
          <w:bCs/>
          <w:lang w:val="fr-FR"/>
        </w:rPr>
        <w:t>’</w:t>
      </w:r>
      <w:r w:rsidRPr="005E6020">
        <w:rPr>
          <w:b/>
          <w:bCs/>
          <w:lang w:val="fr-FR"/>
        </w:rPr>
        <w:t>ADN</w:t>
      </w:r>
    </w:p>
    <w:p w14:paraId="0BAADC85" w14:textId="77777777" w:rsidR="00213458" w:rsidRPr="005E6020" w:rsidRDefault="00213458" w:rsidP="00213458">
      <w:pPr>
        <w:pStyle w:val="HChG"/>
        <w:rPr>
          <w:b w:val="0"/>
          <w:bCs/>
          <w:szCs w:val="28"/>
          <w:lang w:val="fr-FR"/>
        </w:rPr>
      </w:pPr>
      <w:r w:rsidRPr="005E6020">
        <w:rPr>
          <w:lang w:val="fr-FR"/>
        </w:rPr>
        <w:tab/>
      </w:r>
      <w:r w:rsidRPr="005E6020">
        <w:rPr>
          <w:lang w:val="fr-FR"/>
        </w:rPr>
        <w:tab/>
      </w:r>
      <w:r w:rsidRPr="005E6020">
        <w:rPr>
          <w:bCs/>
          <w:lang w:val="fr-FR"/>
        </w:rPr>
        <w:t>Agrément de grands récipients pour vrac modifiés</w:t>
      </w:r>
    </w:p>
    <w:p w14:paraId="34DAA313" w14:textId="136D9FB2" w:rsidR="00213458" w:rsidRPr="005E6020" w:rsidRDefault="00213458" w:rsidP="00213458">
      <w:pPr>
        <w:pStyle w:val="H1G"/>
        <w:tabs>
          <w:tab w:val="clear" w:pos="851"/>
        </w:tabs>
        <w:rPr>
          <w:szCs w:val="24"/>
          <w:lang w:val="fr-FR"/>
        </w:rPr>
      </w:pPr>
      <w:r w:rsidRPr="005E6020">
        <w:rPr>
          <w:lang w:val="fr-FR"/>
        </w:rPr>
        <w:tab/>
      </w:r>
      <w:r w:rsidRPr="005E6020">
        <w:rPr>
          <w:lang w:val="fr-FR"/>
        </w:rPr>
        <w:tab/>
      </w:r>
      <w:r w:rsidRPr="005E6020">
        <w:rPr>
          <w:bCs/>
          <w:lang w:val="fr-FR"/>
        </w:rPr>
        <w:t>Communication du Gouvernement néerlandais</w:t>
      </w:r>
      <w:r w:rsidRPr="00213458">
        <w:rPr>
          <w:rStyle w:val="Appelnotedebasdep"/>
          <w:b w:val="0"/>
          <w:sz w:val="20"/>
          <w:vertAlign w:val="baseline"/>
        </w:rPr>
        <w:footnoteReference w:customMarkFollows="1" w:id="2"/>
        <w:t>*</w:t>
      </w:r>
      <w:r w:rsidRPr="00213458">
        <w:rPr>
          <w:b w:val="0"/>
          <w:sz w:val="20"/>
          <w:vertAlign w:val="superscript"/>
        </w:rPr>
        <w:t xml:space="preserve">, </w:t>
      </w:r>
      <w:r w:rsidRPr="00213458">
        <w:rPr>
          <w:rStyle w:val="Appelnotedebasdep"/>
          <w:b w:val="0"/>
          <w:sz w:val="20"/>
          <w:vertAlign w:val="baseline"/>
        </w:rPr>
        <w:footnoteReference w:customMarkFollows="1" w:id="3"/>
        <w:t>**</w:t>
      </w:r>
    </w:p>
    <w:p w14:paraId="42AED1B1" w14:textId="77777777" w:rsidR="00213458" w:rsidRPr="005E6020" w:rsidRDefault="00213458" w:rsidP="00213458">
      <w:pPr>
        <w:pStyle w:val="HChG"/>
        <w:rPr>
          <w:lang w:val="fr-FR"/>
        </w:rPr>
      </w:pPr>
      <w:r w:rsidRPr="005E6020">
        <w:rPr>
          <w:lang w:val="fr-FR"/>
        </w:rPr>
        <w:tab/>
      </w:r>
      <w:r w:rsidRPr="005E6020">
        <w:rPr>
          <w:lang w:val="fr-FR"/>
        </w:rPr>
        <w:tab/>
      </w:r>
      <w:r w:rsidRPr="005E6020">
        <w:rPr>
          <w:bCs/>
          <w:lang w:val="fr-FR"/>
        </w:rPr>
        <w:t>Introduction</w:t>
      </w:r>
    </w:p>
    <w:p w14:paraId="47AF3935" w14:textId="77777777" w:rsidR="00213458" w:rsidRPr="005E6020" w:rsidRDefault="00213458" w:rsidP="00213458">
      <w:pPr>
        <w:pStyle w:val="SingleTxtG"/>
        <w:rPr>
          <w:lang w:val="fr-FR"/>
        </w:rPr>
      </w:pPr>
      <w:r w:rsidRPr="005E6020">
        <w:rPr>
          <w:lang w:val="fr-FR"/>
        </w:rPr>
        <w:t>1.</w:t>
      </w:r>
      <w:r w:rsidRPr="005E6020">
        <w:rPr>
          <w:lang w:val="fr-FR"/>
        </w:rPr>
        <w:tab/>
        <w:t>Aux Pays-Bas, des contrôles ont révélé l</w:t>
      </w:r>
      <w:r>
        <w:rPr>
          <w:lang w:val="fr-FR"/>
        </w:rPr>
        <w:t>’</w:t>
      </w:r>
      <w:r w:rsidRPr="005E6020">
        <w:rPr>
          <w:lang w:val="fr-FR"/>
        </w:rPr>
        <w:t>utilisation de grands récipients pour vrac (GRV) modifiés. Ces modifications n</w:t>
      </w:r>
      <w:r>
        <w:rPr>
          <w:lang w:val="fr-FR"/>
        </w:rPr>
        <w:t xml:space="preserve">’étaient </w:t>
      </w:r>
      <w:r w:rsidRPr="005E6020">
        <w:rPr>
          <w:lang w:val="fr-FR"/>
        </w:rPr>
        <w:t>pas conformes au modèle type sur lequel repos</w:t>
      </w:r>
      <w:r>
        <w:rPr>
          <w:lang w:val="fr-FR"/>
        </w:rPr>
        <w:t>ait</w:t>
      </w:r>
      <w:r w:rsidRPr="005E6020">
        <w:rPr>
          <w:lang w:val="fr-FR"/>
        </w:rPr>
        <w:t xml:space="preserve"> l</w:t>
      </w:r>
      <w:r>
        <w:rPr>
          <w:lang w:val="fr-FR"/>
        </w:rPr>
        <w:t>’</w:t>
      </w:r>
      <w:r w:rsidRPr="005E6020">
        <w:rPr>
          <w:lang w:val="fr-FR"/>
        </w:rPr>
        <w:t>agrément initial des GRV concernés. La question s</w:t>
      </w:r>
      <w:r>
        <w:rPr>
          <w:lang w:val="fr-FR"/>
        </w:rPr>
        <w:t>’</w:t>
      </w:r>
      <w:r w:rsidRPr="005E6020">
        <w:rPr>
          <w:lang w:val="fr-FR"/>
        </w:rPr>
        <w:t>est posée de savoir si ces GRV modifiés devaient être soumis à des épreuves supplémentaires (sur modèle type) en vue de leur agrément et de leur homologation de type et s</w:t>
      </w:r>
      <w:r>
        <w:rPr>
          <w:lang w:val="fr-FR"/>
        </w:rPr>
        <w:t>’</w:t>
      </w:r>
      <w:r w:rsidRPr="005E6020">
        <w:rPr>
          <w:lang w:val="fr-FR"/>
        </w:rPr>
        <w:t>ils devaient faire l</w:t>
      </w:r>
      <w:r>
        <w:rPr>
          <w:lang w:val="fr-FR"/>
        </w:rPr>
        <w:t>’</w:t>
      </w:r>
      <w:r w:rsidRPr="005E6020">
        <w:rPr>
          <w:lang w:val="fr-FR"/>
        </w:rPr>
        <w:t>objet d</w:t>
      </w:r>
      <w:r>
        <w:rPr>
          <w:lang w:val="fr-FR"/>
        </w:rPr>
        <w:t>’</w:t>
      </w:r>
      <w:r w:rsidRPr="005E6020">
        <w:rPr>
          <w:lang w:val="fr-FR"/>
        </w:rPr>
        <w:t>inspections et d</w:t>
      </w:r>
      <w:r>
        <w:rPr>
          <w:lang w:val="fr-FR"/>
        </w:rPr>
        <w:t>’</w:t>
      </w:r>
      <w:r w:rsidRPr="005E6020">
        <w:rPr>
          <w:lang w:val="fr-FR"/>
        </w:rPr>
        <w:t>épreuves initiales et périodiques.</w:t>
      </w:r>
    </w:p>
    <w:p w14:paraId="28329227" w14:textId="77777777" w:rsidR="00213458" w:rsidRPr="005E6020" w:rsidRDefault="00213458" w:rsidP="00213458">
      <w:pPr>
        <w:pStyle w:val="SingleTxtG"/>
        <w:rPr>
          <w:lang w:val="fr-FR"/>
        </w:rPr>
      </w:pPr>
      <w:r w:rsidRPr="005E6020">
        <w:rPr>
          <w:lang w:val="fr-FR"/>
        </w:rPr>
        <w:t>2.</w:t>
      </w:r>
      <w:r w:rsidRPr="005E6020">
        <w:rPr>
          <w:lang w:val="fr-FR"/>
        </w:rPr>
        <w:tab/>
        <w:t>Un exemple de modification apportée aux GRV est l</w:t>
      </w:r>
      <w:r>
        <w:rPr>
          <w:lang w:val="fr-FR"/>
        </w:rPr>
        <w:t>’</w:t>
      </w:r>
      <w:r w:rsidRPr="005E6020">
        <w:rPr>
          <w:lang w:val="fr-FR"/>
        </w:rPr>
        <w:t>installation de raccords dans le couvercle du trou d</w:t>
      </w:r>
      <w:r>
        <w:rPr>
          <w:lang w:val="fr-FR"/>
        </w:rPr>
        <w:t>’</w:t>
      </w:r>
      <w:r w:rsidRPr="005E6020">
        <w:rPr>
          <w:lang w:val="fr-FR"/>
        </w:rPr>
        <w:t>homme, afin de raccorder un tuyau haute pression pour une pompe ou un générateur. Ces raccords ne figuraient pas sur les plans du modèle type initial et ont été installés ultérieurement par l</w:t>
      </w:r>
      <w:r>
        <w:rPr>
          <w:lang w:val="fr-FR"/>
        </w:rPr>
        <w:t>’</w:t>
      </w:r>
      <w:r w:rsidRPr="005E6020">
        <w:rPr>
          <w:lang w:val="fr-FR"/>
        </w:rPr>
        <w:t>utilisateur.</w:t>
      </w:r>
    </w:p>
    <w:p w14:paraId="371DAB39" w14:textId="77777777" w:rsidR="00213458" w:rsidRPr="005E6020" w:rsidRDefault="00213458" w:rsidP="00213458">
      <w:pPr>
        <w:pStyle w:val="SingleTxtG"/>
        <w:rPr>
          <w:lang w:val="fr-FR"/>
        </w:rPr>
      </w:pPr>
      <w:r w:rsidRPr="005E6020">
        <w:rPr>
          <w:lang w:val="fr-FR"/>
        </w:rPr>
        <w:t>3.</w:t>
      </w:r>
      <w:r w:rsidRPr="005E6020">
        <w:rPr>
          <w:lang w:val="fr-FR"/>
        </w:rPr>
        <w:tab/>
        <w:t>Le fabricant de ces GRV a indiqué qu</w:t>
      </w:r>
      <w:r>
        <w:rPr>
          <w:lang w:val="fr-FR"/>
        </w:rPr>
        <w:t>’</w:t>
      </w:r>
      <w:r w:rsidRPr="005E6020">
        <w:rPr>
          <w:lang w:val="fr-FR"/>
        </w:rPr>
        <w:t>il n</w:t>
      </w:r>
      <w:r>
        <w:rPr>
          <w:lang w:val="fr-FR"/>
        </w:rPr>
        <w:t>’</w:t>
      </w:r>
      <w:r w:rsidRPr="005E6020">
        <w:rPr>
          <w:lang w:val="fr-FR"/>
        </w:rPr>
        <w:t>installait jamais de tels raccords dans le couvercle du trou d</w:t>
      </w:r>
      <w:r>
        <w:rPr>
          <w:lang w:val="fr-FR"/>
        </w:rPr>
        <w:t>’</w:t>
      </w:r>
      <w:r w:rsidRPr="005E6020">
        <w:rPr>
          <w:lang w:val="fr-FR"/>
        </w:rPr>
        <w:t>homme. Il semblerait que les GRV concernés n</w:t>
      </w:r>
      <w:r>
        <w:rPr>
          <w:lang w:val="fr-FR"/>
        </w:rPr>
        <w:t>’</w:t>
      </w:r>
      <w:r w:rsidRPr="005E6020">
        <w:rPr>
          <w:lang w:val="fr-FR"/>
        </w:rPr>
        <w:t>ait pas été réévalués après avoir été modifiés et qu</w:t>
      </w:r>
      <w:r>
        <w:rPr>
          <w:lang w:val="fr-FR"/>
        </w:rPr>
        <w:t>’</w:t>
      </w:r>
      <w:r w:rsidRPr="005E6020">
        <w:rPr>
          <w:lang w:val="fr-FR"/>
        </w:rPr>
        <w:t>aucune inspection (supplémentaire ou initiale) n</w:t>
      </w:r>
      <w:r>
        <w:rPr>
          <w:lang w:val="fr-FR"/>
        </w:rPr>
        <w:t>’</w:t>
      </w:r>
      <w:r w:rsidRPr="005E6020">
        <w:rPr>
          <w:lang w:val="fr-FR"/>
        </w:rPr>
        <w:t>ait été effectuée. En particulier, les matériaux et la méthode de soudage utilisés n</w:t>
      </w:r>
      <w:r>
        <w:rPr>
          <w:lang w:val="fr-FR"/>
        </w:rPr>
        <w:t>’</w:t>
      </w:r>
      <w:r w:rsidRPr="005E6020">
        <w:rPr>
          <w:lang w:val="fr-FR"/>
        </w:rPr>
        <w:t>ont pas été approuvés et aucune épreuve de pression hydraulique n</w:t>
      </w:r>
      <w:r>
        <w:rPr>
          <w:lang w:val="fr-FR"/>
        </w:rPr>
        <w:t>’</w:t>
      </w:r>
      <w:r w:rsidRPr="005E6020">
        <w:rPr>
          <w:lang w:val="fr-FR"/>
        </w:rPr>
        <w:t>a été exécutée. Il semblerait que les GRV aient ensuite été soumis à des épreuves périodiquement après la modification, conformément</w:t>
      </w:r>
      <w:r>
        <w:rPr>
          <w:lang w:val="fr-FR"/>
        </w:rPr>
        <w:t xml:space="preserve"> </w:t>
      </w:r>
      <w:r w:rsidRPr="005E6020">
        <w:rPr>
          <w:lang w:val="fr-FR"/>
        </w:rPr>
        <w:t>au 6.5.4.4.</w:t>
      </w:r>
    </w:p>
    <w:p w14:paraId="083E875F" w14:textId="77777777" w:rsidR="00213458" w:rsidRPr="005E6020" w:rsidRDefault="00213458" w:rsidP="00213458">
      <w:pPr>
        <w:pStyle w:val="SingleTxtG"/>
        <w:rPr>
          <w:lang w:val="fr-FR"/>
        </w:rPr>
      </w:pPr>
      <w:r w:rsidRPr="005E6020">
        <w:rPr>
          <w:lang w:val="fr-FR"/>
        </w:rPr>
        <w:t>4.</w:t>
      </w:r>
      <w:r w:rsidRPr="005E6020">
        <w:rPr>
          <w:lang w:val="fr-FR"/>
        </w:rPr>
        <w:tab/>
        <w:t>Selon le Gouvernement néerlandais, ces GRV modifiés ne répondent pas à la définition des GRV réparés (6.5.4.5) ni à celle des GRV rigides faisant l</w:t>
      </w:r>
      <w:r>
        <w:rPr>
          <w:lang w:val="fr-FR"/>
        </w:rPr>
        <w:t>’</w:t>
      </w:r>
      <w:r w:rsidRPr="005E6020">
        <w:rPr>
          <w:lang w:val="fr-FR"/>
        </w:rPr>
        <w:t>objet d</w:t>
      </w:r>
      <w:r>
        <w:rPr>
          <w:lang w:val="fr-FR"/>
        </w:rPr>
        <w:t>’</w:t>
      </w:r>
      <w:r w:rsidRPr="005E6020">
        <w:rPr>
          <w:lang w:val="fr-FR"/>
        </w:rPr>
        <w:t>un entretien régulier (1.2.1)</w:t>
      </w:r>
      <w:r>
        <w:rPr>
          <w:lang w:val="fr-FR"/>
        </w:rPr>
        <w:t xml:space="preserve"> ; en revanche, </w:t>
      </w:r>
      <w:r w:rsidRPr="005E6020">
        <w:rPr>
          <w:lang w:val="fr-FR"/>
        </w:rPr>
        <w:t>ils répondent à la définition des GRV reconstruits (1.2.1).</w:t>
      </w:r>
    </w:p>
    <w:p w14:paraId="61DBFCEF" w14:textId="77777777" w:rsidR="00213458" w:rsidRPr="005E6020" w:rsidRDefault="00213458" w:rsidP="00213458">
      <w:pPr>
        <w:pStyle w:val="SingleTxtG"/>
        <w:rPr>
          <w:lang w:val="fr-FR"/>
        </w:rPr>
      </w:pPr>
      <w:r w:rsidRPr="005E6020">
        <w:rPr>
          <w:lang w:val="fr-FR"/>
        </w:rPr>
        <w:t>5.</w:t>
      </w:r>
      <w:r w:rsidRPr="005E6020">
        <w:rPr>
          <w:lang w:val="fr-FR"/>
        </w:rPr>
        <w:tab/>
        <w:t>Selon le 1.2.1, les GRV reconstruits sont soumis aux mêmes prescriptions de l</w:t>
      </w:r>
      <w:r>
        <w:rPr>
          <w:lang w:val="fr-FR"/>
        </w:rPr>
        <w:t>’</w:t>
      </w:r>
      <w:r w:rsidRPr="005E6020">
        <w:rPr>
          <w:lang w:val="fr-FR"/>
        </w:rPr>
        <w:t>ADR qu</w:t>
      </w:r>
      <w:r>
        <w:rPr>
          <w:lang w:val="fr-FR"/>
        </w:rPr>
        <w:t>’</w:t>
      </w:r>
      <w:r w:rsidRPr="005E6020">
        <w:rPr>
          <w:lang w:val="fr-FR"/>
        </w:rPr>
        <w:t>un GRV neuf du même type (voir aussi la définition du modèle type au 6.5.6.1.1).</w:t>
      </w:r>
    </w:p>
    <w:p w14:paraId="4F834A38" w14:textId="77777777" w:rsidR="00213458" w:rsidRPr="005E6020" w:rsidRDefault="00213458" w:rsidP="00213458">
      <w:pPr>
        <w:spacing w:before="120" w:after="120"/>
        <w:ind w:left="1134" w:right="1134"/>
        <w:jc w:val="both"/>
        <w:rPr>
          <w:lang w:val="fr-FR"/>
        </w:rPr>
      </w:pPr>
      <w:r w:rsidRPr="005E6020">
        <w:rPr>
          <w:lang w:val="fr-FR"/>
        </w:rPr>
        <w:lastRenderedPageBreak/>
        <w:t>6.</w:t>
      </w:r>
      <w:r w:rsidRPr="005E6020">
        <w:rPr>
          <w:lang w:val="fr-FR"/>
        </w:rPr>
        <w:tab/>
        <w:t>Selon le Gouvernement néerlandais, un GRV modifié est en fait un GRV reconstruit et devrait subir la totalité des épreuves prévues au 6.5.6.3.7, comme un GRV neuf du même type, afin d</w:t>
      </w:r>
      <w:r>
        <w:rPr>
          <w:lang w:val="fr-FR"/>
        </w:rPr>
        <w:t>’</w:t>
      </w:r>
      <w:r w:rsidRPr="005E6020">
        <w:rPr>
          <w:lang w:val="fr-FR"/>
        </w:rPr>
        <w:t>être agréé, homologué et marqué de nouveau.</w:t>
      </w:r>
    </w:p>
    <w:p w14:paraId="7AC327AC" w14:textId="77777777" w:rsidR="00213458" w:rsidRPr="005E6020" w:rsidRDefault="00213458" w:rsidP="00213458">
      <w:pPr>
        <w:pStyle w:val="HChG"/>
        <w:rPr>
          <w:lang w:val="fr-FR"/>
        </w:rPr>
      </w:pPr>
      <w:r w:rsidRPr="005E6020">
        <w:rPr>
          <w:lang w:val="fr-FR"/>
        </w:rPr>
        <w:tab/>
      </w:r>
      <w:r w:rsidRPr="005E6020">
        <w:rPr>
          <w:lang w:val="fr-FR"/>
        </w:rPr>
        <w:tab/>
      </w:r>
      <w:r w:rsidRPr="005E6020">
        <w:rPr>
          <w:bCs/>
          <w:lang w:val="fr-FR"/>
        </w:rPr>
        <w:t>Demande</w:t>
      </w:r>
    </w:p>
    <w:p w14:paraId="2BD5EFD1" w14:textId="2000FA2B" w:rsidR="00213458" w:rsidRPr="005E6020" w:rsidRDefault="00213458" w:rsidP="00213458">
      <w:pPr>
        <w:spacing w:before="120" w:after="120"/>
        <w:ind w:left="1134" w:right="1134"/>
        <w:jc w:val="both"/>
        <w:rPr>
          <w:lang w:val="fr-FR"/>
        </w:rPr>
      </w:pPr>
      <w:r w:rsidRPr="005E6020">
        <w:rPr>
          <w:lang w:val="fr-FR"/>
        </w:rPr>
        <w:t>7.</w:t>
      </w:r>
      <w:r w:rsidRPr="005E6020">
        <w:rPr>
          <w:lang w:val="fr-FR"/>
        </w:rPr>
        <w:tab/>
        <w:t>La délégation néerlandaise souhaite connaître l</w:t>
      </w:r>
      <w:r>
        <w:rPr>
          <w:lang w:val="fr-FR"/>
        </w:rPr>
        <w:t>’</w:t>
      </w:r>
      <w:r w:rsidRPr="005E6020">
        <w:rPr>
          <w:lang w:val="fr-FR"/>
        </w:rPr>
        <w:t>avis des autres délégations sur cette question et savoir si elles souscrivent à l</w:t>
      </w:r>
      <w:r>
        <w:rPr>
          <w:lang w:val="fr-FR"/>
        </w:rPr>
        <w:t>’</w:t>
      </w:r>
      <w:r w:rsidRPr="005E6020">
        <w:rPr>
          <w:lang w:val="fr-FR"/>
        </w:rPr>
        <w:t>analyse et au point de vue exposés au paragraphe</w:t>
      </w:r>
      <w:r>
        <w:rPr>
          <w:lang w:val="fr-FR"/>
        </w:rPr>
        <w:t> </w:t>
      </w:r>
      <w:r w:rsidRPr="005E6020">
        <w:rPr>
          <w:lang w:val="fr-FR"/>
        </w:rPr>
        <w:t>6, et invite la Réunion commune à prendre les mesures qui lui semblent appropriées.</w:t>
      </w:r>
    </w:p>
    <w:p w14:paraId="495DE1FE" w14:textId="77777777" w:rsidR="00213458" w:rsidRPr="005E6020" w:rsidRDefault="00213458" w:rsidP="00A37E4F">
      <w:pPr>
        <w:pStyle w:val="HChG"/>
        <w:rPr>
          <w:lang w:val="fr-FR"/>
        </w:rPr>
      </w:pPr>
      <w:r w:rsidRPr="005E6020">
        <w:rPr>
          <w:lang w:val="fr-FR"/>
        </w:rPr>
        <w:tab/>
      </w:r>
      <w:r w:rsidRPr="005E6020">
        <w:rPr>
          <w:lang w:val="fr-FR"/>
        </w:rPr>
        <w:tab/>
      </w:r>
      <w:r w:rsidRPr="00A37E4F">
        <w:t>Justification</w:t>
      </w:r>
    </w:p>
    <w:p w14:paraId="09248B73" w14:textId="77777777" w:rsidR="00213458" w:rsidRDefault="00213458" w:rsidP="00213458">
      <w:pPr>
        <w:spacing w:before="120" w:after="120"/>
        <w:ind w:left="1134" w:right="1134"/>
        <w:jc w:val="both"/>
        <w:rPr>
          <w:lang w:val="fr-FR"/>
        </w:rPr>
      </w:pPr>
      <w:r w:rsidRPr="005E6020">
        <w:rPr>
          <w:lang w:val="fr-FR"/>
        </w:rPr>
        <w:t>8.</w:t>
      </w:r>
      <w:r w:rsidRPr="005E6020">
        <w:rPr>
          <w:lang w:val="fr-FR"/>
        </w:rPr>
        <w:tab/>
        <w:t>Le présent document vise à clarifier les modalités d</w:t>
      </w:r>
      <w:r>
        <w:rPr>
          <w:lang w:val="fr-FR"/>
        </w:rPr>
        <w:t>’</w:t>
      </w:r>
      <w:r w:rsidRPr="005E6020">
        <w:rPr>
          <w:lang w:val="fr-FR"/>
        </w:rPr>
        <w:t>application du RID et de l</w:t>
      </w:r>
      <w:r>
        <w:rPr>
          <w:lang w:val="fr-FR"/>
        </w:rPr>
        <w:t>’</w:t>
      </w:r>
      <w:r w:rsidRPr="005E6020">
        <w:rPr>
          <w:lang w:val="fr-FR"/>
        </w:rPr>
        <w:t>ADR dans le cas des GRV modifiés et à prévenir les situations dangereuses lors du transport de marchandises dangereuses dans de tels GRV.</w:t>
      </w:r>
    </w:p>
    <w:p w14:paraId="67E24F46" w14:textId="549C2B8E" w:rsidR="00F9573C" w:rsidRDefault="00213458" w:rsidP="00213458">
      <w:pPr>
        <w:spacing w:before="120" w:after="120"/>
        <w:ind w:left="1134" w:right="1134"/>
        <w:jc w:val="both"/>
        <w:rPr>
          <w:lang w:val="fr-FR"/>
        </w:rPr>
      </w:pPr>
      <w:r w:rsidRPr="005E6020">
        <w:rPr>
          <w:lang w:val="fr-FR"/>
        </w:rPr>
        <w:t>9.</w:t>
      </w:r>
      <w:r w:rsidRPr="005E6020">
        <w:rPr>
          <w:lang w:val="fr-FR"/>
        </w:rPr>
        <w:tab/>
        <w:t>Le fait d</w:t>
      </w:r>
      <w:r>
        <w:rPr>
          <w:lang w:val="fr-FR"/>
        </w:rPr>
        <w:t>’</w:t>
      </w:r>
      <w:r w:rsidRPr="005E6020">
        <w:rPr>
          <w:lang w:val="fr-FR"/>
        </w:rPr>
        <w:t>adopter une approche plus systématique et plus logique dans le RID et l</w:t>
      </w:r>
      <w:r>
        <w:rPr>
          <w:lang w:val="fr-FR"/>
        </w:rPr>
        <w:t>’</w:t>
      </w:r>
      <w:r w:rsidRPr="005E6020">
        <w:rPr>
          <w:lang w:val="fr-FR"/>
        </w:rPr>
        <w:t>ADR permet de clarifier le cadre juridique et d</w:t>
      </w:r>
      <w:r>
        <w:rPr>
          <w:lang w:val="fr-FR"/>
        </w:rPr>
        <w:t>’</w:t>
      </w:r>
      <w:r w:rsidRPr="005E6020">
        <w:rPr>
          <w:lang w:val="fr-FR"/>
        </w:rPr>
        <w:t>éviter que des critères différents soient appliqués selon les Parties contractantes ou les États parties et les services de contrôle, ce qui est conforme à l</w:t>
      </w:r>
      <w:r>
        <w:rPr>
          <w:lang w:val="fr-FR"/>
        </w:rPr>
        <w:t>’</w:t>
      </w:r>
      <w:r w:rsidRPr="005E6020">
        <w:rPr>
          <w:lang w:val="fr-FR"/>
        </w:rPr>
        <w:t>objectif de développement durable n</w:t>
      </w:r>
      <w:r w:rsidRPr="00213458">
        <w:rPr>
          <w:vertAlign w:val="superscript"/>
          <w:lang w:val="fr-FR"/>
        </w:rPr>
        <w:t>o</w:t>
      </w:r>
      <w:r>
        <w:rPr>
          <w:lang w:val="fr-FR"/>
        </w:rPr>
        <w:t> </w:t>
      </w:r>
      <w:r w:rsidRPr="005E6020">
        <w:rPr>
          <w:lang w:val="fr-FR"/>
        </w:rPr>
        <w:t>16 (Paix, justice et institutions efficaces).</w:t>
      </w:r>
    </w:p>
    <w:p w14:paraId="450556AC" w14:textId="7EB291C7" w:rsidR="00213458" w:rsidRPr="00213458" w:rsidRDefault="00213458" w:rsidP="00213458">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213458" w:rsidRPr="00213458" w:rsidSect="002134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0FB9" w14:textId="77777777" w:rsidR="001A1DF9" w:rsidRDefault="001A1DF9" w:rsidP="00F95C08">
      <w:pPr>
        <w:spacing w:line="240" w:lineRule="auto"/>
      </w:pPr>
    </w:p>
  </w:endnote>
  <w:endnote w:type="continuationSeparator" w:id="0">
    <w:p w14:paraId="0E8F9D6C" w14:textId="77777777" w:rsidR="001A1DF9" w:rsidRPr="00AC3823" w:rsidRDefault="001A1DF9" w:rsidP="00AC3823">
      <w:pPr>
        <w:pStyle w:val="Pieddepage"/>
      </w:pPr>
    </w:p>
  </w:endnote>
  <w:endnote w:type="continuationNotice" w:id="1">
    <w:p w14:paraId="560020BF" w14:textId="77777777" w:rsidR="001A1DF9" w:rsidRDefault="001A1D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0462" w14:textId="6203650B" w:rsidR="00213458" w:rsidRPr="00213458" w:rsidRDefault="00213458" w:rsidP="00213458">
    <w:pPr>
      <w:pStyle w:val="Pieddepage"/>
      <w:tabs>
        <w:tab w:val="right" w:pos="9638"/>
      </w:tabs>
    </w:pPr>
    <w:r w:rsidRPr="00213458">
      <w:rPr>
        <w:b/>
        <w:sz w:val="18"/>
      </w:rPr>
      <w:fldChar w:fldCharType="begin"/>
    </w:r>
    <w:r w:rsidRPr="00213458">
      <w:rPr>
        <w:b/>
        <w:sz w:val="18"/>
      </w:rPr>
      <w:instrText xml:space="preserve"> PAGE  \* MERGEFORMAT </w:instrText>
    </w:r>
    <w:r w:rsidRPr="00213458">
      <w:rPr>
        <w:b/>
        <w:sz w:val="18"/>
      </w:rPr>
      <w:fldChar w:fldCharType="separate"/>
    </w:r>
    <w:r w:rsidRPr="00213458">
      <w:rPr>
        <w:b/>
        <w:noProof/>
        <w:sz w:val="18"/>
      </w:rPr>
      <w:t>2</w:t>
    </w:r>
    <w:r w:rsidRPr="00213458">
      <w:rPr>
        <w:b/>
        <w:sz w:val="18"/>
      </w:rPr>
      <w:fldChar w:fldCharType="end"/>
    </w:r>
    <w:r>
      <w:rPr>
        <w:b/>
        <w:sz w:val="18"/>
      </w:rPr>
      <w:tab/>
    </w:r>
    <w:r>
      <w:t>GE.23-12406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7A44" w14:textId="0F0CE058" w:rsidR="00213458" w:rsidRPr="00213458" w:rsidRDefault="00213458" w:rsidP="00213458">
    <w:pPr>
      <w:pStyle w:val="Pieddepage"/>
      <w:tabs>
        <w:tab w:val="right" w:pos="9638"/>
      </w:tabs>
      <w:rPr>
        <w:b/>
        <w:sz w:val="18"/>
      </w:rPr>
    </w:pPr>
    <w:r>
      <w:t>GE.23-12406</w:t>
    </w:r>
    <w:r>
      <w:tab/>
    </w:r>
    <w:r w:rsidRPr="00213458">
      <w:rPr>
        <w:b/>
        <w:sz w:val="18"/>
      </w:rPr>
      <w:fldChar w:fldCharType="begin"/>
    </w:r>
    <w:r w:rsidRPr="00213458">
      <w:rPr>
        <w:b/>
        <w:sz w:val="18"/>
      </w:rPr>
      <w:instrText xml:space="preserve"> PAGE  \* MERGEFORMAT </w:instrText>
    </w:r>
    <w:r w:rsidRPr="00213458">
      <w:rPr>
        <w:b/>
        <w:sz w:val="18"/>
      </w:rPr>
      <w:fldChar w:fldCharType="separate"/>
    </w:r>
    <w:r w:rsidRPr="00213458">
      <w:rPr>
        <w:b/>
        <w:noProof/>
        <w:sz w:val="18"/>
      </w:rPr>
      <w:t>3</w:t>
    </w:r>
    <w:r w:rsidRPr="002134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E68B" w14:textId="22C0B03D" w:rsidR="007F20FA" w:rsidRPr="00213458" w:rsidRDefault="00213458" w:rsidP="0021345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8642121" wp14:editId="42E7850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23-12406  (F)</w:t>
    </w:r>
    <w:r>
      <w:rPr>
        <w:noProof/>
        <w:sz w:val="20"/>
      </w:rPr>
      <w:drawing>
        <wp:anchor distT="0" distB="0" distL="114300" distR="114300" simplePos="0" relativeHeight="251660288" behindDoc="0" locked="0" layoutInCell="1" allowOverlap="1" wp14:anchorId="2D47F282" wp14:editId="1075F41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210723    240723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5E8F" w14:textId="77777777" w:rsidR="001A1DF9" w:rsidRPr="00AC3823" w:rsidRDefault="001A1DF9" w:rsidP="00AC3823">
      <w:pPr>
        <w:pStyle w:val="Pieddepage"/>
        <w:tabs>
          <w:tab w:val="right" w:pos="2155"/>
        </w:tabs>
        <w:spacing w:after="80" w:line="240" w:lineRule="atLeast"/>
        <w:ind w:left="680"/>
        <w:rPr>
          <w:u w:val="single"/>
        </w:rPr>
      </w:pPr>
      <w:r>
        <w:rPr>
          <w:u w:val="single"/>
        </w:rPr>
        <w:tab/>
      </w:r>
    </w:p>
  </w:footnote>
  <w:footnote w:type="continuationSeparator" w:id="0">
    <w:p w14:paraId="7C2FD577" w14:textId="77777777" w:rsidR="001A1DF9" w:rsidRPr="00AC3823" w:rsidRDefault="001A1DF9" w:rsidP="00AC3823">
      <w:pPr>
        <w:pStyle w:val="Pieddepage"/>
        <w:tabs>
          <w:tab w:val="right" w:pos="2155"/>
        </w:tabs>
        <w:spacing w:after="80" w:line="240" w:lineRule="atLeast"/>
        <w:ind w:left="680"/>
        <w:rPr>
          <w:u w:val="single"/>
        </w:rPr>
      </w:pPr>
      <w:r>
        <w:rPr>
          <w:u w:val="single"/>
        </w:rPr>
        <w:tab/>
      </w:r>
    </w:p>
  </w:footnote>
  <w:footnote w:type="continuationNotice" w:id="1">
    <w:p w14:paraId="47A0FC58" w14:textId="77777777" w:rsidR="001A1DF9" w:rsidRPr="00AC3823" w:rsidRDefault="001A1DF9">
      <w:pPr>
        <w:spacing w:line="240" w:lineRule="auto"/>
        <w:rPr>
          <w:sz w:val="2"/>
          <w:szCs w:val="2"/>
        </w:rPr>
      </w:pPr>
    </w:p>
  </w:footnote>
  <w:footnote w:id="2">
    <w:p w14:paraId="42633E90" w14:textId="3886B49F" w:rsidR="00213458" w:rsidRPr="00213458" w:rsidRDefault="00213458">
      <w:pPr>
        <w:pStyle w:val="Notedebasdepage"/>
      </w:pPr>
      <w:r>
        <w:rPr>
          <w:rStyle w:val="Appelnotedebasdep"/>
        </w:rPr>
        <w:tab/>
      </w:r>
      <w:r w:rsidRPr="00213458">
        <w:rPr>
          <w:rStyle w:val="Appelnotedebasdep"/>
          <w:sz w:val="20"/>
          <w:vertAlign w:val="baseline"/>
        </w:rPr>
        <w:t>*</w:t>
      </w:r>
      <w:r>
        <w:rPr>
          <w:rStyle w:val="Appelnotedebasdep"/>
          <w:sz w:val="20"/>
          <w:vertAlign w:val="baseline"/>
        </w:rPr>
        <w:tab/>
      </w:r>
      <w:r>
        <w:rPr>
          <w:lang w:val="fr-FR"/>
        </w:rPr>
        <w:t>A/77/6 (Sect. 20), tableau 20.6.</w:t>
      </w:r>
    </w:p>
  </w:footnote>
  <w:footnote w:id="3">
    <w:p w14:paraId="1CF133BD" w14:textId="49B14FB0" w:rsidR="00213458" w:rsidRPr="00213458" w:rsidRDefault="00213458">
      <w:pPr>
        <w:pStyle w:val="Notedebasdepage"/>
      </w:pPr>
      <w:r>
        <w:rPr>
          <w:rStyle w:val="Appelnotedebasdep"/>
        </w:rPr>
        <w:tab/>
      </w:r>
      <w:r w:rsidRPr="00213458">
        <w:rPr>
          <w:rStyle w:val="Appelnotedebasdep"/>
          <w:sz w:val="20"/>
          <w:vertAlign w:val="baseline"/>
        </w:rPr>
        <w:t>**</w:t>
      </w:r>
      <w:r>
        <w:rPr>
          <w:rStyle w:val="Appelnotedebasdep"/>
          <w:sz w:val="20"/>
          <w:vertAlign w:val="baseline"/>
        </w:rPr>
        <w:tab/>
      </w:r>
      <w:r>
        <w:rPr>
          <w:lang w:val="fr-FR"/>
        </w:rPr>
        <w:tab/>
        <w:t>Diffusée par l’Organisation intergouvernementale pour les transports internationaux ferroviaires (OTIF) sous la cote OTIF/RID/RC/2023/31.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676F" w14:textId="6438C30A" w:rsidR="00213458" w:rsidRPr="00213458" w:rsidRDefault="00213458">
    <w:pPr>
      <w:pStyle w:val="En-tte"/>
    </w:pPr>
    <w:fldSimple w:instr=" TITLE  \* MERGEFORMAT ">
      <w:r>
        <w:t>ECE/TRANS/WP.15/AC.1/2023/31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6646" w14:textId="4FBFE33F" w:rsidR="00213458" w:rsidRPr="00213458" w:rsidRDefault="00213458" w:rsidP="00213458">
    <w:pPr>
      <w:pStyle w:val="En-tte"/>
      <w:jc w:val="right"/>
    </w:pPr>
    <w:fldSimple w:instr=" TITLE  \* MERGEFORMAT ">
      <w:r>
        <w:t>ECE/TRANS/WP.15/AC.1/2023/31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F9"/>
    <w:rsid w:val="00017F94"/>
    <w:rsid w:val="00023842"/>
    <w:rsid w:val="000334F9"/>
    <w:rsid w:val="00045FEB"/>
    <w:rsid w:val="0007796D"/>
    <w:rsid w:val="000B7790"/>
    <w:rsid w:val="00111F2F"/>
    <w:rsid w:val="0014365E"/>
    <w:rsid w:val="00143C66"/>
    <w:rsid w:val="00176178"/>
    <w:rsid w:val="001A1DF9"/>
    <w:rsid w:val="001F525A"/>
    <w:rsid w:val="00201148"/>
    <w:rsid w:val="0021345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F413B"/>
    <w:rsid w:val="0071601D"/>
    <w:rsid w:val="007A62E6"/>
    <w:rsid w:val="007F20FA"/>
    <w:rsid w:val="0080684C"/>
    <w:rsid w:val="00871C75"/>
    <w:rsid w:val="008776DC"/>
    <w:rsid w:val="008D5EF9"/>
    <w:rsid w:val="009446C0"/>
    <w:rsid w:val="009705C8"/>
    <w:rsid w:val="009C1CF4"/>
    <w:rsid w:val="009F6B74"/>
    <w:rsid w:val="00A3029F"/>
    <w:rsid w:val="00A30353"/>
    <w:rsid w:val="00A37E4F"/>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8FBF0"/>
  <w15:docId w15:val="{A04D871B-A48B-47C8-8730-90F99A66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21345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543</Words>
  <Characters>2967</Characters>
  <Application>Microsoft Office Word</Application>
  <DocSecurity>0</DocSecurity>
  <Lines>59</Lines>
  <Paragraphs>33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ECE/TRANS/WP.15/AC.1/2023/31</dc:title>
  <dc:subject/>
  <dc:creator>Marie DESCHAMPS</dc:creator>
  <cp:keywords/>
  <cp:lastModifiedBy>Marie Deschamps</cp:lastModifiedBy>
  <cp:revision>2</cp:revision>
  <cp:lastPrinted>2014-05-14T10:59:00Z</cp:lastPrinted>
  <dcterms:created xsi:type="dcterms:W3CDTF">2023-07-24T07:53:00Z</dcterms:created>
  <dcterms:modified xsi:type="dcterms:W3CDTF">2023-07-24T07:53:00Z</dcterms:modified>
</cp:coreProperties>
</file>