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860D34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F9D213" w14:textId="77777777" w:rsidR="00F35BAF" w:rsidRPr="00DB58B5" w:rsidRDefault="00F35BAF" w:rsidP="0064073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FCE8B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795939" w14:textId="11BA83E0" w:rsidR="00F35BAF" w:rsidRPr="00DB58B5" w:rsidRDefault="0064073A" w:rsidP="0064073A">
            <w:pPr>
              <w:jc w:val="right"/>
            </w:pPr>
            <w:r w:rsidRPr="0064073A">
              <w:rPr>
                <w:sz w:val="40"/>
              </w:rPr>
              <w:t>ECE</w:t>
            </w:r>
            <w:r>
              <w:t>/TRANS/WP.15/AC.1/2023/30</w:t>
            </w:r>
          </w:p>
        </w:tc>
      </w:tr>
      <w:tr w:rsidR="00F35BAF" w:rsidRPr="00DB58B5" w14:paraId="5AF3AD8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94F52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02A1A9B" wp14:editId="1A4B93B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8E784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3FF9B8" w14:textId="77777777" w:rsidR="00F35BAF" w:rsidRDefault="0064073A" w:rsidP="00C97039">
            <w:pPr>
              <w:spacing w:before="240"/>
            </w:pPr>
            <w:r>
              <w:t>Distr. générale</w:t>
            </w:r>
          </w:p>
          <w:p w14:paraId="21CE6EE7" w14:textId="77777777" w:rsidR="0064073A" w:rsidRDefault="0064073A" w:rsidP="0064073A">
            <w:pPr>
              <w:spacing w:line="240" w:lineRule="exact"/>
            </w:pPr>
            <w:r>
              <w:t>27 juin 2023</w:t>
            </w:r>
          </w:p>
          <w:p w14:paraId="2E276656" w14:textId="77777777" w:rsidR="0064073A" w:rsidRDefault="0064073A" w:rsidP="0064073A">
            <w:pPr>
              <w:spacing w:line="240" w:lineRule="exact"/>
            </w:pPr>
            <w:r>
              <w:t>Français</w:t>
            </w:r>
          </w:p>
          <w:p w14:paraId="7AA9B0E1" w14:textId="3044F25E" w:rsidR="0064073A" w:rsidRPr="00DB58B5" w:rsidRDefault="0064073A" w:rsidP="0064073A">
            <w:pPr>
              <w:spacing w:line="240" w:lineRule="exact"/>
            </w:pPr>
            <w:r>
              <w:t>Original : anglais</w:t>
            </w:r>
          </w:p>
        </w:tc>
      </w:tr>
    </w:tbl>
    <w:p w14:paraId="515630A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2961BA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B61DBCB" w14:textId="77777777" w:rsidR="0064073A" w:rsidRPr="0064073A" w:rsidRDefault="0064073A" w:rsidP="0064073A">
      <w:pPr>
        <w:spacing w:before="120"/>
        <w:rPr>
          <w:b/>
          <w:sz w:val="24"/>
          <w:szCs w:val="24"/>
          <w:lang w:val="fr-FR"/>
        </w:rPr>
      </w:pPr>
      <w:r w:rsidRPr="0064073A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1439CDEB" w14:textId="4FAD5530" w:rsidR="0064073A" w:rsidRPr="00313A1B" w:rsidRDefault="0064073A" w:rsidP="0064073A">
      <w:pPr>
        <w:spacing w:before="120"/>
        <w:rPr>
          <w:b/>
          <w:lang w:val="fr-FR"/>
        </w:rPr>
      </w:pPr>
      <w:r w:rsidRPr="00313A1B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313A1B">
        <w:rPr>
          <w:b/>
          <w:bCs/>
          <w:lang w:val="fr-FR"/>
        </w:rPr>
        <w:t xml:space="preserve">experts du RID et du Groupe </w:t>
      </w:r>
      <w:r>
        <w:rPr>
          <w:b/>
          <w:bCs/>
          <w:lang w:val="fr-FR"/>
        </w:rPr>
        <w:br/>
      </w:r>
      <w:r w:rsidRPr="00313A1B">
        <w:rPr>
          <w:b/>
          <w:bCs/>
          <w:lang w:val="fr-FR"/>
        </w:rPr>
        <w:t>de travail des transports de marchandises dangereuses</w:t>
      </w:r>
    </w:p>
    <w:p w14:paraId="089D7BAE" w14:textId="77CC9A44" w:rsidR="0064073A" w:rsidRPr="00313A1B" w:rsidRDefault="0064073A" w:rsidP="0064073A">
      <w:pPr>
        <w:rPr>
          <w:lang w:val="fr-FR"/>
        </w:rPr>
      </w:pPr>
      <w:r w:rsidRPr="00313A1B">
        <w:rPr>
          <w:lang w:val="fr-FR"/>
        </w:rPr>
        <w:t>Genève, 19</w:t>
      </w:r>
      <w:r>
        <w:rPr>
          <w:lang w:val="fr-FR"/>
        </w:rPr>
        <w:noBreakHyphen/>
      </w:r>
      <w:r w:rsidRPr="00313A1B">
        <w:rPr>
          <w:lang w:val="fr-FR"/>
        </w:rPr>
        <w:t>29</w:t>
      </w:r>
      <w:r>
        <w:rPr>
          <w:lang w:val="fr-FR"/>
        </w:rPr>
        <w:t> </w:t>
      </w:r>
      <w:r w:rsidRPr="00313A1B">
        <w:rPr>
          <w:lang w:val="fr-FR"/>
        </w:rPr>
        <w:t>septembre 2023</w:t>
      </w:r>
    </w:p>
    <w:p w14:paraId="1C9E6461" w14:textId="6407F300" w:rsidR="0064073A" w:rsidRPr="00313A1B" w:rsidRDefault="0064073A" w:rsidP="0064073A">
      <w:pPr>
        <w:rPr>
          <w:lang w:val="fr-FR"/>
        </w:rPr>
      </w:pPr>
      <w:r w:rsidRPr="00313A1B">
        <w:rPr>
          <w:lang w:val="fr-FR"/>
        </w:rPr>
        <w:t>Point</w:t>
      </w:r>
      <w:r>
        <w:rPr>
          <w:lang w:val="fr-FR"/>
        </w:rPr>
        <w:t> </w:t>
      </w:r>
      <w:r w:rsidRPr="00313A1B">
        <w:rPr>
          <w:lang w:val="fr-FR"/>
        </w:rPr>
        <w:t>2 de l</w:t>
      </w:r>
      <w:r>
        <w:rPr>
          <w:lang w:val="fr-FR"/>
        </w:rPr>
        <w:t>’</w:t>
      </w:r>
      <w:r w:rsidRPr="00313A1B">
        <w:rPr>
          <w:lang w:val="fr-FR"/>
        </w:rPr>
        <w:t>ordre du jour provisoire</w:t>
      </w:r>
    </w:p>
    <w:p w14:paraId="037DB07D" w14:textId="77777777" w:rsidR="0064073A" w:rsidRPr="00313A1B" w:rsidRDefault="0064073A" w:rsidP="0064073A">
      <w:pPr>
        <w:rPr>
          <w:b/>
          <w:bCs/>
          <w:lang w:val="fr-FR"/>
        </w:rPr>
      </w:pPr>
      <w:r w:rsidRPr="00313A1B">
        <w:rPr>
          <w:b/>
          <w:bCs/>
          <w:lang w:val="fr-FR"/>
        </w:rPr>
        <w:t>Citernes</w:t>
      </w:r>
    </w:p>
    <w:p w14:paraId="07E85752" w14:textId="77777777" w:rsidR="0064073A" w:rsidRPr="0064073A" w:rsidRDefault="0064073A" w:rsidP="0064073A">
      <w:pPr>
        <w:pStyle w:val="HChG"/>
      </w:pPr>
      <w:r w:rsidRPr="0064073A">
        <w:tab/>
      </w:r>
      <w:r w:rsidRPr="0064073A">
        <w:tab/>
        <w:t>Obligations des services internes d’inspection</w:t>
      </w:r>
    </w:p>
    <w:p w14:paraId="776AA932" w14:textId="0A0BE5DA" w:rsidR="0064073A" w:rsidRPr="00313A1B" w:rsidRDefault="0064073A" w:rsidP="0064073A">
      <w:pPr>
        <w:pStyle w:val="H1G"/>
        <w:rPr>
          <w:szCs w:val="24"/>
          <w:lang w:val="fr-FR"/>
        </w:rPr>
      </w:pPr>
      <w:r w:rsidRPr="00313A1B">
        <w:rPr>
          <w:lang w:val="fr-FR"/>
        </w:rPr>
        <w:tab/>
      </w:r>
      <w:r w:rsidRPr="00313A1B">
        <w:rPr>
          <w:lang w:val="fr-FR"/>
        </w:rPr>
        <w:tab/>
      </w:r>
      <w:r w:rsidRPr="00313A1B">
        <w:rPr>
          <w:bCs/>
          <w:lang w:val="fr-FR"/>
        </w:rPr>
        <w:t>Communication du Gouvernement néerlandais</w:t>
      </w:r>
      <w:r w:rsidRPr="0064073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64073A">
        <w:rPr>
          <w:b w:val="0"/>
          <w:vertAlign w:val="superscript"/>
          <w:lang w:val="fr-FR"/>
        </w:rPr>
        <w:t>,</w:t>
      </w:r>
      <w:r w:rsidR="00E15624" w:rsidRPr="00E15624">
        <w:rPr>
          <w:rStyle w:val="Appelnotedebasdep"/>
          <w:sz w:val="20"/>
          <w:vertAlign w:val="baseline"/>
        </w:rPr>
        <w:t xml:space="preserve"> </w:t>
      </w:r>
      <w:r w:rsidRPr="0064073A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14:paraId="51E9DD26" w14:textId="77777777" w:rsidR="0064073A" w:rsidRPr="00313A1B" w:rsidRDefault="0064073A" w:rsidP="0064073A">
      <w:pPr>
        <w:pStyle w:val="HChG"/>
        <w:rPr>
          <w:lang w:val="fr-FR"/>
        </w:rPr>
      </w:pPr>
      <w:r w:rsidRPr="00313A1B">
        <w:rPr>
          <w:lang w:val="fr-FR"/>
        </w:rPr>
        <w:tab/>
      </w:r>
      <w:r w:rsidRPr="00313A1B">
        <w:rPr>
          <w:lang w:val="fr-FR"/>
        </w:rPr>
        <w:tab/>
      </w:r>
      <w:r w:rsidRPr="00313A1B">
        <w:rPr>
          <w:bCs/>
          <w:lang w:val="fr-FR"/>
        </w:rPr>
        <w:t>Introduction</w:t>
      </w:r>
    </w:p>
    <w:p w14:paraId="13D5C98F" w14:textId="3312458D" w:rsidR="0064073A" w:rsidRPr="00313A1B" w:rsidRDefault="0064073A" w:rsidP="0064073A">
      <w:pPr>
        <w:pStyle w:val="SingleTxtG"/>
        <w:rPr>
          <w:lang w:val="fr-FR"/>
        </w:rPr>
      </w:pPr>
      <w:r w:rsidRPr="00313A1B">
        <w:rPr>
          <w:lang w:val="fr-FR"/>
        </w:rPr>
        <w:t>1.</w:t>
      </w:r>
      <w:r w:rsidRPr="00313A1B">
        <w:rPr>
          <w:lang w:val="fr-FR"/>
        </w:rPr>
        <w:tab/>
        <w:t>Le 1.8.6 du RID et de l</w:t>
      </w:r>
      <w:r>
        <w:rPr>
          <w:lang w:val="fr-FR"/>
        </w:rPr>
        <w:t>’</w:t>
      </w:r>
      <w:r w:rsidRPr="00313A1B">
        <w:rPr>
          <w:lang w:val="fr-FR"/>
        </w:rPr>
        <w:t>ADR énonce les obligations qui incombent aux autorités compétentes et aux organismes de contrôle. Toutefois, les services internes d</w:t>
      </w:r>
      <w:r>
        <w:rPr>
          <w:lang w:val="fr-FR"/>
        </w:rPr>
        <w:t>’</w:t>
      </w:r>
      <w:r w:rsidRPr="00313A1B">
        <w:rPr>
          <w:lang w:val="fr-FR"/>
        </w:rPr>
        <w:t xml:space="preserve">inspection ont des responsabilités qui leur sont propres, semblables à celles des organismes de contrôle mais avec </w:t>
      </w:r>
      <w:r w:rsidRPr="008B0F01">
        <w:rPr>
          <w:lang w:val="fr-FR"/>
        </w:rPr>
        <w:t>un champ d’application limité, comme il est indiqué au</w:t>
      </w:r>
      <w:r w:rsidRPr="008B0F01">
        <w:rPr>
          <w:lang w:val="fr-FR"/>
        </w:rPr>
        <w:t> </w:t>
      </w:r>
      <w:r w:rsidRPr="008B0F01">
        <w:rPr>
          <w:lang w:val="fr-FR"/>
        </w:rPr>
        <w:t>6.2.2.12, au</w:t>
      </w:r>
      <w:r w:rsidR="00E770BB" w:rsidRPr="008B0F01">
        <w:rPr>
          <w:lang w:val="fr-FR"/>
        </w:rPr>
        <w:t> </w:t>
      </w:r>
      <w:r w:rsidRPr="008B0F01">
        <w:rPr>
          <w:lang w:val="fr-FR"/>
        </w:rPr>
        <w:t>6.2.3.6.1, au</w:t>
      </w:r>
      <w:r w:rsidRPr="008B0F01">
        <w:rPr>
          <w:lang w:val="fr-FR"/>
        </w:rPr>
        <w:t> </w:t>
      </w:r>
      <w:r w:rsidRPr="008B0F01">
        <w:rPr>
          <w:lang w:val="fr-FR"/>
        </w:rPr>
        <w:t>6.8.1.5.3</w:t>
      </w:r>
      <w:r w:rsidR="008B21C6" w:rsidRPr="008B0F01">
        <w:rPr>
          <w:lang w:val="fr-FR"/>
        </w:rPr>
        <w:t> </w:t>
      </w:r>
      <w:r w:rsidRPr="008B0F01">
        <w:rPr>
          <w:lang w:val="fr-FR"/>
        </w:rPr>
        <w:t>b) et au</w:t>
      </w:r>
      <w:r w:rsidRPr="00313A1B">
        <w:rPr>
          <w:lang w:val="fr-FR"/>
        </w:rPr>
        <w:t xml:space="preserve"> 6.8.1.5.4.</w:t>
      </w:r>
    </w:p>
    <w:p w14:paraId="0BA222C2" w14:textId="77777777" w:rsidR="0064073A" w:rsidRPr="00313A1B" w:rsidRDefault="0064073A" w:rsidP="0064073A">
      <w:pPr>
        <w:pStyle w:val="SingleTxtG"/>
        <w:rPr>
          <w:lang w:val="fr-FR"/>
        </w:rPr>
      </w:pPr>
      <w:r w:rsidRPr="00313A1B">
        <w:rPr>
          <w:lang w:val="fr-FR"/>
        </w:rPr>
        <w:t>2.</w:t>
      </w:r>
      <w:r w:rsidRPr="00313A1B">
        <w:rPr>
          <w:lang w:val="fr-FR"/>
        </w:rPr>
        <w:tab/>
        <w:t>L</w:t>
      </w:r>
      <w:r>
        <w:rPr>
          <w:lang w:val="fr-FR"/>
        </w:rPr>
        <w:t>’</w:t>
      </w:r>
      <w:r w:rsidRPr="00313A1B">
        <w:rPr>
          <w:lang w:val="fr-FR"/>
        </w:rPr>
        <w:t>organisme de contrôle peut être tenu responsable de la supervision du service interne d</w:t>
      </w:r>
      <w:r>
        <w:rPr>
          <w:lang w:val="fr-FR"/>
        </w:rPr>
        <w:t>’</w:t>
      </w:r>
      <w:r w:rsidRPr="00313A1B">
        <w:rPr>
          <w:lang w:val="fr-FR"/>
        </w:rPr>
        <w:t>inspection, mais il n</w:t>
      </w:r>
      <w:r>
        <w:rPr>
          <w:lang w:val="fr-FR"/>
        </w:rPr>
        <w:t>’</w:t>
      </w:r>
      <w:r w:rsidRPr="00313A1B">
        <w:rPr>
          <w:lang w:val="fr-FR"/>
        </w:rPr>
        <w:t>est pas responsable de chaque inspection que ce service est autorisé à effectuer.</w:t>
      </w:r>
    </w:p>
    <w:p w14:paraId="661C1B9B" w14:textId="48B49C3C" w:rsidR="0064073A" w:rsidRPr="00313A1B" w:rsidRDefault="0064073A" w:rsidP="0064073A">
      <w:pPr>
        <w:pStyle w:val="HChG"/>
        <w:rPr>
          <w:lang w:val="fr-FR"/>
        </w:rPr>
      </w:pPr>
      <w:r w:rsidRPr="00313A1B">
        <w:rPr>
          <w:lang w:val="fr-FR"/>
        </w:rPr>
        <w:tab/>
      </w:r>
      <w:r w:rsidRPr="00313A1B">
        <w:rPr>
          <w:lang w:val="fr-FR"/>
        </w:rPr>
        <w:tab/>
      </w:r>
      <w:r w:rsidRPr="00313A1B">
        <w:rPr>
          <w:bCs/>
          <w:lang w:val="fr-FR"/>
        </w:rPr>
        <w:t>Proposition</w:t>
      </w:r>
      <w:r>
        <w:rPr>
          <w:bCs/>
          <w:lang w:val="fr-FR"/>
        </w:rPr>
        <w:t> </w:t>
      </w:r>
      <w:r w:rsidRPr="00313A1B">
        <w:rPr>
          <w:bCs/>
          <w:lang w:val="fr-FR"/>
        </w:rPr>
        <w:t>1</w:t>
      </w:r>
    </w:p>
    <w:p w14:paraId="5F5BECD0" w14:textId="76FFB493" w:rsidR="0064073A" w:rsidRPr="00313A1B" w:rsidRDefault="0064073A" w:rsidP="0064073A">
      <w:pPr>
        <w:pStyle w:val="SingleTxtG"/>
        <w:rPr>
          <w:lang w:val="fr-FR"/>
        </w:rPr>
      </w:pPr>
      <w:r w:rsidRPr="00313A1B">
        <w:rPr>
          <w:lang w:val="fr-FR"/>
        </w:rPr>
        <w:t>3.</w:t>
      </w:r>
      <w:r w:rsidRPr="00313A1B">
        <w:rPr>
          <w:lang w:val="fr-FR"/>
        </w:rPr>
        <w:tab/>
        <w:t>Ajouter une nouvelle sous</w:t>
      </w:r>
      <w:r>
        <w:rPr>
          <w:lang w:val="fr-FR"/>
        </w:rPr>
        <w:noBreakHyphen/>
      </w:r>
      <w:r w:rsidRPr="00313A1B">
        <w:rPr>
          <w:lang w:val="fr-FR"/>
        </w:rPr>
        <w:t>section</w:t>
      </w:r>
      <w:r>
        <w:rPr>
          <w:lang w:val="fr-FR"/>
        </w:rPr>
        <w:t> </w:t>
      </w:r>
      <w:r w:rsidRPr="00313A1B">
        <w:rPr>
          <w:lang w:val="fr-FR"/>
        </w:rPr>
        <w:t xml:space="preserve">1.8.6.4 dans le </w:t>
      </w:r>
      <w:r w:rsidRPr="00C036A3">
        <w:rPr>
          <w:lang w:val="fr-FR"/>
        </w:rPr>
        <w:t xml:space="preserve">RID et </w:t>
      </w:r>
      <w:r w:rsidR="00C036A3" w:rsidRPr="00C036A3">
        <w:rPr>
          <w:lang w:val="fr-FR"/>
        </w:rPr>
        <w:t>l’</w:t>
      </w:r>
      <w:r w:rsidRPr="00C036A3">
        <w:rPr>
          <w:lang w:val="fr-FR"/>
        </w:rPr>
        <w:t>AD</w:t>
      </w:r>
      <w:r w:rsidRPr="00313A1B">
        <w:rPr>
          <w:lang w:val="fr-FR"/>
        </w:rPr>
        <w:t>R, libellée comme suit (les ajouts sont soulignés) :</w:t>
      </w:r>
    </w:p>
    <w:p w14:paraId="6498C9CB" w14:textId="64D83BE1" w:rsidR="0064073A" w:rsidRPr="00313A1B" w:rsidRDefault="0064073A" w:rsidP="0064073A">
      <w:pPr>
        <w:pStyle w:val="SingleTxtG"/>
        <w:rPr>
          <w:lang w:val="fr-FR"/>
        </w:rPr>
      </w:pPr>
      <w:r w:rsidRPr="008B21C6">
        <w:rPr>
          <w:spacing w:val="-4"/>
          <w:u w:val="single"/>
          <w:lang w:val="fr-FR"/>
        </w:rPr>
        <w:t>« </w:t>
      </w:r>
      <w:r w:rsidRPr="008B21C6">
        <w:rPr>
          <w:spacing w:val="-4"/>
          <w:u w:val="single"/>
          <w:lang w:val="fr-FR"/>
        </w:rPr>
        <w:t>1.8.6.4</w:t>
      </w:r>
      <w:r w:rsidR="008B21C6">
        <w:rPr>
          <w:u w:val="single"/>
          <w:lang w:val="fr-FR"/>
        </w:rPr>
        <w:t xml:space="preserve"> </w:t>
      </w:r>
      <w:r w:rsidRPr="0064073A">
        <w:rPr>
          <w:b/>
          <w:bCs/>
          <w:i/>
          <w:iCs/>
          <w:u w:val="single"/>
          <w:lang w:val="fr-FR"/>
        </w:rPr>
        <w:t>Obligations du service interne d’inspection</w:t>
      </w:r>
    </w:p>
    <w:p w14:paraId="54824F9B" w14:textId="18C03C65" w:rsidR="0064073A" w:rsidRPr="0064073A" w:rsidRDefault="0064073A" w:rsidP="0064073A">
      <w:pPr>
        <w:pStyle w:val="SingleTxtG"/>
        <w:rPr>
          <w:u w:val="single"/>
          <w:lang w:val="fr-FR"/>
        </w:rPr>
      </w:pPr>
      <w:r w:rsidRPr="0064073A">
        <w:rPr>
          <w:u w:val="single"/>
          <w:lang w:val="fr-FR"/>
        </w:rPr>
        <w:t>1.8.6.4.1</w:t>
      </w:r>
      <w:r w:rsidRPr="0064073A">
        <w:rPr>
          <w:u w:val="single"/>
          <w:lang w:val="fr-FR"/>
        </w:rPr>
        <w:t> </w:t>
      </w:r>
      <w:r w:rsidRPr="0064073A">
        <w:rPr>
          <w:u w:val="single"/>
          <w:lang w:val="fr-FR"/>
        </w:rPr>
        <w:t>Règles générales</w:t>
      </w:r>
    </w:p>
    <w:p w14:paraId="2634C580" w14:textId="2DBD6AAF" w:rsidR="0064073A" w:rsidRPr="00313A1B" w:rsidRDefault="0064073A" w:rsidP="0064073A">
      <w:pPr>
        <w:pStyle w:val="SingleTxtG"/>
        <w:ind w:left="1701"/>
        <w:rPr>
          <w:lang w:val="fr-FR"/>
        </w:rPr>
      </w:pPr>
      <w:r w:rsidRPr="00313A1B">
        <w:rPr>
          <w:lang w:val="fr-FR"/>
        </w:rPr>
        <w:t>a)</w:t>
      </w:r>
      <w:r w:rsidRPr="00313A1B">
        <w:rPr>
          <w:lang w:val="fr-FR"/>
        </w:rPr>
        <w:tab/>
      </w:r>
      <w:r w:rsidRPr="0064073A">
        <w:rPr>
          <w:u w:val="single"/>
          <w:lang w:val="fr-FR"/>
        </w:rPr>
        <w:t>Mettre en place un système qualité, y</w:t>
      </w:r>
      <w:r>
        <w:rPr>
          <w:u w:val="single"/>
          <w:lang w:val="fr-FR"/>
        </w:rPr>
        <w:t> </w:t>
      </w:r>
      <w:r w:rsidRPr="0064073A">
        <w:rPr>
          <w:u w:val="single"/>
          <w:lang w:val="fr-FR"/>
        </w:rPr>
        <w:t>compris des procédures techniques, couvrant les contrôles et les épreuves documentés au 1.8.7.8.6 et faisant l’objet d’une supervision</w:t>
      </w:r>
      <w:r>
        <w:rPr>
          <w:u w:val="single"/>
          <w:lang w:val="fr-FR"/>
        </w:rPr>
        <w:t> </w:t>
      </w:r>
      <w:r w:rsidRPr="0064073A">
        <w:rPr>
          <w:u w:val="single"/>
          <w:lang w:val="fr-FR"/>
        </w:rPr>
        <w:t>;</w:t>
      </w:r>
    </w:p>
    <w:p w14:paraId="51899152" w14:textId="77777777" w:rsidR="0064073A" w:rsidRPr="0064073A" w:rsidRDefault="0064073A" w:rsidP="0064073A">
      <w:pPr>
        <w:pStyle w:val="SingleTxtG"/>
        <w:keepNext/>
        <w:keepLines/>
        <w:ind w:left="1701"/>
        <w:rPr>
          <w:u w:val="single"/>
          <w:lang w:val="fr-FR"/>
        </w:rPr>
      </w:pPr>
      <w:r w:rsidRPr="0064073A">
        <w:rPr>
          <w:u w:val="single"/>
          <w:lang w:val="fr-FR"/>
        </w:rPr>
        <w:lastRenderedPageBreak/>
        <w:t>b)</w:t>
      </w:r>
      <w:r w:rsidRPr="0064073A">
        <w:rPr>
          <w:u w:val="single"/>
          <w:lang w:val="fr-FR"/>
        </w:rPr>
        <w:tab/>
        <w:t>Respecter les obligations découlant du système qualité tel qu’il a été approuvé et veiller à ce qu’il reste satisfaisant et efficace, en particulier :</w:t>
      </w:r>
    </w:p>
    <w:p w14:paraId="2598DE1E" w14:textId="1D0791AE" w:rsidR="0064073A" w:rsidRPr="008B21C6" w:rsidRDefault="0064073A" w:rsidP="005B3996">
      <w:pPr>
        <w:pStyle w:val="SingleTxtG"/>
        <w:numPr>
          <w:ilvl w:val="0"/>
          <w:numId w:val="18"/>
        </w:numPr>
        <w:ind w:left="2268" w:firstLine="0"/>
        <w:rPr>
          <w:u w:val="single"/>
          <w:lang w:val="fr-FR"/>
        </w:rPr>
      </w:pPr>
      <w:r w:rsidRPr="008B21C6">
        <w:rPr>
          <w:u w:val="single"/>
          <w:lang w:val="fr-FR"/>
        </w:rPr>
        <w:t>Autoriser un personnel formé et compétent à réaliser les contrôles et les épreuves ; et</w:t>
      </w:r>
    </w:p>
    <w:p w14:paraId="748DEAE1" w14:textId="51491CA0" w:rsidR="0064073A" w:rsidRPr="008B21C6" w:rsidRDefault="0064073A" w:rsidP="005B3996">
      <w:pPr>
        <w:pStyle w:val="SingleTxtG"/>
        <w:numPr>
          <w:ilvl w:val="0"/>
          <w:numId w:val="18"/>
        </w:numPr>
        <w:ind w:left="2268" w:firstLine="0"/>
        <w:rPr>
          <w:u w:val="single"/>
          <w:lang w:val="fr-FR"/>
        </w:rPr>
      </w:pPr>
      <w:r w:rsidRPr="0064073A">
        <w:rPr>
          <w:u w:val="single"/>
          <w:lang w:val="fr-FR"/>
        </w:rPr>
        <w:t>Apposer le signe distinctif ou le poinçon de l’organisme de contrôle qui a autorisé le service interne d’inspection, tel que prescrit aux chapitre</w:t>
      </w:r>
      <w:r>
        <w:rPr>
          <w:u w:val="single"/>
          <w:lang w:val="fr-FR"/>
        </w:rPr>
        <w:t> </w:t>
      </w:r>
      <w:r w:rsidRPr="0064073A">
        <w:rPr>
          <w:u w:val="single"/>
          <w:lang w:val="fr-FR"/>
        </w:rPr>
        <w:t>6.2 et</w:t>
      </w:r>
      <w:r>
        <w:rPr>
          <w:u w:val="single"/>
          <w:lang w:val="fr-FR"/>
        </w:rPr>
        <w:t> </w:t>
      </w:r>
      <w:r w:rsidRPr="0064073A">
        <w:rPr>
          <w:u w:val="single"/>
          <w:lang w:val="fr-FR"/>
        </w:rPr>
        <w:t xml:space="preserve">6.8, et la marque du service interne d’inspection lorsqu’il y a lieu, sur le matériel pour assurer la </w:t>
      </w:r>
      <w:r w:rsidRPr="008B21C6">
        <w:rPr>
          <w:u w:val="single"/>
          <w:lang w:val="fr-FR"/>
        </w:rPr>
        <w:t>traçabilité.</w:t>
      </w:r>
      <w:r w:rsidRPr="008B21C6">
        <w:rPr>
          <w:u w:val="single"/>
          <w:lang w:val="fr-FR"/>
        </w:rPr>
        <w:t> ».</w:t>
      </w:r>
    </w:p>
    <w:p w14:paraId="0378AC9B" w14:textId="2059087F" w:rsidR="0064073A" w:rsidRPr="00313A1B" w:rsidRDefault="0064073A" w:rsidP="0064073A">
      <w:pPr>
        <w:pStyle w:val="HChG"/>
        <w:rPr>
          <w:lang w:val="fr-FR"/>
        </w:rPr>
      </w:pPr>
      <w:r w:rsidRPr="00313A1B">
        <w:rPr>
          <w:lang w:val="fr-FR"/>
        </w:rPr>
        <w:tab/>
      </w:r>
      <w:r w:rsidRPr="00313A1B">
        <w:rPr>
          <w:lang w:val="fr-FR"/>
        </w:rPr>
        <w:tab/>
      </w:r>
      <w:r w:rsidRPr="00313A1B">
        <w:rPr>
          <w:bCs/>
          <w:lang w:val="fr-FR"/>
        </w:rPr>
        <w:t>Proposition</w:t>
      </w:r>
      <w:r>
        <w:rPr>
          <w:bCs/>
          <w:lang w:val="fr-FR"/>
        </w:rPr>
        <w:t> </w:t>
      </w:r>
      <w:r w:rsidRPr="00313A1B">
        <w:rPr>
          <w:bCs/>
          <w:lang w:val="fr-FR"/>
        </w:rPr>
        <w:t>2</w:t>
      </w:r>
    </w:p>
    <w:p w14:paraId="47827B51" w14:textId="19E1B30E" w:rsidR="0064073A" w:rsidRPr="00313A1B" w:rsidRDefault="0064073A" w:rsidP="0064073A">
      <w:pPr>
        <w:pStyle w:val="SingleTxtG"/>
        <w:rPr>
          <w:b/>
          <w:i/>
          <w:lang w:val="fr-FR"/>
        </w:rPr>
      </w:pPr>
      <w:r w:rsidRPr="00313A1B">
        <w:rPr>
          <w:lang w:val="fr-FR"/>
        </w:rPr>
        <w:t>4.</w:t>
      </w:r>
      <w:r w:rsidRPr="00313A1B">
        <w:rPr>
          <w:lang w:val="fr-FR"/>
        </w:rPr>
        <w:tab/>
        <w:t>Supprimer le</w:t>
      </w:r>
      <w:r>
        <w:rPr>
          <w:lang w:val="fr-FR"/>
        </w:rPr>
        <w:t> </w:t>
      </w:r>
      <w:r w:rsidRPr="00313A1B">
        <w:rPr>
          <w:lang w:val="fr-FR"/>
        </w:rPr>
        <w:t>1.8.7.7.1 du RID et de l</w:t>
      </w:r>
      <w:r>
        <w:rPr>
          <w:lang w:val="fr-FR"/>
        </w:rPr>
        <w:t>’</w:t>
      </w:r>
      <w:r w:rsidRPr="00313A1B">
        <w:rPr>
          <w:lang w:val="fr-FR"/>
        </w:rPr>
        <w:t>ADR et renuméroter les</w:t>
      </w:r>
      <w:r>
        <w:rPr>
          <w:lang w:val="fr-FR"/>
        </w:rPr>
        <w:t> </w:t>
      </w:r>
      <w:r w:rsidRPr="00313A1B">
        <w:rPr>
          <w:lang w:val="fr-FR"/>
        </w:rPr>
        <w:t>1.8.7.7.2 à</w:t>
      </w:r>
      <w:r>
        <w:rPr>
          <w:lang w:val="fr-FR"/>
        </w:rPr>
        <w:t> </w:t>
      </w:r>
      <w:r w:rsidRPr="00313A1B">
        <w:rPr>
          <w:lang w:val="fr-FR"/>
        </w:rPr>
        <w:t>1.8.7.7.5 existants, qui deviennent les</w:t>
      </w:r>
      <w:r>
        <w:rPr>
          <w:lang w:val="fr-FR"/>
        </w:rPr>
        <w:t> </w:t>
      </w:r>
      <w:r w:rsidRPr="00313A1B">
        <w:rPr>
          <w:lang w:val="fr-FR"/>
        </w:rPr>
        <w:t>1.8.7.7.1 à 1.8.7.7.4.</w:t>
      </w:r>
    </w:p>
    <w:p w14:paraId="73C1B76D" w14:textId="2D4A4573" w:rsidR="0064073A" w:rsidRPr="00313A1B" w:rsidRDefault="0064073A" w:rsidP="0064073A">
      <w:pPr>
        <w:pStyle w:val="SingleTxtG"/>
        <w:rPr>
          <w:lang w:val="fr-FR"/>
        </w:rPr>
      </w:pPr>
      <w:r w:rsidRPr="00313A1B">
        <w:rPr>
          <w:lang w:val="fr-FR"/>
        </w:rPr>
        <w:t>Note du secrétariat</w:t>
      </w:r>
      <w:r>
        <w:rPr>
          <w:lang w:val="fr-FR"/>
        </w:rPr>
        <w:t> </w:t>
      </w:r>
      <w:r w:rsidRPr="00313A1B">
        <w:rPr>
          <w:lang w:val="fr-FR"/>
        </w:rPr>
        <w:t>: La renumérotation proposée des</w:t>
      </w:r>
      <w:r>
        <w:rPr>
          <w:lang w:val="fr-FR"/>
        </w:rPr>
        <w:noBreakHyphen/>
      </w:r>
      <w:r w:rsidRPr="00313A1B">
        <w:rPr>
          <w:lang w:val="fr-FR"/>
        </w:rPr>
        <w:t>sous-sections du 1.8.7.7 nécessite les amendements de conséquence suivants :</w:t>
      </w:r>
    </w:p>
    <w:p w14:paraId="69A6CB1A" w14:textId="252B6A81" w:rsidR="0064073A" w:rsidRPr="00313A1B" w:rsidRDefault="0064073A" w:rsidP="0064073A">
      <w:pPr>
        <w:spacing w:before="120" w:after="120"/>
        <w:ind w:left="1134" w:right="1134"/>
        <w:jc w:val="both"/>
        <w:rPr>
          <w:lang w:val="fr-FR"/>
        </w:rPr>
      </w:pPr>
      <w:r w:rsidRPr="00313A1B">
        <w:rPr>
          <w:lang w:val="fr-FR"/>
        </w:rPr>
        <w:t xml:space="preserve">1.8.6.3.3, </w:t>
      </w:r>
      <w:r w:rsidRPr="0072002E">
        <w:rPr>
          <w:i/>
          <w:iCs/>
          <w:lang w:val="fr-FR"/>
        </w:rPr>
        <w:t>Nota</w:t>
      </w:r>
      <w:r w:rsidR="00E15624">
        <w:rPr>
          <w:i/>
          <w:iCs/>
          <w:lang w:val="fr-FR"/>
        </w:rPr>
        <w:t> </w:t>
      </w:r>
      <w:r w:rsidRPr="00313A1B">
        <w:rPr>
          <w:lang w:val="fr-FR"/>
        </w:rPr>
        <w:t>:</w:t>
      </w:r>
      <w:r w:rsidRPr="00313A1B">
        <w:rPr>
          <w:lang w:val="fr-FR"/>
        </w:rPr>
        <w:tab/>
        <w:t xml:space="preserve">Remplacer </w:t>
      </w:r>
      <w:r w:rsidR="00C036A3">
        <w:rPr>
          <w:lang w:val="fr-FR"/>
        </w:rPr>
        <w:t>« </w:t>
      </w:r>
      <w:r w:rsidRPr="00313A1B">
        <w:rPr>
          <w:lang w:val="fr-FR"/>
        </w:rPr>
        <w:t>1.8.7.7.2</w:t>
      </w:r>
      <w:r w:rsidR="00C036A3">
        <w:rPr>
          <w:lang w:val="fr-FR"/>
        </w:rPr>
        <w:t> »</w:t>
      </w:r>
      <w:r w:rsidRPr="00313A1B">
        <w:rPr>
          <w:lang w:val="fr-FR"/>
        </w:rPr>
        <w:t xml:space="preserve"> par </w:t>
      </w:r>
      <w:r w:rsidR="00C036A3">
        <w:rPr>
          <w:lang w:val="fr-FR"/>
        </w:rPr>
        <w:t>« </w:t>
      </w:r>
      <w:r w:rsidRPr="00313A1B">
        <w:rPr>
          <w:lang w:val="fr-FR"/>
        </w:rPr>
        <w:t>1.8.7.7.1</w:t>
      </w:r>
      <w:r w:rsidR="00C036A3">
        <w:rPr>
          <w:lang w:val="fr-FR"/>
        </w:rPr>
        <w:t> »</w:t>
      </w:r>
      <w:r w:rsidR="001B52AB">
        <w:rPr>
          <w:lang w:val="fr-FR"/>
        </w:rPr>
        <w:t> ;</w:t>
      </w:r>
    </w:p>
    <w:p w14:paraId="3ECAA40C" w14:textId="692178B2" w:rsidR="0064073A" w:rsidRPr="00313A1B" w:rsidRDefault="0064073A" w:rsidP="0064073A">
      <w:pPr>
        <w:spacing w:before="120" w:after="120"/>
        <w:ind w:left="2835" w:right="1134" w:hanging="1701"/>
        <w:jc w:val="both"/>
        <w:rPr>
          <w:lang w:val="fr-FR"/>
        </w:rPr>
      </w:pPr>
      <w:r w:rsidRPr="00313A1B">
        <w:rPr>
          <w:lang w:val="fr-FR"/>
        </w:rPr>
        <w:t>1.8.8.1.4</w:t>
      </w:r>
      <w:r w:rsidRPr="00313A1B">
        <w:rPr>
          <w:lang w:val="fr-FR"/>
        </w:rPr>
        <w:tab/>
      </w:r>
      <w:r w:rsidRPr="00313A1B">
        <w:rPr>
          <w:lang w:val="fr-FR"/>
        </w:rPr>
        <w:tab/>
        <w:t xml:space="preserve">Remplacer </w:t>
      </w:r>
      <w:r w:rsidR="00C036A3">
        <w:rPr>
          <w:lang w:val="fr-FR"/>
        </w:rPr>
        <w:t>« </w:t>
      </w:r>
      <w:r w:rsidRPr="00313A1B">
        <w:rPr>
          <w:lang w:val="fr-FR"/>
        </w:rPr>
        <w:t>des 1.8.7.7.1</w:t>
      </w:r>
      <w:r w:rsidR="008B21C6">
        <w:rPr>
          <w:lang w:val="fr-FR"/>
        </w:rPr>
        <w:t> </w:t>
      </w:r>
      <w:r w:rsidRPr="00313A1B">
        <w:rPr>
          <w:lang w:val="fr-FR"/>
        </w:rPr>
        <w:t>d) et 1.8.7.7.2</w:t>
      </w:r>
      <w:r w:rsidR="008B21C6">
        <w:rPr>
          <w:lang w:val="fr-FR"/>
        </w:rPr>
        <w:t> </w:t>
      </w:r>
      <w:r w:rsidRPr="00313A1B">
        <w:rPr>
          <w:lang w:val="fr-FR"/>
        </w:rPr>
        <w:t>b)</w:t>
      </w:r>
      <w:r w:rsidR="00C036A3">
        <w:rPr>
          <w:lang w:val="fr-FR"/>
        </w:rPr>
        <w:t> »</w:t>
      </w:r>
      <w:r w:rsidRPr="00313A1B">
        <w:rPr>
          <w:lang w:val="fr-FR"/>
        </w:rPr>
        <w:t xml:space="preserve"> par </w:t>
      </w:r>
      <w:r w:rsidR="00C036A3">
        <w:rPr>
          <w:lang w:val="fr-FR"/>
        </w:rPr>
        <w:t>« </w:t>
      </w:r>
      <w:r w:rsidRPr="00313A1B">
        <w:rPr>
          <w:lang w:val="fr-FR"/>
        </w:rPr>
        <w:t>du 1.8.7.7.1</w:t>
      </w:r>
      <w:r w:rsidR="008B21C6">
        <w:rPr>
          <w:lang w:val="fr-FR"/>
        </w:rPr>
        <w:t> </w:t>
      </w:r>
      <w:r w:rsidRPr="00313A1B">
        <w:rPr>
          <w:lang w:val="fr-FR"/>
        </w:rPr>
        <w:t>b)</w:t>
      </w:r>
      <w:r w:rsidR="00C036A3">
        <w:rPr>
          <w:lang w:val="fr-FR"/>
        </w:rPr>
        <w:t> »</w:t>
      </w:r>
      <w:r w:rsidR="001B52AB">
        <w:rPr>
          <w:lang w:val="fr-FR"/>
        </w:rPr>
        <w:t> ;</w:t>
      </w:r>
    </w:p>
    <w:p w14:paraId="7F044702" w14:textId="3DE05611" w:rsidR="0064073A" w:rsidRPr="00313A1B" w:rsidRDefault="0064073A" w:rsidP="0064073A">
      <w:pPr>
        <w:spacing w:before="120" w:after="120"/>
        <w:ind w:left="2835" w:right="1134" w:hanging="1701"/>
        <w:jc w:val="both"/>
        <w:rPr>
          <w:b/>
          <w:i/>
          <w:lang w:val="fr-FR"/>
        </w:rPr>
      </w:pPr>
      <w:r w:rsidRPr="00313A1B">
        <w:rPr>
          <w:lang w:val="fr-FR"/>
        </w:rPr>
        <w:t>1.8.8.6</w:t>
      </w:r>
      <w:r w:rsidRPr="00313A1B">
        <w:rPr>
          <w:lang w:val="fr-FR"/>
        </w:rPr>
        <w:tab/>
      </w:r>
      <w:r w:rsidRPr="00313A1B">
        <w:rPr>
          <w:lang w:val="fr-FR"/>
        </w:rPr>
        <w:tab/>
        <w:t xml:space="preserve">Remplacer </w:t>
      </w:r>
      <w:r w:rsidR="00C036A3">
        <w:rPr>
          <w:lang w:val="fr-FR"/>
        </w:rPr>
        <w:t>« </w:t>
      </w:r>
      <w:r w:rsidRPr="00313A1B">
        <w:rPr>
          <w:lang w:val="fr-FR"/>
        </w:rPr>
        <w:t>des 1.8.7.7.1</w:t>
      </w:r>
      <w:r w:rsidR="008B21C6">
        <w:rPr>
          <w:lang w:val="fr-FR"/>
        </w:rPr>
        <w:t> </w:t>
      </w:r>
      <w:r w:rsidRPr="00313A1B">
        <w:rPr>
          <w:lang w:val="fr-FR"/>
        </w:rPr>
        <w:t>d) et 1.8.7.7.2</w:t>
      </w:r>
      <w:r w:rsidR="008B21C6">
        <w:rPr>
          <w:lang w:val="fr-FR"/>
        </w:rPr>
        <w:t> </w:t>
      </w:r>
      <w:r w:rsidRPr="00313A1B">
        <w:rPr>
          <w:lang w:val="fr-FR"/>
        </w:rPr>
        <w:t>b)</w:t>
      </w:r>
      <w:r w:rsidR="00C036A3">
        <w:rPr>
          <w:lang w:val="fr-FR"/>
        </w:rPr>
        <w:t> »</w:t>
      </w:r>
      <w:r w:rsidRPr="00313A1B">
        <w:rPr>
          <w:lang w:val="fr-FR"/>
        </w:rPr>
        <w:t xml:space="preserve"> par "du 1.8.7.7.1</w:t>
      </w:r>
      <w:r w:rsidR="008B21C6">
        <w:rPr>
          <w:lang w:val="fr-FR"/>
        </w:rPr>
        <w:t> </w:t>
      </w:r>
      <w:r w:rsidRPr="00313A1B">
        <w:rPr>
          <w:lang w:val="fr-FR"/>
        </w:rPr>
        <w:t>b)</w:t>
      </w:r>
      <w:r w:rsidR="00C036A3">
        <w:rPr>
          <w:lang w:val="fr-FR"/>
        </w:rPr>
        <w:t> »</w:t>
      </w:r>
      <w:r w:rsidRPr="00313A1B">
        <w:rPr>
          <w:lang w:val="fr-FR"/>
        </w:rPr>
        <w:t>.</w:t>
      </w:r>
    </w:p>
    <w:p w14:paraId="62251215" w14:textId="77777777" w:rsidR="0064073A" w:rsidRPr="00313A1B" w:rsidRDefault="0064073A" w:rsidP="0064073A">
      <w:pPr>
        <w:pStyle w:val="HChG"/>
        <w:rPr>
          <w:lang w:val="fr-FR"/>
        </w:rPr>
      </w:pPr>
      <w:r w:rsidRPr="00313A1B">
        <w:rPr>
          <w:lang w:val="fr-FR"/>
        </w:rPr>
        <w:tab/>
      </w:r>
      <w:r w:rsidRPr="00313A1B">
        <w:rPr>
          <w:lang w:val="fr-FR"/>
        </w:rPr>
        <w:tab/>
      </w:r>
      <w:r w:rsidRPr="00313A1B">
        <w:rPr>
          <w:bCs/>
          <w:lang w:val="fr-FR"/>
        </w:rPr>
        <w:t>Justification</w:t>
      </w:r>
    </w:p>
    <w:p w14:paraId="4333A14C" w14:textId="75EB7AFE" w:rsidR="0064073A" w:rsidRPr="00313A1B" w:rsidRDefault="0064073A" w:rsidP="0064073A">
      <w:pPr>
        <w:pStyle w:val="SingleTxtG"/>
        <w:rPr>
          <w:lang w:val="fr-FR"/>
        </w:rPr>
      </w:pPr>
      <w:r w:rsidRPr="00313A1B">
        <w:rPr>
          <w:lang w:val="fr-FR"/>
        </w:rPr>
        <w:t>5.</w:t>
      </w:r>
      <w:r w:rsidRPr="00313A1B">
        <w:rPr>
          <w:lang w:val="fr-FR"/>
        </w:rPr>
        <w:tab/>
        <w:t>Les différences entre les activités confiées à des sous-traitants et les responsabilités des services internes d</w:t>
      </w:r>
      <w:r>
        <w:rPr>
          <w:lang w:val="fr-FR"/>
        </w:rPr>
        <w:t>’</w:t>
      </w:r>
      <w:r w:rsidRPr="00313A1B">
        <w:rPr>
          <w:lang w:val="fr-FR"/>
        </w:rPr>
        <w:t>inspection sont source de confusion. La raison en est que les obligations des services internes d</w:t>
      </w:r>
      <w:r>
        <w:rPr>
          <w:lang w:val="fr-FR"/>
        </w:rPr>
        <w:t>’</w:t>
      </w:r>
      <w:r w:rsidRPr="00313A1B">
        <w:rPr>
          <w:lang w:val="fr-FR"/>
        </w:rPr>
        <w:t>inspection ne sont pas suffisamment claires. Les auteurs du présent document estiment que le libellé actuel</w:t>
      </w:r>
      <w:r w:rsidR="001B52AB">
        <w:rPr>
          <w:lang w:val="fr-FR"/>
        </w:rPr>
        <w:t xml:space="preserve"> </w:t>
      </w:r>
      <w:r w:rsidRPr="00313A1B">
        <w:rPr>
          <w:lang w:val="fr-FR"/>
        </w:rPr>
        <w:t>1.8.7.7.1 traite des obligations du service interne d</w:t>
      </w:r>
      <w:r>
        <w:rPr>
          <w:lang w:val="fr-FR"/>
        </w:rPr>
        <w:t>’</w:t>
      </w:r>
      <w:r w:rsidRPr="00313A1B">
        <w:rPr>
          <w:lang w:val="fr-FR"/>
        </w:rPr>
        <w:t>inspection plutôt que de la supervision assurée par l</w:t>
      </w:r>
      <w:r>
        <w:rPr>
          <w:lang w:val="fr-FR"/>
        </w:rPr>
        <w:t>’</w:t>
      </w:r>
      <w:r w:rsidRPr="00313A1B">
        <w:rPr>
          <w:lang w:val="fr-FR"/>
        </w:rPr>
        <w:t>organisme de contrôle. De fait, on peut considérer qu</w:t>
      </w:r>
      <w:r>
        <w:rPr>
          <w:lang w:val="fr-FR"/>
        </w:rPr>
        <w:t>’</w:t>
      </w:r>
      <w:r w:rsidRPr="00313A1B">
        <w:rPr>
          <w:lang w:val="fr-FR"/>
        </w:rPr>
        <w:t>il ne se trouve pas au bon endroit. Le texte du</w:t>
      </w:r>
      <w:r w:rsidR="001B52AB">
        <w:rPr>
          <w:lang w:val="fr-FR"/>
        </w:rPr>
        <w:t xml:space="preserve"> </w:t>
      </w:r>
      <w:r w:rsidRPr="00313A1B">
        <w:rPr>
          <w:lang w:val="fr-FR"/>
        </w:rPr>
        <w:t>1.8.6.2.4.1 proposé reprend l</w:t>
      </w:r>
      <w:r>
        <w:rPr>
          <w:lang w:val="fr-FR"/>
        </w:rPr>
        <w:t>’</w:t>
      </w:r>
      <w:r w:rsidRPr="00313A1B">
        <w:rPr>
          <w:lang w:val="fr-FR"/>
        </w:rPr>
        <w:t>actuel 1.8.7.7.1 du RID et de l</w:t>
      </w:r>
      <w:r>
        <w:rPr>
          <w:lang w:val="fr-FR"/>
        </w:rPr>
        <w:t>’</w:t>
      </w:r>
      <w:r w:rsidRPr="00313A1B">
        <w:rPr>
          <w:lang w:val="fr-FR"/>
        </w:rPr>
        <w:t>ADR.</w:t>
      </w:r>
    </w:p>
    <w:p w14:paraId="23F2F0C0" w14:textId="06E4FA81" w:rsidR="00F9573C" w:rsidRDefault="0064073A" w:rsidP="0064073A">
      <w:pPr>
        <w:pStyle w:val="SingleTxtG"/>
        <w:rPr>
          <w:lang w:val="fr-FR"/>
        </w:rPr>
      </w:pPr>
      <w:r w:rsidRPr="00313A1B">
        <w:rPr>
          <w:lang w:val="fr-FR"/>
        </w:rPr>
        <w:t>6.</w:t>
      </w:r>
      <w:r w:rsidRPr="00313A1B">
        <w:rPr>
          <w:lang w:val="fr-FR"/>
        </w:rPr>
        <w:tab/>
        <w:t>Le présent document vise à clarifier les obligations des services internes d</w:t>
      </w:r>
      <w:r>
        <w:rPr>
          <w:lang w:val="fr-FR"/>
        </w:rPr>
        <w:t>’</w:t>
      </w:r>
      <w:r w:rsidRPr="00313A1B">
        <w:rPr>
          <w:lang w:val="fr-FR"/>
        </w:rPr>
        <w:t>inspection. Le fait d</w:t>
      </w:r>
      <w:r>
        <w:rPr>
          <w:lang w:val="fr-FR"/>
        </w:rPr>
        <w:t>’</w:t>
      </w:r>
      <w:r w:rsidRPr="00313A1B">
        <w:rPr>
          <w:lang w:val="fr-FR"/>
        </w:rPr>
        <w:t>adopter une approche plus systématique et plus logique dans le RID et l</w:t>
      </w:r>
      <w:r>
        <w:rPr>
          <w:lang w:val="fr-FR"/>
        </w:rPr>
        <w:t>’</w:t>
      </w:r>
      <w:r w:rsidRPr="00313A1B">
        <w:rPr>
          <w:lang w:val="fr-FR"/>
        </w:rPr>
        <w:t>ADR permet de clarifier le cadre juridique et d</w:t>
      </w:r>
      <w:r>
        <w:rPr>
          <w:lang w:val="fr-FR"/>
        </w:rPr>
        <w:t>’</w:t>
      </w:r>
      <w:r w:rsidRPr="00313A1B">
        <w:rPr>
          <w:lang w:val="fr-FR"/>
        </w:rPr>
        <w:t>éviter que des critères différents soient appliqués selon les Parties contractantes ou les États parties et les services de contrôle, ce qui est conforme à l</w:t>
      </w:r>
      <w:r>
        <w:rPr>
          <w:lang w:val="fr-FR"/>
        </w:rPr>
        <w:t>’</w:t>
      </w:r>
      <w:r w:rsidRPr="00313A1B">
        <w:rPr>
          <w:lang w:val="fr-FR"/>
        </w:rPr>
        <w:t xml:space="preserve">objectif de développement durable </w:t>
      </w:r>
      <w:r w:rsidR="003C28C6" w:rsidRPr="003C28C6">
        <w:rPr>
          <w:rFonts w:eastAsia="MS Mincho"/>
          <w:szCs w:val="22"/>
          <w:lang w:val="fr-FR"/>
        </w:rPr>
        <w:t>n</w:t>
      </w:r>
      <w:r w:rsidR="003C28C6" w:rsidRPr="003C28C6">
        <w:rPr>
          <w:rFonts w:eastAsia="MS Mincho"/>
          <w:szCs w:val="22"/>
          <w:vertAlign w:val="superscript"/>
          <w:lang w:val="fr-FR"/>
        </w:rPr>
        <w:t>o</w:t>
      </w:r>
      <w:r w:rsidR="003C28C6" w:rsidRPr="001B52AB">
        <w:rPr>
          <w:rFonts w:eastAsia="MS Mincho"/>
          <w:szCs w:val="22"/>
          <w:lang w:val="fr-FR"/>
        </w:rPr>
        <w:t> </w:t>
      </w:r>
      <w:r w:rsidRPr="00313A1B">
        <w:rPr>
          <w:lang w:val="fr-FR"/>
        </w:rPr>
        <w:t>16 (Paix, justice et institutions efficaces).</w:t>
      </w:r>
    </w:p>
    <w:p w14:paraId="342A2310" w14:textId="2350B443" w:rsidR="003C28C6" w:rsidRPr="003C28C6" w:rsidRDefault="003C28C6" w:rsidP="003C28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28C6" w:rsidRPr="003C28C6" w:rsidSect="00640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2B9C" w14:textId="77777777" w:rsidR="00825DE4" w:rsidRDefault="00825DE4" w:rsidP="00F95C08">
      <w:pPr>
        <w:spacing w:line="240" w:lineRule="auto"/>
      </w:pPr>
    </w:p>
  </w:endnote>
  <w:endnote w:type="continuationSeparator" w:id="0">
    <w:p w14:paraId="0D2EF749" w14:textId="77777777" w:rsidR="00825DE4" w:rsidRPr="00AC3823" w:rsidRDefault="00825DE4" w:rsidP="00AC3823">
      <w:pPr>
        <w:pStyle w:val="Pieddepage"/>
      </w:pPr>
    </w:p>
  </w:endnote>
  <w:endnote w:type="continuationNotice" w:id="1">
    <w:p w14:paraId="420B6745" w14:textId="77777777" w:rsidR="00825DE4" w:rsidRDefault="00825D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6B2C" w14:textId="1005433D" w:rsidR="0064073A" w:rsidRPr="0064073A" w:rsidRDefault="0064073A" w:rsidP="0064073A">
    <w:pPr>
      <w:pStyle w:val="Pieddepage"/>
      <w:tabs>
        <w:tab w:val="right" w:pos="9638"/>
      </w:tabs>
    </w:pPr>
    <w:r w:rsidRPr="0064073A">
      <w:rPr>
        <w:b/>
        <w:sz w:val="18"/>
      </w:rPr>
      <w:fldChar w:fldCharType="begin"/>
    </w:r>
    <w:r w:rsidRPr="0064073A">
      <w:rPr>
        <w:b/>
        <w:sz w:val="18"/>
      </w:rPr>
      <w:instrText xml:space="preserve"> PAGE  \* MERGEFORMAT </w:instrText>
    </w:r>
    <w:r w:rsidRPr="0064073A">
      <w:rPr>
        <w:b/>
        <w:sz w:val="18"/>
      </w:rPr>
      <w:fldChar w:fldCharType="separate"/>
    </w:r>
    <w:r w:rsidRPr="0064073A">
      <w:rPr>
        <w:b/>
        <w:noProof/>
        <w:sz w:val="18"/>
      </w:rPr>
      <w:t>2</w:t>
    </w:r>
    <w:r w:rsidRPr="0064073A">
      <w:rPr>
        <w:b/>
        <w:sz w:val="18"/>
      </w:rPr>
      <w:fldChar w:fldCharType="end"/>
    </w:r>
    <w:r>
      <w:rPr>
        <w:b/>
        <w:sz w:val="18"/>
      </w:rPr>
      <w:tab/>
    </w:r>
    <w:r>
      <w:t>GE.23-12405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1C9D" w14:textId="7D7D2EDF" w:rsidR="0064073A" w:rsidRPr="0064073A" w:rsidRDefault="0064073A" w:rsidP="0064073A">
    <w:pPr>
      <w:pStyle w:val="Pieddepage"/>
      <w:tabs>
        <w:tab w:val="right" w:pos="9638"/>
      </w:tabs>
      <w:rPr>
        <w:b/>
        <w:sz w:val="18"/>
      </w:rPr>
    </w:pPr>
    <w:r>
      <w:t>GE.23-12405</w:t>
    </w:r>
    <w:r>
      <w:tab/>
    </w:r>
    <w:r w:rsidRPr="0064073A">
      <w:rPr>
        <w:b/>
        <w:sz w:val="18"/>
      </w:rPr>
      <w:fldChar w:fldCharType="begin"/>
    </w:r>
    <w:r w:rsidRPr="0064073A">
      <w:rPr>
        <w:b/>
        <w:sz w:val="18"/>
      </w:rPr>
      <w:instrText xml:space="preserve"> PAGE  \* MERGEFORMAT </w:instrText>
    </w:r>
    <w:r w:rsidRPr="0064073A">
      <w:rPr>
        <w:b/>
        <w:sz w:val="18"/>
      </w:rPr>
      <w:fldChar w:fldCharType="separate"/>
    </w:r>
    <w:r w:rsidRPr="0064073A">
      <w:rPr>
        <w:b/>
        <w:noProof/>
        <w:sz w:val="18"/>
      </w:rPr>
      <w:t>3</w:t>
    </w:r>
    <w:r w:rsidRPr="006407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D773" w14:textId="7FFF2C7A" w:rsidR="007F20FA" w:rsidRPr="0064073A" w:rsidRDefault="0064073A" w:rsidP="0064073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4AACCD" wp14:editId="5E449CE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23-12405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A2F59CD" wp14:editId="0CE7C2B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1429229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210723    2</w:t>
    </w:r>
    <w:r w:rsidR="001A7F93">
      <w:rPr>
        <w:sz w:val="20"/>
      </w:rPr>
      <w:t>1</w:t>
    </w:r>
    <w:r>
      <w:rPr>
        <w:sz w:val="20"/>
      </w:rPr>
      <w:t>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7A11" w14:textId="77777777" w:rsidR="00825DE4" w:rsidRPr="00AC3823" w:rsidRDefault="00825DE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BB3F0C" w14:textId="77777777" w:rsidR="00825DE4" w:rsidRPr="00AC3823" w:rsidRDefault="00825DE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EC5C40" w14:textId="77777777" w:rsidR="00825DE4" w:rsidRPr="00AC3823" w:rsidRDefault="00825DE4">
      <w:pPr>
        <w:spacing w:line="240" w:lineRule="auto"/>
        <w:rPr>
          <w:sz w:val="2"/>
          <w:szCs w:val="2"/>
        </w:rPr>
      </w:pPr>
    </w:p>
  </w:footnote>
  <w:footnote w:id="2">
    <w:p w14:paraId="7D40EF7F" w14:textId="14A36E7D" w:rsidR="0064073A" w:rsidRPr="0064073A" w:rsidRDefault="0064073A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64073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>20.6.</w:t>
      </w:r>
    </w:p>
  </w:footnote>
  <w:footnote w:id="3">
    <w:p w14:paraId="713E3BCE" w14:textId="10411573" w:rsidR="0064073A" w:rsidRPr="0064073A" w:rsidRDefault="0064073A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64073A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</w:t>
      </w:r>
      <w:r>
        <w:rPr>
          <w:lang w:val="fr-FR"/>
        </w:rPr>
        <w:t> </w:t>
      </w:r>
      <w:r>
        <w:rPr>
          <w:lang w:val="fr-FR"/>
        </w:rPr>
        <w:t>OTIF/RID/RC/2023/30.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D30" w14:textId="61FED29D" w:rsidR="0064073A" w:rsidRPr="0064073A" w:rsidRDefault="0064073A">
    <w:pPr>
      <w:pStyle w:val="En-tte"/>
    </w:pPr>
    <w:fldSimple w:instr=" TITLE  \* MERGEFORMAT ">
      <w:r w:rsidR="001A7F93">
        <w:t>ECE/TRANS/WP.15/AC.1/2023/30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8346" w14:textId="1DCAC4A9" w:rsidR="0064073A" w:rsidRPr="0064073A" w:rsidRDefault="0064073A" w:rsidP="0064073A">
    <w:pPr>
      <w:pStyle w:val="En-tte"/>
      <w:jc w:val="right"/>
    </w:pPr>
    <w:fldSimple w:instr=" TITLE  \* MERGEFORMAT ">
      <w:r w:rsidR="001A7F93">
        <w:t>ECE/TRANS/WP.15/AC.1/2023/30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8295" w14:textId="77777777" w:rsidR="001A7F93" w:rsidRDefault="001A7F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13BC5"/>
    <w:multiLevelType w:val="hybridMultilevel"/>
    <w:tmpl w:val="340E7A82"/>
    <w:lvl w:ilvl="0" w:tplc="561A8A9C">
      <w:start w:val="1"/>
      <w:numFmt w:val="lowerRoman"/>
      <w:lvlText w:val="(%1)"/>
      <w:lvlJc w:val="left"/>
      <w:pPr>
        <w:ind w:left="2421" w:hanging="72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1542DDD"/>
    <w:multiLevelType w:val="hybridMultilevel"/>
    <w:tmpl w:val="1ECCBB06"/>
    <w:lvl w:ilvl="0" w:tplc="8AB85284">
      <w:start w:val="1"/>
      <w:numFmt w:val="lowerRoman"/>
      <w:lvlText w:val="%1)"/>
      <w:lvlJc w:val="left"/>
      <w:pPr>
        <w:ind w:left="185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42811984">
    <w:abstractNumId w:val="14"/>
  </w:num>
  <w:num w:numId="2" w16cid:durableId="1785615364">
    <w:abstractNumId w:val="13"/>
  </w:num>
  <w:num w:numId="3" w16cid:durableId="1890534395">
    <w:abstractNumId w:val="10"/>
  </w:num>
  <w:num w:numId="4" w16cid:durableId="1869294896">
    <w:abstractNumId w:val="8"/>
  </w:num>
  <w:num w:numId="5" w16cid:durableId="2138718722">
    <w:abstractNumId w:val="3"/>
  </w:num>
  <w:num w:numId="6" w16cid:durableId="996761805">
    <w:abstractNumId w:val="2"/>
  </w:num>
  <w:num w:numId="7" w16cid:durableId="373359471">
    <w:abstractNumId w:val="1"/>
  </w:num>
  <w:num w:numId="8" w16cid:durableId="2080980272">
    <w:abstractNumId w:val="0"/>
  </w:num>
  <w:num w:numId="9" w16cid:durableId="1110902630">
    <w:abstractNumId w:val="9"/>
  </w:num>
  <w:num w:numId="10" w16cid:durableId="1282301783">
    <w:abstractNumId w:val="7"/>
  </w:num>
  <w:num w:numId="11" w16cid:durableId="581181378">
    <w:abstractNumId w:val="6"/>
  </w:num>
  <w:num w:numId="12" w16cid:durableId="820080758">
    <w:abstractNumId w:val="5"/>
  </w:num>
  <w:num w:numId="13" w16cid:durableId="1957711110">
    <w:abstractNumId w:val="4"/>
  </w:num>
  <w:num w:numId="14" w16cid:durableId="1033455991">
    <w:abstractNumId w:val="14"/>
  </w:num>
  <w:num w:numId="15" w16cid:durableId="747844486">
    <w:abstractNumId w:val="13"/>
  </w:num>
  <w:num w:numId="16" w16cid:durableId="701057410">
    <w:abstractNumId w:val="10"/>
  </w:num>
  <w:num w:numId="17" w16cid:durableId="492910201">
    <w:abstractNumId w:val="11"/>
  </w:num>
  <w:num w:numId="18" w16cid:durableId="897596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E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7F93"/>
    <w:rsid w:val="001B52AB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C28C6"/>
    <w:rsid w:val="00421996"/>
    <w:rsid w:val="00441C3B"/>
    <w:rsid w:val="00446FE5"/>
    <w:rsid w:val="00452396"/>
    <w:rsid w:val="00477EB2"/>
    <w:rsid w:val="004837D8"/>
    <w:rsid w:val="004B524D"/>
    <w:rsid w:val="004E2EED"/>
    <w:rsid w:val="004E468C"/>
    <w:rsid w:val="005505B7"/>
    <w:rsid w:val="00573BE5"/>
    <w:rsid w:val="00586ED3"/>
    <w:rsid w:val="00596AA9"/>
    <w:rsid w:val="005B3996"/>
    <w:rsid w:val="0064073A"/>
    <w:rsid w:val="006F13A8"/>
    <w:rsid w:val="0071601D"/>
    <w:rsid w:val="0072002E"/>
    <w:rsid w:val="007A62E6"/>
    <w:rsid w:val="007F20FA"/>
    <w:rsid w:val="0080684C"/>
    <w:rsid w:val="00825DE4"/>
    <w:rsid w:val="00871C75"/>
    <w:rsid w:val="008776DC"/>
    <w:rsid w:val="008B0F01"/>
    <w:rsid w:val="008B21C6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1F6A"/>
    <w:rsid w:val="00C02897"/>
    <w:rsid w:val="00C036A3"/>
    <w:rsid w:val="00C97039"/>
    <w:rsid w:val="00D3439C"/>
    <w:rsid w:val="00D7622E"/>
    <w:rsid w:val="00DB1831"/>
    <w:rsid w:val="00DD3BFD"/>
    <w:rsid w:val="00DF6678"/>
    <w:rsid w:val="00E0299A"/>
    <w:rsid w:val="00E15624"/>
    <w:rsid w:val="00E770BB"/>
    <w:rsid w:val="00E85C74"/>
    <w:rsid w:val="00E9080D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CE675"/>
  <w15:docId w15:val="{4A097D3D-1C64-4DDE-92A6-F9D65C66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64073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semiHidden/>
    <w:qFormat/>
    <w:rsid w:val="0064073A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AF769-7E5E-4AFE-8B85-E7712ABB7B8A}"/>
</file>

<file path=customXml/itemProps2.xml><?xml version="1.0" encoding="utf-8"?>
<ds:datastoreItem xmlns:ds="http://schemas.openxmlformats.org/officeDocument/2006/customXml" ds:itemID="{717806F8-22FA-4F37-BB2A-F31D73491AF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456</Words>
  <Characters>3199</Characters>
  <Application>Microsoft Office Word</Application>
  <DocSecurity>0</DocSecurity>
  <Lines>266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ECE/TRANS/WP.15/AC.1/2023/30</vt:lpstr>
    </vt:vector>
  </TitlesOfParts>
  <Company>DCM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ECE/TRANS/WP.15/AC.1/2023/30</dc:title>
  <dc:subject/>
  <dc:creator>Estelle-Delphine DITTA</dc:creator>
  <cp:keywords/>
  <cp:lastModifiedBy>Estelle-Delphine DITTA</cp:lastModifiedBy>
  <cp:revision>3</cp:revision>
  <cp:lastPrinted>2023-07-21T15:07:00Z</cp:lastPrinted>
  <dcterms:created xsi:type="dcterms:W3CDTF">2023-07-21T15:07:00Z</dcterms:created>
  <dcterms:modified xsi:type="dcterms:W3CDTF">2023-07-21T15:08:00Z</dcterms:modified>
</cp:coreProperties>
</file>