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EA41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531648" w14:textId="77777777" w:rsidR="002D5AAC" w:rsidRDefault="002D5AAC" w:rsidP="007F67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58AAE5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4FCFF9" w14:textId="215E10DA" w:rsidR="002D5AAC" w:rsidRDefault="007F67C1" w:rsidP="007F67C1">
            <w:pPr>
              <w:jc w:val="right"/>
            </w:pPr>
            <w:r w:rsidRPr="007F67C1">
              <w:rPr>
                <w:sz w:val="40"/>
              </w:rPr>
              <w:t>ECE</w:t>
            </w:r>
            <w:r>
              <w:t>/TRANS/WP.15/AC.1/2023/27</w:t>
            </w:r>
          </w:p>
        </w:tc>
      </w:tr>
      <w:tr w:rsidR="002D5AAC" w:rsidRPr="00B10B94" w14:paraId="6BD6E3A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CE4F0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E18080" wp14:editId="450B915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BAF8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72579E" w14:textId="77777777" w:rsidR="002D5AAC" w:rsidRDefault="007F67C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A56540" w14:textId="52AD226A" w:rsidR="007F67C1" w:rsidRPr="00B10B94" w:rsidRDefault="007F67C1" w:rsidP="007F67C1">
            <w:pPr>
              <w:spacing w:line="240" w:lineRule="exact"/>
              <w:rPr>
                <w:lang w:val="en-US"/>
              </w:rPr>
            </w:pPr>
            <w:r w:rsidRPr="007F67C1">
              <w:rPr>
                <w:lang w:val="en-US"/>
              </w:rPr>
              <w:t>2</w:t>
            </w:r>
            <w:r w:rsidRPr="00B10B94">
              <w:rPr>
                <w:lang w:val="en-US"/>
              </w:rPr>
              <w:t>7 June 2023</w:t>
            </w:r>
          </w:p>
          <w:p w14:paraId="1DA1BA66" w14:textId="77777777" w:rsidR="007F67C1" w:rsidRDefault="007F67C1" w:rsidP="007F67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E651A5" w14:textId="1102CF67" w:rsidR="007F67C1" w:rsidRPr="008D53B6" w:rsidRDefault="007F67C1" w:rsidP="007F67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DE79CA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4F806B" w14:textId="77777777" w:rsidR="007F67C1" w:rsidRPr="007F67C1" w:rsidRDefault="007F67C1" w:rsidP="007F67C1">
      <w:pPr>
        <w:spacing w:before="120"/>
        <w:rPr>
          <w:sz w:val="28"/>
          <w:szCs w:val="28"/>
        </w:rPr>
      </w:pPr>
      <w:r w:rsidRPr="007F67C1">
        <w:rPr>
          <w:sz w:val="28"/>
          <w:szCs w:val="28"/>
        </w:rPr>
        <w:t>Комитет по внутреннему транспорту</w:t>
      </w:r>
    </w:p>
    <w:p w14:paraId="02FE42CB" w14:textId="77777777" w:rsidR="007F67C1" w:rsidRPr="007F67C1" w:rsidRDefault="007F67C1" w:rsidP="007F67C1">
      <w:pPr>
        <w:spacing w:before="120"/>
        <w:rPr>
          <w:b/>
          <w:sz w:val="24"/>
          <w:szCs w:val="24"/>
        </w:rPr>
      </w:pPr>
      <w:r w:rsidRPr="007F67C1">
        <w:rPr>
          <w:b/>
          <w:bCs/>
          <w:sz w:val="24"/>
          <w:szCs w:val="24"/>
        </w:rPr>
        <w:t>Рабочая группа по перевозкам опасных грузов</w:t>
      </w:r>
    </w:p>
    <w:p w14:paraId="6F5528E1" w14:textId="51592CC8" w:rsidR="007F67C1" w:rsidRPr="00765F01" w:rsidRDefault="007F67C1" w:rsidP="007F67C1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310E365A" w14:textId="27838E5B" w:rsidR="007F67C1" w:rsidRPr="00765F01" w:rsidRDefault="007F67C1" w:rsidP="007F67C1">
      <w:r>
        <w:t>Женева, 19</w:t>
      </w:r>
      <w:r w:rsidRPr="00B10B94">
        <w:t>–</w:t>
      </w:r>
      <w:r>
        <w:t>29 сентября 2023 года</w:t>
      </w:r>
    </w:p>
    <w:p w14:paraId="0947F9C8" w14:textId="77777777" w:rsidR="007F67C1" w:rsidRPr="00765F01" w:rsidRDefault="007F67C1" w:rsidP="007F67C1">
      <w:r>
        <w:t>Пункт 2 предварительной повестки дня</w:t>
      </w:r>
    </w:p>
    <w:p w14:paraId="29463464" w14:textId="77777777" w:rsidR="007F67C1" w:rsidRPr="00765F01" w:rsidRDefault="007F67C1" w:rsidP="007F67C1">
      <w:pPr>
        <w:rPr>
          <w:b/>
          <w:bCs/>
        </w:rPr>
      </w:pPr>
      <w:r>
        <w:rPr>
          <w:b/>
          <w:bCs/>
        </w:rPr>
        <w:t>Цистерны</w:t>
      </w:r>
    </w:p>
    <w:p w14:paraId="0554A5CA" w14:textId="77777777" w:rsidR="007F67C1" w:rsidRPr="00765F01" w:rsidRDefault="007F67C1" w:rsidP="007F67C1">
      <w:pPr>
        <w:pStyle w:val="HChG"/>
      </w:pPr>
      <w:r>
        <w:tab/>
      </w:r>
      <w:r>
        <w:tab/>
      </w:r>
      <w:r>
        <w:rPr>
          <w:bCs/>
        </w:rPr>
        <w:t>Перевозка продуктов питания, других предметов потребления и кормов для животных в цистернах, использовавшихся для опасных грузов</w:t>
      </w:r>
    </w:p>
    <w:p w14:paraId="1B68F879" w14:textId="1B3A6BDD" w:rsidR="007F67C1" w:rsidRPr="00765F01" w:rsidRDefault="007F67C1" w:rsidP="007F67C1">
      <w:pPr>
        <w:pStyle w:val="H1G"/>
        <w:rPr>
          <w:szCs w:val="24"/>
        </w:rPr>
      </w:pPr>
      <w:r>
        <w:tab/>
      </w:r>
      <w:r>
        <w:tab/>
        <w:t>Передано правительством Нидерландов</w:t>
      </w:r>
      <w:r w:rsidRPr="007F67C1">
        <w:rPr>
          <w:rStyle w:val="aa"/>
          <w:b w:val="0"/>
          <w:sz w:val="20"/>
          <w:shd w:val="clear" w:color="auto" w:fill="FFFFFF"/>
          <w:vertAlign w:val="baseline"/>
        </w:rPr>
        <w:footnoteReference w:customMarkFollows="1" w:id="1"/>
        <w:t>*</w:t>
      </w:r>
      <w:r w:rsidRPr="00B10B94">
        <w:rPr>
          <w:bCs/>
          <w:sz w:val="20"/>
          <w:shd w:val="clear" w:color="auto" w:fill="FFFFFF"/>
        </w:rPr>
        <w:t xml:space="preserve"> </w:t>
      </w:r>
      <w:r w:rsidRPr="007F67C1">
        <w:rPr>
          <w:rStyle w:val="aa"/>
          <w:b w:val="0"/>
          <w:sz w:val="20"/>
          <w:vertAlign w:val="baseline"/>
        </w:rPr>
        <w:footnoteReference w:customMarkFollows="1" w:id="2"/>
        <w:t>*</w:t>
      </w:r>
      <w:r w:rsidRPr="007F67C1">
        <w:rPr>
          <w:b w:val="0"/>
          <w:sz w:val="20"/>
        </w:rPr>
        <w:t>*</w:t>
      </w:r>
    </w:p>
    <w:p w14:paraId="2510F561" w14:textId="77777777" w:rsidR="007F67C1" w:rsidRPr="00765F01" w:rsidRDefault="007F67C1" w:rsidP="007F67C1">
      <w:pPr>
        <w:pStyle w:val="HChG"/>
        <w:rPr>
          <w:b w:val="0"/>
        </w:rPr>
      </w:pPr>
      <w:r>
        <w:tab/>
      </w:r>
      <w:r>
        <w:tab/>
      </w:r>
      <w:r>
        <w:rPr>
          <w:bCs/>
        </w:rPr>
        <w:t>Введение</w:t>
      </w:r>
    </w:p>
    <w:p w14:paraId="16A23F4A" w14:textId="570E2448" w:rsidR="007F67C1" w:rsidRPr="00765F01" w:rsidRDefault="007F67C1" w:rsidP="007F67C1">
      <w:pPr>
        <w:spacing w:after="120"/>
        <w:ind w:left="1134" w:right="1134"/>
        <w:jc w:val="both"/>
      </w:pPr>
      <w:r>
        <w:t>1.</w:t>
      </w:r>
      <w:r>
        <w:tab/>
        <w:t>Представляется, что требования к перевозке продуктов питания, других предметов потребления и кормов для животных в цистернах, которые ранее использовались для перевозки опасных грузов, определены недостаточно четко.</w:t>
      </w:r>
    </w:p>
    <w:p w14:paraId="6962C46F" w14:textId="7946ED41" w:rsidR="007F67C1" w:rsidRPr="00765F01" w:rsidRDefault="007F67C1" w:rsidP="007F67C1">
      <w:pPr>
        <w:spacing w:after="120"/>
        <w:ind w:left="1134" w:right="1134"/>
        <w:jc w:val="both"/>
      </w:pPr>
      <w:r>
        <w:t>2.</w:t>
      </w:r>
      <w:r>
        <w:tab/>
        <w:t>В соответствии с пунктом 4.3.2.1.6 МПОГ/ДОПОГ перевозка продуктов питания в цистернах, в которых перевозились опасные грузы, допускается в том случае, если «приняты необходимые меры для предотвращения нанесения какого бы то ни было вреда здоровью людей». Охват этих необходимых мер зависит от того, каким образом данное предписание истолковывается владельцем/пользователем и какие шаги он готов предпринять.</w:t>
      </w:r>
    </w:p>
    <w:p w14:paraId="0D16CC44" w14:textId="50BC418B" w:rsidR="007F67C1" w:rsidRPr="00765F01" w:rsidRDefault="007F67C1" w:rsidP="007F67C1">
      <w:pPr>
        <w:spacing w:after="120"/>
        <w:ind w:left="1134" w:right="1134"/>
        <w:jc w:val="both"/>
      </w:pPr>
      <w:r>
        <w:t>3.</w:t>
      </w:r>
      <w:r>
        <w:tab/>
        <w:t>Специальное положение TU15 в пункте 4.3.5 касается этого же вопроса, но предусматривает, что такие цистерны не должны использоваться для перевозки продуктов питания, других предметов потребления или кормов для животных.</w:t>
      </w:r>
    </w:p>
    <w:p w14:paraId="3EA6FC6F" w14:textId="77777777" w:rsidR="007F67C1" w:rsidRPr="00765F01" w:rsidRDefault="007F67C1" w:rsidP="007F67C1">
      <w:pPr>
        <w:spacing w:after="120"/>
        <w:ind w:left="1134" w:right="1134"/>
        <w:jc w:val="both"/>
      </w:pPr>
      <w:r>
        <w:t>4.</w:t>
      </w:r>
      <w:r>
        <w:tab/>
        <w:t>Действие специального положения TU15 весьма ограничено, поскольку на табличке цистерны или в свидетельстве о допущении ДОПОГ необходимо указывать только специальные положения по цистернам TC и TE. Поэтому представляется маловероятным, чтобы на практике каждый пользователь был осведомлен о содержании специального положения TU15, когда цистерна предъявляется для загрузки продуктов питания.</w:t>
      </w:r>
    </w:p>
    <w:p w14:paraId="272EFCDA" w14:textId="77777777" w:rsidR="007F67C1" w:rsidRPr="00765F01" w:rsidRDefault="007F67C1" w:rsidP="007F67C1">
      <w:pPr>
        <w:spacing w:after="120"/>
        <w:ind w:left="1134" w:right="1134"/>
        <w:jc w:val="both"/>
      </w:pPr>
      <w:r>
        <w:t>5.</w:t>
      </w:r>
      <w:r>
        <w:tab/>
        <w:t>Цистерны, выведенные из эксплуатации в режиме МПОГ/ДОПОГ и переоборудованные под продукты питания, перестают подпадать под действие каких-</w:t>
      </w:r>
      <w:r>
        <w:lastRenderedPageBreak/>
        <w:t>либо правил в отношении того, могут ли они использоваться для перевозки таких продуктов без ущерба для здоровья населения.</w:t>
      </w:r>
    </w:p>
    <w:p w14:paraId="50A6F875" w14:textId="77777777" w:rsidR="007F67C1" w:rsidRPr="00CA5D23" w:rsidRDefault="007F67C1" w:rsidP="00270970">
      <w:pPr>
        <w:pStyle w:val="HChG"/>
        <w:rPr>
          <w:b w:val="0"/>
        </w:rPr>
      </w:pPr>
      <w:r>
        <w:tab/>
      </w:r>
      <w:r>
        <w:tab/>
      </w:r>
      <w:r>
        <w:rPr>
          <w:bCs/>
        </w:rPr>
        <w:t>Обсуждение</w:t>
      </w:r>
    </w:p>
    <w:p w14:paraId="3096825D" w14:textId="77777777" w:rsidR="007F67C1" w:rsidRPr="00765F01" w:rsidRDefault="007F67C1" w:rsidP="00270970">
      <w:pPr>
        <w:pStyle w:val="SingleTxtG"/>
        <w:numPr>
          <w:ilvl w:val="0"/>
          <w:numId w:val="22"/>
        </w:numPr>
        <w:ind w:left="1134" w:firstLine="0"/>
      </w:pPr>
      <w:r>
        <w:t>Нидерландам было бы интересно узнать мнение Совместного совещания по следующим вопросам.</w:t>
      </w:r>
    </w:p>
    <w:p w14:paraId="1913E5CE" w14:textId="36F6934C" w:rsidR="007F67C1" w:rsidRPr="00765F01" w:rsidRDefault="007F67C1" w:rsidP="00270970">
      <w:pPr>
        <w:pStyle w:val="SingleTxtG"/>
        <w:ind w:firstLine="567"/>
      </w:pPr>
      <w:r>
        <w:t>a)</w:t>
      </w:r>
      <w:r>
        <w:tab/>
        <w:t>Какие «необходимые меры» принимаются для того, чтобы разрешить перевозку продуктов питания в цистернах, в которых ранее перевозились опасные грузы?</w:t>
      </w:r>
    </w:p>
    <w:p w14:paraId="2B63D645" w14:textId="77777777" w:rsidR="007F67C1" w:rsidRPr="00765F01" w:rsidRDefault="007F67C1" w:rsidP="00270970">
      <w:pPr>
        <w:pStyle w:val="SingleTxtG"/>
        <w:ind w:firstLine="567"/>
      </w:pPr>
      <w:r>
        <w:t>b)</w:t>
      </w:r>
      <w:r>
        <w:tab/>
        <w:t>Предполагается ли, что пункт 4.3.2.1.6 распространяется на все продукты питания или только на те, которые относятся к сфере действия правил перевозки и классифицируются как опасные грузы?</w:t>
      </w:r>
    </w:p>
    <w:p w14:paraId="301FE504" w14:textId="77777777" w:rsidR="007F67C1" w:rsidRPr="00765F01" w:rsidRDefault="007F67C1" w:rsidP="00270970">
      <w:pPr>
        <w:pStyle w:val="SingleTxtG"/>
        <w:ind w:firstLine="567"/>
      </w:pPr>
      <w:r>
        <w:t>c)</w:t>
      </w:r>
      <w:r>
        <w:tab/>
        <w:t>Относятся ли положения пункта 4.3.2.1.6 и специального положения TU15, касающиеся перевозки продуктов питания в цистернах, в которых ранее перевозились опасные грузы, к сфере действия МПОГ/ДОПОГ?</w:t>
      </w:r>
    </w:p>
    <w:p w14:paraId="52A19D06" w14:textId="77777777" w:rsidR="007F67C1" w:rsidRPr="00765F01" w:rsidRDefault="007F67C1" w:rsidP="00270970">
      <w:pPr>
        <w:pStyle w:val="SingleTxtG"/>
        <w:ind w:firstLine="567"/>
      </w:pPr>
      <w:r>
        <w:t>d)</w:t>
      </w:r>
      <w:r>
        <w:tab/>
        <w:t>Поддерживается ли внесение поправок в МПОГ/ДОПОГ?</w:t>
      </w:r>
    </w:p>
    <w:p w14:paraId="1D11CF77" w14:textId="77777777" w:rsidR="007F67C1" w:rsidRPr="00765F01" w:rsidRDefault="007F67C1" w:rsidP="00270970">
      <w:pPr>
        <w:pStyle w:val="HChG"/>
        <w:rPr>
          <w:iCs/>
          <w:szCs w:val="28"/>
        </w:rPr>
      </w:pPr>
      <w:r>
        <w:tab/>
      </w:r>
      <w:r>
        <w:tab/>
      </w:r>
      <w:r>
        <w:rPr>
          <w:bCs/>
        </w:rPr>
        <w:t>Справочная информация</w:t>
      </w:r>
    </w:p>
    <w:p w14:paraId="4F50CB5E" w14:textId="77777777" w:rsidR="007F67C1" w:rsidRPr="00765F01" w:rsidRDefault="007F67C1" w:rsidP="00270970">
      <w:pPr>
        <w:spacing w:after="120"/>
        <w:ind w:left="1134" w:right="1134"/>
        <w:jc w:val="both"/>
      </w:pPr>
      <w:r>
        <w:t>7.</w:t>
      </w:r>
      <w:r>
        <w:tab/>
        <w:t>Заведенный в Нидерландах порядок таков, что после допущения токсичных веществ к перевозке автоцистернами, они в принципе больше не могут использоваться для перевозки продуктов питания, поскольку в большинстве случаев невозможно определить, кто несет ответственность за то, какие химические вещества перевозились в цистерне на протяжении всего срока ее службы. В материале, из которого изготовлена цистерна, могут сохраняться следовые остатки перевозимых веществ или содержавшихся в них загрязнителей. Примером могут служить следы ртути в материале цистерны, которые представляют опасность для здоровья населения.</w:t>
      </w:r>
    </w:p>
    <w:p w14:paraId="6996A565" w14:textId="77777777" w:rsidR="007F67C1" w:rsidRPr="00765F01" w:rsidRDefault="007F67C1" w:rsidP="00270970">
      <w:pPr>
        <w:spacing w:before="120" w:after="120"/>
        <w:ind w:left="1134" w:right="1134"/>
        <w:jc w:val="both"/>
      </w:pPr>
      <w:r>
        <w:t>8.</w:t>
      </w:r>
      <w:r>
        <w:tab/>
        <w:t>Для борьбы с этими угрозами в свидетельстве о допущении ДОПОГ в Нидерландах указывается специальное положение TU15. Это приводит к дискуссиям, поскольку пользователи хотят получить в распоряжение ту цистерну, которую они считают пригодной; это особенно касается предприятий, сдающих автоцистерны в аренду, ведь тогда информации о том, какие грузы перевозились в них ранее, еще меньше.</w:t>
      </w:r>
    </w:p>
    <w:p w14:paraId="53540223" w14:textId="77777777" w:rsidR="007F67C1" w:rsidRPr="00765F01" w:rsidRDefault="007F67C1" w:rsidP="00270970">
      <w:pPr>
        <w:pStyle w:val="HChG"/>
        <w:rPr>
          <w:b w:val="0"/>
        </w:rPr>
      </w:pPr>
      <w:r>
        <w:tab/>
      </w:r>
      <w:r>
        <w:tab/>
      </w:r>
      <w:r>
        <w:rPr>
          <w:bCs/>
        </w:rPr>
        <w:t>Обоснование</w:t>
      </w:r>
    </w:p>
    <w:p w14:paraId="58E2C883" w14:textId="4CA71A76" w:rsidR="007F67C1" w:rsidRPr="00533DEA" w:rsidRDefault="007F67C1" w:rsidP="00270970">
      <w:pPr>
        <w:spacing w:before="120" w:after="120"/>
        <w:ind w:left="1134" w:right="1134"/>
        <w:jc w:val="both"/>
      </w:pPr>
      <w:r>
        <w:t>9.</w:t>
      </w:r>
      <w:r>
        <w:tab/>
        <w:t xml:space="preserve">Цель настоящего документа состоит в том, чтобы прояснить применение положения 4.3.2.1.6 в сочетании со специальным положением TU15 МПОГ/ДОПОГ. </w:t>
      </w:r>
      <w:r w:rsidRPr="00533DEA">
        <w:t xml:space="preserve">Более систематичный подход и более тщательное обоснование положений </w:t>
      </w:r>
      <w:r>
        <w:t xml:space="preserve">в рамках </w:t>
      </w:r>
      <w:r w:rsidRPr="00533DEA">
        <w:t>МПОГ/ДОПОГ позволя</w:t>
      </w:r>
      <w:r>
        <w:t>ю</w:t>
      </w:r>
      <w:r w:rsidRPr="00533DEA">
        <w:t>т сделать правовые тексты более четкими и избежать различий в критериях, применяемых разными Договаривающимися сторонами/</w:t>
      </w:r>
      <w:r w:rsidR="00270970">
        <w:br/>
      </w:r>
      <w:r w:rsidRPr="00533DEA">
        <w:t xml:space="preserve">государствами и разными инспекционными службами, и тем самым способствуют достижению цели № 16 в области устойчивого развития Организации Объединенных Наций </w:t>
      </w:r>
      <w:r>
        <w:t>«</w:t>
      </w:r>
      <w:r w:rsidRPr="00533DEA">
        <w:t>Мир, правосудие и эффективные учреждения</w:t>
      </w:r>
      <w:r>
        <w:t>».</w:t>
      </w:r>
    </w:p>
    <w:p w14:paraId="3CCC2A77" w14:textId="64FA3C58" w:rsidR="00E12C5F" w:rsidRPr="008D53B6" w:rsidRDefault="007F67C1" w:rsidP="00270970">
      <w:pPr>
        <w:spacing w:before="240"/>
        <w:jc w:val="center"/>
      </w:pPr>
      <w:r w:rsidRPr="00765F01">
        <w:rPr>
          <w:u w:val="single"/>
        </w:rPr>
        <w:tab/>
      </w:r>
      <w:r w:rsidRPr="00765F01">
        <w:rPr>
          <w:u w:val="single"/>
        </w:rPr>
        <w:tab/>
      </w:r>
      <w:r w:rsidRPr="00765F01">
        <w:rPr>
          <w:u w:val="single"/>
        </w:rPr>
        <w:tab/>
      </w:r>
    </w:p>
    <w:sectPr w:rsidR="00E12C5F" w:rsidRPr="008D53B6" w:rsidSect="007F6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45B0" w14:textId="77777777" w:rsidR="00A06BFB" w:rsidRPr="00A312BC" w:rsidRDefault="00A06BFB" w:rsidP="00A312BC"/>
  </w:endnote>
  <w:endnote w:type="continuationSeparator" w:id="0">
    <w:p w14:paraId="57E3049E" w14:textId="77777777" w:rsidR="00A06BFB" w:rsidRPr="00A312BC" w:rsidRDefault="00A06B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F491" w14:textId="6E3639BF" w:rsidR="007F67C1" w:rsidRPr="007F67C1" w:rsidRDefault="007F67C1">
    <w:pPr>
      <w:pStyle w:val="a8"/>
    </w:pPr>
    <w:r w:rsidRPr="007F67C1">
      <w:rPr>
        <w:b/>
        <w:sz w:val="18"/>
      </w:rPr>
      <w:fldChar w:fldCharType="begin"/>
    </w:r>
    <w:r w:rsidRPr="007F67C1">
      <w:rPr>
        <w:b/>
        <w:sz w:val="18"/>
      </w:rPr>
      <w:instrText xml:space="preserve"> PAGE  \* MERGEFORMAT </w:instrText>
    </w:r>
    <w:r w:rsidRPr="007F67C1">
      <w:rPr>
        <w:b/>
        <w:sz w:val="18"/>
      </w:rPr>
      <w:fldChar w:fldCharType="separate"/>
    </w:r>
    <w:r w:rsidRPr="007F67C1">
      <w:rPr>
        <w:b/>
        <w:noProof/>
        <w:sz w:val="18"/>
      </w:rPr>
      <w:t>2</w:t>
    </w:r>
    <w:r w:rsidRPr="007F67C1">
      <w:rPr>
        <w:b/>
        <w:sz w:val="18"/>
      </w:rPr>
      <w:fldChar w:fldCharType="end"/>
    </w:r>
    <w:r>
      <w:rPr>
        <w:b/>
        <w:sz w:val="18"/>
      </w:rPr>
      <w:tab/>
    </w:r>
    <w:r>
      <w:t>GE.23-12432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6F49" w14:textId="480B31C9" w:rsidR="007F67C1" w:rsidRPr="007F67C1" w:rsidRDefault="007F67C1" w:rsidP="007F67C1">
    <w:pPr>
      <w:pStyle w:val="a8"/>
      <w:tabs>
        <w:tab w:val="clear" w:pos="9639"/>
        <w:tab w:val="right" w:pos="9638"/>
      </w:tabs>
      <w:rPr>
        <w:b/>
        <w:sz w:val="18"/>
      </w:rPr>
    </w:pPr>
    <w:r>
      <w:t>GE.23-12432</w:t>
    </w:r>
    <w:r>
      <w:tab/>
    </w:r>
    <w:r w:rsidRPr="007F67C1">
      <w:rPr>
        <w:b/>
        <w:sz w:val="18"/>
      </w:rPr>
      <w:fldChar w:fldCharType="begin"/>
    </w:r>
    <w:r w:rsidRPr="007F67C1">
      <w:rPr>
        <w:b/>
        <w:sz w:val="18"/>
      </w:rPr>
      <w:instrText xml:space="preserve"> PAGE  \* MERGEFORMAT </w:instrText>
    </w:r>
    <w:r w:rsidRPr="007F67C1">
      <w:rPr>
        <w:b/>
        <w:sz w:val="18"/>
      </w:rPr>
      <w:fldChar w:fldCharType="separate"/>
    </w:r>
    <w:r w:rsidRPr="007F67C1">
      <w:rPr>
        <w:b/>
        <w:noProof/>
        <w:sz w:val="18"/>
      </w:rPr>
      <w:t>3</w:t>
    </w:r>
    <w:r w:rsidRPr="007F67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01A7" w14:textId="53A22C7E" w:rsidR="00042B72" w:rsidRPr="007F67C1" w:rsidRDefault="007F67C1" w:rsidP="007F67C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B2AABD" wp14:editId="70D2509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23-12432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CEA7F6D" wp14:editId="7AB5F58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240723  240723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33D5" w14:textId="77777777" w:rsidR="00A06BFB" w:rsidRPr="001075E9" w:rsidRDefault="00A06B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ABDF86" w14:textId="77777777" w:rsidR="00A06BFB" w:rsidRDefault="00A06B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A754705" w14:textId="24D9CA94" w:rsidR="007F67C1" w:rsidRPr="00914702" w:rsidRDefault="007F67C1" w:rsidP="007F67C1">
      <w:pPr>
        <w:pStyle w:val="ad"/>
      </w:pPr>
      <w:r>
        <w:tab/>
        <w:t>*</w:t>
      </w:r>
      <w:r>
        <w:tab/>
        <w:t>A/7</w:t>
      </w:r>
      <w:r w:rsidR="003F6472" w:rsidRPr="00B10B94">
        <w:t>7</w:t>
      </w:r>
      <w:r>
        <w:t>/6 (разд. 20), п. 20.6.</w:t>
      </w:r>
    </w:p>
  </w:footnote>
  <w:footnote w:id="2">
    <w:p w14:paraId="40324D34" w14:textId="77777777" w:rsidR="007F67C1" w:rsidRPr="00765F01" w:rsidRDefault="007F67C1" w:rsidP="007F67C1">
      <w:pPr>
        <w:pStyle w:val="ad"/>
      </w:pPr>
      <w:r>
        <w:tab/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6B88" w14:textId="189E23B4" w:rsidR="007F67C1" w:rsidRPr="007F67C1" w:rsidRDefault="00B10B9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BF4F" w14:textId="109B253C" w:rsidR="007F67C1" w:rsidRPr="007F67C1" w:rsidRDefault="00B10B94" w:rsidP="007F67C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ECE/TRANS/WP.15/AC.1/2023/27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B42" w14:textId="77777777" w:rsidR="007F67C1" w:rsidRDefault="007F67C1" w:rsidP="007F67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C44F8"/>
    <w:multiLevelType w:val="hybridMultilevel"/>
    <w:tmpl w:val="19DC69E4"/>
    <w:lvl w:ilvl="0" w:tplc="B964C55E">
      <w:start w:val="6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54" w:hanging="360"/>
      </w:pPr>
    </w:lvl>
    <w:lvl w:ilvl="2" w:tplc="0413001B" w:tentative="1">
      <w:start w:val="1"/>
      <w:numFmt w:val="lowerRoman"/>
      <w:lvlText w:val="%3."/>
      <w:lvlJc w:val="right"/>
      <w:pPr>
        <w:ind w:left="4374" w:hanging="180"/>
      </w:pPr>
    </w:lvl>
    <w:lvl w:ilvl="3" w:tplc="0413000F" w:tentative="1">
      <w:start w:val="1"/>
      <w:numFmt w:val="decimal"/>
      <w:lvlText w:val="%4."/>
      <w:lvlJc w:val="left"/>
      <w:pPr>
        <w:ind w:left="5094" w:hanging="360"/>
      </w:pPr>
    </w:lvl>
    <w:lvl w:ilvl="4" w:tplc="04130019" w:tentative="1">
      <w:start w:val="1"/>
      <w:numFmt w:val="lowerLetter"/>
      <w:lvlText w:val="%5."/>
      <w:lvlJc w:val="left"/>
      <w:pPr>
        <w:ind w:left="5814" w:hanging="360"/>
      </w:pPr>
    </w:lvl>
    <w:lvl w:ilvl="5" w:tplc="0413001B" w:tentative="1">
      <w:start w:val="1"/>
      <w:numFmt w:val="lowerRoman"/>
      <w:lvlText w:val="%6."/>
      <w:lvlJc w:val="right"/>
      <w:pPr>
        <w:ind w:left="6534" w:hanging="180"/>
      </w:pPr>
    </w:lvl>
    <w:lvl w:ilvl="6" w:tplc="0413000F" w:tentative="1">
      <w:start w:val="1"/>
      <w:numFmt w:val="decimal"/>
      <w:lvlText w:val="%7."/>
      <w:lvlJc w:val="left"/>
      <w:pPr>
        <w:ind w:left="7254" w:hanging="360"/>
      </w:pPr>
    </w:lvl>
    <w:lvl w:ilvl="7" w:tplc="04130019" w:tentative="1">
      <w:start w:val="1"/>
      <w:numFmt w:val="lowerLetter"/>
      <w:lvlText w:val="%8."/>
      <w:lvlJc w:val="left"/>
      <w:pPr>
        <w:ind w:left="7974" w:hanging="360"/>
      </w:pPr>
    </w:lvl>
    <w:lvl w:ilvl="8" w:tplc="0413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11303954">
    <w:abstractNumId w:val="17"/>
  </w:num>
  <w:num w:numId="2" w16cid:durableId="1974216146">
    <w:abstractNumId w:val="11"/>
  </w:num>
  <w:num w:numId="3" w16cid:durableId="93598918">
    <w:abstractNumId w:val="10"/>
  </w:num>
  <w:num w:numId="4" w16cid:durableId="107700146">
    <w:abstractNumId w:val="18"/>
  </w:num>
  <w:num w:numId="5" w16cid:durableId="1161892826">
    <w:abstractNumId w:val="13"/>
  </w:num>
  <w:num w:numId="6" w16cid:durableId="576748616">
    <w:abstractNumId w:val="8"/>
  </w:num>
  <w:num w:numId="7" w16cid:durableId="745227911">
    <w:abstractNumId w:val="3"/>
  </w:num>
  <w:num w:numId="8" w16cid:durableId="753405238">
    <w:abstractNumId w:val="2"/>
  </w:num>
  <w:num w:numId="9" w16cid:durableId="1764718993">
    <w:abstractNumId w:val="1"/>
  </w:num>
  <w:num w:numId="10" w16cid:durableId="1740906595">
    <w:abstractNumId w:val="0"/>
  </w:num>
  <w:num w:numId="11" w16cid:durableId="1117136759">
    <w:abstractNumId w:val="9"/>
  </w:num>
  <w:num w:numId="12" w16cid:durableId="1007514138">
    <w:abstractNumId w:val="7"/>
  </w:num>
  <w:num w:numId="13" w16cid:durableId="1629820182">
    <w:abstractNumId w:val="6"/>
  </w:num>
  <w:num w:numId="14" w16cid:durableId="1168204435">
    <w:abstractNumId w:val="5"/>
  </w:num>
  <w:num w:numId="15" w16cid:durableId="1668164969">
    <w:abstractNumId w:val="4"/>
  </w:num>
  <w:num w:numId="16" w16cid:durableId="1022511118">
    <w:abstractNumId w:val="16"/>
  </w:num>
  <w:num w:numId="17" w16cid:durableId="856428231">
    <w:abstractNumId w:val="12"/>
  </w:num>
  <w:num w:numId="18" w16cid:durableId="1700157835">
    <w:abstractNumId w:val="14"/>
  </w:num>
  <w:num w:numId="19" w16cid:durableId="2099981768">
    <w:abstractNumId w:val="16"/>
  </w:num>
  <w:num w:numId="20" w16cid:durableId="2081631704">
    <w:abstractNumId w:val="12"/>
  </w:num>
  <w:num w:numId="21" w16cid:durableId="1130980145">
    <w:abstractNumId w:val="14"/>
  </w:num>
  <w:num w:numId="22" w16cid:durableId="119553494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036A"/>
    <w:rsid w:val="00196389"/>
    <w:rsid w:val="001B3EF6"/>
    <w:rsid w:val="001C7A89"/>
    <w:rsid w:val="00255343"/>
    <w:rsid w:val="00270970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2BD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6472"/>
    <w:rsid w:val="00407B78"/>
    <w:rsid w:val="00424203"/>
    <w:rsid w:val="00452493"/>
    <w:rsid w:val="00453318"/>
    <w:rsid w:val="00454AF2"/>
    <w:rsid w:val="00454E07"/>
    <w:rsid w:val="00472C5C"/>
    <w:rsid w:val="00485F8A"/>
    <w:rsid w:val="004D25B8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7C0F"/>
    <w:rsid w:val="007F67C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6BFB"/>
    <w:rsid w:val="00A14DA8"/>
    <w:rsid w:val="00A312BC"/>
    <w:rsid w:val="00A84021"/>
    <w:rsid w:val="00A84D35"/>
    <w:rsid w:val="00A917B3"/>
    <w:rsid w:val="00AB4B51"/>
    <w:rsid w:val="00B10B94"/>
    <w:rsid w:val="00B10CC7"/>
    <w:rsid w:val="00B36DF7"/>
    <w:rsid w:val="00B539E7"/>
    <w:rsid w:val="00B62458"/>
    <w:rsid w:val="00BA14D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1B3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92EDD"/>
  <w15:docId w15:val="{4648C809-1278-4F85-946F-308C4F4C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F67C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9" baseType="lpstr">
      <vt:lpstr>ECE/TRANS/WP.15/AC.1/2023/27</vt:lpstr>
      <vt:lpstr>    Перевозка продуктов питания, других предметов потребления и кормов для животны</vt:lpstr>
      <vt:lpstr>        Передано правительством Нидерландов* **</vt:lpstr>
      <vt:lpstr>    Введение</vt:lpstr>
      <vt:lpstr>    Обсуждение</vt:lpstr>
      <vt:lpstr>    Справочная информация</vt:lpstr>
      <vt:lpstr>    Обоснование</vt:lpstr>
      <vt:lpstr>A/</vt:lpstr>
      <vt:lpstr>A/</vt:lpstr>
    </vt:vector>
  </TitlesOfParts>
  <Company>DCM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ECE/TRANS/WP.15/AC.1/2023/27</dc:title>
  <dc:subject/>
  <dc:creator>Olga OVTCHINNIKOVA</dc:creator>
  <cp:keywords/>
  <cp:lastModifiedBy>Olga Ovchinnikova</cp:lastModifiedBy>
  <cp:revision>3</cp:revision>
  <cp:lastPrinted>2023-07-24T13:28:00Z</cp:lastPrinted>
  <dcterms:created xsi:type="dcterms:W3CDTF">2023-07-24T13:28:00Z</dcterms:created>
  <dcterms:modified xsi:type="dcterms:W3CDTF">2023-07-24T13:28:00Z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