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9AB04B5" w14:textId="77777777" w:rsidTr="00C97039">
        <w:trPr>
          <w:trHeight w:hRule="exact" w:val="851"/>
        </w:trPr>
        <w:tc>
          <w:tcPr>
            <w:tcW w:w="1276" w:type="dxa"/>
            <w:tcBorders>
              <w:bottom w:val="single" w:sz="4" w:space="0" w:color="auto"/>
            </w:tcBorders>
          </w:tcPr>
          <w:p w14:paraId="44E70B29" w14:textId="77777777" w:rsidR="00F35BAF" w:rsidRPr="00DB58B5" w:rsidRDefault="00F35BAF" w:rsidP="00153472"/>
        </w:tc>
        <w:tc>
          <w:tcPr>
            <w:tcW w:w="2268" w:type="dxa"/>
            <w:tcBorders>
              <w:bottom w:val="single" w:sz="4" w:space="0" w:color="auto"/>
            </w:tcBorders>
            <w:vAlign w:val="bottom"/>
          </w:tcPr>
          <w:p w14:paraId="6EA40D6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A2ABF1" w14:textId="7B7EA986" w:rsidR="00F35BAF" w:rsidRPr="00DB58B5" w:rsidRDefault="00153472" w:rsidP="00153472">
            <w:pPr>
              <w:jc w:val="right"/>
            </w:pPr>
            <w:r w:rsidRPr="00153472">
              <w:rPr>
                <w:sz w:val="40"/>
              </w:rPr>
              <w:t>ECE</w:t>
            </w:r>
            <w:r>
              <w:t>/TRANS/WP.15/AC.1/2023/27</w:t>
            </w:r>
          </w:p>
        </w:tc>
      </w:tr>
      <w:tr w:rsidR="00F35BAF" w:rsidRPr="00DB58B5" w14:paraId="5D3D4741" w14:textId="77777777" w:rsidTr="00C97039">
        <w:trPr>
          <w:trHeight w:hRule="exact" w:val="2835"/>
        </w:trPr>
        <w:tc>
          <w:tcPr>
            <w:tcW w:w="1276" w:type="dxa"/>
            <w:tcBorders>
              <w:top w:val="single" w:sz="4" w:space="0" w:color="auto"/>
              <w:bottom w:val="single" w:sz="12" w:space="0" w:color="auto"/>
            </w:tcBorders>
          </w:tcPr>
          <w:p w14:paraId="40E06A85" w14:textId="77777777" w:rsidR="00F35BAF" w:rsidRPr="00DB58B5" w:rsidRDefault="00F35BAF" w:rsidP="00C97039">
            <w:pPr>
              <w:spacing w:before="120"/>
              <w:jc w:val="center"/>
            </w:pPr>
            <w:r>
              <w:rPr>
                <w:noProof/>
                <w:lang w:eastAsia="fr-CH"/>
              </w:rPr>
              <w:drawing>
                <wp:inline distT="0" distB="0" distL="0" distR="0" wp14:anchorId="0CA86108" wp14:editId="329F23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63573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7C5939" w14:textId="77777777" w:rsidR="00F35BAF" w:rsidRDefault="00153472" w:rsidP="00C97039">
            <w:pPr>
              <w:spacing w:before="240"/>
            </w:pPr>
            <w:r>
              <w:t>Distr. générale</w:t>
            </w:r>
          </w:p>
          <w:p w14:paraId="32E3E377" w14:textId="40483B8C" w:rsidR="00153472" w:rsidRDefault="00153472" w:rsidP="00153472">
            <w:pPr>
              <w:spacing w:line="240" w:lineRule="exact"/>
            </w:pPr>
            <w:r>
              <w:t>27 juin 2023</w:t>
            </w:r>
          </w:p>
          <w:p w14:paraId="6FAEE075" w14:textId="77777777" w:rsidR="00153472" w:rsidRDefault="00153472" w:rsidP="00153472">
            <w:pPr>
              <w:spacing w:line="240" w:lineRule="exact"/>
            </w:pPr>
            <w:r>
              <w:t>Français</w:t>
            </w:r>
          </w:p>
          <w:p w14:paraId="0A14DBB4" w14:textId="4D03DDA3" w:rsidR="00153472" w:rsidRPr="00DB58B5" w:rsidRDefault="00153472" w:rsidP="00153472">
            <w:pPr>
              <w:spacing w:line="240" w:lineRule="exact"/>
            </w:pPr>
            <w:r>
              <w:t>Original : anglais</w:t>
            </w:r>
          </w:p>
        </w:tc>
      </w:tr>
    </w:tbl>
    <w:p w14:paraId="12E371AA" w14:textId="77777777" w:rsidR="007F20FA" w:rsidRPr="000312C0" w:rsidRDefault="007F20FA" w:rsidP="007F20FA">
      <w:pPr>
        <w:spacing w:before="120"/>
        <w:rPr>
          <w:b/>
          <w:sz w:val="28"/>
          <w:szCs w:val="28"/>
        </w:rPr>
      </w:pPr>
      <w:r w:rsidRPr="000312C0">
        <w:rPr>
          <w:b/>
          <w:sz w:val="28"/>
          <w:szCs w:val="28"/>
        </w:rPr>
        <w:t>Commission économique pour l’Europe</w:t>
      </w:r>
    </w:p>
    <w:p w14:paraId="3A8C538F" w14:textId="77777777" w:rsidR="007F20FA" w:rsidRDefault="007F20FA" w:rsidP="007F20FA">
      <w:pPr>
        <w:spacing w:before="120"/>
        <w:rPr>
          <w:sz w:val="28"/>
          <w:szCs w:val="28"/>
        </w:rPr>
      </w:pPr>
      <w:r w:rsidRPr="00685843">
        <w:rPr>
          <w:sz w:val="28"/>
          <w:szCs w:val="28"/>
        </w:rPr>
        <w:t>Comité des transports intérieurs</w:t>
      </w:r>
    </w:p>
    <w:p w14:paraId="6EE62CE2" w14:textId="77777777" w:rsidR="00153472" w:rsidRPr="00153472" w:rsidRDefault="00153472" w:rsidP="00153472">
      <w:pPr>
        <w:spacing w:before="120"/>
        <w:rPr>
          <w:b/>
          <w:sz w:val="24"/>
          <w:szCs w:val="24"/>
          <w:lang w:val="fr-FR"/>
        </w:rPr>
      </w:pPr>
      <w:r w:rsidRPr="00153472">
        <w:rPr>
          <w:b/>
          <w:bCs/>
          <w:sz w:val="24"/>
          <w:szCs w:val="24"/>
          <w:lang w:val="fr-FR"/>
        </w:rPr>
        <w:t>Groupe de travail des transports de marchandises dangereuses</w:t>
      </w:r>
    </w:p>
    <w:p w14:paraId="0F54CA1F" w14:textId="396A3DCA" w:rsidR="00153472" w:rsidRPr="00A22B1F" w:rsidRDefault="00153472" w:rsidP="00153472">
      <w:pPr>
        <w:spacing w:before="120"/>
        <w:rPr>
          <w:b/>
          <w:lang w:val="fr-FR"/>
        </w:rPr>
      </w:pPr>
      <w:r>
        <w:rPr>
          <w:b/>
          <w:bCs/>
          <w:lang w:val="fr-FR"/>
        </w:rPr>
        <w:t xml:space="preserve">Réunion commune de la Commission d’experts du RID et du Groupe de travail </w:t>
      </w:r>
      <w:r>
        <w:rPr>
          <w:b/>
          <w:bCs/>
          <w:lang w:val="fr-FR"/>
        </w:rPr>
        <w:br/>
      </w:r>
      <w:r>
        <w:rPr>
          <w:b/>
          <w:bCs/>
          <w:lang w:val="fr-FR"/>
        </w:rPr>
        <w:t>des transports de marchandises dangereuses</w:t>
      </w:r>
    </w:p>
    <w:p w14:paraId="42DAD004" w14:textId="7882187D" w:rsidR="00153472" w:rsidRPr="00A22B1F" w:rsidRDefault="00153472" w:rsidP="00153472">
      <w:pPr>
        <w:rPr>
          <w:lang w:val="fr-FR"/>
        </w:rPr>
      </w:pPr>
      <w:r>
        <w:rPr>
          <w:lang w:val="fr-FR"/>
        </w:rPr>
        <w:t>Genève, 19</w:t>
      </w:r>
      <w:r>
        <w:rPr>
          <w:lang w:val="fr-FR"/>
        </w:rPr>
        <w:noBreakHyphen/>
      </w:r>
      <w:r>
        <w:rPr>
          <w:lang w:val="fr-FR"/>
        </w:rPr>
        <w:t>29</w:t>
      </w:r>
      <w:r>
        <w:rPr>
          <w:lang w:val="fr-FR"/>
        </w:rPr>
        <w:t> </w:t>
      </w:r>
      <w:r>
        <w:rPr>
          <w:lang w:val="fr-FR"/>
        </w:rPr>
        <w:t>septembre 2023</w:t>
      </w:r>
    </w:p>
    <w:p w14:paraId="5F6B119A" w14:textId="3D9D7BF5" w:rsidR="00153472" w:rsidRPr="00A22B1F" w:rsidRDefault="00153472" w:rsidP="00153472">
      <w:pPr>
        <w:rPr>
          <w:lang w:val="fr-FR"/>
        </w:rPr>
      </w:pPr>
      <w:r>
        <w:rPr>
          <w:lang w:val="fr-FR"/>
        </w:rPr>
        <w:t>Point</w:t>
      </w:r>
      <w:r>
        <w:rPr>
          <w:lang w:val="fr-FR"/>
        </w:rPr>
        <w:t> </w:t>
      </w:r>
      <w:r>
        <w:rPr>
          <w:lang w:val="fr-FR"/>
        </w:rPr>
        <w:t>2 de l’ordre du jour provisoire</w:t>
      </w:r>
    </w:p>
    <w:p w14:paraId="298F2D38" w14:textId="77777777" w:rsidR="00153472" w:rsidRPr="00A22B1F" w:rsidRDefault="00153472" w:rsidP="00153472">
      <w:pPr>
        <w:rPr>
          <w:b/>
          <w:bCs/>
          <w:lang w:val="fr-FR"/>
        </w:rPr>
      </w:pPr>
      <w:r>
        <w:rPr>
          <w:b/>
          <w:bCs/>
          <w:lang w:val="fr-FR"/>
        </w:rPr>
        <w:t>Citernes</w:t>
      </w:r>
    </w:p>
    <w:p w14:paraId="74C682E0" w14:textId="4B3DF63B" w:rsidR="00153472" w:rsidRPr="00A22B1F" w:rsidRDefault="00153472" w:rsidP="00153472">
      <w:pPr>
        <w:pStyle w:val="HChG"/>
        <w:rPr>
          <w:lang w:val="fr-FR"/>
        </w:rPr>
      </w:pPr>
      <w:r>
        <w:rPr>
          <w:lang w:val="fr-FR"/>
        </w:rPr>
        <w:tab/>
      </w:r>
      <w:r>
        <w:rPr>
          <w:lang w:val="fr-FR"/>
        </w:rPr>
        <w:tab/>
      </w:r>
      <w:r>
        <w:rPr>
          <w:bCs/>
          <w:lang w:val="fr-FR"/>
        </w:rPr>
        <w:t xml:space="preserve">Transport de denrées alimentaires, d’autres objets </w:t>
      </w:r>
      <w:r>
        <w:rPr>
          <w:bCs/>
          <w:lang w:val="fr-FR"/>
        </w:rPr>
        <w:br/>
      </w:r>
      <w:r>
        <w:rPr>
          <w:bCs/>
          <w:lang w:val="fr-FR"/>
        </w:rPr>
        <w:t xml:space="preserve">de consommation et d’aliments pour animaux </w:t>
      </w:r>
      <w:r>
        <w:rPr>
          <w:bCs/>
          <w:lang w:val="fr-FR"/>
        </w:rPr>
        <w:br/>
      </w:r>
      <w:r>
        <w:rPr>
          <w:bCs/>
          <w:lang w:val="fr-FR"/>
        </w:rPr>
        <w:t xml:space="preserve">dans des citernes ayant été utilisées pour </w:t>
      </w:r>
      <w:r>
        <w:rPr>
          <w:bCs/>
          <w:lang w:val="fr-FR"/>
        </w:rPr>
        <w:br/>
      </w:r>
      <w:r>
        <w:rPr>
          <w:bCs/>
          <w:lang w:val="fr-FR"/>
        </w:rPr>
        <w:t>des marchandises dangereuses</w:t>
      </w:r>
    </w:p>
    <w:p w14:paraId="7E97BACA" w14:textId="74459AD5" w:rsidR="00153472" w:rsidRPr="00A22B1F" w:rsidRDefault="00153472" w:rsidP="00153472">
      <w:pPr>
        <w:pStyle w:val="H1G"/>
        <w:tabs>
          <w:tab w:val="clear" w:pos="851"/>
        </w:tabs>
        <w:rPr>
          <w:szCs w:val="24"/>
          <w:lang w:val="fr-FR"/>
        </w:rPr>
      </w:pPr>
      <w:r>
        <w:rPr>
          <w:lang w:val="fr-FR"/>
        </w:rPr>
        <w:tab/>
      </w:r>
      <w:r>
        <w:rPr>
          <w:lang w:val="fr-FR"/>
        </w:rPr>
        <w:tab/>
        <w:t>Communication du Gouvernement néerlandais</w:t>
      </w:r>
      <w:r w:rsidRPr="00153472">
        <w:rPr>
          <w:rStyle w:val="Appelnotedebasdep"/>
          <w:b w:val="0"/>
          <w:sz w:val="20"/>
          <w:shd w:val="clear" w:color="auto" w:fill="FFFFFF"/>
          <w:vertAlign w:val="baseline"/>
          <w:lang w:val="fr-FR"/>
        </w:rPr>
        <w:footnoteReference w:customMarkFollows="1" w:id="2"/>
        <w:t>*</w:t>
      </w:r>
      <w:r w:rsidRPr="00153472">
        <w:rPr>
          <w:b w:val="0"/>
          <w:sz w:val="20"/>
          <w:shd w:val="clear" w:color="auto" w:fill="FFFFFF"/>
          <w:vertAlign w:val="superscript"/>
          <w:lang w:val="fr-FR"/>
        </w:rPr>
        <w:t>,</w:t>
      </w:r>
      <w:r w:rsidRPr="00153472">
        <w:rPr>
          <w:rStyle w:val="Appelnotedebasdep"/>
          <w:b w:val="0"/>
          <w:sz w:val="20"/>
          <w:vertAlign w:val="baseline"/>
          <w:lang w:val="fr-FR"/>
        </w:rPr>
        <w:footnoteReference w:customMarkFollows="1" w:id="3"/>
        <w:t>*</w:t>
      </w:r>
      <w:r w:rsidRPr="00153472">
        <w:rPr>
          <w:b w:val="0"/>
          <w:sz w:val="20"/>
          <w:lang w:val="fr-FR"/>
        </w:rPr>
        <w:t>*</w:t>
      </w:r>
    </w:p>
    <w:p w14:paraId="1DE5DB7C" w14:textId="77777777" w:rsidR="00153472" w:rsidRPr="00A22B1F" w:rsidRDefault="00153472" w:rsidP="00153472">
      <w:pPr>
        <w:pStyle w:val="HChG"/>
        <w:rPr>
          <w:b w:val="0"/>
          <w:lang w:val="fr-FR"/>
        </w:rPr>
      </w:pPr>
      <w:r>
        <w:rPr>
          <w:lang w:val="fr-FR"/>
        </w:rPr>
        <w:tab/>
      </w:r>
      <w:r>
        <w:rPr>
          <w:lang w:val="fr-FR"/>
        </w:rPr>
        <w:tab/>
      </w:r>
      <w:r>
        <w:rPr>
          <w:bCs/>
          <w:lang w:val="fr-FR"/>
        </w:rPr>
        <w:t>Introduction</w:t>
      </w:r>
    </w:p>
    <w:p w14:paraId="1621E084" w14:textId="77777777" w:rsidR="00153472" w:rsidRPr="00153472" w:rsidRDefault="00153472" w:rsidP="00153472">
      <w:pPr>
        <w:pStyle w:val="SingleTxtG"/>
      </w:pPr>
      <w:r w:rsidRPr="00153472">
        <w:t>1.</w:t>
      </w:r>
      <w:r w:rsidRPr="00153472">
        <w:tab/>
        <w:t>Il semble que les prescriptions relatives au transport de denrées alimentaires, d’autres objets de consommation et d’aliments pour animaux dans des citernes ayant été utilisées pour le transport de marchandises dangereuses ne sont pas assez précises.</w:t>
      </w:r>
    </w:p>
    <w:p w14:paraId="2CAEF1D5" w14:textId="12C951A9" w:rsidR="00153472" w:rsidRPr="00153472" w:rsidRDefault="00153472" w:rsidP="00153472">
      <w:pPr>
        <w:pStyle w:val="SingleTxtG"/>
      </w:pPr>
      <w:r w:rsidRPr="00153472">
        <w:t>2.</w:t>
      </w:r>
      <w:r w:rsidRPr="00153472">
        <w:tab/>
        <w:t>Selon le</w:t>
      </w:r>
      <w:r w:rsidRPr="00153472">
        <w:t> </w:t>
      </w:r>
      <w:r w:rsidRPr="00153472">
        <w:t>4.3.2.1.6 du</w:t>
      </w:r>
      <w:r w:rsidRPr="00153472">
        <w:t> </w:t>
      </w:r>
      <w:r w:rsidRPr="00153472">
        <w:t>RID et de l’ADR, les denrées alimentaires peuvent être transportées dans des citernes ayant été utilisées pour le transport de marchandises dangereuses si « les mesures nécessaires ont été prises en vue de prévenir toute atteinte à la santé publique ». Or la nature de ces mesures nécessaires dépend de l’interprétation qui est faite de cette prescription et de ce que le propriétaire ou l’utilisateur est prêt à faire.</w:t>
      </w:r>
    </w:p>
    <w:p w14:paraId="4E8055F7" w14:textId="42D6E122" w:rsidR="00153472" w:rsidRPr="00153472" w:rsidRDefault="00153472" w:rsidP="00153472">
      <w:pPr>
        <w:pStyle w:val="SingleTxtG"/>
      </w:pPr>
      <w:r w:rsidRPr="00153472">
        <w:t>3.</w:t>
      </w:r>
      <w:r w:rsidRPr="00153472">
        <w:tab/>
        <w:t>En outre, la disposition spéciale</w:t>
      </w:r>
      <w:r w:rsidRPr="00153472">
        <w:t> </w:t>
      </w:r>
      <w:r w:rsidRPr="00153472">
        <w:t>TU15 de la section</w:t>
      </w:r>
      <w:r w:rsidRPr="00153472">
        <w:t> </w:t>
      </w:r>
      <w:r w:rsidRPr="00153472">
        <w:t>4.3.5 a également trait à cette question, mais elle prévoit que les citernes ne doivent pas être utilisées pour le transport de denrées alimentaires, d’autres objets de consommation ou d’aliments pour animaux.</w:t>
      </w:r>
    </w:p>
    <w:p w14:paraId="2C6EB98D" w14:textId="2ACA959B" w:rsidR="00153472" w:rsidRPr="00153472" w:rsidRDefault="00153472" w:rsidP="00153472">
      <w:pPr>
        <w:pStyle w:val="SingleTxtG"/>
      </w:pPr>
      <w:r w:rsidRPr="00153472">
        <w:t>4.</w:t>
      </w:r>
      <w:r w:rsidRPr="00153472">
        <w:tab/>
        <w:t>Les conséquences de la disposition spéciale</w:t>
      </w:r>
      <w:r w:rsidRPr="00153472">
        <w:t> </w:t>
      </w:r>
      <w:r w:rsidRPr="00153472">
        <w:t>TU15 sont très limitées, car seules les dispositions spéciales</w:t>
      </w:r>
      <w:r w:rsidRPr="00153472">
        <w:t> </w:t>
      </w:r>
      <w:r w:rsidRPr="00153472">
        <w:t>TC et</w:t>
      </w:r>
      <w:r w:rsidR="001B3046">
        <w:t> </w:t>
      </w:r>
      <w:r w:rsidRPr="00153472">
        <w:t>TE relatives aux citernes doivent être indiquées sur le panneau de la citerne ou le certificat d’agrément</w:t>
      </w:r>
      <w:r w:rsidRPr="00153472">
        <w:t> </w:t>
      </w:r>
      <w:r w:rsidRPr="00153472">
        <w:t>ADR. On peut donc se demander si, dans la pratique, les utilisateurs sont conscients de ce qui est mentionné dans la disposition spéciale</w:t>
      </w:r>
      <w:r w:rsidRPr="00153472">
        <w:t> </w:t>
      </w:r>
      <w:r w:rsidRPr="00153472">
        <w:t>TU15 lorsque la citerne est présentée au chargement de denrées alimentaires.</w:t>
      </w:r>
    </w:p>
    <w:p w14:paraId="2ED12161" w14:textId="065C516A" w:rsidR="00153472" w:rsidRPr="00153472" w:rsidRDefault="00153472" w:rsidP="00035B0B">
      <w:pPr>
        <w:pStyle w:val="SingleTxtG"/>
        <w:keepNext/>
        <w:keepLines/>
      </w:pPr>
      <w:r w:rsidRPr="00153472">
        <w:lastRenderedPageBreak/>
        <w:t>5.</w:t>
      </w:r>
      <w:r w:rsidRPr="00153472">
        <w:tab/>
        <w:t>Les citernes qui ne font plus l’objet d’une utilisation relevant du</w:t>
      </w:r>
      <w:r w:rsidRPr="00153472">
        <w:t> </w:t>
      </w:r>
      <w:r w:rsidRPr="00153472">
        <w:t>RID ou de l’ADR et qui sont modifiées de façon à pouvoir transporter des denrées alimentaires ne relèvent plus d’aucun règlement si elles peuvent être utilisées pour des denrées alimentaires sans porter atteinte à la santé publique.</w:t>
      </w:r>
    </w:p>
    <w:p w14:paraId="27FA40D6" w14:textId="6F59FB1C" w:rsidR="00153472" w:rsidRPr="00CA5D23" w:rsidRDefault="00096F1A" w:rsidP="00096F1A">
      <w:pPr>
        <w:pStyle w:val="HChG"/>
      </w:pPr>
      <w:r>
        <w:rPr>
          <w:lang w:val="fr-FR"/>
        </w:rPr>
        <w:tab/>
      </w:r>
      <w:r>
        <w:rPr>
          <w:lang w:val="fr-FR"/>
        </w:rPr>
        <w:tab/>
      </w:r>
      <w:r w:rsidR="00153472">
        <w:rPr>
          <w:lang w:val="fr-FR"/>
        </w:rPr>
        <w:t>Débat</w:t>
      </w:r>
    </w:p>
    <w:p w14:paraId="469606DE" w14:textId="01CD8BC2" w:rsidR="00153472" w:rsidRPr="00A22B1F" w:rsidRDefault="00153472" w:rsidP="00153472">
      <w:pPr>
        <w:pStyle w:val="SingleTxtG"/>
        <w:numPr>
          <w:ilvl w:val="0"/>
          <w:numId w:val="17"/>
        </w:numPr>
        <w:tabs>
          <w:tab w:val="left" w:pos="1701"/>
          <w:tab w:val="left" w:pos="2268"/>
          <w:tab w:val="left" w:pos="2835"/>
        </w:tabs>
        <w:ind w:left="1134" w:firstLine="0"/>
        <w:rPr>
          <w:lang w:val="fr-FR"/>
        </w:rPr>
      </w:pPr>
      <w:r>
        <w:rPr>
          <w:lang w:val="fr-FR"/>
        </w:rPr>
        <w:t>Le Royaume des Pays</w:t>
      </w:r>
      <w:r w:rsidR="00035B0B">
        <w:rPr>
          <w:lang w:val="fr-FR"/>
        </w:rPr>
        <w:noBreakHyphen/>
      </w:r>
      <w:r>
        <w:rPr>
          <w:lang w:val="fr-FR"/>
        </w:rPr>
        <w:t xml:space="preserve">Bas souhaiterait connaître l’avis des délégations participant à la </w:t>
      </w:r>
      <w:r w:rsidR="001B3046">
        <w:rPr>
          <w:lang w:val="fr-FR"/>
        </w:rPr>
        <w:t>R</w:t>
      </w:r>
      <w:r>
        <w:rPr>
          <w:lang w:val="fr-FR"/>
        </w:rPr>
        <w:t>éunion commune sur les questions suivantes :</w:t>
      </w:r>
    </w:p>
    <w:p w14:paraId="0492442D" w14:textId="77777777" w:rsidR="00153472" w:rsidRPr="00A22B1F" w:rsidRDefault="00153472" w:rsidP="00153472">
      <w:pPr>
        <w:pStyle w:val="SingleTxtG"/>
        <w:ind w:firstLine="567"/>
        <w:rPr>
          <w:lang w:val="fr-FR"/>
        </w:rPr>
      </w:pPr>
      <w:r>
        <w:rPr>
          <w:lang w:val="fr-FR"/>
        </w:rPr>
        <w:t>a)</w:t>
      </w:r>
      <w:r>
        <w:rPr>
          <w:lang w:val="fr-FR"/>
        </w:rPr>
        <w:tab/>
        <w:t>Quelles sont les « mesures nécessaires » prises pour permettre le transport de denrées alimentaires dans des citernes ayant été utilisées précédemment pour le transport de marchandises dangereuses ?</w:t>
      </w:r>
    </w:p>
    <w:p w14:paraId="7A4E176F" w14:textId="1BC91CE0" w:rsidR="00153472" w:rsidRPr="00A22B1F" w:rsidRDefault="00153472" w:rsidP="00153472">
      <w:pPr>
        <w:pStyle w:val="SingleTxtG"/>
        <w:ind w:firstLine="567"/>
        <w:rPr>
          <w:lang w:val="fr-FR"/>
        </w:rPr>
      </w:pPr>
      <w:r>
        <w:rPr>
          <w:lang w:val="fr-FR"/>
        </w:rPr>
        <w:t>b)</w:t>
      </w:r>
      <w:r>
        <w:rPr>
          <w:lang w:val="fr-FR"/>
        </w:rPr>
        <w:tab/>
        <w:t>Le</w:t>
      </w:r>
      <w:r w:rsidR="00035B0B">
        <w:rPr>
          <w:lang w:val="fr-FR"/>
        </w:rPr>
        <w:t> </w:t>
      </w:r>
      <w:r>
        <w:rPr>
          <w:lang w:val="fr-FR"/>
        </w:rPr>
        <w:t>4.3.2.1.6 est</w:t>
      </w:r>
      <w:r w:rsidR="00035B0B">
        <w:rPr>
          <w:lang w:val="fr-FR"/>
        </w:rPr>
        <w:noBreakHyphen/>
      </w:r>
      <w:r>
        <w:rPr>
          <w:lang w:val="fr-FR"/>
        </w:rPr>
        <w:t>il censé se référer à toutes les denrées alimentaires ou seulement à celles qui relèvent de la réglementation des transports et qui sont classées dans la catégorie des matières dangereuses ?</w:t>
      </w:r>
    </w:p>
    <w:p w14:paraId="20E5FA28" w14:textId="3B4735F3" w:rsidR="00153472" w:rsidRPr="00A22B1F" w:rsidRDefault="00153472" w:rsidP="00153472">
      <w:pPr>
        <w:pStyle w:val="SingleTxtG"/>
        <w:ind w:firstLine="567"/>
        <w:rPr>
          <w:lang w:val="fr-FR"/>
        </w:rPr>
      </w:pPr>
      <w:r>
        <w:rPr>
          <w:lang w:val="fr-FR"/>
        </w:rPr>
        <w:t>c)</w:t>
      </w:r>
      <w:r>
        <w:rPr>
          <w:lang w:val="fr-FR"/>
        </w:rPr>
        <w:tab/>
        <w:t>Les dispositions du</w:t>
      </w:r>
      <w:r w:rsidR="00035B0B">
        <w:rPr>
          <w:lang w:val="fr-FR"/>
        </w:rPr>
        <w:t> </w:t>
      </w:r>
      <w:r>
        <w:rPr>
          <w:lang w:val="fr-FR"/>
        </w:rPr>
        <w:t>4.3.2.1.6 et la disposition spéciale</w:t>
      </w:r>
      <w:r w:rsidR="00035B0B">
        <w:rPr>
          <w:lang w:val="fr-FR"/>
        </w:rPr>
        <w:t> </w:t>
      </w:r>
      <w:r>
        <w:rPr>
          <w:lang w:val="fr-FR"/>
        </w:rPr>
        <w:t>TU15 sur le transport de denrées alimentaires dans des citernes ayant été utilisées pour le transport de marchandises dangereuses relèvent</w:t>
      </w:r>
      <w:r w:rsidR="00035B0B">
        <w:rPr>
          <w:lang w:val="fr-FR"/>
        </w:rPr>
        <w:noBreakHyphen/>
      </w:r>
      <w:r>
        <w:rPr>
          <w:lang w:val="fr-FR"/>
        </w:rPr>
        <w:t>elles du champ d’application du</w:t>
      </w:r>
      <w:r w:rsidR="00035B0B">
        <w:rPr>
          <w:lang w:val="fr-FR"/>
        </w:rPr>
        <w:t> </w:t>
      </w:r>
      <w:r>
        <w:rPr>
          <w:lang w:val="fr-FR"/>
        </w:rPr>
        <w:t>RID et de l’ADR ?</w:t>
      </w:r>
    </w:p>
    <w:p w14:paraId="31BA9BAF" w14:textId="2E14E8E2" w:rsidR="00153472" w:rsidRPr="00A22B1F" w:rsidRDefault="00153472" w:rsidP="00153472">
      <w:pPr>
        <w:pStyle w:val="SingleTxtG"/>
        <w:ind w:firstLine="567"/>
        <w:rPr>
          <w:lang w:val="fr-FR"/>
        </w:rPr>
      </w:pPr>
      <w:r>
        <w:rPr>
          <w:lang w:val="fr-FR"/>
        </w:rPr>
        <w:t>d)</w:t>
      </w:r>
      <w:r>
        <w:rPr>
          <w:lang w:val="fr-FR"/>
        </w:rPr>
        <w:tab/>
        <w:t>La modification du</w:t>
      </w:r>
      <w:r w:rsidR="00035B0B">
        <w:rPr>
          <w:lang w:val="fr-FR"/>
        </w:rPr>
        <w:t> </w:t>
      </w:r>
      <w:r>
        <w:rPr>
          <w:lang w:val="fr-FR"/>
        </w:rPr>
        <w:t>RID/ADR recueille</w:t>
      </w:r>
      <w:r w:rsidR="00035B0B">
        <w:rPr>
          <w:lang w:val="fr-FR"/>
        </w:rPr>
        <w:noBreakHyphen/>
      </w:r>
      <w:r>
        <w:rPr>
          <w:lang w:val="fr-FR"/>
        </w:rPr>
        <w:t>t</w:t>
      </w:r>
      <w:r w:rsidR="00035B0B">
        <w:rPr>
          <w:lang w:val="fr-FR"/>
        </w:rPr>
        <w:noBreakHyphen/>
      </w:r>
      <w:r>
        <w:rPr>
          <w:lang w:val="fr-FR"/>
        </w:rPr>
        <w:t>elle l’adhésion des participants</w:t>
      </w:r>
      <w:r w:rsidR="00035B0B">
        <w:rPr>
          <w:lang w:val="fr-FR"/>
        </w:rPr>
        <w:t> </w:t>
      </w:r>
      <w:r>
        <w:rPr>
          <w:lang w:val="fr-FR"/>
        </w:rPr>
        <w:t>?</w:t>
      </w:r>
    </w:p>
    <w:p w14:paraId="5EF36988" w14:textId="77777777" w:rsidR="00153472" w:rsidRPr="00A22B1F" w:rsidRDefault="00153472" w:rsidP="00153472">
      <w:pPr>
        <w:pStyle w:val="HChG"/>
        <w:rPr>
          <w:iCs/>
          <w:szCs w:val="28"/>
          <w:lang w:val="fr-FR"/>
        </w:rPr>
      </w:pPr>
      <w:r>
        <w:rPr>
          <w:lang w:val="fr-FR"/>
        </w:rPr>
        <w:tab/>
      </w:r>
      <w:r>
        <w:rPr>
          <w:lang w:val="fr-FR"/>
        </w:rPr>
        <w:tab/>
      </w:r>
      <w:r>
        <w:rPr>
          <w:bCs/>
          <w:lang w:val="fr-FR"/>
        </w:rPr>
        <w:t>Contexte</w:t>
      </w:r>
    </w:p>
    <w:p w14:paraId="3B2461E5" w14:textId="4F1083C5" w:rsidR="00153472" w:rsidRPr="00A22B1F" w:rsidRDefault="00153472" w:rsidP="00035B0B">
      <w:pPr>
        <w:pStyle w:val="SingleTxtG"/>
        <w:rPr>
          <w:lang w:val="fr-FR"/>
        </w:rPr>
      </w:pPr>
      <w:r>
        <w:rPr>
          <w:lang w:val="fr-FR"/>
        </w:rPr>
        <w:t>7.</w:t>
      </w:r>
      <w:r>
        <w:rPr>
          <w:lang w:val="fr-FR"/>
        </w:rPr>
        <w:tab/>
        <w:t>Aux Royaume des Pays</w:t>
      </w:r>
      <w:r w:rsidR="007E0126">
        <w:rPr>
          <w:lang w:val="fr-FR"/>
        </w:rPr>
        <w:noBreakHyphen/>
      </w:r>
      <w:r>
        <w:rPr>
          <w:lang w:val="fr-FR"/>
        </w:rPr>
        <w:t>Bas, selon la procédure, à partir du moment où le transport de matières toxiques a été autorisé, les véhicules</w:t>
      </w:r>
      <w:r w:rsidR="00035B0B">
        <w:rPr>
          <w:lang w:val="fr-FR"/>
        </w:rPr>
        <w:noBreakHyphen/>
      </w:r>
      <w:r>
        <w:rPr>
          <w:lang w:val="fr-FR"/>
        </w:rPr>
        <w:t>citernes routiers ne peuvent en principe plus être utilisés pour le transport de denrées alimentaires, car, dans la plupart des cas, il est impossible de déterminer qui est responsable, en ce qui concerne les substances chimiques transportées pendant la durée de vie de la citerne. En effet, les substances dangereuses peuvent laisser des traces soit de la substance elle</w:t>
      </w:r>
      <w:r w:rsidR="00035B0B">
        <w:rPr>
          <w:lang w:val="fr-FR"/>
        </w:rPr>
        <w:noBreakHyphen/>
      </w:r>
      <w:r>
        <w:rPr>
          <w:lang w:val="fr-FR"/>
        </w:rPr>
        <w:t>même, soit de contaminants dans le matériau dans lequel la citerne a été fabriquée. Ainsi, les traces de mercure qui subsistent dans le matériau de la citerne constituent un danger pour la santé publique.</w:t>
      </w:r>
    </w:p>
    <w:p w14:paraId="7DCC5FB6" w14:textId="46205BC1" w:rsidR="00153472" w:rsidRPr="00A22B1F" w:rsidRDefault="00153472" w:rsidP="00035B0B">
      <w:pPr>
        <w:pStyle w:val="SingleTxtG"/>
        <w:rPr>
          <w:lang w:val="fr-FR"/>
        </w:rPr>
      </w:pPr>
      <w:r>
        <w:rPr>
          <w:lang w:val="fr-FR"/>
        </w:rPr>
        <w:t>8.</w:t>
      </w:r>
      <w:r>
        <w:rPr>
          <w:lang w:val="fr-FR"/>
        </w:rPr>
        <w:tab/>
        <w:t>Afin d’éviter ce problème, la disposition spéciale</w:t>
      </w:r>
      <w:r w:rsidR="00035B0B">
        <w:rPr>
          <w:lang w:val="fr-FR"/>
        </w:rPr>
        <w:t> </w:t>
      </w:r>
      <w:r>
        <w:rPr>
          <w:lang w:val="fr-FR"/>
        </w:rPr>
        <w:t>TU15 est imprimée sur le certificat d’agrément</w:t>
      </w:r>
      <w:r w:rsidR="00035B0B">
        <w:rPr>
          <w:lang w:val="fr-FR"/>
        </w:rPr>
        <w:t> </w:t>
      </w:r>
      <w:r>
        <w:rPr>
          <w:lang w:val="fr-FR"/>
        </w:rPr>
        <w:t>ADR au Royaume des Pays</w:t>
      </w:r>
      <w:r w:rsidR="007E0126">
        <w:rPr>
          <w:lang w:val="fr-FR"/>
        </w:rPr>
        <w:noBreakHyphen/>
      </w:r>
      <w:r>
        <w:rPr>
          <w:lang w:val="fr-FR"/>
        </w:rPr>
        <w:t>Bas. Or cette mention entraîne des débats, car les utilisateurs veulent utiliser les citernes qu’ils jugent appropriées, en particulier les sociétés qui louent des véhicules</w:t>
      </w:r>
      <w:r w:rsidR="00035B0B">
        <w:rPr>
          <w:lang w:val="fr-FR"/>
        </w:rPr>
        <w:noBreakHyphen/>
      </w:r>
      <w:r>
        <w:rPr>
          <w:lang w:val="fr-FR"/>
        </w:rPr>
        <w:t>citernes pour lesquels il est encore plus difficile de connaître les cargaisons transportées auparavant.</w:t>
      </w:r>
    </w:p>
    <w:p w14:paraId="2480BAEF" w14:textId="77777777" w:rsidR="00153472" w:rsidRPr="00A22B1F" w:rsidRDefault="00153472" w:rsidP="00153472">
      <w:pPr>
        <w:pStyle w:val="HChG"/>
        <w:rPr>
          <w:b w:val="0"/>
          <w:lang w:val="fr-FR"/>
        </w:rPr>
      </w:pPr>
      <w:r>
        <w:rPr>
          <w:lang w:val="fr-FR"/>
        </w:rPr>
        <w:tab/>
      </w:r>
      <w:r>
        <w:rPr>
          <w:lang w:val="fr-FR"/>
        </w:rPr>
        <w:tab/>
      </w:r>
      <w:r>
        <w:rPr>
          <w:bCs/>
          <w:lang w:val="fr-FR"/>
        </w:rPr>
        <w:t>Justification</w:t>
      </w:r>
    </w:p>
    <w:p w14:paraId="5E6CB03E" w14:textId="4E65DFDE" w:rsidR="00153472" w:rsidRDefault="00153472" w:rsidP="00035B0B">
      <w:pPr>
        <w:pStyle w:val="SingleTxtG"/>
        <w:rPr>
          <w:lang w:val="fr-FR"/>
        </w:rPr>
      </w:pPr>
      <w:r>
        <w:rPr>
          <w:lang w:val="fr-FR"/>
        </w:rPr>
        <w:t>9.</w:t>
      </w:r>
      <w:r>
        <w:rPr>
          <w:lang w:val="fr-FR"/>
        </w:rPr>
        <w:tab/>
        <w:t>L’objectif de ce document est de préciser l’application de la disposition</w:t>
      </w:r>
      <w:r w:rsidR="00035B0B">
        <w:rPr>
          <w:lang w:val="fr-FR"/>
        </w:rPr>
        <w:t> </w:t>
      </w:r>
      <w:r>
        <w:rPr>
          <w:lang w:val="fr-FR"/>
        </w:rPr>
        <w:t>4.3.2.1.6 en relation avec la disposition spéciale</w:t>
      </w:r>
      <w:r w:rsidR="00035B0B">
        <w:rPr>
          <w:lang w:val="fr-FR"/>
        </w:rPr>
        <w:t> </w:t>
      </w:r>
      <w:r>
        <w:rPr>
          <w:lang w:val="fr-FR"/>
        </w:rPr>
        <w:t>TU15 du</w:t>
      </w:r>
      <w:r w:rsidR="00035B0B">
        <w:rPr>
          <w:lang w:val="fr-FR"/>
        </w:rPr>
        <w:t> </w:t>
      </w:r>
      <w:r>
        <w:rPr>
          <w:lang w:val="fr-FR"/>
        </w:rPr>
        <w:t>RID et de l’ADR. Le fait d’adopter une approche plus systématique et plus logique dans le</w:t>
      </w:r>
      <w:r w:rsidR="00035B0B">
        <w:rPr>
          <w:lang w:val="fr-FR"/>
        </w:rPr>
        <w:t> </w:t>
      </w:r>
      <w:r>
        <w:rPr>
          <w:lang w:val="fr-FR"/>
        </w:rPr>
        <w:t xml:space="preserve">RID et l’ADR permet de clarifier le cadre juridique et d’éviter que des critères différents soient appliqués selon les Parties contractantes/les Parties et les services d’inspection, ce qui est conforme à l’objectif de développement durable </w:t>
      </w:r>
      <w:r w:rsidR="00035B0B" w:rsidRPr="00035B0B">
        <w:rPr>
          <w:rFonts w:eastAsia="MS Mincho"/>
          <w:szCs w:val="22"/>
          <w:lang w:val="fr-FR"/>
        </w:rPr>
        <w:t>n</w:t>
      </w:r>
      <w:r w:rsidR="00035B0B" w:rsidRPr="00035B0B">
        <w:rPr>
          <w:rFonts w:eastAsia="MS Mincho"/>
          <w:szCs w:val="22"/>
          <w:vertAlign w:val="superscript"/>
          <w:lang w:val="fr-FR"/>
        </w:rPr>
        <w:t>o</w:t>
      </w:r>
      <w:r w:rsidR="00035B0B">
        <w:rPr>
          <w:lang w:val="fr-FR"/>
        </w:rPr>
        <w:t> </w:t>
      </w:r>
      <w:r>
        <w:rPr>
          <w:lang w:val="fr-FR"/>
        </w:rPr>
        <w:t>16 (Paix, justice et institutions efficaces).</w:t>
      </w:r>
    </w:p>
    <w:p w14:paraId="354A1E57" w14:textId="3D77C19C" w:rsidR="00035B0B" w:rsidRPr="00035B0B" w:rsidRDefault="00035B0B" w:rsidP="00035B0B">
      <w:pPr>
        <w:pStyle w:val="SingleTxtG"/>
        <w:spacing w:before="240" w:after="0"/>
        <w:jc w:val="center"/>
        <w:rPr>
          <w:u w:val="single"/>
        </w:rPr>
      </w:pPr>
      <w:r>
        <w:rPr>
          <w:u w:val="single"/>
        </w:rPr>
        <w:tab/>
      </w:r>
      <w:r>
        <w:rPr>
          <w:u w:val="single"/>
        </w:rPr>
        <w:tab/>
      </w:r>
      <w:r>
        <w:rPr>
          <w:u w:val="single"/>
        </w:rPr>
        <w:tab/>
      </w:r>
      <w:r>
        <w:rPr>
          <w:u w:val="single"/>
        </w:rPr>
        <w:tab/>
      </w:r>
    </w:p>
    <w:sectPr w:rsidR="00035B0B" w:rsidRPr="00035B0B" w:rsidSect="001534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F5BA" w14:textId="77777777" w:rsidR="00937EB0" w:rsidRDefault="00937EB0" w:rsidP="00F95C08">
      <w:pPr>
        <w:spacing w:line="240" w:lineRule="auto"/>
      </w:pPr>
    </w:p>
  </w:endnote>
  <w:endnote w:type="continuationSeparator" w:id="0">
    <w:p w14:paraId="681541F5" w14:textId="77777777" w:rsidR="00937EB0" w:rsidRPr="00AC3823" w:rsidRDefault="00937EB0" w:rsidP="00AC3823">
      <w:pPr>
        <w:pStyle w:val="Pieddepage"/>
      </w:pPr>
    </w:p>
  </w:endnote>
  <w:endnote w:type="continuationNotice" w:id="1">
    <w:p w14:paraId="423B321F" w14:textId="77777777" w:rsidR="00937EB0" w:rsidRDefault="00937E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D933" w14:textId="65FB9F99" w:rsidR="00153472" w:rsidRPr="00153472" w:rsidRDefault="00153472" w:rsidP="00153472">
    <w:pPr>
      <w:pStyle w:val="Pieddepage"/>
      <w:tabs>
        <w:tab w:val="right" w:pos="9638"/>
      </w:tabs>
    </w:pPr>
    <w:r w:rsidRPr="00153472">
      <w:rPr>
        <w:b/>
        <w:sz w:val="18"/>
      </w:rPr>
      <w:fldChar w:fldCharType="begin"/>
    </w:r>
    <w:r w:rsidRPr="00153472">
      <w:rPr>
        <w:b/>
        <w:sz w:val="18"/>
      </w:rPr>
      <w:instrText xml:space="preserve"> PAGE  \* MERGEFORMAT </w:instrText>
    </w:r>
    <w:r w:rsidRPr="00153472">
      <w:rPr>
        <w:b/>
        <w:sz w:val="18"/>
      </w:rPr>
      <w:fldChar w:fldCharType="separate"/>
    </w:r>
    <w:r w:rsidRPr="00153472">
      <w:rPr>
        <w:b/>
        <w:noProof/>
        <w:sz w:val="18"/>
      </w:rPr>
      <w:t>2</w:t>
    </w:r>
    <w:r w:rsidRPr="00153472">
      <w:rPr>
        <w:b/>
        <w:sz w:val="18"/>
      </w:rPr>
      <w:fldChar w:fldCharType="end"/>
    </w:r>
    <w:r>
      <w:rPr>
        <w:b/>
        <w:sz w:val="18"/>
      </w:rPr>
      <w:tab/>
    </w:r>
    <w:r>
      <w:t>GE.23-12432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70A" w14:textId="1E538B63" w:rsidR="00153472" w:rsidRPr="00153472" w:rsidRDefault="00153472" w:rsidP="00153472">
    <w:pPr>
      <w:pStyle w:val="Pieddepage"/>
      <w:tabs>
        <w:tab w:val="right" w:pos="9638"/>
      </w:tabs>
      <w:rPr>
        <w:b/>
        <w:sz w:val="18"/>
      </w:rPr>
    </w:pPr>
    <w:r>
      <w:t>GE.23-12432</w:t>
    </w:r>
    <w:r>
      <w:tab/>
    </w:r>
    <w:r w:rsidRPr="00153472">
      <w:rPr>
        <w:b/>
        <w:sz w:val="18"/>
      </w:rPr>
      <w:fldChar w:fldCharType="begin"/>
    </w:r>
    <w:r w:rsidRPr="00153472">
      <w:rPr>
        <w:b/>
        <w:sz w:val="18"/>
      </w:rPr>
      <w:instrText xml:space="preserve"> PAGE  \* MERGEFORMAT </w:instrText>
    </w:r>
    <w:r w:rsidRPr="00153472">
      <w:rPr>
        <w:b/>
        <w:sz w:val="18"/>
      </w:rPr>
      <w:fldChar w:fldCharType="separate"/>
    </w:r>
    <w:r w:rsidRPr="00153472">
      <w:rPr>
        <w:b/>
        <w:noProof/>
        <w:sz w:val="18"/>
      </w:rPr>
      <w:t>3</w:t>
    </w:r>
    <w:r w:rsidRPr="001534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4EA" w14:textId="2D2405B8" w:rsidR="007F20FA" w:rsidRPr="00153472" w:rsidRDefault="00153472" w:rsidP="0015347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359719E" wp14:editId="03BF49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23-12432  (F)</w:t>
    </w:r>
    <w:r>
      <w:rPr>
        <w:noProof/>
        <w:sz w:val="20"/>
      </w:rPr>
      <w:drawing>
        <wp:anchor distT="0" distB="0" distL="114300" distR="114300" simplePos="0" relativeHeight="251660288" behindDoc="0" locked="0" layoutInCell="1" allowOverlap="1" wp14:anchorId="383BB43F" wp14:editId="6F762DD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180723    180723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5868" w14:textId="77777777" w:rsidR="00937EB0" w:rsidRPr="00AC3823" w:rsidRDefault="00937EB0" w:rsidP="00AC3823">
      <w:pPr>
        <w:pStyle w:val="Pieddepage"/>
        <w:tabs>
          <w:tab w:val="right" w:pos="2155"/>
        </w:tabs>
        <w:spacing w:after="80" w:line="240" w:lineRule="atLeast"/>
        <w:ind w:left="680"/>
        <w:rPr>
          <w:u w:val="single"/>
        </w:rPr>
      </w:pPr>
      <w:r>
        <w:rPr>
          <w:u w:val="single"/>
        </w:rPr>
        <w:tab/>
      </w:r>
    </w:p>
  </w:footnote>
  <w:footnote w:type="continuationSeparator" w:id="0">
    <w:p w14:paraId="65672C4F" w14:textId="77777777" w:rsidR="00937EB0" w:rsidRPr="00AC3823" w:rsidRDefault="00937EB0" w:rsidP="00AC3823">
      <w:pPr>
        <w:pStyle w:val="Pieddepage"/>
        <w:tabs>
          <w:tab w:val="right" w:pos="2155"/>
        </w:tabs>
        <w:spacing w:after="80" w:line="240" w:lineRule="atLeast"/>
        <w:ind w:left="680"/>
        <w:rPr>
          <w:u w:val="single"/>
        </w:rPr>
      </w:pPr>
      <w:r>
        <w:rPr>
          <w:u w:val="single"/>
        </w:rPr>
        <w:tab/>
      </w:r>
    </w:p>
  </w:footnote>
  <w:footnote w:type="continuationNotice" w:id="1">
    <w:p w14:paraId="3EE44BB2" w14:textId="77777777" w:rsidR="00937EB0" w:rsidRPr="00AC3823" w:rsidRDefault="00937EB0">
      <w:pPr>
        <w:spacing w:line="240" w:lineRule="auto"/>
        <w:rPr>
          <w:sz w:val="2"/>
          <w:szCs w:val="2"/>
        </w:rPr>
      </w:pPr>
    </w:p>
  </w:footnote>
  <w:footnote w:id="2">
    <w:p w14:paraId="2CF59D1F" w14:textId="16688549" w:rsidR="00153472" w:rsidRPr="00A22B1F" w:rsidRDefault="00153472" w:rsidP="00153472">
      <w:pPr>
        <w:pStyle w:val="Notedebasdepage"/>
        <w:rPr>
          <w:lang w:val="fr-FR"/>
        </w:rPr>
      </w:pPr>
      <w:r>
        <w:rPr>
          <w:lang w:val="fr-FR"/>
        </w:rPr>
        <w:tab/>
      </w:r>
      <w:r w:rsidRPr="00153472">
        <w:rPr>
          <w:sz w:val="20"/>
          <w:lang w:val="fr-FR"/>
        </w:rPr>
        <w:t>*</w:t>
      </w:r>
      <w:r>
        <w:rPr>
          <w:lang w:val="fr-FR"/>
        </w:rPr>
        <w:tab/>
        <w:t>A/77/6 (</w:t>
      </w:r>
      <w:r w:rsidRPr="00801081">
        <w:rPr>
          <w:lang w:val="fr-FR"/>
        </w:rPr>
        <w:t>Sect.</w:t>
      </w:r>
      <w:r w:rsidR="00801081">
        <w:rPr>
          <w:lang w:val="fr-FR"/>
        </w:rPr>
        <w:t> </w:t>
      </w:r>
      <w:r w:rsidRPr="00801081">
        <w:rPr>
          <w:lang w:val="fr-FR"/>
        </w:rPr>
        <w:t>20</w:t>
      </w:r>
      <w:r>
        <w:rPr>
          <w:lang w:val="fr-FR"/>
        </w:rPr>
        <w:t>), par.</w:t>
      </w:r>
      <w:r>
        <w:rPr>
          <w:lang w:val="fr-FR"/>
        </w:rPr>
        <w:t> </w:t>
      </w:r>
      <w:r>
        <w:rPr>
          <w:lang w:val="fr-FR"/>
        </w:rPr>
        <w:t>20.6.</w:t>
      </w:r>
    </w:p>
  </w:footnote>
  <w:footnote w:id="3">
    <w:p w14:paraId="6A28842B" w14:textId="77777777" w:rsidR="00153472" w:rsidRPr="00A22B1F" w:rsidRDefault="00153472" w:rsidP="00153472">
      <w:pPr>
        <w:pStyle w:val="Notedebasdepage"/>
        <w:rPr>
          <w:lang w:val="fr-FR"/>
        </w:rPr>
      </w:pPr>
      <w:r>
        <w:rPr>
          <w:lang w:val="fr-FR"/>
        </w:rPr>
        <w:tab/>
      </w:r>
      <w:r w:rsidRPr="00153472">
        <w:rPr>
          <w:sz w:val="20"/>
          <w:lang w:val="fr-FR"/>
        </w:rPr>
        <w:t>**</w:t>
      </w:r>
      <w:r>
        <w:rPr>
          <w:lang w:val="fr-FR"/>
        </w:rPr>
        <w:tab/>
        <w:t>Diffusée par l’Organisation intergouvernementale pour les transports internationaux ferroviaires (OTIF) sous la cote OTIF/RID/RC/2023/27.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C256" w14:textId="79FD206B" w:rsidR="00153472" w:rsidRPr="00153472" w:rsidRDefault="00153472">
    <w:pPr>
      <w:pStyle w:val="En-tte"/>
    </w:pPr>
    <w:fldSimple w:instr=" TITLE  \* MERGEFORMAT ">
      <w:r w:rsidR="008651E9">
        <w:t>ECE/TRANS/WP.15/AC.1/2023/27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EEAD" w14:textId="4E1BFAF5" w:rsidR="00153472" w:rsidRPr="00153472" w:rsidRDefault="00153472" w:rsidP="00153472">
    <w:pPr>
      <w:pStyle w:val="En-tte"/>
      <w:jc w:val="right"/>
    </w:pPr>
    <w:fldSimple w:instr=" TITLE  \* MERGEFORMAT ">
      <w:r w:rsidR="008651E9">
        <w:t>ECE/TRANS/WP.15/AC.1/2023/27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10C44F8"/>
    <w:multiLevelType w:val="hybridMultilevel"/>
    <w:tmpl w:val="19DC69E4"/>
    <w:lvl w:ilvl="0" w:tplc="B964C55E">
      <w:start w:val="6"/>
      <w:numFmt w:val="decimal"/>
      <w:lvlText w:val="%1."/>
      <w:lvlJc w:val="left"/>
      <w:pPr>
        <w:ind w:left="2934" w:hanging="360"/>
      </w:pPr>
      <w:rPr>
        <w:rFonts w:hint="default"/>
      </w:rPr>
    </w:lvl>
    <w:lvl w:ilvl="1" w:tplc="04130019" w:tentative="1">
      <w:start w:val="1"/>
      <w:numFmt w:val="lowerLetter"/>
      <w:lvlText w:val="%2."/>
      <w:lvlJc w:val="left"/>
      <w:pPr>
        <w:ind w:left="3654" w:hanging="360"/>
      </w:pPr>
    </w:lvl>
    <w:lvl w:ilvl="2" w:tplc="0413001B" w:tentative="1">
      <w:start w:val="1"/>
      <w:numFmt w:val="lowerRoman"/>
      <w:lvlText w:val="%3."/>
      <w:lvlJc w:val="right"/>
      <w:pPr>
        <w:ind w:left="4374" w:hanging="180"/>
      </w:pPr>
    </w:lvl>
    <w:lvl w:ilvl="3" w:tplc="0413000F" w:tentative="1">
      <w:start w:val="1"/>
      <w:numFmt w:val="decimal"/>
      <w:lvlText w:val="%4."/>
      <w:lvlJc w:val="left"/>
      <w:pPr>
        <w:ind w:left="5094" w:hanging="360"/>
      </w:pPr>
    </w:lvl>
    <w:lvl w:ilvl="4" w:tplc="04130019" w:tentative="1">
      <w:start w:val="1"/>
      <w:numFmt w:val="lowerLetter"/>
      <w:lvlText w:val="%5."/>
      <w:lvlJc w:val="left"/>
      <w:pPr>
        <w:ind w:left="5814" w:hanging="360"/>
      </w:pPr>
    </w:lvl>
    <w:lvl w:ilvl="5" w:tplc="0413001B" w:tentative="1">
      <w:start w:val="1"/>
      <w:numFmt w:val="lowerRoman"/>
      <w:lvlText w:val="%6."/>
      <w:lvlJc w:val="right"/>
      <w:pPr>
        <w:ind w:left="6534" w:hanging="180"/>
      </w:pPr>
    </w:lvl>
    <w:lvl w:ilvl="6" w:tplc="0413000F" w:tentative="1">
      <w:start w:val="1"/>
      <w:numFmt w:val="decimal"/>
      <w:lvlText w:val="%7."/>
      <w:lvlJc w:val="left"/>
      <w:pPr>
        <w:ind w:left="7254" w:hanging="360"/>
      </w:pPr>
    </w:lvl>
    <w:lvl w:ilvl="7" w:tplc="04130019" w:tentative="1">
      <w:start w:val="1"/>
      <w:numFmt w:val="lowerLetter"/>
      <w:lvlText w:val="%8."/>
      <w:lvlJc w:val="left"/>
      <w:pPr>
        <w:ind w:left="7974" w:hanging="360"/>
      </w:pPr>
    </w:lvl>
    <w:lvl w:ilvl="8" w:tplc="0413001B" w:tentative="1">
      <w:start w:val="1"/>
      <w:numFmt w:val="lowerRoman"/>
      <w:lvlText w:val="%9."/>
      <w:lvlJc w:val="right"/>
      <w:pPr>
        <w:ind w:left="869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68924188">
    <w:abstractNumId w:val="13"/>
  </w:num>
  <w:num w:numId="2" w16cid:durableId="436170934">
    <w:abstractNumId w:val="11"/>
  </w:num>
  <w:num w:numId="3" w16cid:durableId="1885562131">
    <w:abstractNumId w:val="10"/>
  </w:num>
  <w:num w:numId="4" w16cid:durableId="1186868226">
    <w:abstractNumId w:val="8"/>
  </w:num>
  <w:num w:numId="5" w16cid:durableId="1154760630">
    <w:abstractNumId w:val="3"/>
  </w:num>
  <w:num w:numId="6" w16cid:durableId="1774940391">
    <w:abstractNumId w:val="2"/>
  </w:num>
  <w:num w:numId="7" w16cid:durableId="2075155056">
    <w:abstractNumId w:val="1"/>
  </w:num>
  <w:num w:numId="8" w16cid:durableId="1468431827">
    <w:abstractNumId w:val="0"/>
  </w:num>
  <w:num w:numId="9" w16cid:durableId="1905528362">
    <w:abstractNumId w:val="9"/>
  </w:num>
  <w:num w:numId="10" w16cid:durableId="1625572103">
    <w:abstractNumId w:val="7"/>
  </w:num>
  <w:num w:numId="11" w16cid:durableId="1351301531">
    <w:abstractNumId w:val="6"/>
  </w:num>
  <w:num w:numId="12" w16cid:durableId="691230431">
    <w:abstractNumId w:val="5"/>
  </w:num>
  <w:num w:numId="13" w16cid:durableId="362874769">
    <w:abstractNumId w:val="4"/>
  </w:num>
  <w:num w:numId="14" w16cid:durableId="511797225">
    <w:abstractNumId w:val="13"/>
  </w:num>
  <w:num w:numId="15" w16cid:durableId="622153670">
    <w:abstractNumId w:val="11"/>
  </w:num>
  <w:num w:numId="16" w16cid:durableId="285937633">
    <w:abstractNumId w:val="10"/>
  </w:num>
  <w:num w:numId="17" w16cid:durableId="1953976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B0"/>
    <w:rsid w:val="00017F94"/>
    <w:rsid w:val="00023842"/>
    <w:rsid w:val="000334F9"/>
    <w:rsid w:val="00035B0B"/>
    <w:rsid w:val="00045FEB"/>
    <w:rsid w:val="0007796D"/>
    <w:rsid w:val="00096F1A"/>
    <w:rsid w:val="000B7790"/>
    <w:rsid w:val="00111F2F"/>
    <w:rsid w:val="0014365E"/>
    <w:rsid w:val="00143C66"/>
    <w:rsid w:val="00153472"/>
    <w:rsid w:val="00176178"/>
    <w:rsid w:val="001B3046"/>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E0126"/>
    <w:rsid w:val="007F20FA"/>
    <w:rsid w:val="00801081"/>
    <w:rsid w:val="0080684C"/>
    <w:rsid w:val="008651E9"/>
    <w:rsid w:val="00871C75"/>
    <w:rsid w:val="008776DC"/>
    <w:rsid w:val="008D5EF9"/>
    <w:rsid w:val="00937EB0"/>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5A995"/>
  <w15:docId w15:val="{430DAC36-00CD-423E-A9FF-1D3B47EB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15347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617</Words>
  <Characters>4325</Characters>
  <Application>Microsoft Office Word</Application>
  <DocSecurity>0</DocSecurity>
  <Lines>360</Lines>
  <Paragraphs>197</Paragraphs>
  <ScaleCrop>false</ScaleCrop>
  <HeadingPairs>
    <vt:vector size="2" baseType="variant">
      <vt:variant>
        <vt:lpstr>Titre</vt:lpstr>
      </vt:variant>
      <vt:variant>
        <vt:i4>1</vt:i4>
      </vt:variant>
    </vt:vector>
  </HeadingPairs>
  <TitlesOfParts>
    <vt:vector size="1" baseType="lpstr">
      <vt:lpstr>ECE/TRANS/WP.15/AC.1/2023/27</vt:lpstr>
    </vt:vector>
  </TitlesOfParts>
  <Company>DCM</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ECE/TRANS/WP.15/AC.1/2023/27</dc:title>
  <dc:subject/>
  <dc:creator>Estelle-Delphine DITTA</dc:creator>
  <cp:keywords/>
  <cp:lastModifiedBy>Estelle-Delphine DITTA</cp:lastModifiedBy>
  <cp:revision>3</cp:revision>
  <cp:lastPrinted>2023-07-18T15:13:00Z</cp:lastPrinted>
  <dcterms:created xsi:type="dcterms:W3CDTF">2023-07-18T15:13:00Z</dcterms:created>
  <dcterms:modified xsi:type="dcterms:W3CDTF">2023-07-18T15:14:00Z</dcterms:modified>
</cp:coreProperties>
</file>