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3AFC24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9615114" w14:textId="77777777" w:rsidR="002D5AAC" w:rsidRDefault="002D5AAC" w:rsidP="004D48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706BA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DE6AB0" w14:textId="48F49129" w:rsidR="002D5AAC" w:rsidRDefault="004D48FC" w:rsidP="004D48FC">
            <w:pPr>
              <w:jc w:val="right"/>
            </w:pPr>
            <w:r w:rsidRPr="004D48FC">
              <w:rPr>
                <w:sz w:val="40"/>
              </w:rPr>
              <w:t>ECE</w:t>
            </w:r>
            <w:r>
              <w:t>/MP.EIA/IC/2023/11</w:t>
            </w:r>
          </w:p>
        </w:tc>
      </w:tr>
      <w:tr w:rsidR="002D5AAC" w14:paraId="7AA948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BDA7B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8CC4B1" wp14:editId="766270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D7E3A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2861FA" w14:textId="77777777" w:rsidR="002D5AAC" w:rsidRDefault="004D48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9F31F5" w14:textId="77777777" w:rsidR="004D48FC" w:rsidRDefault="004D48FC" w:rsidP="004D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June 2023</w:t>
            </w:r>
          </w:p>
          <w:p w14:paraId="1FFAD660" w14:textId="77777777" w:rsidR="004D48FC" w:rsidRDefault="004D48FC" w:rsidP="004D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B468000" w14:textId="73B73DBB" w:rsidR="004D48FC" w:rsidRPr="008D53B6" w:rsidRDefault="004D48FC" w:rsidP="004D4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41FD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1D6BF6" w14:textId="2D684A7A" w:rsidR="004D48FC" w:rsidRPr="002D4F06" w:rsidRDefault="004D48FC" w:rsidP="002D4F06">
      <w:pPr>
        <w:spacing w:before="120" w:after="120"/>
        <w:rPr>
          <w:bCs/>
          <w:sz w:val="28"/>
          <w:szCs w:val="28"/>
        </w:rPr>
      </w:pPr>
      <w:r w:rsidRPr="002D4F06">
        <w:rPr>
          <w:sz w:val="28"/>
          <w:szCs w:val="28"/>
        </w:rPr>
        <w:t xml:space="preserve">Совещание Сторон Конвенции об оценке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 xml:space="preserve">воздействия на окружающую среду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>в трансграничном контексте</w:t>
      </w:r>
    </w:p>
    <w:p w14:paraId="6BC3632D" w14:textId="66063E85" w:rsidR="004D48FC" w:rsidRPr="007478FE" w:rsidRDefault="004D48FC" w:rsidP="002D4F06">
      <w:pPr>
        <w:spacing w:before="120" w:after="120"/>
        <w:rPr>
          <w:bCs/>
          <w:sz w:val="28"/>
          <w:szCs w:val="28"/>
          <w:lang w:val="en-US"/>
        </w:rPr>
      </w:pPr>
      <w:r w:rsidRPr="002D4F06">
        <w:rPr>
          <w:sz w:val="28"/>
          <w:szCs w:val="28"/>
        </w:rPr>
        <w:t xml:space="preserve">Совещание Сторон Конвенции об оценке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 xml:space="preserve">воздействия на окружающую среду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 xml:space="preserve">в трансграничном контексте, действующее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 xml:space="preserve">в качестве Совещания Сторон Протокола </w:t>
      </w:r>
      <w:r w:rsidR="002D4F06">
        <w:rPr>
          <w:sz w:val="28"/>
          <w:szCs w:val="28"/>
        </w:rPr>
        <w:br/>
      </w:r>
      <w:r w:rsidRPr="002D4F06">
        <w:rPr>
          <w:sz w:val="28"/>
          <w:szCs w:val="28"/>
        </w:rPr>
        <w:t>по стратегической экологической оценке</w:t>
      </w:r>
    </w:p>
    <w:p w14:paraId="41C0B8FF" w14:textId="77777777" w:rsidR="004D48FC" w:rsidRPr="002D4F06" w:rsidRDefault="004D48FC" w:rsidP="002D4F06">
      <w:pPr>
        <w:spacing w:before="120" w:after="120"/>
        <w:rPr>
          <w:b/>
          <w:sz w:val="24"/>
          <w:szCs w:val="24"/>
        </w:rPr>
      </w:pPr>
      <w:r w:rsidRPr="002D4F06">
        <w:rPr>
          <w:b/>
          <w:bCs/>
          <w:sz w:val="24"/>
          <w:szCs w:val="24"/>
        </w:rPr>
        <w:t>Комитет по осуществлению</w:t>
      </w:r>
    </w:p>
    <w:p w14:paraId="1985EE06" w14:textId="77777777" w:rsidR="004D48FC" w:rsidRPr="004D48FC" w:rsidRDefault="004D48FC" w:rsidP="002D4F06">
      <w:pPr>
        <w:rPr>
          <w:b/>
        </w:rPr>
      </w:pPr>
      <w:r w:rsidRPr="004D48FC">
        <w:rPr>
          <w:b/>
          <w:bCs/>
        </w:rPr>
        <w:t>Пятьдесят седьмая сессия</w:t>
      </w:r>
    </w:p>
    <w:p w14:paraId="4209186C" w14:textId="467F685C" w:rsidR="004D48FC" w:rsidRPr="004D48FC" w:rsidRDefault="004D48FC" w:rsidP="002D4F06">
      <w:pPr>
        <w:rPr>
          <w:b/>
        </w:rPr>
      </w:pPr>
      <w:r w:rsidRPr="004D48FC">
        <w:t>Женева, 29 августа — 1 сентября 2023</w:t>
      </w:r>
      <w:r w:rsidR="002D4F06">
        <w:t> год</w:t>
      </w:r>
      <w:r w:rsidRPr="004D48FC">
        <w:t>а</w:t>
      </w:r>
    </w:p>
    <w:p w14:paraId="71FAC292" w14:textId="77777777" w:rsidR="004D48FC" w:rsidRPr="004D48FC" w:rsidRDefault="004D48FC" w:rsidP="002D4F06">
      <w:r w:rsidRPr="004D48FC">
        <w:t>Пункт 5 предварительной повестки дня</w:t>
      </w:r>
    </w:p>
    <w:p w14:paraId="3C0744FD" w14:textId="77777777" w:rsidR="004D48FC" w:rsidRPr="004D48FC" w:rsidRDefault="004D48FC" w:rsidP="002D4F06">
      <w:pPr>
        <w:rPr>
          <w:b/>
        </w:rPr>
      </w:pPr>
      <w:r w:rsidRPr="004D48FC">
        <w:rPr>
          <w:b/>
          <w:bCs/>
        </w:rPr>
        <w:t>Инициативы Комитета</w:t>
      </w:r>
    </w:p>
    <w:p w14:paraId="7DEE71C0" w14:textId="77777777" w:rsidR="004D48FC" w:rsidRPr="004D48FC" w:rsidRDefault="004D48FC" w:rsidP="002D4F06">
      <w:pPr>
        <w:pStyle w:val="HChG"/>
      </w:pPr>
      <w:r w:rsidRPr="004D48FC">
        <w:tab/>
      </w:r>
      <w:r w:rsidRPr="004D48FC">
        <w:tab/>
        <w:t>Выводы и рекомендации о соблюдении Чехией своих обязательств по Конвенции в отношении продления срока службы четырех реакторов атомной электростанции «Дукованы»</w:t>
      </w:r>
    </w:p>
    <w:p w14:paraId="3F8EDCC5" w14:textId="773AA35C" w:rsidR="004D48FC" w:rsidRDefault="004D48FC" w:rsidP="002D4F06">
      <w:pPr>
        <w:pStyle w:val="H1G"/>
      </w:pPr>
      <w:r w:rsidRPr="004D48FC">
        <w:tab/>
      </w:r>
      <w:r w:rsidRPr="004D48FC">
        <w:tab/>
        <w:t>Подготовлены Комитетом по осуществлению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D4F06" w:rsidRPr="002D4F06" w14:paraId="1D640B21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27E2BD2" w14:textId="77777777" w:rsidR="002D4F06" w:rsidRPr="002D4F06" w:rsidRDefault="002D4F0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D4F06">
              <w:rPr>
                <w:rFonts w:cs="Times New Roman"/>
              </w:rPr>
              <w:tab/>
            </w:r>
            <w:r w:rsidRPr="002D4F0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D4F06" w:rsidRPr="002D4F06" w14:paraId="3862C4D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20BC3C9" w14:textId="688A893C" w:rsidR="002D4F06" w:rsidRPr="002D4F06" w:rsidRDefault="002D4F06" w:rsidP="00D6488B">
            <w:pPr>
              <w:pStyle w:val="SingleTxtG"/>
            </w:pPr>
            <w:r w:rsidRPr="004D48FC">
              <w:tab/>
              <w:t xml:space="preserve">Настоящий документ содержит выводы и рекомендации, подготовленные Комитетом по осуществлению, действующим в рамках Конвенции об оценке воздействия на окружающую среду в трансграничном контексте (Конвенция </w:t>
            </w:r>
            <w:proofErr w:type="spellStart"/>
            <w:r w:rsidRPr="004D48FC">
              <w:t>Эспо</w:t>
            </w:r>
            <w:proofErr w:type="spellEnd"/>
            <w:r w:rsidRPr="004D48FC">
              <w:t>) и Протокола по стратегической экологической оценке к ней, в дополнение к инициативе Комитета относительно соблюдения Чехией своих обязательств по Конвенции в отношении продления срока службы четырех реакторов АЭС «Дукованы». На своей пятьдесят шестой сессии (Женева, 2–5 мая 2023</w:t>
            </w:r>
            <w:r>
              <w:t> год</w:t>
            </w:r>
            <w:r w:rsidRPr="004D48FC">
              <w:t xml:space="preserve">а) Комитет доработал выводы и рекомендации с учетом замечаний и представлений Австрии, Германии и Чехии в соответствии с пунктом 9 своего положения о структуре и </w:t>
            </w:r>
            <w:proofErr w:type="spellStart"/>
            <w:r w:rsidRPr="004D48FC">
              <w:t>функциях</w:t>
            </w:r>
            <w:r w:rsidRPr="004D48FC">
              <w:rPr>
                <w:i/>
                <w:iCs/>
                <w:vertAlign w:val="superscript"/>
              </w:rPr>
              <w:t>a</w:t>
            </w:r>
            <w:proofErr w:type="spellEnd"/>
            <w:r w:rsidRPr="004D48FC">
              <w:t>.</w:t>
            </w:r>
          </w:p>
        </w:tc>
      </w:tr>
      <w:tr w:rsidR="002D4F06" w:rsidRPr="002D4F06" w14:paraId="2D89B7D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E0DEE7B" w14:textId="4789359B" w:rsidR="002D4F06" w:rsidRDefault="002D4F06" w:rsidP="002D4F06">
            <w:pPr>
              <w:pStyle w:val="SingleTxtG"/>
              <w:keepNext/>
              <w:keepLines/>
            </w:pPr>
            <w:r w:rsidRPr="004D48FC">
              <w:lastRenderedPageBreak/>
              <w:tab/>
              <w:t xml:space="preserve">В соответствии с правилом 13 рабочих правил Комитета по </w:t>
            </w:r>
            <w:proofErr w:type="spellStart"/>
            <w:r w:rsidRPr="004D48FC">
              <w:t>осуществлению</w:t>
            </w:r>
            <w:r w:rsidRPr="004D48FC">
              <w:rPr>
                <w:i/>
                <w:iCs/>
                <w:vertAlign w:val="superscript"/>
              </w:rPr>
              <w:t>b</w:t>
            </w:r>
            <w:proofErr w:type="spellEnd"/>
            <w:r w:rsidRPr="004D48FC">
              <w:t xml:space="preserve"> секретариат опубликовал эти выводы и рекомендации в качестве официального документа для обращения к ним Комитета и для передачи соответствующим Сторонам, а впоследствии</w:t>
            </w:r>
            <w:r>
              <w:t xml:space="preserve"> — </w:t>
            </w:r>
            <w:r w:rsidRPr="004D48FC">
              <w:t>Совещанию Сторон Конвенции для рассмотрения на его девятой сессии (Женева, 12–15 декабря 2023</w:t>
            </w:r>
            <w:r>
              <w:t> год</w:t>
            </w:r>
            <w:r w:rsidRPr="004D48FC">
              <w:t>а) и использования при рассмотрении соответствующего проекта решения.</w:t>
            </w:r>
          </w:p>
          <w:p w14:paraId="2DC63063" w14:textId="5C02F6D1" w:rsidR="002D4F06" w:rsidRPr="004D48FC" w:rsidRDefault="002D4F06" w:rsidP="002D4F06">
            <w:pPr>
              <w:pStyle w:val="SingleTxtG"/>
              <w:rPr>
                <w:u w:val="single"/>
              </w:rPr>
            </w:pPr>
            <w:r w:rsidRPr="002D4F06">
              <w:rPr>
                <w:u w:val="single"/>
              </w:rPr>
              <w:tab/>
            </w:r>
            <w:r w:rsidRPr="002D4F06">
              <w:rPr>
                <w:u w:val="single"/>
              </w:rPr>
              <w:tab/>
            </w:r>
          </w:p>
          <w:p w14:paraId="67E8A29A" w14:textId="2FCAEF37" w:rsidR="002D4F06" w:rsidRPr="004D48FC" w:rsidRDefault="002D4F06" w:rsidP="002D4F06">
            <w:pPr>
              <w:pStyle w:val="SingleTxtG"/>
              <w:spacing w:after="0" w:line="220" w:lineRule="atLeast"/>
              <w:ind w:firstLine="135"/>
              <w:jc w:val="left"/>
              <w:rPr>
                <w:sz w:val="18"/>
                <w:szCs w:val="18"/>
                <w:lang w:val="en-GB"/>
              </w:rPr>
            </w:pPr>
            <w:r w:rsidRPr="004D48FC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60908">
              <w:rPr>
                <w:sz w:val="18"/>
                <w:szCs w:val="18"/>
              </w:rPr>
              <w:t xml:space="preserve"> </w:t>
            </w:r>
            <w:r w:rsidRPr="004D48FC">
              <w:rPr>
                <w:sz w:val="18"/>
                <w:szCs w:val="18"/>
              </w:rPr>
              <w:t>См</w:t>
            </w:r>
            <w:r w:rsidRPr="004D48FC">
              <w:rPr>
                <w:sz w:val="18"/>
                <w:szCs w:val="18"/>
                <w:lang w:val="en-US"/>
              </w:rPr>
              <w:t xml:space="preserve">. </w:t>
            </w:r>
            <w:hyperlink r:id="rId8" w:history="1">
              <w:r w:rsidRPr="004D48FC">
                <w:rPr>
                  <w:rStyle w:val="af1"/>
                  <w:spacing w:val="-2"/>
                  <w:sz w:val="18"/>
                  <w:szCs w:val="18"/>
                  <w:lang w:val="en-US"/>
                </w:rPr>
                <w:t>https://unece.org/sites/default/files/2021-02/Implementation%20Committee%20structure%20functions%20procedures%20rules.e%202020.pdf</w:t>
              </w:r>
            </w:hyperlink>
            <w:r w:rsidRPr="004D48FC">
              <w:rPr>
                <w:spacing w:val="-2"/>
                <w:sz w:val="18"/>
                <w:szCs w:val="18"/>
                <w:lang w:val="en-US"/>
              </w:rPr>
              <w:t>.</w:t>
            </w:r>
          </w:p>
          <w:p w14:paraId="16CC0FE0" w14:textId="1747CDC0" w:rsidR="002D4F06" w:rsidRPr="002D4F06" w:rsidRDefault="002D4F06" w:rsidP="002D4F06">
            <w:pPr>
              <w:pStyle w:val="SingleTxtG"/>
              <w:spacing w:after="0" w:line="220" w:lineRule="atLeast"/>
              <w:ind w:firstLine="135"/>
              <w:jc w:val="left"/>
            </w:pPr>
            <w:proofErr w:type="gramStart"/>
            <w:r w:rsidRPr="004D48FC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60908">
              <w:rPr>
                <w:sz w:val="18"/>
                <w:szCs w:val="18"/>
              </w:rPr>
              <w:t xml:space="preserve"> </w:t>
            </w:r>
            <w:r w:rsidRPr="004D48FC">
              <w:rPr>
                <w:sz w:val="18"/>
                <w:szCs w:val="18"/>
              </w:rPr>
              <w:t>Там же.</w:t>
            </w:r>
          </w:p>
        </w:tc>
      </w:tr>
      <w:tr w:rsidR="002D4F06" w:rsidRPr="002D4F06" w14:paraId="2CECA51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19F585" w14:textId="77777777" w:rsidR="002D4F06" w:rsidRPr="002D4F06" w:rsidRDefault="002D4F06" w:rsidP="00D6488B">
            <w:pPr>
              <w:pStyle w:val="SingleTxtG"/>
            </w:pPr>
          </w:p>
        </w:tc>
      </w:tr>
      <w:tr w:rsidR="002D4F06" w:rsidRPr="002D4F06" w14:paraId="1D945EA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0266F9B" w14:textId="77777777" w:rsidR="002D4F06" w:rsidRPr="002D4F06" w:rsidRDefault="002D4F06" w:rsidP="00850215">
            <w:pPr>
              <w:rPr>
                <w:rFonts w:cs="Times New Roman"/>
              </w:rPr>
            </w:pPr>
          </w:p>
        </w:tc>
      </w:tr>
    </w:tbl>
    <w:p w14:paraId="060CCDDC" w14:textId="77777777" w:rsidR="004D48FC" w:rsidRPr="004D48FC" w:rsidRDefault="004D48FC" w:rsidP="004D48FC">
      <w:pPr>
        <w:pStyle w:val="SingleTxtG"/>
        <w:rPr>
          <w:lang w:val="en-GB"/>
        </w:rPr>
      </w:pPr>
      <w:r w:rsidRPr="004D48FC">
        <w:rPr>
          <w:lang w:val="en-GB"/>
        </w:rPr>
        <w:br w:type="page"/>
      </w:r>
    </w:p>
    <w:p w14:paraId="34422958" w14:textId="6BB83C9E" w:rsidR="004D48FC" w:rsidRPr="004D48FC" w:rsidRDefault="002D4F06" w:rsidP="002D4F06">
      <w:pPr>
        <w:pStyle w:val="HChG"/>
      </w:pPr>
      <w:r>
        <w:lastRenderedPageBreak/>
        <w:tab/>
      </w:r>
      <w:r w:rsidR="004D48FC" w:rsidRPr="004D48FC">
        <w:t>I.</w:t>
      </w:r>
      <w:r w:rsidR="004D48FC" w:rsidRPr="004D48FC">
        <w:tab/>
        <w:t>Введение — процедура Комитета</w:t>
      </w:r>
    </w:p>
    <w:p w14:paraId="6938E630" w14:textId="2C3E369E" w:rsidR="004D48FC" w:rsidRPr="004D48FC" w:rsidRDefault="004D48FC" w:rsidP="004D48FC">
      <w:pPr>
        <w:pStyle w:val="SingleTxtG"/>
      </w:pPr>
      <w:r w:rsidRPr="004D48FC">
        <w:t>1.</w:t>
      </w:r>
      <w:r w:rsidRPr="004D48FC">
        <w:tab/>
        <w:t>27 июля 2016</w:t>
      </w:r>
      <w:r w:rsidR="002D4F06">
        <w:t> год</w:t>
      </w:r>
      <w:r w:rsidRPr="004D48FC">
        <w:t xml:space="preserve">а Комитет по осуществлению, действующий в рамках Конвенции об оценке воздействия на окружающую среду в трансграничном контексте (Конвенция </w:t>
      </w:r>
      <w:proofErr w:type="spellStart"/>
      <w:r w:rsidRPr="004D48FC">
        <w:t>Эспо</w:t>
      </w:r>
      <w:proofErr w:type="spellEnd"/>
      <w:r w:rsidRPr="004D48FC">
        <w:t>) и Протокола о стратегической экологической оценке к ней, получил информацию от четырех неправительственных организаций (НПО): «</w:t>
      </w:r>
      <w:proofErr w:type="spellStart"/>
      <w:r w:rsidRPr="004D48FC">
        <w:t>Экобюро</w:t>
      </w:r>
      <w:proofErr w:type="spellEnd"/>
      <w:r w:rsidRPr="004D48FC">
        <w:t>» и «Глобал 2000», «</w:t>
      </w:r>
      <w:proofErr w:type="spellStart"/>
      <w:r w:rsidRPr="004D48FC">
        <w:t>Южнобогемские</w:t>
      </w:r>
      <w:proofErr w:type="spellEnd"/>
      <w:r w:rsidRPr="004D48FC">
        <w:t xml:space="preserve"> матери» и «Калла» (Чехия)</w:t>
      </w:r>
      <w:r w:rsidR="002D4F06">
        <w:t xml:space="preserve"> — </w:t>
      </w:r>
      <w:r w:rsidRPr="004D48FC">
        <w:t>о несоблюдении Чехией своих обязательств по Конвенции в отношении продления срока службы четырех реакторов АЭС «Дукованы». 9 августа 2016</w:t>
      </w:r>
      <w:r w:rsidR="002D4F06">
        <w:t> год</w:t>
      </w:r>
      <w:r w:rsidRPr="004D48FC">
        <w:t xml:space="preserve">а Комитет получил дополнительную информацию по данному вопросу от НПО «Инициативы по </w:t>
      </w:r>
      <w:proofErr w:type="spellStart"/>
      <w:r w:rsidRPr="004D48FC">
        <w:t>Орхусской</w:t>
      </w:r>
      <w:proofErr w:type="spellEnd"/>
      <w:r w:rsidRPr="004D48FC">
        <w:t xml:space="preserve"> конвенции» (Германия).</w:t>
      </w:r>
    </w:p>
    <w:p w14:paraId="46E3BBBE" w14:textId="6525595C" w:rsidR="004D48FC" w:rsidRPr="004D48FC" w:rsidRDefault="004D48FC" w:rsidP="004D48FC">
      <w:pPr>
        <w:pStyle w:val="SingleTxtG"/>
      </w:pPr>
      <w:r w:rsidRPr="004D48FC">
        <w:t>2.</w:t>
      </w:r>
      <w:r w:rsidRPr="004D48FC">
        <w:tab/>
        <w:t>В информации, предоставленной НПО, утверждается, среди прочего, что Чехия не обеспечила соблюдение пункта v) статьи 1, пунктов 3 и 7 статьи 2, пункта 2 статьи</w:t>
      </w:r>
      <w:r w:rsidR="002D4F06">
        <w:t> </w:t>
      </w:r>
      <w:r w:rsidRPr="004D48FC">
        <w:t>4 и пункта 5 Конвенции тем, что не провела процедуру оценки воздействия на окружающую среду; пунктов 3, 4 и 7 статьи 2 Конвенции</w:t>
      </w:r>
      <w:r w:rsidR="002D4F06">
        <w:t xml:space="preserve"> — </w:t>
      </w:r>
      <w:r w:rsidRPr="004D48FC">
        <w:t>тем, что не подготовила документацию по оценке воздействия на окружающую среду; пункта 4 статьи 2 и пункта 1 статьи 3</w:t>
      </w:r>
      <w:r w:rsidR="002D4F06">
        <w:t xml:space="preserve"> — </w:t>
      </w:r>
      <w:r w:rsidRPr="004D48FC">
        <w:t>тем, что не уведомила ни одну из потенциально затрагиваемых Сторон; пунктов 5 и 6 статьи 2</w:t>
      </w:r>
      <w:r w:rsidR="002D4F06">
        <w:t xml:space="preserve"> — </w:t>
      </w:r>
      <w:r w:rsidRPr="004D48FC">
        <w:t>тем, что не провела консультации с общественностью потенциально затрагиваемых Сторон и не предоставила никакой информации; статьи 6</w:t>
      </w:r>
      <w:r w:rsidR="002D4F06">
        <w:t xml:space="preserve"> — </w:t>
      </w:r>
      <w:r w:rsidRPr="004D48FC">
        <w:t xml:space="preserve">тем, что не предоставила затрагиваемым Сторонам окончательное решение, принятое по энергоблоку </w:t>
      </w:r>
      <w:r w:rsidR="002D4F06">
        <w:t>№ </w:t>
      </w:r>
      <w:r w:rsidRPr="004D48FC">
        <w:t xml:space="preserve">1. </w:t>
      </w:r>
      <w:bookmarkStart w:id="0" w:name="_Hlk113462726"/>
    </w:p>
    <w:p w14:paraId="29A64EFA" w14:textId="4E4290D0" w:rsidR="004D48FC" w:rsidRPr="004D48FC" w:rsidRDefault="004D48FC" w:rsidP="004D48FC">
      <w:pPr>
        <w:pStyle w:val="SingleTxtG"/>
      </w:pPr>
      <w:r w:rsidRPr="004D48FC">
        <w:t>3.</w:t>
      </w:r>
      <w:r w:rsidRPr="004D48FC">
        <w:tab/>
        <w:t>Комитет приступил к рассмотрению представленной информации на своей тридцать седьмой сессии (Женева, 12–14 декабря 2016</w:t>
      </w:r>
      <w:r w:rsidR="002D4F06">
        <w:t> год</w:t>
      </w:r>
      <w:r w:rsidRPr="004D48FC">
        <w:t>а), принял ее к сведению и решил запросить дополнительную информацию у правительства Чехии, НПО и правительств соседних стран (Австрии, Германии, Польши и Словакии) к 3 февраля 2017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1"/>
      </w:r>
      <w:r w:rsidRPr="004D48FC">
        <w:rPr>
          <w:sz w:val="18"/>
        </w:rPr>
        <w:t>.</w:t>
      </w:r>
    </w:p>
    <w:p w14:paraId="6C309653" w14:textId="4E03A15B" w:rsidR="004D48FC" w:rsidRPr="004D48FC" w:rsidRDefault="004D48FC" w:rsidP="004D48FC">
      <w:pPr>
        <w:pStyle w:val="SingleTxtG"/>
      </w:pPr>
      <w:r w:rsidRPr="004D48FC">
        <w:t>4.</w:t>
      </w:r>
      <w:r w:rsidRPr="004D48FC">
        <w:tab/>
        <w:t>На своей тридцать девятой сессии (Женева, 5–7 сентября 2017</w:t>
      </w:r>
      <w:r w:rsidR="002D4F06">
        <w:t> год</w:t>
      </w:r>
      <w:r w:rsidRPr="004D48FC">
        <w:t>а) Комитет рассмотрел информацию, предоставленную правительствами Австрии 10 января, Германии</w:t>
      </w:r>
      <w:r w:rsidR="002D4F06">
        <w:t xml:space="preserve"> — </w:t>
      </w:r>
      <w:r w:rsidRPr="004D48FC">
        <w:t>2 февраля, Словакии</w:t>
      </w:r>
      <w:r w:rsidR="002D4F06">
        <w:t xml:space="preserve"> — </w:t>
      </w:r>
      <w:r w:rsidRPr="004D48FC">
        <w:t>3 февраля, Чехии</w:t>
      </w:r>
      <w:r w:rsidR="002D4F06">
        <w:t xml:space="preserve"> — </w:t>
      </w:r>
      <w:r w:rsidRPr="004D48FC">
        <w:t>3 февраля 2017</w:t>
      </w:r>
      <w:r w:rsidR="002D4F06">
        <w:t> год</w:t>
      </w:r>
      <w:r w:rsidRPr="004D48FC">
        <w:t>а, а также дополнительную информацию от четырех НПО, полученную 1 февраля 2017</w:t>
      </w:r>
      <w:r w:rsidR="002D4F06">
        <w:t> год</w:t>
      </w:r>
      <w:r w:rsidRPr="004D48FC">
        <w:t>а в ответ на письма Комитета от 21 декабря 2016</w:t>
      </w:r>
      <w:r w:rsidR="002D4F06">
        <w:t> год</w:t>
      </w:r>
      <w:r w:rsidRPr="004D48FC">
        <w:t>а. Комитет решил просить правительство Чехии проинформировать Комитет до конца октября 2017</w:t>
      </w:r>
      <w:r w:rsidR="002D4F06">
        <w:t> год</w:t>
      </w:r>
      <w:r w:rsidRPr="004D48FC">
        <w:t>а о состоянии дел в отношении продления срока службы энергоблоков №</w:t>
      </w:r>
      <w:r w:rsidR="002D4F06">
        <w:t>№ </w:t>
      </w:r>
      <w:r w:rsidRPr="004D48FC">
        <w:t>2, 3 и 4 АЭС «Дукованы» и соответствующей процедуры оценки воздействия на окружающую среду. Он также решил повторно направить вопросы правительствам Польши и Словакии и запросить у четырех НПО дополнительную информацию о планируемых мероприятиях, если таковая имеется. Польша ответила на письмо Комитета 18</w:t>
      </w:r>
      <w:r w:rsidR="002D4F06">
        <w:t> </w:t>
      </w:r>
      <w:r w:rsidRPr="004D48FC">
        <w:t>октября, Словакия</w:t>
      </w:r>
      <w:r w:rsidR="002D4F06">
        <w:t xml:space="preserve"> — </w:t>
      </w:r>
      <w:r w:rsidRPr="004D48FC">
        <w:t>10 ноября, Чехия</w:t>
      </w:r>
      <w:r w:rsidR="002D4F06">
        <w:t xml:space="preserve"> — </w:t>
      </w:r>
      <w:r w:rsidRPr="004D48FC">
        <w:t>27 октября 2017</w:t>
      </w:r>
      <w:r w:rsidR="002D4F06">
        <w:t> год</w:t>
      </w:r>
      <w:r w:rsidRPr="004D48FC">
        <w:t>а. НПО представили дополнительную информацию 27 октября, 8 и 9 ноября 2017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2"/>
      </w:r>
      <w:r w:rsidRPr="004D48FC">
        <w:rPr>
          <w:sz w:val="18"/>
        </w:rPr>
        <w:t>.</w:t>
      </w:r>
    </w:p>
    <w:p w14:paraId="1F03CF43" w14:textId="4FF538AE" w:rsidR="004D48FC" w:rsidRPr="004D48FC" w:rsidRDefault="004D48FC" w:rsidP="004D48FC">
      <w:pPr>
        <w:pStyle w:val="SingleTxtG"/>
      </w:pPr>
      <w:r w:rsidRPr="004D48FC">
        <w:t>5.</w:t>
      </w:r>
      <w:r w:rsidRPr="004D48FC">
        <w:tab/>
        <w:t xml:space="preserve">В связи с продолжавшейся в то время подготовкой </w:t>
      </w:r>
      <w:r w:rsidRPr="004D48FC">
        <w:rPr>
          <w:i/>
          <w:iCs/>
        </w:rPr>
        <w:t>Руководства по применимости Конвенции к продлению срока эксплуатации атомных электростанций</w:t>
      </w:r>
      <w:r w:rsidRPr="004D48FC">
        <w:t xml:space="preserve"> (Руководство)</w:t>
      </w:r>
      <w:r w:rsidRPr="004D48FC">
        <w:rPr>
          <w:sz w:val="18"/>
          <w:vertAlign w:val="superscript"/>
        </w:rPr>
        <w:footnoteReference w:id="3"/>
      </w:r>
      <w:r w:rsidRPr="004D48FC">
        <w:rPr>
          <w:sz w:val="18"/>
        </w:rPr>
        <w:t>,</w:t>
      </w:r>
      <w:r w:rsidRPr="004D48FC">
        <w:t xml:space="preserve"> которое впоследствии было одобрено Совещанием Сторон Конвенции на его восьмой сессии (Вильнюс (онлайн), 8–11 декабря 2020</w:t>
      </w:r>
      <w:r w:rsidR="002D4F06">
        <w:t> год</w:t>
      </w:r>
      <w:r w:rsidRPr="004D48FC">
        <w:t>а) решением VIII/6 (ECE/MP.EIA/30/Add.2–ECE/MP.EIA/SEA/13/Add.2), Комитет не рассматривал этот вопрос до своей сорок девятой сессии (Женева, 2–5 февраля 2021</w:t>
      </w:r>
      <w:r w:rsidR="002D4F06">
        <w:t> год</w:t>
      </w:r>
      <w:r w:rsidRPr="004D48FC">
        <w:t xml:space="preserve">а). </w:t>
      </w:r>
    </w:p>
    <w:p w14:paraId="70330066" w14:textId="720EE5A7" w:rsidR="004D48FC" w:rsidRPr="004D48FC" w:rsidRDefault="004D48FC" w:rsidP="004D48FC">
      <w:pPr>
        <w:pStyle w:val="SingleTxtG"/>
      </w:pPr>
      <w:r w:rsidRPr="004D48FC">
        <w:t>6.</w:t>
      </w:r>
      <w:r w:rsidRPr="004D48FC">
        <w:tab/>
        <w:t>На своей сорок девятой сессии Комитет постановил просить Чехию предоставить к 1 апреля 2021</w:t>
      </w:r>
      <w:r w:rsidR="002D4F06">
        <w:t> год</w:t>
      </w:r>
      <w:r w:rsidRPr="004D48FC">
        <w:t>а обновленную информацию о состоянии дел после предыдущего сообщения Чехии Комитету в октябре 2017</w:t>
      </w:r>
      <w:r w:rsidR="002D4F06">
        <w:t> год</w:t>
      </w:r>
      <w:r w:rsidRPr="004D48FC">
        <w:t>а.</w:t>
      </w:r>
      <w:r w:rsidR="002D4F06">
        <w:t xml:space="preserve"> </w:t>
      </w:r>
      <w:r w:rsidRPr="004D48FC">
        <w:t>Комитет также просил все четыре НПО предоставить ему к тому же сроку всю дополнительную информацию о планируемой деятельности</w:t>
      </w:r>
      <w:r w:rsidRPr="004D48FC">
        <w:rPr>
          <w:sz w:val="18"/>
          <w:vertAlign w:val="superscript"/>
        </w:rPr>
        <w:footnoteReference w:id="4"/>
      </w:r>
      <w:r w:rsidRPr="004D48FC">
        <w:rPr>
          <w:sz w:val="18"/>
        </w:rPr>
        <w:t>.</w:t>
      </w:r>
    </w:p>
    <w:p w14:paraId="6FA338B2" w14:textId="2CD222D5" w:rsidR="004D48FC" w:rsidRPr="004D48FC" w:rsidRDefault="004D48FC" w:rsidP="004D48FC">
      <w:pPr>
        <w:pStyle w:val="SingleTxtG"/>
      </w:pPr>
      <w:r w:rsidRPr="004D48FC">
        <w:lastRenderedPageBreak/>
        <w:t>7.</w:t>
      </w:r>
      <w:r w:rsidRPr="004D48FC">
        <w:tab/>
        <w:t>На своей пятидесятой сессии (Женева, 4–7 мая 2021</w:t>
      </w:r>
      <w:r w:rsidR="002D4F06">
        <w:t> год</w:t>
      </w:r>
      <w:r w:rsidRPr="004D48FC">
        <w:t>а) Комитет рассмотрел ответ Чехии от 26 марта 2021</w:t>
      </w:r>
      <w:r w:rsidR="002D4F06">
        <w:t> год</w:t>
      </w:r>
      <w:r w:rsidRPr="004D48FC">
        <w:t>а. Он постановил просить Чехию предоставить дополнительную информацию и разъяснения к 31 июля 2021</w:t>
      </w:r>
      <w:r w:rsidR="002D4F06">
        <w:t> год</w:t>
      </w:r>
      <w:r w:rsidRPr="004D48FC">
        <w:t>а. Он вновь предложил НПО представить всю дополнительную информацию к 31 июля 2021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5"/>
      </w:r>
      <w:r w:rsidRPr="004D48FC">
        <w:rPr>
          <w:sz w:val="18"/>
        </w:rPr>
        <w:t>.</w:t>
      </w:r>
    </w:p>
    <w:p w14:paraId="63C2F761" w14:textId="17899E64" w:rsidR="004D48FC" w:rsidRPr="004D48FC" w:rsidRDefault="004D48FC" w:rsidP="004D48FC">
      <w:pPr>
        <w:pStyle w:val="SingleTxtG"/>
      </w:pPr>
      <w:r w:rsidRPr="004D48FC">
        <w:t>8.</w:t>
      </w:r>
      <w:r w:rsidRPr="004D48FC">
        <w:tab/>
        <w:t>На своей пятьдесят первой сессии (Женева (в гибридном формате), 4–7 октября 2021</w:t>
      </w:r>
      <w:r w:rsidR="002D4F06">
        <w:t> год</w:t>
      </w:r>
      <w:r w:rsidRPr="004D48FC">
        <w:t>а) Комитет принял к сведению информацию от Чехии от 30 июля 2021</w:t>
      </w:r>
      <w:r w:rsidR="002D4F06">
        <w:t> год</w:t>
      </w:r>
      <w:r w:rsidRPr="004D48FC">
        <w:t>а. Он счел, что ему необходимы дополнительная информация и разъяснения от Чехии и четырех НПО, и предложил им предоставить к 20 декабря 2021</w:t>
      </w:r>
      <w:r w:rsidR="002D4F06">
        <w:t> год</w:t>
      </w:r>
      <w:r w:rsidRPr="004D48FC">
        <w:t>а более подробную информацию в ответ на вопросы Комитета</w:t>
      </w:r>
      <w:r w:rsidRPr="004D48FC">
        <w:rPr>
          <w:sz w:val="18"/>
          <w:vertAlign w:val="superscript"/>
        </w:rPr>
        <w:footnoteReference w:id="6"/>
      </w:r>
      <w:r w:rsidRPr="004D48FC">
        <w:rPr>
          <w:sz w:val="18"/>
        </w:rPr>
        <w:t>.</w:t>
      </w:r>
    </w:p>
    <w:p w14:paraId="499921AC" w14:textId="17ACAC23" w:rsidR="004D48FC" w:rsidRPr="004D48FC" w:rsidRDefault="004D48FC" w:rsidP="004D48FC">
      <w:pPr>
        <w:pStyle w:val="SingleTxtG"/>
      </w:pPr>
      <w:r w:rsidRPr="004D48FC">
        <w:t>9.</w:t>
      </w:r>
      <w:r w:rsidRPr="004D48FC">
        <w:tab/>
        <w:t>Основываясь на информации, предоставленной ему с 2016</w:t>
      </w:r>
      <w:r w:rsidR="002D4F06">
        <w:t> год</w:t>
      </w:r>
      <w:r w:rsidRPr="004D48FC">
        <w:t>а, и на критериях Руководства, Комитет на своей пятьдесят третьей сессии (Женева (онлайн), 10–13 мая 2022</w:t>
      </w:r>
      <w:r w:rsidR="002D4F06">
        <w:t> год</w:t>
      </w:r>
      <w:r w:rsidRPr="004D48FC">
        <w:t>а) принял решение начать инициативу Комитета в соответствии с пунктом 6 своей структуры и функций. Он предварительно пришел к выводу, что указанная деятельность подпадает под действие Конвенции и что существует серьезное подозрение в несоблюдении Чехией своих обязательств по Конвенции в отношении продления срока службы энергоблоков №</w:t>
      </w:r>
      <w:r w:rsidR="002D4F06">
        <w:t>№ </w:t>
      </w:r>
      <w:r w:rsidRPr="004D48FC">
        <w:t>1–4 АЭС «Дукованы». В соответствии с пунктом 9 структуры и функций Комитета он решил предложить Австрии, Германии и Чехии принять участие в его следующей сессии (Женева (онлайн), 4–7 октября 2022</w:t>
      </w:r>
      <w:r w:rsidR="002D4F06">
        <w:t> год</w:t>
      </w:r>
      <w:r w:rsidRPr="004D48FC">
        <w:t>а), чтобы участвовать в обсуждении и представить информацию и мнения об этой деятельности</w:t>
      </w:r>
      <w:r w:rsidRPr="004D48FC">
        <w:rPr>
          <w:sz w:val="18"/>
          <w:vertAlign w:val="superscript"/>
        </w:rPr>
        <w:footnoteReference w:id="7"/>
      </w:r>
      <w:r w:rsidRPr="004D48FC">
        <w:rPr>
          <w:sz w:val="18"/>
        </w:rPr>
        <w:t>.</w:t>
      </w:r>
    </w:p>
    <w:p w14:paraId="12ADB0BC" w14:textId="3B90E849" w:rsidR="004D48FC" w:rsidRPr="004D48FC" w:rsidRDefault="004D48FC" w:rsidP="004D48FC">
      <w:pPr>
        <w:pStyle w:val="SingleTxtG"/>
      </w:pPr>
      <w:r w:rsidRPr="004D48FC">
        <w:t>10.</w:t>
      </w:r>
      <w:r w:rsidRPr="004D48FC">
        <w:tab/>
        <w:t>Комитет решил, что будет важно изучить этот вопрос в контексте будущих процедур принятия решений относительно аналогичной деятельности, в том числе в отношении других энергоблоков АЭС «Дукованы» и энергоблоков других АЭС, например АЭС «</w:t>
      </w:r>
      <w:proofErr w:type="spellStart"/>
      <w:r w:rsidRPr="004D48FC">
        <w:t>Темелин</w:t>
      </w:r>
      <w:proofErr w:type="spellEnd"/>
      <w:r w:rsidRPr="004D48FC">
        <w:t>». Комитет включил несколько вопросов, касающихся АЭС «</w:t>
      </w:r>
      <w:proofErr w:type="spellStart"/>
      <w:r w:rsidRPr="004D48FC">
        <w:t>Темелин</w:t>
      </w:r>
      <w:proofErr w:type="spellEnd"/>
      <w:r w:rsidRPr="004D48FC">
        <w:t>», в список вопросов, на которые соответствующим Сторонам было предложено предоставить письменные ответы до 5 сентября 2022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8"/>
      </w:r>
      <w:r w:rsidRPr="004D48FC">
        <w:rPr>
          <w:sz w:val="18"/>
        </w:rPr>
        <w:t>.</w:t>
      </w:r>
    </w:p>
    <w:p w14:paraId="2C61C955" w14:textId="2691E938" w:rsidR="004D48FC" w:rsidRPr="004D48FC" w:rsidRDefault="004D48FC" w:rsidP="004D48FC">
      <w:pPr>
        <w:pStyle w:val="SingleTxtG"/>
      </w:pPr>
      <w:r w:rsidRPr="004D48FC">
        <w:t>11.</w:t>
      </w:r>
      <w:r w:rsidRPr="004D48FC">
        <w:tab/>
        <w:t>Германия и Чехия ответили на вопросы в письменном виде 5 сентября, Австрия</w:t>
      </w:r>
      <w:r w:rsidR="002D4F06">
        <w:t xml:space="preserve"> — </w:t>
      </w:r>
      <w:r w:rsidRPr="004D48FC">
        <w:t>20 сентября 2022</w:t>
      </w:r>
      <w:r w:rsidR="002D4F06">
        <w:t> год</w:t>
      </w:r>
      <w:r w:rsidRPr="004D48FC">
        <w:t>а. По просьбе Комитета секретариат распространил информацию, полученную от каждой заинтересованной Стороны, среди всех других заинтересованных Сторон, предложив им представить свои мнения о позициях друг друга до начала слушаний. 26 сентября 2022</w:t>
      </w:r>
      <w:r w:rsidR="002D4F06">
        <w:t> год</w:t>
      </w:r>
      <w:r w:rsidRPr="004D48FC">
        <w:t>а Германия представила комментарии к письму Чехии от 5 сентября 2022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9"/>
      </w:r>
      <w:r w:rsidRPr="004D48FC">
        <w:rPr>
          <w:sz w:val="18"/>
        </w:rPr>
        <w:t>.</w:t>
      </w:r>
    </w:p>
    <w:bookmarkEnd w:id="0"/>
    <w:p w14:paraId="3E757BB9" w14:textId="77A65DE9" w:rsidR="004D48FC" w:rsidRPr="004D48FC" w:rsidRDefault="004D48FC" w:rsidP="004D48FC">
      <w:pPr>
        <w:pStyle w:val="SingleTxtG"/>
        <w:rPr>
          <w:bCs/>
        </w:rPr>
      </w:pPr>
      <w:r w:rsidRPr="004D48FC">
        <w:t>12.</w:t>
      </w:r>
      <w:r w:rsidRPr="004D48FC">
        <w:tab/>
        <w:t>Комитет приветствовал делегации Австрии, Германии и Чехии на своей пятьдесят четвертой сессии (Женева (в гибридном формате), 4–7 октября 2022</w:t>
      </w:r>
      <w:r w:rsidR="002D4F06">
        <w:t> год</w:t>
      </w:r>
      <w:r w:rsidRPr="004D48FC">
        <w:t>а) и предложил им представить информацию и мнения по рассматриваемому вопросу. Затем он задал вопросы всем трем делегациям. Он приветствовал, среди прочего, разъяснения Чехии относительно сроков службы энергоблоков 1–4 АЭС «Дукованы»</w:t>
      </w:r>
      <w:r w:rsidRPr="004D48FC">
        <w:rPr>
          <w:sz w:val="18"/>
          <w:vertAlign w:val="superscript"/>
        </w:rPr>
        <w:footnoteReference w:id="10"/>
      </w:r>
      <w:r w:rsidRPr="004D48FC">
        <w:rPr>
          <w:sz w:val="18"/>
        </w:rPr>
        <w:t>.</w:t>
      </w:r>
    </w:p>
    <w:p w14:paraId="3C184ABD" w14:textId="56B4D354" w:rsidR="004D48FC" w:rsidRPr="004D48FC" w:rsidRDefault="004D48FC" w:rsidP="004D48FC">
      <w:pPr>
        <w:pStyle w:val="SingleTxtG"/>
      </w:pPr>
      <w:r w:rsidRPr="004D48FC">
        <w:t>13.</w:t>
      </w:r>
      <w:r w:rsidRPr="004D48FC">
        <w:tab/>
        <w:t>Комитет завершил подготовку проекта выводов и рекомендаций на своей пятьдесят пятой сессии (Женева (онлайн), 31 января</w:t>
      </w:r>
      <w:r w:rsidR="002D4F06">
        <w:t xml:space="preserve"> — </w:t>
      </w:r>
      <w:r w:rsidRPr="004D48FC">
        <w:t>3 февраля 2023</w:t>
      </w:r>
      <w:r w:rsidR="002D4F06">
        <w:t> год</w:t>
      </w:r>
      <w:r w:rsidRPr="004D48FC">
        <w:t>а)</w:t>
      </w:r>
      <w:r w:rsidRPr="004D48FC">
        <w:rPr>
          <w:sz w:val="18"/>
          <w:vertAlign w:val="superscript"/>
        </w:rPr>
        <w:footnoteReference w:id="11"/>
      </w:r>
      <w:r w:rsidRPr="004D48FC">
        <w:rPr>
          <w:sz w:val="18"/>
        </w:rPr>
        <w:t>.</w:t>
      </w:r>
      <w:r w:rsidR="002D4F06">
        <w:t xml:space="preserve"> </w:t>
      </w:r>
      <w:r w:rsidRPr="004D48FC">
        <w:t>Он препроводил их проект заинтересованным Сторонам для предоставления замечаний или представлений до 31 марта 2023</w:t>
      </w:r>
      <w:r w:rsidR="002D4F06">
        <w:t> год</w:t>
      </w:r>
      <w:r w:rsidRPr="004D48FC">
        <w:t>а. На своей пятьдесят шестой сессии (Женева, 2–5 мая 2023</w:t>
      </w:r>
      <w:r w:rsidR="002D4F06">
        <w:t> год</w:t>
      </w:r>
      <w:r w:rsidRPr="004D48FC">
        <w:t>а) он окончательно доработал выводы и рекомендации с учетом замечаний от 30 марта 2023</w:t>
      </w:r>
      <w:r w:rsidR="002D4F06">
        <w:t> год</w:t>
      </w:r>
      <w:r w:rsidRPr="004D48FC">
        <w:t>а, полученных от Австрии, Германии и Чехии. Эти выводы и рекомендации будут упоминаться в проекте решения о соблюдении, который будет представлен Совещанию Сторон Конвенции на его девятой сессии (Женева, 12–15 декабря 2023</w:t>
      </w:r>
      <w:r w:rsidR="002D4F06">
        <w:t> год</w:t>
      </w:r>
      <w:r w:rsidRPr="004D48FC">
        <w:t>а). Все рекомендации также будут включены в сам проект решения.</w:t>
      </w:r>
    </w:p>
    <w:p w14:paraId="0AF80908" w14:textId="6C0293E4" w:rsidR="004D48FC" w:rsidRPr="004D48FC" w:rsidRDefault="002D4F06" w:rsidP="002D4F06">
      <w:pPr>
        <w:pStyle w:val="HChG"/>
      </w:pPr>
      <w:r>
        <w:lastRenderedPageBreak/>
        <w:tab/>
      </w:r>
      <w:r w:rsidR="004D48FC" w:rsidRPr="004D48FC">
        <w:t>II.</w:t>
      </w:r>
      <w:r w:rsidR="004D48FC" w:rsidRPr="004D48FC">
        <w:tab/>
        <w:t>Краткое изложение фактов, информации и вопросов</w:t>
      </w:r>
    </w:p>
    <w:p w14:paraId="687F3F9C" w14:textId="58DD840C" w:rsidR="004D48FC" w:rsidRPr="004D48FC" w:rsidRDefault="004D48FC" w:rsidP="004D48FC">
      <w:pPr>
        <w:pStyle w:val="SingleTxtG"/>
      </w:pPr>
      <w:r w:rsidRPr="004D48FC">
        <w:t>14.</w:t>
      </w:r>
      <w:r w:rsidRPr="004D48FC">
        <w:tab/>
        <w:t>В данном разделе кратко изложены основные факты, информация и вопросы, которые считаются относящимися к вопросу о соблюдении и которые были представлены Австрией, Германией и Чехией в их переписке с Комитетом и в ходе слушаний 6 октября 2022</w:t>
      </w:r>
      <w:r w:rsidR="002D4F06">
        <w:t> год</w:t>
      </w:r>
      <w:r w:rsidRPr="004D48FC">
        <w:t>а, а также информация, предоставленная Польшей, Словакией и пятью НГО.</w:t>
      </w:r>
    </w:p>
    <w:p w14:paraId="74B83D5A" w14:textId="538B11A6" w:rsidR="004D48FC" w:rsidRPr="004D48FC" w:rsidRDefault="002D4F06" w:rsidP="002D4F06">
      <w:pPr>
        <w:pStyle w:val="H1G"/>
      </w:pPr>
      <w:r>
        <w:tab/>
      </w:r>
      <w:r w:rsidR="004D48FC" w:rsidRPr="004D48FC">
        <w:t>A.</w:t>
      </w:r>
      <w:r w:rsidR="004D48FC" w:rsidRPr="004D48FC">
        <w:tab/>
        <w:t>Характер деятельности</w:t>
      </w:r>
    </w:p>
    <w:p w14:paraId="5B16A54C" w14:textId="7C2DB8F2" w:rsidR="004D48FC" w:rsidRPr="004D48FC" w:rsidRDefault="004D48FC" w:rsidP="004D48FC">
      <w:pPr>
        <w:pStyle w:val="SingleTxtG"/>
      </w:pPr>
      <w:r w:rsidRPr="004D48FC">
        <w:t>15.</w:t>
      </w:r>
      <w:r w:rsidRPr="004D48FC">
        <w:tab/>
        <w:t>АЭС «Дукованы» расположена на юге Чехии, в 32 км от границы с Австрией (100 км от Вены), 173 км от границы с Германией, 119 км от границы с Польшей и 74</w:t>
      </w:r>
      <w:r w:rsidR="002D4F06">
        <w:t> </w:t>
      </w:r>
      <w:r w:rsidRPr="004D48FC">
        <w:t xml:space="preserve">км от границы со Словакией. В эксплуатации находятся четыре работающих реактора типа ВВЭР 440/213 с водой под давлением, обеспечивающих в общей сложности 2040 мегаватт электроэнергии (МВт). </w:t>
      </w:r>
    </w:p>
    <w:p w14:paraId="0ED03B57" w14:textId="550FCC76" w:rsidR="004D48FC" w:rsidRPr="004D48FC" w:rsidRDefault="004D48FC" w:rsidP="004D48FC">
      <w:pPr>
        <w:pStyle w:val="SingleTxtG"/>
      </w:pPr>
      <w:r w:rsidRPr="004D48FC">
        <w:t>16.</w:t>
      </w:r>
      <w:r w:rsidRPr="004D48FC">
        <w:tab/>
        <w:t>Энергоблоки №</w:t>
      </w:r>
      <w:r w:rsidR="002D4F06">
        <w:t>№ </w:t>
      </w:r>
      <w:r w:rsidRPr="004D48FC">
        <w:t>1 и 2 находятся в промышленной эксплуатации соответственно с 1985 и 1987</w:t>
      </w:r>
      <w:r w:rsidR="002D4F06">
        <w:t> год</w:t>
      </w:r>
      <w:r w:rsidRPr="004D48FC">
        <w:t>ов, а №</w:t>
      </w:r>
      <w:r w:rsidR="002D4F06">
        <w:t>№ </w:t>
      </w:r>
      <w:r w:rsidRPr="004D48FC">
        <w:t>3 и</w:t>
      </w:r>
      <w:r w:rsidR="002D4F06">
        <w:t xml:space="preserve"> </w:t>
      </w:r>
      <w:r w:rsidRPr="004D48FC">
        <w:t>4</w:t>
      </w:r>
      <w:r w:rsidR="002D4F06">
        <w:t xml:space="preserve"> — </w:t>
      </w:r>
      <w:r w:rsidRPr="004D48FC">
        <w:t>с 1988</w:t>
      </w:r>
      <w:r w:rsidR="002D4F06">
        <w:t> год</w:t>
      </w:r>
      <w:r w:rsidRPr="004D48FC">
        <w:t>а. Впоследствии для всех энергоблоков были выданы разрешения на эксплуатацию с разными ограниченными сроками действия. После 30 лет эксплуатации продолжение дальнейшей эксплуатации этих энергоблоков было признано безопасным, и в разное время разрешения на эксплуатацию этих энергоблоков были изменены; таким образом, все они в настоящее время имеют бессрочную лицензию</w:t>
      </w:r>
      <w:r w:rsidRPr="004D48FC">
        <w:rPr>
          <w:sz w:val="18"/>
          <w:vertAlign w:val="superscript"/>
        </w:rPr>
        <w:footnoteReference w:id="12"/>
      </w:r>
      <w:r w:rsidRPr="004D48FC">
        <w:rPr>
          <w:sz w:val="18"/>
        </w:rPr>
        <w:t>.</w:t>
      </w:r>
    </w:p>
    <w:p w14:paraId="65812D34" w14:textId="5317904D" w:rsidR="004D48FC" w:rsidRPr="004D48FC" w:rsidRDefault="004D48FC" w:rsidP="004D48FC">
      <w:pPr>
        <w:pStyle w:val="SingleTxtG"/>
      </w:pPr>
      <w:r w:rsidRPr="004D48FC">
        <w:t>17.</w:t>
      </w:r>
      <w:r w:rsidRPr="004D48FC">
        <w:tab/>
        <w:t>В период с 2005 по 2008</w:t>
      </w:r>
      <w:r w:rsidR="002D4F06">
        <w:t> год</w:t>
      </w:r>
      <w:r w:rsidRPr="004D48FC">
        <w:t xml:space="preserve"> валовая мощность каждого энергоблока была увеличена с 440 МВт до 456 МВт, после чего до конца 2012</w:t>
      </w:r>
      <w:r w:rsidR="002D4F06">
        <w:t> год</w:t>
      </w:r>
      <w:r w:rsidRPr="004D48FC">
        <w:t>а была проведена дальнейшая модернизация, которая позволила увеличить валовую мощность АЭС на 250</w:t>
      </w:r>
      <w:r w:rsidR="002D4F06">
        <w:t> </w:t>
      </w:r>
      <w:r w:rsidRPr="004D48FC">
        <w:t>МВт за счет внедрения технических усовершенствований, таких как использование улучшенного топлива, замена турбины высокого давления, реконструкция генератора и т. д.</w:t>
      </w:r>
    </w:p>
    <w:p w14:paraId="27B0115D" w14:textId="789A93B1" w:rsidR="004D48FC" w:rsidRPr="004D48FC" w:rsidRDefault="004D48FC" w:rsidP="004D48FC">
      <w:pPr>
        <w:pStyle w:val="SingleTxtG"/>
      </w:pPr>
      <w:r w:rsidRPr="004D48FC">
        <w:t>18.</w:t>
      </w:r>
      <w:r w:rsidRPr="004D48FC">
        <w:tab/>
        <w:t>В январе 2009</w:t>
      </w:r>
      <w:r w:rsidR="002D4F06">
        <w:t> год</w:t>
      </w:r>
      <w:r w:rsidRPr="004D48FC">
        <w:t>а оператор (Группа ČEZ) приступил к реализации проекта долгосрочной эксплуатации на 2009–2015</w:t>
      </w:r>
      <w:r w:rsidR="002D4F06">
        <w:t> год</w:t>
      </w:r>
      <w:r w:rsidRPr="004D48FC">
        <w:t>ы с бюджетом 14 млрд чешских крон (560 млн евро)</w:t>
      </w:r>
      <w:r w:rsidRPr="004D48FC">
        <w:rPr>
          <w:sz w:val="18"/>
          <w:vertAlign w:val="superscript"/>
        </w:rPr>
        <w:footnoteReference w:id="13"/>
      </w:r>
      <w:r w:rsidRPr="004D48FC">
        <w:rPr>
          <w:sz w:val="18"/>
        </w:rPr>
        <w:t xml:space="preserve"> </w:t>
      </w:r>
      <w:r w:rsidRPr="004D48FC">
        <w:t xml:space="preserve">и утвердил ряд стратегий с целью получения от Государственного управления по ядерной безопасности разрешения на долгосрочную эксплуатацию. </w:t>
      </w:r>
    </w:p>
    <w:p w14:paraId="2896DEB9" w14:textId="504C5068" w:rsidR="004D48FC" w:rsidRPr="004D48FC" w:rsidRDefault="004D48FC" w:rsidP="004D48FC">
      <w:pPr>
        <w:pStyle w:val="SingleTxtG"/>
      </w:pPr>
      <w:r w:rsidRPr="004D48FC">
        <w:t>19.</w:t>
      </w:r>
      <w:r w:rsidRPr="004D48FC">
        <w:tab/>
        <w:t>24 сентября 2015</w:t>
      </w:r>
      <w:r w:rsidR="002D4F06">
        <w:t> год</w:t>
      </w:r>
      <w:r w:rsidRPr="004D48FC">
        <w:t xml:space="preserve">а Группа ČEZ подала заявку на получение новой лицензии на энергоблок </w:t>
      </w:r>
      <w:r w:rsidR="002D4F06">
        <w:t>№ </w:t>
      </w:r>
      <w:r w:rsidRPr="004D48FC">
        <w:t xml:space="preserve">1. В связи с необходимостью завершить некоторые работы до подачи необходимой документации управление по ядерной безопасности выдало разрешение на продление срока службы на три месяца. </w:t>
      </w:r>
    </w:p>
    <w:p w14:paraId="3EEB330D" w14:textId="27670EB9" w:rsidR="004D48FC" w:rsidRPr="004D48FC" w:rsidRDefault="004D48FC" w:rsidP="004D48FC">
      <w:pPr>
        <w:pStyle w:val="SingleTxtG"/>
      </w:pPr>
      <w:r w:rsidRPr="004D48FC">
        <w:t>20.</w:t>
      </w:r>
      <w:r w:rsidRPr="004D48FC">
        <w:tab/>
        <w:t>30 марта 2016</w:t>
      </w:r>
      <w:r w:rsidR="002D4F06">
        <w:t> год</w:t>
      </w:r>
      <w:r w:rsidRPr="004D48FC">
        <w:t xml:space="preserve">а Государственное управление по ядерной безопасности приняло решение </w:t>
      </w:r>
      <w:r w:rsidR="002D4F06">
        <w:t>№ </w:t>
      </w:r>
      <w:r w:rsidRPr="004D48FC">
        <w:t>4932/2016 о выдаче разрешения на эксплуатацию энергоблока</w:t>
      </w:r>
      <w:r w:rsidR="002D4F06">
        <w:t xml:space="preserve"> № </w:t>
      </w:r>
      <w:r w:rsidRPr="004D48FC">
        <w:t xml:space="preserve">1 с неограниченным сроком действия. До принятия этого решения не было проведено никакой внутренней или трансграничной процедуры оценки воздействия на окружающую среду. </w:t>
      </w:r>
    </w:p>
    <w:p w14:paraId="60125D60" w14:textId="51EBCF0D" w:rsidR="004D48FC" w:rsidRPr="004D48FC" w:rsidRDefault="004D48FC" w:rsidP="004D48FC">
      <w:pPr>
        <w:pStyle w:val="SingleTxtG"/>
      </w:pPr>
      <w:r w:rsidRPr="004D48FC">
        <w:t>21.</w:t>
      </w:r>
      <w:r w:rsidRPr="004D48FC">
        <w:tab/>
        <w:t>28 июня 2017</w:t>
      </w:r>
      <w:r w:rsidR="002D4F06">
        <w:t> год</w:t>
      </w:r>
      <w:r w:rsidRPr="004D48FC">
        <w:t xml:space="preserve">а Государственное управление по ядерной безопасности утвердило в соответствии с Законом </w:t>
      </w:r>
      <w:r w:rsidR="002D4F06">
        <w:t>№ </w:t>
      </w:r>
      <w:r w:rsidRPr="004D48FC">
        <w:t>263/2016 разрешение на эксплуатацию энергоблока</w:t>
      </w:r>
      <w:r w:rsidR="002D4F06">
        <w:t xml:space="preserve"> № </w:t>
      </w:r>
      <w:r w:rsidRPr="004D48FC">
        <w:t xml:space="preserve">2 решением </w:t>
      </w:r>
      <w:r w:rsidR="002D4F06">
        <w:t>№ </w:t>
      </w:r>
      <w:r w:rsidRPr="004D48FC">
        <w:t>12142/2017, энергоблоков №</w:t>
      </w:r>
      <w:r w:rsidR="002D4F06">
        <w:t>№ </w:t>
      </w:r>
      <w:r w:rsidRPr="004D48FC">
        <w:t>3 и</w:t>
      </w:r>
      <w:r w:rsidR="002D4F06">
        <w:t xml:space="preserve"> </w:t>
      </w:r>
      <w:r w:rsidRPr="004D48FC">
        <w:t>4</w:t>
      </w:r>
      <w:r w:rsidR="002D4F06">
        <w:t xml:space="preserve"> — </w:t>
      </w:r>
      <w:r w:rsidRPr="004D48FC">
        <w:t>19 декабря 2017</w:t>
      </w:r>
      <w:r w:rsidR="002D4F06">
        <w:t> год</w:t>
      </w:r>
      <w:r w:rsidRPr="004D48FC">
        <w:t xml:space="preserve">а соответственно решениями </w:t>
      </w:r>
      <w:r w:rsidR="002D4F06">
        <w:t>№ </w:t>
      </w:r>
      <w:r w:rsidRPr="004D48FC">
        <w:t>24077/2017 и 24078/2017. До принятия этих решений не было проведено никакой внутренней или трансграничной процедуры оценки воздействия на окружающую среду.</w:t>
      </w:r>
    </w:p>
    <w:p w14:paraId="3B951C0B" w14:textId="7AA319BA" w:rsidR="004D48FC" w:rsidRPr="004D48FC" w:rsidRDefault="004D48FC" w:rsidP="004D48FC">
      <w:pPr>
        <w:pStyle w:val="SingleTxtG"/>
      </w:pPr>
      <w:r w:rsidRPr="004D48FC">
        <w:t>22.</w:t>
      </w:r>
      <w:r w:rsidRPr="004D48FC">
        <w:tab/>
        <w:t>В 2016</w:t>
      </w:r>
      <w:r w:rsidR="002D4F06">
        <w:t> год</w:t>
      </w:r>
      <w:r w:rsidRPr="004D48FC">
        <w:t>у Чехия начала планировать строительство двух новых энергоблоков</w:t>
      </w:r>
      <w:r w:rsidR="001D1AAB">
        <w:t> </w:t>
      </w:r>
      <w:r w:rsidR="002D4F06">
        <w:t xml:space="preserve">— </w:t>
      </w:r>
      <w:r w:rsidRPr="004D48FC">
        <w:t xml:space="preserve">энергоблоков </w:t>
      </w:r>
      <w:r w:rsidR="002D4F06">
        <w:t>№№ </w:t>
      </w:r>
      <w:r w:rsidRPr="004D48FC">
        <w:t>5 и</w:t>
      </w:r>
      <w:r w:rsidR="002D4F06">
        <w:t xml:space="preserve"> </w:t>
      </w:r>
      <w:r w:rsidRPr="004D48FC">
        <w:t>6. Трансграничная оценка воздействия на окружающую среду была проведена с участием всех соседних стран</w:t>
      </w:r>
      <w:r w:rsidR="002D4F06">
        <w:t xml:space="preserve"> — </w:t>
      </w:r>
      <w:r w:rsidRPr="004D48FC">
        <w:t xml:space="preserve">Австрии, </w:t>
      </w:r>
      <w:r w:rsidRPr="004D48FC">
        <w:lastRenderedPageBreak/>
        <w:t>Германии, Польши и Словакии</w:t>
      </w:r>
      <w:r w:rsidRPr="004D48FC">
        <w:rPr>
          <w:sz w:val="18"/>
          <w:vertAlign w:val="superscript"/>
        </w:rPr>
        <w:footnoteReference w:id="14"/>
      </w:r>
      <w:r w:rsidR="002D4F06" w:rsidRPr="002D4F06">
        <w:rPr>
          <w:sz w:val="18"/>
        </w:rPr>
        <w:t xml:space="preserve"> </w:t>
      </w:r>
      <w:r w:rsidR="002D4F06">
        <w:t xml:space="preserve">— </w:t>
      </w:r>
      <w:r w:rsidRPr="004D48FC">
        <w:t>и завершилась 30 августа 2019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15"/>
      </w:r>
      <w:r w:rsidRPr="004D48FC">
        <w:rPr>
          <w:sz w:val="18"/>
        </w:rPr>
        <w:t>.</w:t>
      </w:r>
      <w:r w:rsidRPr="004D48FC">
        <w:t xml:space="preserve"> Чехия планирует заменить энергоблок </w:t>
      </w:r>
      <w:r w:rsidR="002D4F06">
        <w:t>№ </w:t>
      </w:r>
      <w:r w:rsidRPr="004D48FC">
        <w:t xml:space="preserve">1 энергоблоком </w:t>
      </w:r>
      <w:r w:rsidR="002D4F06">
        <w:t>№ </w:t>
      </w:r>
      <w:r w:rsidRPr="004D48FC">
        <w:t>5 с момента начала его коммерческой эксплуатации, намеченной на 2037</w:t>
      </w:r>
      <w:r w:rsidR="002D4F06">
        <w:t> год</w:t>
      </w:r>
      <w:r w:rsidRPr="004D48FC">
        <w:t xml:space="preserve">. После завершения строительства энергоблока </w:t>
      </w:r>
      <w:r w:rsidR="002D4F06">
        <w:t>№ </w:t>
      </w:r>
      <w:r w:rsidRPr="004D48FC">
        <w:t>6, по плану</w:t>
      </w:r>
      <w:r w:rsidR="002D4F06">
        <w:t xml:space="preserve"> </w:t>
      </w:r>
      <w:r w:rsidRPr="004D48FC">
        <w:t xml:space="preserve">через 10 лет после энергоблока </w:t>
      </w:r>
      <w:r w:rsidR="002D4F06">
        <w:t>№ </w:t>
      </w:r>
      <w:r w:rsidRPr="004D48FC">
        <w:t>5, все остальные старые энергоблоки должны быть выведены из эксплуатации самое позднее к 2050</w:t>
      </w:r>
      <w:r w:rsidR="002D4F06">
        <w:t> год</w:t>
      </w:r>
      <w:r w:rsidRPr="004D48FC">
        <w:t xml:space="preserve">у. </w:t>
      </w:r>
    </w:p>
    <w:p w14:paraId="6261A89D" w14:textId="15F701FC" w:rsidR="004D48FC" w:rsidRPr="004D48FC" w:rsidRDefault="004D48FC" w:rsidP="004D48FC">
      <w:pPr>
        <w:pStyle w:val="SingleTxtG"/>
      </w:pPr>
      <w:r w:rsidRPr="004D48FC">
        <w:t>23.</w:t>
      </w:r>
      <w:r w:rsidRPr="004D48FC">
        <w:tab/>
        <w:t>17 апреля 2020</w:t>
      </w:r>
      <w:r w:rsidR="002D4F06">
        <w:t> год</w:t>
      </w:r>
      <w:r w:rsidRPr="004D48FC">
        <w:t xml:space="preserve">а Государственное управление по ядерной безопасности аннулировало разрешение на эксплуатацию энергоблока </w:t>
      </w:r>
      <w:r w:rsidR="002D4F06">
        <w:t>№ </w:t>
      </w:r>
      <w:r w:rsidRPr="004D48FC">
        <w:t>1 от 2016</w:t>
      </w:r>
      <w:r w:rsidR="002D4F06">
        <w:t> год</w:t>
      </w:r>
      <w:r w:rsidRPr="004D48FC">
        <w:t xml:space="preserve">а и заменило его новым разрешением на эксплуатацию с неограниченным сроком действия в </w:t>
      </w:r>
      <w:r w:rsidR="00B75D9D">
        <w:br/>
      </w:r>
      <w:r w:rsidRPr="004D48FC">
        <w:t>связи с новыми требованиями законодательства и условиями эксплуатации, установленными в продленных разрешениях для энергоблоков №</w:t>
      </w:r>
      <w:r w:rsidR="002D4F06">
        <w:t>№ </w:t>
      </w:r>
      <w:r w:rsidRPr="004D48FC">
        <w:t>2–4</w:t>
      </w:r>
      <w:r w:rsidRPr="004D48FC">
        <w:rPr>
          <w:sz w:val="18"/>
          <w:vertAlign w:val="superscript"/>
        </w:rPr>
        <w:footnoteReference w:id="16"/>
      </w:r>
      <w:r w:rsidRPr="004D48FC">
        <w:rPr>
          <w:sz w:val="18"/>
        </w:rPr>
        <w:t>.</w:t>
      </w:r>
    </w:p>
    <w:p w14:paraId="578E67F9" w14:textId="043EEF51" w:rsidR="004D48FC" w:rsidRPr="004D48FC" w:rsidRDefault="001D1AAB" w:rsidP="001D1AAB">
      <w:pPr>
        <w:pStyle w:val="H1G"/>
      </w:pPr>
      <w:r>
        <w:tab/>
      </w:r>
      <w:r w:rsidR="004D48FC" w:rsidRPr="004D48FC">
        <w:t>B.</w:t>
      </w:r>
      <w:r w:rsidR="004D48FC" w:rsidRPr="004D48FC">
        <w:tab/>
        <w:t>Законодательные рамки</w:t>
      </w:r>
    </w:p>
    <w:p w14:paraId="0D37AC9A" w14:textId="503E1B4B" w:rsidR="004D48FC" w:rsidRPr="004D48FC" w:rsidRDefault="004D48FC" w:rsidP="004D48FC">
      <w:pPr>
        <w:pStyle w:val="SingleTxtG"/>
      </w:pPr>
      <w:r w:rsidRPr="004D48FC">
        <w:t>24.</w:t>
      </w:r>
      <w:r w:rsidRPr="004D48FC">
        <w:tab/>
        <w:t xml:space="preserve">Чешский Закон об использовании атомной энергии </w:t>
      </w:r>
      <w:r w:rsidR="002D4F06">
        <w:t>№ </w:t>
      </w:r>
      <w:r w:rsidRPr="004D48FC">
        <w:t>18/1997 (свод) был правовой основой для эксплуатации АЭС Чехии до 2017</w:t>
      </w:r>
      <w:r w:rsidR="002D4F06">
        <w:t> год</w:t>
      </w:r>
      <w:r w:rsidRPr="004D48FC">
        <w:t>а.</w:t>
      </w:r>
      <w:r w:rsidR="002D4F06">
        <w:t xml:space="preserve"> </w:t>
      </w:r>
      <w:r w:rsidRPr="004D48FC">
        <w:t>В 2017</w:t>
      </w:r>
      <w:r w:rsidR="002D4F06">
        <w:t> год</w:t>
      </w:r>
      <w:r w:rsidRPr="004D48FC">
        <w:t xml:space="preserve">у вступил в силу новый закон, Закон об использовании атомной энергии </w:t>
      </w:r>
      <w:r w:rsidR="002D4F06">
        <w:t>№ </w:t>
      </w:r>
      <w:r w:rsidRPr="004D48FC">
        <w:t>263/2016 (свод), в</w:t>
      </w:r>
      <w:r w:rsidR="001D1AAB">
        <w:t> </w:t>
      </w:r>
      <w:r w:rsidRPr="004D48FC">
        <w:t>котором предусмотрено сокращение срока действия существующих разрешений и создана правовая основа для выдачи новых. С тех пор все вновь принимаемые решения по разрешениям на эксплуатацию имеют неограниченный срок действия.</w:t>
      </w:r>
    </w:p>
    <w:p w14:paraId="2BE54E10" w14:textId="3D3AC28B" w:rsidR="004D48FC" w:rsidRPr="004D48FC" w:rsidRDefault="001D1AAB" w:rsidP="001D1AAB">
      <w:pPr>
        <w:pStyle w:val="H1G"/>
      </w:pPr>
      <w:r>
        <w:tab/>
      </w:r>
      <w:r w:rsidR="004D48FC" w:rsidRPr="004D48FC">
        <w:t>C.</w:t>
      </w:r>
      <w:r w:rsidR="004D48FC" w:rsidRPr="004D48FC">
        <w:tab/>
        <w:t>Информация и вопросы</w:t>
      </w:r>
    </w:p>
    <w:p w14:paraId="16F0858B" w14:textId="77777777" w:rsidR="004D48FC" w:rsidRPr="004D48FC" w:rsidRDefault="004D48FC" w:rsidP="004D48FC">
      <w:pPr>
        <w:pStyle w:val="SingleTxtG"/>
      </w:pPr>
      <w:r w:rsidRPr="004D48FC">
        <w:t>25.</w:t>
      </w:r>
      <w:r w:rsidRPr="004D48FC">
        <w:tab/>
        <w:t xml:space="preserve">В представленной ими информации НПО утверждали, что Чехия не обеспечила выполнение статей 2–6 Конвенции (см. пункт 2 выше). </w:t>
      </w:r>
    </w:p>
    <w:p w14:paraId="243FF526" w14:textId="051AEC1D" w:rsidR="004D48FC" w:rsidRPr="004D48FC" w:rsidRDefault="004D48FC" w:rsidP="004D48FC">
      <w:pPr>
        <w:pStyle w:val="SingleTxtG"/>
      </w:pPr>
      <w:r w:rsidRPr="004D48FC">
        <w:t>26.</w:t>
      </w:r>
      <w:r w:rsidRPr="004D48FC">
        <w:tab/>
        <w:t>Чехия утверждала, что, по ее мнению, необходимость в проведении процедуры оценки воздействия на окружающую среду, в том числе в трансграничном контексте, отсутствует. По мнению Чехии, эта деятельность не подпадает под определение деятельности, требующей предварительной оценки, поскольку АЭС «Дукованы» эксплуатируется на полную мощность в течение нескольких лет; общие условия и цель деятельности остались неизменными; и не вносилось никаких изменений, которые могли бы оказать воздействие на окружающую среду. Кроме того, предполагается, что оценка совокупного воздействия непрерывной эксплуатации энергоблоков №</w:t>
      </w:r>
      <w:r w:rsidR="002D4F06">
        <w:t>№ </w:t>
      </w:r>
      <w:r w:rsidRPr="004D48FC">
        <w:t>1–4 была выполнена в рамках соответствующей процедуры оценки воздействия на окружающую среду, завершенной в 2019</w:t>
      </w:r>
      <w:r w:rsidR="002D4F06">
        <w:t> год</w:t>
      </w:r>
      <w:r w:rsidRPr="004D48FC">
        <w:t>у, для строительства на АЭС «Дукованы» двух дополнительных энергоблоков. В соответствии с законодательством, действовавшим до 2017</w:t>
      </w:r>
      <w:r w:rsidR="002D4F06">
        <w:t> год</w:t>
      </w:r>
      <w:r w:rsidRPr="004D48FC">
        <w:t>а, оценка безопасности исключительно для целей пересмотра уровня ядерной безопасности (для проверки уровня соответствия законодательным требованиям по ядерной безопасности) проводилась оператором, без использования трансграничной процедуры и без привлечения общественности</w:t>
      </w:r>
      <w:r w:rsidRPr="004D48FC">
        <w:rPr>
          <w:sz w:val="18"/>
          <w:vertAlign w:val="superscript"/>
        </w:rPr>
        <w:footnoteReference w:id="17"/>
      </w:r>
      <w:r w:rsidRPr="004D48FC">
        <w:rPr>
          <w:sz w:val="18"/>
        </w:rPr>
        <w:t>.</w:t>
      </w:r>
      <w:r w:rsidRPr="004D48FC">
        <w:t xml:space="preserve"> В</w:t>
      </w:r>
      <w:r w:rsidR="001D1AAB">
        <w:t> </w:t>
      </w:r>
      <w:r w:rsidRPr="004D48FC">
        <w:t xml:space="preserve">чешском Законе об использовании атомной энергии </w:t>
      </w:r>
      <w:r w:rsidR="002D4F06">
        <w:t>№ </w:t>
      </w:r>
      <w:r w:rsidRPr="004D48FC">
        <w:t>263/2016 (свод), вступившем в силу в 2017</w:t>
      </w:r>
      <w:r w:rsidR="002D4F06">
        <w:t> год</w:t>
      </w:r>
      <w:r w:rsidRPr="004D48FC">
        <w:t xml:space="preserve">у, также не предусмотрено обязательство в случае продлении срока службы энергоблоков АЭС проводить оценку воздействия на окружающую среду; вместо этого требуется каждые 10 лет проводить обязательные периодические проверки безопасности в соответствии со строгими требованиями. </w:t>
      </w:r>
    </w:p>
    <w:p w14:paraId="44AC6981" w14:textId="6C1007A9" w:rsidR="004D48FC" w:rsidRPr="004D48FC" w:rsidRDefault="001D1AAB" w:rsidP="001D1AAB">
      <w:pPr>
        <w:pStyle w:val="H23G"/>
      </w:pPr>
      <w:r>
        <w:tab/>
      </w:r>
      <w:r w:rsidR="004D48FC" w:rsidRPr="004D48FC">
        <w:t>1.</w:t>
      </w:r>
      <w:r w:rsidR="004D48FC" w:rsidRPr="004D48FC">
        <w:tab/>
        <w:t xml:space="preserve">Взаимодействие между заинтересованными сторонами </w:t>
      </w:r>
    </w:p>
    <w:p w14:paraId="25584445" w14:textId="2FBCA003" w:rsidR="004D48FC" w:rsidRPr="004D48FC" w:rsidRDefault="004D48FC" w:rsidP="004D48FC">
      <w:pPr>
        <w:pStyle w:val="SingleTxtG"/>
      </w:pPr>
      <w:r w:rsidRPr="004D48FC">
        <w:t>27.</w:t>
      </w:r>
      <w:r w:rsidRPr="004D48FC">
        <w:tab/>
        <w:t>Чехия пояснила, что Государственное управление по ядерной безопасности проинформировало соседние страны о переоформлении разрешений на эксплуатацию энергоблоков №</w:t>
      </w:r>
      <w:r w:rsidR="002D4F06">
        <w:t>№ </w:t>
      </w:r>
      <w:r w:rsidRPr="004D48FC">
        <w:t>1–4 в период с 2014 по 2018</w:t>
      </w:r>
      <w:r w:rsidR="002D4F06">
        <w:t> год</w:t>
      </w:r>
      <w:r w:rsidRPr="004D48FC">
        <w:t xml:space="preserve">. Австрия и Германия были проинформированы на одном из ежегодных совещаний межправительственного </w:t>
      </w:r>
      <w:r w:rsidRPr="004D48FC">
        <w:lastRenderedPageBreak/>
        <w:t>комитета по ядерной безопасности и радиационной защите. Венгрия, Словакия и Словения были проинформированы в ходе встреч глав национальных делегаций на Генеральной конференции Международного агентства по атомной энергии (МАГАТЭ), а также в рамках ежегодных четырехсторонних встреч органов ядерного регулирования. Словакия также была проинформирована в ходе неофициальных ежегодных двусторонних встреч между органами ядерного регулирования обеих стран. Орган ядерного регулирования Польши был неофициально проинформирован во время двусторонней встречи в 2017</w:t>
      </w:r>
      <w:r w:rsidR="002D4F06">
        <w:t> год</w:t>
      </w:r>
      <w:r w:rsidRPr="004D48FC">
        <w:t>у.</w:t>
      </w:r>
    </w:p>
    <w:p w14:paraId="463FCCB4" w14:textId="628D59AD" w:rsidR="004D48FC" w:rsidRPr="004D48FC" w:rsidRDefault="004D48FC" w:rsidP="004D48FC">
      <w:pPr>
        <w:pStyle w:val="SingleTxtG"/>
      </w:pPr>
      <w:r w:rsidRPr="004D48FC">
        <w:t>28.</w:t>
      </w:r>
      <w:r w:rsidRPr="004D48FC">
        <w:tab/>
        <w:t>В феврале 2015</w:t>
      </w:r>
      <w:r w:rsidR="002D4F06">
        <w:t> год</w:t>
      </w:r>
      <w:r w:rsidRPr="004D48FC">
        <w:t>а Германия, считая себя потенциально затрагиваемой Стороной, запросила у Чехии уведомление относительно планируемого продления срока службы АЭС «Дукованы»</w:t>
      </w:r>
      <w:r w:rsidRPr="004D48FC">
        <w:rPr>
          <w:sz w:val="18"/>
          <w:vertAlign w:val="superscript"/>
        </w:rPr>
        <w:footnoteReference w:id="18"/>
      </w:r>
      <w:r w:rsidRPr="004D48FC">
        <w:rPr>
          <w:sz w:val="18"/>
        </w:rPr>
        <w:t>.</w:t>
      </w:r>
      <w:r w:rsidRPr="004D48FC">
        <w:t xml:space="preserve"> Австрия также считает себя потенциально затрагиваемой Стороной, и письмом от 3 августа 2015</w:t>
      </w:r>
      <w:r w:rsidR="002D4F06">
        <w:t> год</w:t>
      </w:r>
      <w:r w:rsidRPr="004D48FC">
        <w:t xml:space="preserve">а она просила Чехию направить ей уведомление в соответствии с Конвенцией о продлении срока службы энергоблока </w:t>
      </w:r>
      <w:r w:rsidR="002D4F06">
        <w:t>№ </w:t>
      </w:r>
      <w:r w:rsidRPr="004D48FC">
        <w:t>1, призвав Чехию провести оценку трансграничного воздействия на окружающую среду. Однако Чехия отклонила оба запроса, сославшись на отсутствие в нормах международного и национального права юридического обязательства проводить оценку воздействия на окружающую среду для продления срока службы атомной электростанции</w:t>
      </w:r>
      <w:r w:rsidRPr="004D48FC">
        <w:rPr>
          <w:sz w:val="18"/>
          <w:vertAlign w:val="superscript"/>
        </w:rPr>
        <w:footnoteReference w:id="19"/>
      </w:r>
      <w:r w:rsidRPr="004D48FC">
        <w:rPr>
          <w:sz w:val="18"/>
        </w:rPr>
        <w:t>.</w:t>
      </w:r>
      <w:r w:rsidRPr="004D48FC">
        <w:t xml:space="preserve"> 19 апреля 2016</w:t>
      </w:r>
      <w:r w:rsidR="002D4F06">
        <w:t> год</w:t>
      </w:r>
      <w:r w:rsidRPr="004D48FC">
        <w:t>а Австрия сообщила Европейской комиссии, что, по ее мнению, для продления срока службы энергоблоков №</w:t>
      </w:r>
      <w:r w:rsidR="002D4F06">
        <w:t>№ </w:t>
      </w:r>
      <w:r w:rsidRPr="004D48FC">
        <w:t>1–4 атомной электростанции «Дукованы» необходимо проведение процедуры оценки трансграничного воздействия на окружающую среду.</w:t>
      </w:r>
    </w:p>
    <w:p w14:paraId="189CF3BA" w14:textId="327A9D71" w:rsidR="004D48FC" w:rsidRPr="004D48FC" w:rsidRDefault="001D1AAB" w:rsidP="009F7F0C">
      <w:pPr>
        <w:pStyle w:val="H23G"/>
      </w:pPr>
      <w:r>
        <w:tab/>
      </w:r>
      <w:r w:rsidR="004D48FC" w:rsidRPr="004D48FC">
        <w:t>2.</w:t>
      </w:r>
      <w:r w:rsidR="004D48FC" w:rsidRPr="004D48FC">
        <w:tab/>
        <w:t>Модификации АЭС и трансграничное воздействие</w:t>
      </w:r>
    </w:p>
    <w:p w14:paraId="583EF458" w14:textId="477A108F" w:rsidR="004D48FC" w:rsidRPr="004D48FC" w:rsidRDefault="004D48FC" w:rsidP="004D48FC">
      <w:pPr>
        <w:pStyle w:val="SingleTxtG"/>
      </w:pPr>
      <w:r w:rsidRPr="004D48FC">
        <w:t>29.</w:t>
      </w:r>
      <w:r w:rsidRPr="004D48FC">
        <w:tab/>
        <w:t>По мнению НПО, с 1991</w:t>
      </w:r>
      <w:r w:rsidR="002D4F06">
        <w:t> год</w:t>
      </w:r>
      <w:r w:rsidRPr="004D48FC">
        <w:t xml:space="preserve">а на АЭС «Дукованы» было проведено несколько модификаций, связанных и не связанных с безопасностью, таких как </w:t>
      </w:r>
      <w:proofErr w:type="spellStart"/>
      <w:r w:rsidRPr="004D48FC">
        <w:t>Постфукусимский</w:t>
      </w:r>
      <w:proofErr w:type="spellEnd"/>
      <w:r w:rsidRPr="004D48FC">
        <w:t xml:space="preserve"> план действий, реализация проекта переоборудования, замена систем контроля и управления (проект «Морава», первая очередь в период с 2002 по 2009</w:t>
      </w:r>
      <w:r w:rsidR="002D4F06">
        <w:t> год</w:t>
      </w:r>
      <w:r w:rsidRPr="004D48FC">
        <w:t>, вторая очередь</w:t>
      </w:r>
      <w:r w:rsidR="002D4F06">
        <w:t xml:space="preserve"> — </w:t>
      </w:r>
      <w:r w:rsidRPr="004D48FC">
        <w:t>с 2007 по 2017</w:t>
      </w:r>
      <w:r w:rsidR="002D4F06">
        <w:t> год</w:t>
      </w:r>
      <w:r w:rsidRPr="004D48FC">
        <w:t>), замена топлива, замена турбин высокого давления, реконструкция генераторов, строительство шести дополнительных градирен и увеличение мощности всех энергоблоков с 440 МВт до 510 МВт. Бюджетная смета расходов на эти проекты за период с 2009 по 2019</w:t>
      </w:r>
      <w:r w:rsidR="002D4F06">
        <w:t> год</w:t>
      </w:r>
      <w:r w:rsidRPr="004D48FC">
        <w:t xml:space="preserve"> составила около 18 млрд чешских крон (720 млн евро)</w:t>
      </w:r>
      <w:r w:rsidRPr="004D48FC">
        <w:rPr>
          <w:sz w:val="18"/>
          <w:vertAlign w:val="superscript"/>
        </w:rPr>
        <w:footnoteReference w:id="20"/>
      </w:r>
      <w:r w:rsidRPr="004D48FC">
        <w:rPr>
          <w:sz w:val="18"/>
        </w:rPr>
        <w:t>.</w:t>
      </w:r>
    </w:p>
    <w:p w14:paraId="0230C2A4" w14:textId="093344A0" w:rsidR="004D48FC" w:rsidRPr="004D48FC" w:rsidRDefault="004D48FC" w:rsidP="004D48FC">
      <w:pPr>
        <w:pStyle w:val="SingleTxtG"/>
      </w:pPr>
      <w:r w:rsidRPr="004D48FC">
        <w:t>30.</w:t>
      </w:r>
      <w:r w:rsidRPr="004D48FC">
        <w:tab/>
        <w:t>Аналогичным образом Австрия и Германия отметили, что различные изменения, произведенные на АЭС, включая модернизацию и физические работы, а</w:t>
      </w:r>
      <w:r w:rsidR="001D1AAB">
        <w:t> </w:t>
      </w:r>
      <w:r w:rsidRPr="004D48FC">
        <w:t>также модификации условий ее эксплуатации, могут представлять собой существенные изменения и, следовательно, необходимо рассмотреть их воздействие на окружающую среду. Германия добавила, что в случае продления срока эксплуатации АЭС значительные риски могут возникнуть не только на самой АЭС, например из-за старения технологических компонентов, концептуальной ограниченности возможностей модернизации и другого уровня развития науки и техники, но и на прилегающей к ней территории, ввиду воздействия на окружающую среду и изменения климата. С начала эксплуатации в 1985–1987</w:t>
      </w:r>
      <w:r w:rsidR="002D4F06">
        <w:t> год</w:t>
      </w:r>
      <w:r w:rsidRPr="004D48FC">
        <w:t xml:space="preserve">ах вместе с климатом и структурой местных и региональных населенных пунктов изменились ландшафт, условия окружающей среды и связанные с ней факторы (вода, воздух, отходы, биоразнообразие, почва) в окрестностях АЭС. </w:t>
      </w:r>
    </w:p>
    <w:p w14:paraId="23A7CBEC" w14:textId="53706381" w:rsidR="004D48FC" w:rsidRPr="004D48FC" w:rsidRDefault="004D48FC" w:rsidP="004D48FC">
      <w:pPr>
        <w:pStyle w:val="SingleTxtG"/>
      </w:pPr>
      <w:r w:rsidRPr="004D48FC">
        <w:t>31.</w:t>
      </w:r>
      <w:r w:rsidRPr="004D48FC">
        <w:tab/>
        <w:t>По данным Чехии, данная АЭС работает с 1986</w:t>
      </w:r>
      <w:r w:rsidR="002D4F06">
        <w:t> год</w:t>
      </w:r>
      <w:r w:rsidRPr="004D48FC">
        <w:t>а без единой аварии. Она утверждает, что подготовка к долгосрочной эксплуатации энергоблоков №</w:t>
      </w:r>
      <w:r w:rsidR="002D4F06">
        <w:t>№ </w:t>
      </w:r>
      <w:r w:rsidRPr="004D48FC">
        <w:t xml:space="preserve">1–4 не предусматривала ни строительства новых объектов, ни изменений в технологическом процессе и в нормальном режиме эксплуатации, ни увеличения объемов используемого ядерного топлива. Она также утверждает, что деятельность по </w:t>
      </w:r>
      <w:r w:rsidRPr="004D48FC">
        <w:lastRenderedPageBreak/>
        <w:t>модернизации и модификации конструкций, систем и узлов, замене оборудования того же типа и подгонке части оборудования, подключенного к реакторной установке, была выполнена в рамках лицензии в процессе текущего обслуживания и управления старением. Согласно заявлению Чехии, капиталовложения, оцениваемые приблизительно в 160 млн евро, были направлены на замену, модификацию и реконструкцию, связанные с анализом и оценками, проведенными для подготовки к долгосрочной эксплуатации энергоблоков №</w:t>
      </w:r>
      <w:r w:rsidR="002D4F06">
        <w:t>№ </w:t>
      </w:r>
      <w:r w:rsidRPr="004D48FC">
        <w:t xml:space="preserve">1–4, и не были связаны с изменениями в условиях их эксплуатации или в технологии. </w:t>
      </w:r>
    </w:p>
    <w:p w14:paraId="7746D501" w14:textId="77777777" w:rsidR="004D48FC" w:rsidRPr="004D48FC" w:rsidRDefault="004D48FC" w:rsidP="004D48FC">
      <w:pPr>
        <w:pStyle w:val="SingleTxtG"/>
      </w:pPr>
      <w:r w:rsidRPr="004D48FC">
        <w:t>32.</w:t>
      </w:r>
      <w:r w:rsidRPr="004D48FC">
        <w:tab/>
        <w:t xml:space="preserve">По мнению Чехии, все вышеупомянутые модификации были проведены с целью повышения уровня ядерной безопасности или надежности и эффективности АЭС. Ни одна из них, по мнению Чехии, не может привести к возникновению или увеличению риска значительного вредного трансграничного воздействия на окружающую среду. </w:t>
      </w:r>
    </w:p>
    <w:p w14:paraId="73668803" w14:textId="143AF723" w:rsidR="004D48FC" w:rsidRPr="004D48FC" w:rsidRDefault="001D1AAB" w:rsidP="001D1AAB">
      <w:pPr>
        <w:pStyle w:val="H23G"/>
      </w:pPr>
      <w:r>
        <w:tab/>
      </w:r>
      <w:r w:rsidR="004D48FC" w:rsidRPr="004D48FC">
        <w:t>3.</w:t>
      </w:r>
      <w:r w:rsidR="004D48FC" w:rsidRPr="004D48FC">
        <w:tab/>
        <w:t>Будущая процедура принятия решений по аналогичной деятельности</w:t>
      </w:r>
    </w:p>
    <w:p w14:paraId="3F7CD6A6" w14:textId="669A29C1" w:rsidR="004D48FC" w:rsidRPr="004D48FC" w:rsidRDefault="004D48FC" w:rsidP="004D48FC">
      <w:pPr>
        <w:pStyle w:val="SingleTxtG"/>
      </w:pPr>
      <w:r w:rsidRPr="004D48FC">
        <w:t>33.</w:t>
      </w:r>
      <w:r w:rsidRPr="004D48FC">
        <w:tab/>
        <w:t>Комитет счел важным рассмотреть этот вопрос в контексте будущих процедур принятия решений в отношении аналогичной деятельности. Отметив необходимость проведения процедуры в отношении долгосрочной эксплуатации двух энергоблоков АЭС «</w:t>
      </w:r>
      <w:proofErr w:type="spellStart"/>
      <w:r w:rsidRPr="004D48FC">
        <w:t>Темелин</w:t>
      </w:r>
      <w:proofErr w:type="spellEnd"/>
      <w:r w:rsidRPr="004D48FC">
        <w:t>», он просил Чехию предоставить информацию об этих двух энергоблоках. Чехия проинформировала Комитет о том, что два энергоблока АЭС «</w:t>
      </w:r>
      <w:proofErr w:type="spellStart"/>
      <w:r w:rsidRPr="004D48FC">
        <w:t>Темелин</w:t>
      </w:r>
      <w:proofErr w:type="spellEnd"/>
      <w:r w:rsidRPr="004D48FC">
        <w:t>» были введены в эксплуатацию в 2002 и 2003</w:t>
      </w:r>
      <w:r w:rsidR="002D4F06">
        <w:t> год</w:t>
      </w:r>
      <w:r w:rsidRPr="004D48FC">
        <w:t>ах. Их эксплуатация осуществляется на основании разрешений на эксплуатацию на неограниченный срок, выданных в 2020 и 2021</w:t>
      </w:r>
      <w:r w:rsidR="002D4F06">
        <w:t> год</w:t>
      </w:r>
      <w:r w:rsidRPr="004D48FC">
        <w:t>ах. По данным Чехии, АЭС такой конструкции могут безопасно эксплуатироваться до 60 лет. Оценка воздействия на окружающую среду потребовалась бы, если бы какая-либо реконструкция достигала порога существенного изменения.</w:t>
      </w:r>
    </w:p>
    <w:p w14:paraId="33436603" w14:textId="2F9222BF" w:rsidR="004D48FC" w:rsidRPr="004D48FC" w:rsidRDefault="001D1AAB" w:rsidP="001D1AAB">
      <w:pPr>
        <w:pStyle w:val="H23G"/>
      </w:pPr>
      <w:r>
        <w:tab/>
      </w:r>
      <w:r w:rsidR="004D48FC" w:rsidRPr="004D48FC">
        <w:t>4.</w:t>
      </w:r>
      <w:r w:rsidR="004D48FC" w:rsidRPr="004D48FC">
        <w:tab/>
        <w:t xml:space="preserve">Процедура в соответствии с </w:t>
      </w:r>
      <w:proofErr w:type="spellStart"/>
      <w:r w:rsidR="004D48FC" w:rsidRPr="004D48FC">
        <w:t>Орхусской</w:t>
      </w:r>
      <w:proofErr w:type="spellEnd"/>
      <w:r w:rsidR="004D48FC" w:rsidRPr="004D48FC">
        <w:t xml:space="preserve"> конвенцией</w:t>
      </w:r>
    </w:p>
    <w:p w14:paraId="3BAD5469" w14:textId="747E4913" w:rsidR="004D48FC" w:rsidRPr="004D48FC" w:rsidRDefault="004D48FC" w:rsidP="004D48FC">
      <w:pPr>
        <w:pStyle w:val="SingleTxtG"/>
      </w:pPr>
      <w:r w:rsidRPr="004D48FC">
        <w:t>34.</w:t>
      </w:r>
      <w:r w:rsidRPr="004D48FC">
        <w:tab/>
        <w:t>Комитет отметил, что Чехия также является Стороной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4D48FC">
        <w:t>Орхусская</w:t>
      </w:r>
      <w:proofErr w:type="spellEnd"/>
      <w:r w:rsidRPr="004D48FC">
        <w:t xml:space="preserve"> конвенция). Поэтому он сослался на выводы и рекомендации, подготовленные Комитетом по вопросам соблюдения </w:t>
      </w:r>
      <w:proofErr w:type="spellStart"/>
      <w:r w:rsidRPr="004D48FC">
        <w:t>Орхусской</w:t>
      </w:r>
      <w:proofErr w:type="spellEnd"/>
      <w:r w:rsidRPr="004D48FC">
        <w:t xml:space="preserve"> конвенции относительно соблюдения Чехией положений этой Конвенции, а также на соответствующее решение Совещания Сторон этой Конвенции. Совещание Сторон </w:t>
      </w:r>
      <w:proofErr w:type="spellStart"/>
      <w:r w:rsidRPr="004D48FC">
        <w:t>Орхусской</w:t>
      </w:r>
      <w:proofErr w:type="spellEnd"/>
      <w:r w:rsidRPr="004D48FC">
        <w:t xml:space="preserve"> конвенции приняло на своей седьмой сессии (Женева, 18–20 октября 2021</w:t>
      </w:r>
      <w:r w:rsidR="002D4F06">
        <w:t> год</w:t>
      </w:r>
      <w:r w:rsidRPr="004D48FC">
        <w:t>а) решение VII/8e (ECE/MP.PP/2021/2/Add.1), в котором оно постановило, что Чехия не обеспечила соблюдение пункта 10 статьи 6 и пункта</w:t>
      </w:r>
      <w:r w:rsidRPr="004D48FC">
        <w:rPr>
          <w:lang w:val="en-US"/>
        </w:rPr>
        <w:t> </w:t>
      </w:r>
      <w:r w:rsidRPr="004D48FC">
        <w:t>2 статьи</w:t>
      </w:r>
      <w:r w:rsidRPr="004D48FC">
        <w:rPr>
          <w:lang w:val="en-US"/>
        </w:rPr>
        <w:t> </w:t>
      </w:r>
      <w:r w:rsidRPr="004D48FC">
        <w:t xml:space="preserve">9 </w:t>
      </w:r>
      <w:proofErr w:type="spellStart"/>
      <w:r w:rsidRPr="004D48FC">
        <w:t>Орхусской</w:t>
      </w:r>
      <w:proofErr w:type="spellEnd"/>
      <w:r w:rsidRPr="004D48FC">
        <w:t xml:space="preserve"> конвенции, не обеспечив эффективного участия общественности в процессе продления срока службы АЭС «Дукованы», и потребовало от Чехии представить к 1 июля 2022</w:t>
      </w:r>
      <w:r w:rsidR="002D4F06">
        <w:t> год</w:t>
      </w:r>
      <w:r w:rsidRPr="004D48FC">
        <w:t>а содержащий график план действий по выполнению рекомендаций.</w:t>
      </w:r>
    </w:p>
    <w:p w14:paraId="038C1963" w14:textId="617DC7EF" w:rsidR="004D48FC" w:rsidRPr="004D48FC" w:rsidRDefault="001D1AAB" w:rsidP="001D1AAB">
      <w:pPr>
        <w:pStyle w:val="HChG"/>
      </w:pPr>
      <w:r>
        <w:tab/>
      </w:r>
      <w:r w:rsidR="004D48FC" w:rsidRPr="004D48FC">
        <w:t>III.</w:t>
      </w:r>
      <w:r w:rsidR="004D48FC" w:rsidRPr="004D48FC">
        <w:tab/>
        <w:t>Рассмотрение и оценка</w:t>
      </w:r>
    </w:p>
    <w:p w14:paraId="30B6AB41" w14:textId="73A319E2" w:rsidR="004D48FC" w:rsidRPr="004D48FC" w:rsidRDefault="001D1AAB" w:rsidP="001D1AAB">
      <w:pPr>
        <w:pStyle w:val="H1G"/>
      </w:pPr>
      <w:r>
        <w:tab/>
      </w:r>
      <w:r w:rsidR="004D48FC" w:rsidRPr="004D48FC">
        <w:t>A.</w:t>
      </w:r>
      <w:r w:rsidR="004D48FC" w:rsidRPr="004D48FC">
        <w:tab/>
        <w:t>Общие замечания</w:t>
      </w:r>
    </w:p>
    <w:p w14:paraId="6AD4B09B" w14:textId="1987D375" w:rsidR="004D48FC" w:rsidRPr="004D48FC" w:rsidRDefault="004D48FC" w:rsidP="004D48FC">
      <w:pPr>
        <w:pStyle w:val="SingleTxtG"/>
      </w:pPr>
      <w:r w:rsidRPr="004D48FC">
        <w:t>35.</w:t>
      </w:r>
      <w:r w:rsidRPr="004D48FC">
        <w:tab/>
        <w:t xml:space="preserve">Комитет собрал информацию, позволяющую ему достаточно точно установить основные факты и события, а также оценить применение Конвенции </w:t>
      </w:r>
      <w:proofErr w:type="spellStart"/>
      <w:r w:rsidRPr="004D48FC">
        <w:t>Эспо</w:t>
      </w:r>
      <w:proofErr w:type="spellEnd"/>
      <w:r w:rsidRPr="004D48FC">
        <w:t>. Он также ознакомился с разъяснениями, запрошенными им у Чехии с 2016</w:t>
      </w:r>
      <w:r w:rsidR="002D4F06">
        <w:t> год</w:t>
      </w:r>
      <w:r w:rsidRPr="004D48FC">
        <w:t>а, прежде чем начать свою инициативу о применении Чехией Конвенции в отношении продления срока службы энергоблоков №</w:t>
      </w:r>
      <w:r w:rsidR="002D4F06">
        <w:t>№ </w:t>
      </w:r>
      <w:r w:rsidRPr="004D48FC">
        <w:t>1–4 АЭС «Дукованы».</w:t>
      </w:r>
    </w:p>
    <w:p w14:paraId="7C881BE6" w14:textId="0EDC51B8" w:rsidR="004D48FC" w:rsidRPr="004D48FC" w:rsidRDefault="004D48FC" w:rsidP="004D48FC">
      <w:pPr>
        <w:pStyle w:val="SingleTxtG"/>
      </w:pPr>
      <w:r w:rsidRPr="004D48FC">
        <w:lastRenderedPageBreak/>
        <w:t>36.</w:t>
      </w:r>
      <w:r w:rsidRPr="004D48FC">
        <w:tab/>
        <w:t>Комитет приветствовал успешное сотрудничество с Чехией, которая облегчила его работу, своевременно предоставив ему качественную информацию по его запросу в соответствии с пунктом 11 решения VIII/4</w:t>
      </w:r>
      <w:r w:rsidRPr="004D48FC">
        <w:rPr>
          <w:sz w:val="18"/>
          <w:vertAlign w:val="superscript"/>
        </w:rPr>
        <w:footnoteReference w:id="21"/>
      </w:r>
      <w:r w:rsidRPr="004D48FC">
        <w:rPr>
          <w:sz w:val="18"/>
        </w:rPr>
        <w:t>.</w:t>
      </w:r>
      <w:r w:rsidRPr="004D48FC">
        <w:t xml:space="preserve"> </w:t>
      </w:r>
    </w:p>
    <w:p w14:paraId="0CA32E7C" w14:textId="77777777" w:rsidR="004D48FC" w:rsidRPr="004D48FC" w:rsidRDefault="004D48FC" w:rsidP="004D48FC">
      <w:pPr>
        <w:pStyle w:val="SingleTxtG"/>
      </w:pPr>
      <w:r w:rsidRPr="004D48FC">
        <w:t>37.</w:t>
      </w:r>
      <w:r w:rsidRPr="004D48FC">
        <w:tab/>
        <w:t>При принятии решения о начале осуществления инициативы Комитета в соответствии с пунктом 6 его структуры и функций Комитет учитывал, помимо прочего, следующие критерии, изложенные в правиле 15 его рабочих правил</w:t>
      </w:r>
      <w:r w:rsidRPr="004D48FC">
        <w:rPr>
          <w:sz w:val="18"/>
          <w:vertAlign w:val="superscript"/>
        </w:rPr>
        <w:footnoteReference w:id="22"/>
      </w:r>
      <w:r w:rsidRPr="004D48FC">
        <w:rPr>
          <w:sz w:val="18"/>
        </w:rPr>
        <w:t>:</w:t>
      </w:r>
      <w:r w:rsidRPr="004D48FC">
        <w:t xml:space="preserve"> </w:t>
      </w:r>
    </w:p>
    <w:p w14:paraId="6B3AFC1F" w14:textId="4D6E9781" w:rsidR="004D48FC" w:rsidRPr="004D48FC" w:rsidRDefault="001D1AAB" w:rsidP="004D48FC">
      <w:pPr>
        <w:pStyle w:val="SingleTxtG"/>
      </w:pPr>
      <w:r>
        <w:tab/>
      </w:r>
      <w:r w:rsidR="004D48FC" w:rsidRPr="004D48FC">
        <w:t>a)</w:t>
      </w:r>
      <w:r w:rsidR="004D48FC" w:rsidRPr="004D48FC">
        <w:tab/>
        <w:t>источник информации</w:t>
      </w:r>
      <w:r w:rsidR="002D4F06">
        <w:t xml:space="preserve"> — </w:t>
      </w:r>
      <w:r w:rsidR="004D48FC" w:rsidRPr="004D48FC">
        <w:t>четыре НПО: «</w:t>
      </w:r>
      <w:proofErr w:type="spellStart"/>
      <w:r w:rsidR="004D48FC" w:rsidRPr="004D48FC">
        <w:t>Экобюро</w:t>
      </w:r>
      <w:proofErr w:type="spellEnd"/>
      <w:r w:rsidR="004D48FC" w:rsidRPr="004D48FC">
        <w:t>» и «Глобал 2000» (Австрия), «</w:t>
      </w:r>
      <w:proofErr w:type="spellStart"/>
      <w:r w:rsidR="004D48FC" w:rsidRPr="004D48FC">
        <w:t>Южнобогемские</w:t>
      </w:r>
      <w:proofErr w:type="spellEnd"/>
      <w:r w:rsidR="004D48FC" w:rsidRPr="004D48FC">
        <w:t xml:space="preserve"> матери» и «Калла» (Чехия)</w:t>
      </w:r>
      <w:r w:rsidR="002D4F06">
        <w:t xml:space="preserve"> — </w:t>
      </w:r>
      <w:r w:rsidR="004D48FC" w:rsidRPr="004D48FC">
        <w:t>известен и не является анонимным;</w:t>
      </w:r>
    </w:p>
    <w:p w14:paraId="50E7307D" w14:textId="26B6FEEA" w:rsidR="004D48FC" w:rsidRPr="004D48FC" w:rsidRDefault="001D1AAB" w:rsidP="004D48FC">
      <w:pPr>
        <w:pStyle w:val="SingleTxtG"/>
      </w:pPr>
      <w:r>
        <w:tab/>
      </w:r>
      <w:r w:rsidR="004D48FC" w:rsidRPr="004D48FC">
        <w:t>b)</w:t>
      </w:r>
      <w:r w:rsidR="004D48FC" w:rsidRPr="004D48FC">
        <w:tab/>
        <w:t>информация касается АЭС и других атомных реакторов</w:t>
      </w:r>
      <w:r w:rsidR="002D4F06">
        <w:t xml:space="preserve"> — </w:t>
      </w:r>
      <w:r w:rsidR="004D48FC" w:rsidRPr="004D48FC">
        <w:t>вида деятельности, включенного в перечень в добавлении I к Конвенции;</w:t>
      </w:r>
    </w:p>
    <w:p w14:paraId="503C15BC" w14:textId="555E22AF" w:rsidR="004D48FC" w:rsidRPr="004D48FC" w:rsidRDefault="001D1AAB" w:rsidP="004D48FC">
      <w:pPr>
        <w:pStyle w:val="SingleTxtG"/>
      </w:pPr>
      <w:r>
        <w:tab/>
      </w:r>
      <w:r w:rsidR="004D48FC" w:rsidRPr="004D48FC">
        <w:t>c)</w:t>
      </w:r>
      <w:r w:rsidR="004D48FC" w:rsidRPr="004D48FC">
        <w:tab/>
        <w:t>информация основывается на серьезном подозрении в несоблюдении в связи с продлением срока службы ядерных реакторов;</w:t>
      </w:r>
    </w:p>
    <w:p w14:paraId="2C1A9D79" w14:textId="17657EF3" w:rsidR="004D48FC" w:rsidRPr="004D48FC" w:rsidRDefault="001D1AAB" w:rsidP="004D48FC">
      <w:pPr>
        <w:pStyle w:val="SingleTxtG"/>
      </w:pPr>
      <w:r>
        <w:tab/>
      </w:r>
      <w:r w:rsidR="004D48FC" w:rsidRPr="004D48FC">
        <w:t>d)</w:t>
      </w:r>
      <w:r w:rsidR="004D48FC" w:rsidRPr="004D48FC">
        <w:tab/>
        <w:t>информация связана с применением положений Конвенции;</w:t>
      </w:r>
    </w:p>
    <w:p w14:paraId="1417EC13" w14:textId="2BC3EEEB" w:rsidR="004D48FC" w:rsidRPr="004D48FC" w:rsidRDefault="001D1AAB" w:rsidP="004D48FC">
      <w:pPr>
        <w:pStyle w:val="SingleTxtG"/>
      </w:pPr>
      <w:r>
        <w:tab/>
      </w:r>
      <w:r w:rsidR="004D48FC" w:rsidRPr="004D48FC">
        <w:t>e)</w:t>
      </w:r>
      <w:r w:rsidR="004D48FC" w:rsidRPr="004D48FC">
        <w:tab/>
        <w:t>у Комитета имеются время и ресурсы.</w:t>
      </w:r>
    </w:p>
    <w:p w14:paraId="74C84275" w14:textId="15C9F608" w:rsidR="004D48FC" w:rsidRPr="004D48FC" w:rsidRDefault="004D48FC" w:rsidP="004D48FC">
      <w:pPr>
        <w:pStyle w:val="SingleTxtG"/>
      </w:pPr>
      <w:r w:rsidRPr="004D48FC">
        <w:t>38.</w:t>
      </w:r>
      <w:r w:rsidRPr="004D48FC">
        <w:tab/>
        <w:t xml:space="preserve">По итогам рассмотрения информации, полученной </w:t>
      </w:r>
      <w:r w:rsidR="00766091" w:rsidRPr="004D48FC">
        <w:t>с 2016</w:t>
      </w:r>
      <w:r w:rsidR="00766091">
        <w:t> год</w:t>
      </w:r>
      <w:r w:rsidR="00766091" w:rsidRPr="004D48FC">
        <w:t xml:space="preserve">а </w:t>
      </w:r>
      <w:r w:rsidRPr="004D48FC">
        <w:t>в свете Конвенции от Чехии и НПО, а также от Австрии и Германии, в свете Конвенции и Руководства, Комитет пришел к выводу, что он располагает достаточными материалами для обсуждения вопроса о соблюдении Чехией своих обязательств в соответствии с Конвенцией в отношении упомянутого продления срока службы четырех энергоблоков АЭС. В частности, Комитет решил начать инициативу Комитета в соответствии с пунктом 6 своей структуры и функций в связи с серьезными подозрениями в несоблюдении Чехией своих обязательств по пункту 3 статьи 2 и пункту 1 статьи 3 Конвенции в отношении рассматриваемой деятельности, считая, что она представляет собой существенное изменение вида деятельности, указанного в добавлении I к Конвенции, который может оказывать значительное вредное трансграничное воздействие.</w:t>
      </w:r>
    </w:p>
    <w:p w14:paraId="41AA6D21" w14:textId="7FF05A42" w:rsidR="004D48FC" w:rsidRPr="004D48FC" w:rsidRDefault="004D48FC" w:rsidP="004D48FC">
      <w:pPr>
        <w:pStyle w:val="SingleTxtG"/>
      </w:pPr>
      <w:r w:rsidRPr="004D48FC">
        <w:t>39.</w:t>
      </w:r>
      <w:r w:rsidRPr="004D48FC">
        <w:tab/>
        <w:t>В ответ на обмен мнениями с Чехией Комитет посчитал необходимым уточнить, что он может рассмотреть вопрос о соблюдении Конвенции даже после принятия окончательного решения по упомянутому виду деятельности в соответствии с целью и функциями Комитета, указанными в пункте 4 структуры и функций Комитета</w:t>
      </w:r>
      <w:r w:rsidRPr="004D48FC">
        <w:rPr>
          <w:sz w:val="18"/>
          <w:vertAlign w:val="superscript"/>
        </w:rPr>
        <w:footnoteReference w:id="23"/>
      </w:r>
      <w:r w:rsidRPr="004D48FC">
        <w:rPr>
          <w:sz w:val="18"/>
        </w:rPr>
        <w:t>.</w:t>
      </w:r>
      <w:r w:rsidRPr="004D48FC">
        <w:t xml:space="preserve"> Цель и функции Комитета не ограничиваются потенциальным будущим несоблюдением Сторон. Напротив, Комитету поручено также заниматься случаями, когда невыполнение уже имело место. Это следует из пункта 13 структуры и функций Комитета, согласно которому Совещание Сторон Конвенции может принимать решения по мерам, направленным на обеспечение соблюдения. Это также соответствует предыдущей практике Комитета</w:t>
      </w:r>
      <w:r w:rsidRPr="004D48FC">
        <w:rPr>
          <w:sz w:val="18"/>
          <w:vertAlign w:val="superscript"/>
        </w:rPr>
        <w:footnoteReference w:id="24"/>
      </w:r>
      <w:r w:rsidRPr="004D48FC">
        <w:rPr>
          <w:sz w:val="18"/>
        </w:rPr>
        <w:t>.</w:t>
      </w:r>
    </w:p>
    <w:p w14:paraId="422950BF" w14:textId="77777777" w:rsidR="004D48FC" w:rsidRPr="004D48FC" w:rsidRDefault="004D48FC" w:rsidP="004D48FC">
      <w:pPr>
        <w:pStyle w:val="SingleTxtG"/>
      </w:pPr>
      <w:r w:rsidRPr="004D48FC">
        <w:t>40.</w:t>
      </w:r>
      <w:r w:rsidRPr="004D48FC">
        <w:tab/>
        <w:t>Более того, он подчеркнул, что при рассмотрении дела о возможном невыполнении Стороной своих обязательств по Конвенции в соответствии с пунктом 6 его структуры и функций Комитет не ограничен решениями национальных судов и других национальных или международных органов, так как они не являются применимыми источниками, которые должны приниматься во внимание при толковании обязательств по Конвенции согласно статьям 31 и 32 Венской конвенции о праве международных договоров.</w:t>
      </w:r>
    </w:p>
    <w:p w14:paraId="460B8D59" w14:textId="32C27E1E" w:rsidR="004D48FC" w:rsidRPr="004D48FC" w:rsidRDefault="001D1AAB" w:rsidP="001D1AAB">
      <w:pPr>
        <w:pStyle w:val="H1G"/>
      </w:pPr>
      <w:r>
        <w:lastRenderedPageBreak/>
        <w:tab/>
      </w:r>
      <w:r w:rsidR="004D48FC" w:rsidRPr="004D48FC">
        <w:t>B.</w:t>
      </w:r>
      <w:r w:rsidR="004D48FC" w:rsidRPr="004D48FC">
        <w:tab/>
        <w:t xml:space="preserve">Правовая основа </w:t>
      </w:r>
    </w:p>
    <w:p w14:paraId="443A60A1" w14:textId="5B45B80A" w:rsidR="004D48FC" w:rsidRPr="004D48FC" w:rsidRDefault="004D48FC" w:rsidP="004D48FC">
      <w:pPr>
        <w:pStyle w:val="SingleTxtG"/>
      </w:pPr>
      <w:r w:rsidRPr="004D48FC">
        <w:t>41.</w:t>
      </w:r>
      <w:r w:rsidRPr="004D48FC">
        <w:tab/>
        <w:t>Чехия сдала на хранение свою ратификационную грамоту к Конвенции 26</w:t>
      </w:r>
      <w:r w:rsidR="001D1AAB">
        <w:t> </w:t>
      </w:r>
      <w:r w:rsidRPr="004D48FC">
        <w:t>февраля 2001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25"/>
      </w:r>
      <w:r w:rsidRPr="004D48FC">
        <w:rPr>
          <w:sz w:val="18"/>
        </w:rPr>
        <w:t>,</w:t>
      </w:r>
      <w:r w:rsidRPr="004D48FC">
        <w:t xml:space="preserve"> и Конвенция вступила в силу для Чехии через 90 дней, 27 мая 2001</w:t>
      </w:r>
      <w:r w:rsidR="002D4F06">
        <w:t> год</w:t>
      </w:r>
      <w:r w:rsidRPr="004D48FC">
        <w:t xml:space="preserve">а. </w:t>
      </w:r>
    </w:p>
    <w:p w14:paraId="0E99DD67" w14:textId="77777777" w:rsidR="004D48FC" w:rsidRPr="004D48FC" w:rsidRDefault="004D48FC" w:rsidP="004D48FC">
      <w:pPr>
        <w:pStyle w:val="SingleTxtG"/>
      </w:pPr>
      <w:r w:rsidRPr="004D48FC">
        <w:t>42.</w:t>
      </w:r>
      <w:r w:rsidRPr="004D48FC">
        <w:tab/>
        <w:t>В пункте 2 b) добавления I к Конвенции в перечне видов планируемой деятельности, к которым она применяется, выделены «атомные электростанции и другие атомные реакторы, включая демонтаж или вывод из эксплуатации таких электростанций или реакторов (за исключением исследовательских установок для производства и конверсии расщепляющихся и воспроизводящих материалов, максимальная мощность которых не превышает 1 кВт постоянной тепловой нагрузки)».</w:t>
      </w:r>
    </w:p>
    <w:p w14:paraId="3FCF74E3" w14:textId="0BBE134C" w:rsidR="004D48FC" w:rsidRPr="004D48FC" w:rsidRDefault="004D48FC" w:rsidP="004D48FC">
      <w:pPr>
        <w:pStyle w:val="SingleTxtG"/>
      </w:pPr>
      <w:r w:rsidRPr="004D48FC">
        <w:t>43.</w:t>
      </w:r>
      <w:r w:rsidRPr="004D48FC">
        <w:tab/>
        <w:t>В контексте этой инициативы Комитет рассмотрел соответствующие положения Конвенции в пункте 3 статьи 2 и в пункте 1 статьи 3 и их применение. При</w:t>
      </w:r>
      <w:r w:rsidR="00B75D9D">
        <w:t> </w:t>
      </w:r>
      <w:r w:rsidRPr="004D48FC">
        <w:t xml:space="preserve">этом он учитывал </w:t>
      </w:r>
      <w:r w:rsidRPr="004D48FC">
        <w:rPr>
          <w:i/>
          <w:iCs/>
        </w:rPr>
        <w:t>Руководство по применимости Конвенции к продлению срока службы атомных электростанций</w:t>
      </w:r>
      <w:r w:rsidRPr="004D48FC">
        <w:t>.</w:t>
      </w:r>
    </w:p>
    <w:p w14:paraId="14C3F259" w14:textId="4E04FE85" w:rsidR="004D48FC" w:rsidRPr="004D48FC" w:rsidRDefault="001D1AAB" w:rsidP="001D1AAB">
      <w:pPr>
        <w:pStyle w:val="H1G"/>
      </w:pPr>
      <w:r>
        <w:tab/>
      </w:r>
      <w:r w:rsidR="004D48FC" w:rsidRPr="004D48FC">
        <w:t>C.</w:t>
      </w:r>
      <w:r w:rsidR="004D48FC" w:rsidRPr="004D48FC">
        <w:tab/>
        <w:t>Основные вопросы</w:t>
      </w:r>
    </w:p>
    <w:p w14:paraId="3C34F78E" w14:textId="390C7D9D" w:rsidR="004D48FC" w:rsidRPr="004D48FC" w:rsidRDefault="001D1AAB" w:rsidP="001D1AAB">
      <w:pPr>
        <w:pStyle w:val="H23G"/>
      </w:pPr>
      <w:r>
        <w:tab/>
      </w:r>
      <w:r w:rsidR="004D48FC" w:rsidRPr="004D48FC">
        <w:t>1.</w:t>
      </w:r>
      <w:r w:rsidR="004D48FC" w:rsidRPr="004D48FC">
        <w:tab/>
        <w:t xml:space="preserve">Применение Конвенции </w:t>
      </w:r>
    </w:p>
    <w:p w14:paraId="5709D767" w14:textId="32D6F7C9" w:rsidR="004D48FC" w:rsidRPr="004D48FC" w:rsidRDefault="004D48FC" w:rsidP="004D48FC">
      <w:pPr>
        <w:pStyle w:val="SingleTxtG"/>
      </w:pPr>
      <w:r w:rsidRPr="004D48FC">
        <w:t>44.</w:t>
      </w:r>
      <w:r w:rsidRPr="004D48FC">
        <w:tab/>
        <w:t>Вид деятельности касается продления срока службы энергоблоков №</w:t>
      </w:r>
      <w:r w:rsidR="002D4F06">
        <w:t>№ </w:t>
      </w:r>
      <w:r w:rsidRPr="004D48FC">
        <w:t>1–4 АЭС «Дукованы», состоящего в модификации и продлении лицензий на эксплуатацию 2016 и 2017</w:t>
      </w:r>
      <w:r w:rsidR="002D4F06">
        <w:t> год</w:t>
      </w:r>
      <w:r w:rsidRPr="004D48FC">
        <w:t>ов и в подготовке к долгосрочной эксплуатации этих энергоблоков.</w:t>
      </w:r>
    </w:p>
    <w:p w14:paraId="2F997BF0" w14:textId="31F724F9" w:rsidR="004D48FC" w:rsidRPr="004D48FC" w:rsidRDefault="001D1AAB" w:rsidP="001D1AAB">
      <w:pPr>
        <w:pStyle w:val="H23G"/>
      </w:pPr>
      <w:r>
        <w:tab/>
      </w:r>
      <w:r w:rsidR="004D48FC" w:rsidRPr="004D48FC">
        <w:t>1.1.</w:t>
      </w:r>
      <w:r w:rsidR="004D48FC" w:rsidRPr="004D48FC">
        <w:tab/>
        <w:t>Применение Руководства</w:t>
      </w:r>
    </w:p>
    <w:p w14:paraId="2E3460C8" w14:textId="24689E9D" w:rsidR="004D48FC" w:rsidRPr="004D48FC" w:rsidRDefault="004D48FC" w:rsidP="004D48FC">
      <w:pPr>
        <w:pStyle w:val="SingleTxtG"/>
      </w:pPr>
      <w:r w:rsidRPr="004D48FC">
        <w:t>45.</w:t>
      </w:r>
      <w:r w:rsidRPr="004D48FC">
        <w:tab/>
        <w:t>Комитет принял к сведению мнение Чехии о том, что Руководство не применимо к продлению лицензий на энергоблоки №</w:t>
      </w:r>
      <w:r w:rsidR="002D4F06">
        <w:t>№ </w:t>
      </w:r>
      <w:r w:rsidRPr="004D48FC">
        <w:t xml:space="preserve">1–4 АЭС «Дукованы»: для энергоблока </w:t>
      </w:r>
      <w:r w:rsidR="002D4F06">
        <w:t>№ </w:t>
      </w:r>
      <w:r w:rsidRPr="004D48FC">
        <w:t>1 в 2016 и 2020</w:t>
      </w:r>
      <w:r w:rsidR="002D4F06">
        <w:t> год</w:t>
      </w:r>
      <w:r w:rsidRPr="004D48FC">
        <w:t>ах и энергоблоков №</w:t>
      </w:r>
      <w:r w:rsidR="002D4F06">
        <w:t>№ </w:t>
      </w:r>
      <w:r w:rsidRPr="004D48FC">
        <w:t>2, 3 и 4 в 2017</w:t>
      </w:r>
      <w:r w:rsidR="002D4F06">
        <w:t> год</w:t>
      </w:r>
      <w:r w:rsidRPr="004D48FC">
        <w:t>у,</w:t>
      </w:r>
      <w:r w:rsidR="002D4F06">
        <w:t xml:space="preserve"> — </w:t>
      </w:r>
      <w:r w:rsidRPr="004D48FC">
        <w:t>так как оно было одобрено Совещанием Сторон только на его восьмой сессии в 2020</w:t>
      </w:r>
      <w:r w:rsidR="002D4F06">
        <w:t> год</w:t>
      </w:r>
      <w:r w:rsidRPr="004D48FC">
        <w:t>у и обратного действия не имеет. При этом Комитет подчеркнул, что в Руководстве представлено лишь толкование Конвенции в целях поддержки ее применения на практике. В нем не установлены новые обязательства Сторон и не расширена сфера применения положений Конвенции. В соответствии с рекомендациями Совещания Сторон, вынесенными на его восьмой сессии, Комитет учитывает положения Руководства при выполнении своих функций</w:t>
      </w:r>
      <w:r w:rsidRPr="004D48FC">
        <w:rPr>
          <w:sz w:val="18"/>
          <w:vertAlign w:val="superscript"/>
        </w:rPr>
        <w:footnoteReference w:id="26"/>
      </w:r>
      <w:r w:rsidR="00766091" w:rsidRPr="004D48FC">
        <w:t>.</w:t>
      </w:r>
      <w:r w:rsidR="002D4F06" w:rsidRPr="002D4F06">
        <w:rPr>
          <w:sz w:val="18"/>
        </w:rPr>
        <w:t xml:space="preserve"> </w:t>
      </w:r>
      <w:r w:rsidRPr="004D48FC">
        <w:t>Это делается, чтобы обеспечить последовательность толкования Конвенции в отношении новых и находящихся на рассмотрении случаев продления срока службы. Таким образом, Комитет учитывает положения Руководства и в тех случаях, которые уже находятся на его рассмотрении.</w:t>
      </w:r>
      <w:r w:rsidR="002D4F06">
        <w:t xml:space="preserve"> </w:t>
      </w:r>
    </w:p>
    <w:p w14:paraId="2A71B425" w14:textId="5C99C15E" w:rsidR="004D48FC" w:rsidRPr="004D48FC" w:rsidRDefault="004D48FC" w:rsidP="004D48FC">
      <w:pPr>
        <w:pStyle w:val="SingleTxtG"/>
      </w:pPr>
      <w:r w:rsidRPr="004D48FC">
        <w:t>46.</w:t>
      </w:r>
      <w:r w:rsidRPr="004D48FC">
        <w:tab/>
        <w:t>В отношении аргумента, выдвинутого Чехией, о том что применение Руководства к делам, находившимся на рассмотрении до его принятия в 2020</w:t>
      </w:r>
      <w:r w:rsidR="002D4F06">
        <w:t> год</w:t>
      </w:r>
      <w:r w:rsidRPr="004D48FC">
        <w:t>у, противоречит принципу правовой определенности, Комитет подчеркнул, что у Чехии нет разумных оснований считать, что Конвенция не была бы применима к продлению срока службы АЭС. В своих выводах и рекомендациях 2014</w:t>
      </w:r>
      <w:r w:rsidR="002D4F06">
        <w:t> год</w:t>
      </w:r>
      <w:r w:rsidRPr="004D48FC">
        <w:t xml:space="preserve">а по Украине Комитет уже делал вывод о том, что продление срока службы реакторов </w:t>
      </w:r>
      <w:r w:rsidR="002D4F06">
        <w:t>№</w:t>
      </w:r>
      <w:r w:rsidR="001D1AAB">
        <w:t>№</w:t>
      </w:r>
      <w:r w:rsidR="002D4F06">
        <w:t> </w:t>
      </w:r>
      <w:r w:rsidRPr="004D48FC">
        <w:t>1 и</w:t>
      </w:r>
      <w:r w:rsidR="001D1AAB">
        <w:t xml:space="preserve"> </w:t>
      </w:r>
      <w:r w:rsidRPr="004D48FC">
        <w:t>2 Ровенской АЭС после истечения срока действия первоначальной лицензии следует считать планируемой деятельностью в соответствии с пунктом v) статьи 1, а следовательно, оно подпадает под действие положений Конвенции</w:t>
      </w:r>
      <w:r w:rsidRPr="004D48FC">
        <w:rPr>
          <w:sz w:val="18"/>
          <w:vertAlign w:val="superscript"/>
        </w:rPr>
        <w:footnoteReference w:id="27"/>
      </w:r>
      <w:r w:rsidRPr="004D48FC">
        <w:rPr>
          <w:sz w:val="18"/>
        </w:rPr>
        <w:t>.</w:t>
      </w:r>
      <w:r w:rsidRPr="004D48FC">
        <w:t xml:space="preserve"> Более того, на своей седьмой сессии (Минск, 13–16 июня 2017</w:t>
      </w:r>
      <w:r w:rsidR="002D4F06">
        <w:t> год</w:t>
      </w:r>
      <w:r w:rsidRPr="004D48FC">
        <w:t xml:space="preserve">а) Совещание Сторон Конвенции учредило </w:t>
      </w:r>
      <w:r w:rsidRPr="004D48FC">
        <w:lastRenderedPageBreak/>
        <w:t>специальную рабочую группу непосредственно для обсуждения данного вопроса и выработки рекомендаций по нему</w:t>
      </w:r>
      <w:r w:rsidRPr="004D48FC">
        <w:rPr>
          <w:sz w:val="18"/>
          <w:vertAlign w:val="superscript"/>
        </w:rPr>
        <w:footnoteReference w:id="28"/>
      </w:r>
      <w:r w:rsidRPr="004D48FC">
        <w:rPr>
          <w:sz w:val="18"/>
        </w:rPr>
        <w:t>.</w:t>
      </w:r>
      <w:r w:rsidR="002D4F06">
        <w:t xml:space="preserve"> </w:t>
      </w:r>
      <w:r w:rsidRPr="004D48FC">
        <w:t xml:space="preserve"> </w:t>
      </w:r>
    </w:p>
    <w:p w14:paraId="6718C0F6" w14:textId="4FA88F2E" w:rsidR="004D48FC" w:rsidRPr="004D48FC" w:rsidRDefault="004D48FC" w:rsidP="004D48FC">
      <w:pPr>
        <w:pStyle w:val="SingleTxtG"/>
      </w:pPr>
      <w:r w:rsidRPr="004D48FC">
        <w:t>47.</w:t>
      </w:r>
      <w:r w:rsidRPr="004D48FC">
        <w:tab/>
        <w:t>Эта деятельность представляет собой ситуацию, в которой действие ограниченной по срокам лицензии на эксплуатацию истекло, однако планируется продолжать эксплуатацию станции</w:t>
      </w:r>
      <w:r w:rsidRPr="004D48FC">
        <w:rPr>
          <w:sz w:val="18"/>
          <w:vertAlign w:val="superscript"/>
        </w:rPr>
        <w:footnoteReference w:id="29"/>
      </w:r>
      <w:r w:rsidRPr="004D48FC">
        <w:rPr>
          <w:sz w:val="18"/>
        </w:rPr>
        <w:t>.</w:t>
      </w:r>
      <w:r w:rsidRPr="004D48FC">
        <w:t xml:space="preserve"> Первоначально для всех энергоблоков были выданы лицензии с ограниченным сроком действия. Энергоблоки №</w:t>
      </w:r>
      <w:r w:rsidR="002D4F06">
        <w:t>№ </w:t>
      </w:r>
      <w:r w:rsidRPr="004D48FC">
        <w:t xml:space="preserve">1–4 АЭС «Дукованы» находились в эксплуатации соответственно с 1985 </w:t>
      </w:r>
      <w:r w:rsidR="00B75D9D">
        <w:t xml:space="preserve">года </w:t>
      </w:r>
      <w:r w:rsidRPr="004D48FC">
        <w:t xml:space="preserve">(энергоблок </w:t>
      </w:r>
      <w:r w:rsidR="002D4F06">
        <w:t>№ </w:t>
      </w:r>
      <w:r w:rsidRPr="004D48FC">
        <w:t xml:space="preserve">1), 1987 </w:t>
      </w:r>
      <w:r w:rsidR="00B75D9D">
        <w:t xml:space="preserve">года </w:t>
      </w:r>
      <w:r w:rsidRPr="004D48FC">
        <w:t xml:space="preserve">(энергоблок </w:t>
      </w:r>
      <w:r w:rsidR="002D4F06">
        <w:t>№ </w:t>
      </w:r>
      <w:r w:rsidRPr="004D48FC">
        <w:t xml:space="preserve">2) и 1988 </w:t>
      </w:r>
      <w:r w:rsidR="00B75D9D">
        <w:t xml:space="preserve">года </w:t>
      </w:r>
      <w:r w:rsidRPr="004D48FC">
        <w:t xml:space="preserve">(энергоблоки </w:t>
      </w:r>
      <w:r w:rsidR="002D4F06">
        <w:t>№</w:t>
      </w:r>
      <w:r w:rsidR="00B75D9D">
        <w:t>№</w:t>
      </w:r>
      <w:r w:rsidR="002D4F06">
        <w:t> </w:t>
      </w:r>
      <w:r w:rsidRPr="004D48FC">
        <w:t>3 и 4)</w:t>
      </w:r>
      <w:r w:rsidR="00B75D9D">
        <w:t xml:space="preserve"> </w:t>
      </w:r>
      <w:r w:rsidRPr="004D48FC">
        <w:t>на основании регулярно продлеваемых лицензий с ограниченным сроком действия, у которых наступили даты истечения срока действия, указанные в лицензиях. Чтобы санкционировать продолжение эксплуатации, в 2015</w:t>
      </w:r>
      <w:r w:rsidR="002D4F06">
        <w:t> год</w:t>
      </w:r>
      <w:r w:rsidRPr="004D48FC">
        <w:t xml:space="preserve">у Чехия продлила лицензию на энергоблок </w:t>
      </w:r>
      <w:r w:rsidR="002D4F06">
        <w:t>№ </w:t>
      </w:r>
      <w:r w:rsidRPr="004D48FC">
        <w:t>1 до 2016</w:t>
      </w:r>
      <w:r w:rsidR="002D4F06">
        <w:t> год</w:t>
      </w:r>
      <w:r w:rsidRPr="004D48FC">
        <w:t>а, в 2016</w:t>
      </w:r>
      <w:r w:rsidR="002D4F06">
        <w:t> год</w:t>
      </w:r>
      <w:r w:rsidRPr="004D48FC">
        <w:t xml:space="preserve">у была выдана новая лицензия на энергоблок </w:t>
      </w:r>
      <w:r w:rsidR="002D4F06">
        <w:t>№ </w:t>
      </w:r>
      <w:r w:rsidRPr="004D48FC">
        <w:t>1 с неограниченным сроком действия, а в 2020</w:t>
      </w:r>
      <w:r w:rsidR="002D4F06">
        <w:t> год</w:t>
      </w:r>
      <w:r w:rsidRPr="004D48FC">
        <w:t>у она была заменена новой лицензией, также с неограниченным сроком действия. В связи с изменением законодательства Чехии в 2016</w:t>
      </w:r>
      <w:r w:rsidR="002D4F06">
        <w:t> год</w:t>
      </w:r>
      <w:r w:rsidRPr="004D48FC">
        <w:t>у для продолжения эксплуатации энергоблоков №</w:t>
      </w:r>
      <w:r w:rsidR="002D4F06">
        <w:t>№ </w:t>
      </w:r>
      <w:r w:rsidRPr="004D48FC">
        <w:t>2–4 в 2017</w:t>
      </w:r>
      <w:r w:rsidR="002D4F06">
        <w:t> год</w:t>
      </w:r>
      <w:r w:rsidRPr="004D48FC">
        <w:t>у были выданы лицензии на эксплуатацию с неограниченным сроком действия, согласно которым потенциально разрешается продолжать эксплуатацию всех энергоблоков в течение неограниченного периода времени.</w:t>
      </w:r>
      <w:r w:rsidR="002D4F06">
        <w:t xml:space="preserve"> </w:t>
      </w:r>
    </w:p>
    <w:p w14:paraId="3BAF8F2F" w14:textId="77777777" w:rsidR="004D48FC" w:rsidRPr="004D48FC" w:rsidRDefault="004D48FC" w:rsidP="004D48FC">
      <w:pPr>
        <w:pStyle w:val="SingleTxtG"/>
      </w:pPr>
      <w:r w:rsidRPr="004D48FC">
        <w:t>48.</w:t>
      </w:r>
      <w:r w:rsidRPr="004D48FC">
        <w:tab/>
        <w:t>Для данных энергоблоков проводились периодические проверки безопасности</w:t>
      </w:r>
      <w:r w:rsidRPr="004D48FC">
        <w:rPr>
          <w:sz w:val="18"/>
          <w:vertAlign w:val="superscript"/>
        </w:rPr>
        <w:footnoteReference w:id="30"/>
      </w:r>
      <w:r w:rsidRPr="004D48FC">
        <w:rPr>
          <w:sz w:val="18"/>
        </w:rPr>
        <w:t>.</w:t>
      </w:r>
      <w:r w:rsidRPr="004D48FC">
        <w:t xml:space="preserve"> Чехия проводила периодические проверки безопасности на своих АЭС как минимум каждые десять лет. Последние периодические проверки безопасности проводились ближе к концу срока службы для обоснования последнего продления лицензии.</w:t>
      </w:r>
    </w:p>
    <w:p w14:paraId="5914D48A" w14:textId="58264DF2" w:rsidR="004D48FC" w:rsidRPr="004D48FC" w:rsidRDefault="004D48FC" w:rsidP="004D48FC">
      <w:pPr>
        <w:pStyle w:val="SingleTxtG"/>
      </w:pPr>
      <w:r w:rsidRPr="004D48FC">
        <w:t>49.</w:t>
      </w:r>
      <w:r w:rsidRPr="004D48FC">
        <w:tab/>
        <w:t>Учитывая вышеизложенное, Комитет пришел к выводу, что Руководство применимо к продлению срока службы энергоблоков №</w:t>
      </w:r>
      <w:r w:rsidR="002D4F06">
        <w:t>№ </w:t>
      </w:r>
      <w:r w:rsidRPr="004D48FC">
        <w:t>1–4 АЭС «Дукованы», поскольку эта деятельность связана с конкретной ситуацией, описанной в главе II раздела С Руководства, а именно с ситуацией 1 в пункте 25 (действие ограниченной по срокам лицензии истекло, однако планируется продолжать эксплуатацию станции).</w:t>
      </w:r>
    </w:p>
    <w:p w14:paraId="0F2AA381" w14:textId="005C08FA" w:rsidR="004D48FC" w:rsidRPr="004D48FC" w:rsidRDefault="001D1AAB" w:rsidP="001D1AAB">
      <w:pPr>
        <w:pStyle w:val="H23G"/>
      </w:pPr>
      <w:r>
        <w:tab/>
      </w:r>
      <w:r w:rsidR="004D48FC" w:rsidRPr="004D48FC">
        <w:t>1.2.</w:t>
      </w:r>
      <w:r w:rsidR="004D48FC" w:rsidRPr="004D48FC">
        <w:tab/>
        <w:t>Существенное изменение в деятельности (пункт v) статьи 1 и пункт 2 b) добавления I к Конвенции)</w:t>
      </w:r>
    </w:p>
    <w:p w14:paraId="71CF3885" w14:textId="77777777" w:rsidR="004D48FC" w:rsidRPr="004D48FC" w:rsidRDefault="004D48FC" w:rsidP="004D48FC">
      <w:pPr>
        <w:pStyle w:val="SingleTxtG"/>
      </w:pPr>
      <w:r w:rsidRPr="004D48FC">
        <w:t>50.</w:t>
      </w:r>
      <w:r w:rsidRPr="004D48FC">
        <w:tab/>
        <w:t>Комитет принял к сведению мнение Чехии о том, что продление срока службы находилось вне сферы применения Конвенции. При этом Комитет сослался на свое ранее высказанное мнении о том, что пункт 2 b) добавления I охватывает продолжение эксплуатации за пределами первоначально установленного срока службы атомного реактора</w:t>
      </w:r>
      <w:r w:rsidRPr="004D48FC">
        <w:rPr>
          <w:sz w:val="18"/>
          <w:vertAlign w:val="superscript"/>
        </w:rPr>
        <w:footnoteReference w:id="31"/>
      </w:r>
      <w:r w:rsidRPr="004D48FC">
        <w:rPr>
          <w:sz w:val="18"/>
        </w:rPr>
        <w:t>.</w:t>
      </w:r>
      <w:r w:rsidRPr="004D48FC">
        <w:t xml:space="preserve"> Он также принял к сведению вывод в Руководстве, одобренном Совещанием Сторон, о том, что «продление срока службы должно рассматриваться как подпадающее под действие Конвенции, даже если оно прямо не указано в перечне видов деятельности»</w:t>
      </w:r>
      <w:r w:rsidRPr="004D48FC">
        <w:rPr>
          <w:sz w:val="18"/>
          <w:vertAlign w:val="superscript"/>
        </w:rPr>
        <w:footnoteReference w:id="32"/>
      </w:r>
      <w:r w:rsidRPr="004D48FC">
        <w:rPr>
          <w:sz w:val="18"/>
        </w:rPr>
        <w:t>.</w:t>
      </w:r>
    </w:p>
    <w:p w14:paraId="35B82A0C" w14:textId="357464B6" w:rsidR="004D48FC" w:rsidRPr="004D48FC" w:rsidRDefault="004D48FC" w:rsidP="004D48FC">
      <w:pPr>
        <w:pStyle w:val="SingleTxtG"/>
      </w:pPr>
      <w:r w:rsidRPr="004D48FC">
        <w:t>51.</w:t>
      </w:r>
      <w:r w:rsidRPr="004D48FC">
        <w:tab/>
        <w:t>Комитет также принял к сведению мнение Чехии о том, что продление лицензий на энергоблоки №</w:t>
      </w:r>
      <w:r w:rsidR="002D4F06">
        <w:t>№ </w:t>
      </w:r>
      <w:r w:rsidRPr="004D48FC">
        <w:t>1–4 АЭС «Дукованы» и инвестиционный проект по долгосрочной эксплуатации этих четырех энергоблоков не являются ни новым видом деятельности, ни «существенным изменением» в той или иной деятельности согласно пункту v) статьи 1 Конвенции.</w:t>
      </w:r>
    </w:p>
    <w:p w14:paraId="7531DF34" w14:textId="77777777" w:rsidR="004D48FC" w:rsidRPr="004D48FC" w:rsidRDefault="004D48FC" w:rsidP="004D48FC">
      <w:pPr>
        <w:pStyle w:val="SingleTxtG"/>
      </w:pPr>
      <w:r w:rsidRPr="004D48FC">
        <w:t>52.</w:t>
      </w:r>
      <w:r w:rsidRPr="004D48FC">
        <w:tab/>
        <w:t xml:space="preserve">В отношении толкования термина «существенное изменение» Чехия утверждает, что Стороны Конвенции обладают свободой действий при выполнении обязательства по Конвенции и определении того, является ли предлагаемое изменение вида деятельности существенным или нет. Комитет согласился с тем, что Конвенция </w:t>
      </w:r>
      <w:r w:rsidRPr="004D48FC">
        <w:lastRenderedPageBreak/>
        <w:t>предоставляет своим Сторонам гибкость в способах выполнения их обязательств, но подчеркнул, что такая практика выполнения должна оставаться в рамках обязательств по Конвенции и их толкования</w:t>
      </w:r>
      <w:r w:rsidRPr="004D48FC">
        <w:rPr>
          <w:sz w:val="18"/>
          <w:vertAlign w:val="superscript"/>
        </w:rPr>
        <w:footnoteReference w:id="33"/>
      </w:r>
      <w:r w:rsidRPr="004D48FC">
        <w:rPr>
          <w:sz w:val="18"/>
        </w:rPr>
        <w:t>.</w:t>
      </w:r>
      <w:r w:rsidRPr="004D48FC">
        <w:t xml:space="preserve"> В соответствии с пунктом 3 b) статьи 31 Венской конвенции о праве международных договоров одобрение Руководства Совещанием Сторон может считаться последующей практикой Сторон в связи с толкованием Конвенции.</w:t>
      </w:r>
    </w:p>
    <w:p w14:paraId="154CCDB9" w14:textId="2F30FA17" w:rsidR="004D48FC" w:rsidRPr="004D48FC" w:rsidRDefault="004D48FC" w:rsidP="004D48FC">
      <w:pPr>
        <w:pStyle w:val="SingleTxtG"/>
      </w:pPr>
      <w:r w:rsidRPr="004D48FC">
        <w:t>53.</w:t>
      </w:r>
      <w:r w:rsidRPr="004D48FC">
        <w:tab/>
        <w:t>Согласно информации, предоставленной Комитету, Чехия осуществила несколько изменений в целях долгосрочной эксплуатации данного объекта, включая замену, модификацию и реконструкцию зданий, систем и узлов, а также модификацию условий эксплуатации, технического обслуживания и ремонта в связи с долгосрочной эксплуатацией. Комитет принял к сведению мнение Чехии о том, что никакие технические усовершенствования и модификации, осуществленные за последние</w:t>
      </w:r>
      <w:r w:rsidR="001D1AAB">
        <w:t xml:space="preserve"> </w:t>
      </w:r>
      <w:r w:rsidR="002D4F06">
        <w:t>год</w:t>
      </w:r>
      <w:r w:rsidRPr="004D48FC">
        <w:t>ы (см. пункт 31 выше), не квалифицируются как «существенное изменение» в соответствии с Конвенцией.</w:t>
      </w:r>
    </w:p>
    <w:p w14:paraId="3E7CE130" w14:textId="6C22D760" w:rsidR="004D48FC" w:rsidRPr="004D48FC" w:rsidRDefault="004D48FC" w:rsidP="004D48FC">
      <w:pPr>
        <w:pStyle w:val="SingleTxtG"/>
      </w:pPr>
      <w:r w:rsidRPr="004D48FC">
        <w:t>54.</w:t>
      </w:r>
      <w:r w:rsidRPr="004D48FC">
        <w:tab/>
        <w:t>Комитет вновь выразил мнение о том, что при принятии компетентным органом решения о применимости Конвенции должны учитываться все физические работы и изменения условий эксплуатации. Они не должны ограничиваться работами и модификациями, видоизменяющими конструкцию и изменяющими технологию производственного процесса или нормальной эксплуатации</w:t>
      </w:r>
      <w:r w:rsidRPr="004D48FC">
        <w:rPr>
          <w:sz w:val="18"/>
          <w:vertAlign w:val="superscript"/>
        </w:rPr>
        <w:footnoteReference w:id="34"/>
      </w:r>
      <w:r w:rsidRPr="004D48FC">
        <w:rPr>
          <w:sz w:val="18"/>
        </w:rPr>
        <w:t>.</w:t>
      </w:r>
      <w:r w:rsidRPr="004D48FC">
        <w:t xml:space="preserve"> Он дополнительно пояснил, что физические работы не ограничиваются строительством новых зданий. Следовательно, деятельность по модернизации, модификации и замене конструкций, систем и узлов энергоблоков №</w:t>
      </w:r>
      <w:r w:rsidR="002D4F06">
        <w:t>№ </w:t>
      </w:r>
      <w:r w:rsidRPr="004D48FC">
        <w:t>1–4 АЭС «Дукованы» рассматривалась как физические работы.</w:t>
      </w:r>
    </w:p>
    <w:p w14:paraId="57D7C401" w14:textId="5D873B9C" w:rsidR="004D48FC" w:rsidRPr="004D48FC" w:rsidRDefault="004D48FC" w:rsidP="004D48FC">
      <w:pPr>
        <w:pStyle w:val="SingleTxtG"/>
      </w:pPr>
      <w:r w:rsidRPr="004D48FC">
        <w:t>55.</w:t>
      </w:r>
      <w:r w:rsidRPr="004D48FC">
        <w:tab/>
        <w:t>Кроме того, Комитет повторно выразил свое мнение о том, что, принимая во внимание продолжительность продленной эксплуатации энергоблоков, объем и масштаб работ и модификаций имеют меньшее значение</w:t>
      </w:r>
      <w:r w:rsidRPr="004D48FC">
        <w:rPr>
          <w:sz w:val="18"/>
          <w:vertAlign w:val="superscript"/>
        </w:rPr>
        <w:footnoteReference w:id="35"/>
      </w:r>
      <w:r w:rsidRPr="004D48FC">
        <w:rPr>
          <w:sz w:val="18"/>
        </w:rPr>
        <w:t>.</w:t>
      </w:r>
      <w:r w:rsidR="002D4F06">
        <w:t xml:space="preserve"> </w:t>
      </w:r>
      <w:r w:rsidRPr="004D48FC">
        <w:t>В качестве пояснения он ссылается на Руководство, в котором срок продления службы рассматривается как один из факторов, указывающих на то, что физические изменения или модификации в условиях эксплуатации меньшего масштаба могут представлять собой существенные изменения</w:t>
      </w:r>
      <w:r w:rsidRPr="004D48FC">
        <w:rPr>
          <w:sz w:val="18"/>
          <w:vertAlign w:val="superscript"/>
        </w:rPr>
        <w:footnoteReference w:id="36"/>
      </w:r>
      <w:r w:rsidRPr="004D48FC">
        <w:rPr>
          <w:sz w:val="18"/>
        </w:rPr>
        <w:t>.</w:t>
      </w:r>
      <w:r w:rsidRPr="004D48FC">
        <w:t xml:space="preserve"> В то время как ввиду особенностей системы выдачи лицензий в Чехии эта страна заменила лицензии на энергоблоки №</w:t>
      </w:r>
      <w:r w:rsidR="002D4F06">
        <w:t>№ </w:t>
      </w:r>
      <w:r w:rsidRPr="004D48FC">
        <w:t>1–4 АЭС «Дукованы» на бессрочные, сделанные инвестиции были предназначены для подготовки энергоблоков к эксплуатации в течение еще 30–40 лет или даже дольше.</w:t>
      </w:r>
    </w:p>
    <w:p w14:paraId="0B8744D7" w14:textId="36D9736C" w:rsidR="004D48FC" w:rsidRPr="004D48FC" w:rsidRDefault="004D48FC" w:rsidP="004D48FC">
      <w:pPr>
        <w:pStyle w:val="SingleTxtG"/>
      </w:pPr>
      <w:r w:rsidRPr="004D48FC">
        <w:t>56.</w:t>
      </w:r>
      <w:r w:rsidRPr="004D48FC">
        <w:tab/>
        <w:t>Комитет посчитал, что, учитывая также предполагаемый срок эксплуатации в течение еще 30–40 лет, эти изменения на сумму инвестиционных расходов не менее 160 млн евро (см. п</w:t>
      </w:r>
      <w:r w:rsidR="001D1AAB">
        <w:t>ункт</w:t>
      </w:r>
      <w:r w:rsidRPr="004D48FC">
        <w:t xml:space="preserve"> 31 выше), а потенциально до 560 млн евро (см. п</w:t>
      </w:r>
      <w:r w:rsidR="001D1AAB">
        <w:t>ункт</w:t>
      </w:r>
      <w:r w:rsidRPr="004D48FC">
        <w:t xml:space="preserve"> 18 выше), включая физические работы на АЭС и изменения условий эксплуатации меньшего масштаба, если рассматривать их в целом, указывают на существенное изменение.</w:t>
      </w:r>
    </w:p>
    <w:p w14:paraId="5F68A3DA" w14:textId="77777777" w:rsidR="004D48FC" w:rsidRPr="004D48FC" w:rsidRDefault="004D48FC" w:rsidP="004D48FC">
      <w:pPr>
        <w:pStyle w:val="SingleTxtG"/>
      </w:pPr>
      <w:r w:rsidRPr="004D48FC">
        <w:t>57.</w:t>
      </w:r>
      <w:r w:rsidRPr="004D48FC">
        <w:tab/>
        <w:t>Учитывая содержащееся в Руководстве утверждение о том, что изменения, на которые распространяется существующее разрешение на деятельность, не влекут за собой применение Конвенции</w:t>
      </w:r>
      <w:r w:rsidRPr="004D48FC">
        <w:rPr>
          <w:sz w:val="18"/>
          <w:vertAlign w:val="superscript"/>
        </w:rPr>
        <w:footnoteReference w:id="37"/>
      </w:r>
      <w:r w:rsidRPr="004D48FC">
        <w:rPr>
          <w:sz w:val="18"/>
        </w:rPr>
        <w:t>,</w:t>
      </w:r>
      <w:r w:rsidRPr="004D48FC">
        <w:t xml:space="preserve"> Комитет пришел к выводу, что такие изменения сами по себе, как правило, не приводят к проведению оценки трансграничного воздействия на окружающую среду. Однако изменения, нацеленные на выполнение требований довольно общей лицензии, или изменения, запрошенные для подготовки к продлению лицензии, могут иметь значение при решении вопроса о том, являются ли физические работы или модификации в условиях эксплуатации существенным изменением.</w:t>
      </w:r>
    </w:p>
    <w:p w14:paraId="4C62C16E" w14:textId="529A9B0E" w:rsidR="004D48FC" w:rsidRPr="004D48FC" w:rsidRDefault="004D48FC" w:rsidP="004D48FC">
      <w:pPr>
        <w:pStyle w:val="SingleTxtG"/>
      </w:pPr>
      <w:r w:rsidRPr="004D48FC">
        <w:lastRenderedPageBreak/>
        <w:t>58.</w:t>
      </w:r>
      <w:r w:rsidRPr="004D48FC">
        <w:tab/>
        <w:t>Далее Комитет рассмотрел содержащееся в Руководстве утверждение о том, что физические работы, выполняемые в рамках периодического технического обслуживания или управления процессом старения, как правило, не считаются существенными изменениями</w:t>
      </w:r>
      <w:r w:rsidRPr="004D48FC">
        <w:rPr>
          <w:sz w:val="18"/>
          <w:vertAlign w:val="superscript"/>
        </w:rPr>
        <w:footnoteReference w:id="38"/>
      </w:r>
      <w:r w:rsidRPr="004D48FC">
        <w:rPr>
          <w:sz w:val="18"/>
        </w:rPr>
        <w:t>.</w:t>
      </w:r>
      <w:r w:rsidRPr="004D48FC">
        <w:t xml:space="preserve"> Он отметил, что в течение всего срока службы АЭС</w:t>
      </w:r>
      <w:r w:rsidR="002D4F06">
        <w:t xml:space="preserve"> </w:t>
      </w:r>
      <w:r w:rsidRPr="004D48FC">
        <w:t xml:space="preserve">постоянно проходят поэтапные проверки безопасности и модернизацию. Он установил, что соответствующие физические работы должны рассматриваться </w:t>
      </w:r>
      <w:r w:rsidR="00B75D9D">
        <w:br/>
      </w:r>
      <w:r w:rsidRPr="004D48FC">
        <w:t>по-разному в зависимости от времени их проведения. Физические работы, проведенные в начале срока эксплуатации, имеют меньшее значение, тогда как физические работы, проведенные ближе к концу срока службы АЭС, необходимо учитывать при принятии решения о применимости Конвенции к продлению срока службы, даже если они были частью периодического технического обслуживания или управления процессом старения. Комитет принял во внимание тот факт, что работы и изменения были проведены к концу срока службы энергоблоков №</w:t>
      </w:r>
      <w:r w:rsidR="002D4F06">
        <w:t>№ </w:t>
      </w:r>
      <w:r w:rsidRPr="004D48FC">
        <w:t xml:space="preserve">1–4 с целью поддержания безопасности и работоспособности АЭС в соответствии с требованиями законодательства. </w:t>
      </w:r>
    </w:p>
    <w:p w14:paraId="03A36DA2" w14:textId="2A8606BC" w:rsidR="004D48FC" w:rsidRPr="004D48FC" w:rsidRDefault="004D48FC" w:rsidP="004D48FC">
      <w:pPr>
        <w:pStyle w:val="SingleTxtG"/>
      </w:pPr>
      <w:r w:rsidRPr="004D48FC">
        <w:t>59.</w:t>
      </w:r>
      <w:r w:rsidRPr="004D48FC">
        <w:tab/>
        <w:t>В свете вышеизложенного и учитывая также толкование, представленное в Руководстве, согласно которому даже физические работы или изменения в условиях эксплуатации меньшего масштаба могут представлять собой существенное изменение</w:t>
      </w:r>
      <w:r w:rsidRPr="004D48FC">
        <w:rPr>
          <w:sz w:val="18"/>
          <w:vertAlign w:val="superscript"/>
        </w:rPr>
        <w:footnoteReference w:id="39"/>
      </w:r>
      <w:r w:rsidRPr="004D48FC">
        <w:rPr>
          <w:sz w:val="18"/>
        </w:rPr>
        <w:t>,</w:t>
      </w:r>
      <w:r w:rsidRPr="004D48FC">
        <w:t xml:space="preserve"> Комитет пришел к выводу, что эта деятельность представляет собой существенное изменение деятельности, указанной в добавлении I к Конвенции, и</w:t>
      </w:r>
      <w:r w:rsidR="001D1AAB">
        <w:t> </w:t>
      </w:r>
      <w:r w:rsidRPr="004D48FC">
        <w:t>поэтому подпадает под действие Конвенции.</w:t>
      </w:r>
    </w:p>
    <w:p w14:paraId="2FB19D12" w14:textId="5A44B0E9" w:rsidR="004D48FC" w:rsidRPr="004D48FC" w:rsidRDefault="001D1AAB" w:rsidP="001D1AAB">
      <w:pPr>
        <w:pStyle w:val="H23G"/>
      </w:pPr>
      <w:r>
        <w:tab/>
      </w:r>
      <w:r w:rsidR="004D48FC" w:rsidRPr="004D48FC">
        <w:t>1.3.</w:t>
      </w:r>
      <w:r w:rsidR="004D48FC" w:rsidRPr="004D48FC">
        <w:tab/>
        <w:t>Вероятное значительное вредное трансграничное воздействие</w:t>
      </w:r>
    </w:p>
    <w:p w14:paraId="4BE37E60" w14:textId="4D9F9AD9" w:rsidR="004D48FC" w:rsidRPr="004D48FC" w:rsidRDefault="004D48FC" w:rsidP="004D48FC">
      <w:pPr>
        <w:pStyle w:val="SingleTxtG"/>
      </w:pPr>
      <w:r w:rsidRPr="004D48FC">
        <w:t>60.</w:t>
      </w:r>
      <w:r w:rsidRPr="004D48FC">
        <w:tab/>
        <w:t>Комитет принял к сведению мнение Чехии о том, что долгосрочная эксплуатация энергоблоков №</w:t>
      </w:r>
      <w:r w:rsidR="002D4F06">
        <w:t>№ </w:t>
      </w:r>
      <w:r w:rsidRPr="004D48FC">
        <w:t>1–4 АЭС «Дукованы» не привела к изменению в вероятном значительном вредном трансграничном воздействии. Комитет напомнил о своем ранее сформулированном мнении относительно того, что при оценке вероятности значительного вредного трансграничного воздействия в ходе процедуры предварительной оценки</w:t>
      </w:r>
      <w:r w:rsidRPr="004D48FC">
        <w:rPr>
          <w:sz w:val="18"/>
          <w:vertAlign w:val="superscript"/>
        </w:rPr>
        <w:footnoteReference w:id="40"/>
      </w:r>
      <w:r w:rsidRPr="004D48FC">
        <w:rPr>
          <w:sz w:val="18"/>
        </w:rPr>
        <w:t xml:space="preserve"> </w:t>
      </w:r>
      <w:r w:rsidRPr="004D48FC">
        <w:t>учитываются все виды воздействия, а не только любые дополнительные виды воздействия по сравнению с теми, которые возникают в результате эксплуатации станции до продления срока службы</w:t>
      </w:r>
      <w:r w:rsidRPr="004D48FC">
        <w:rPr>
          <w:sz w:val="18"/>
          <w:vertAlign w:val="superscript"/>
        </w:rPr>
        <w:footnoteReference w:id="41"/>
      </w:r>
      <w:r w:rsidRPr="004D48FC">
        <w:rPr>
          <w:sz w:val="18"/>
        </w:rPr>
        <w:t>.</w:t>
      </w:r>
      <w:r w:rsidRPr="004D48FC">
        <w:t xml:space="preserve"> При формировании своего мнения Комитет учитывал Руководство, в котором говорится, что, «как правило, продление срока службы АЭС оказывает такое же воздействие, как и воздействие, рассматриваемое на начальном этапе эксплуатации новой АЭС»</w:t>
      </w:r>
      <w:r w:rsidRPr="004D48FC">
        <w:rPr>
          <w:sz w:val="18"/>
          <w:vertAlign w:val="superscript"/>
        </w:rPr>
        <w:footnoteReference w:id="42"/>
      </w:r>
      <w:r w:rsidRPr="004D48FC">
        <w:rPr>
          <w:sz w:val="18"/>
        </w:rPr>
        <w:t>.</w:t>
      </w:r>
    </w:p>
    <w:p w14:paraId="7174039C" w14:textId="77777777" w:rsidR="004D48FC" w:rsidRPr="004D48FC" w:rsidRDefault="004D48FC" w:rsidP="004D48FC">
      <w:pPr>
        <w:pStyle w:val="SingleTxtG"/>
      </w:pPr>
      <w:r w:rsidRPr="004D48FC">
        <w:t>61.</w:t>
      </w:r>
      <w:r w:rsidRPr="004D48FC">
        <w:tab/>
        <w:t>Комитет напомнил о своем ранее высказанном мнении относительно того, что необходимо учитывать не только воздействие, вызванное аварией, но и воздействие, вызванное деятельностью в ходе обычной эксплуатации</w:t>
      </w:r>
      <w:r w:rsidRPr="004D48FC">
        <w:rPr>
          <w:sz w:val="18"/>
          <w:vertAlign w:val="superscript"/>
        </w:rPr>
        <w:footnoteReference w:id="43"/>
      </w:r>
      <w:r w:rsidRPr="004D48FC">
        <w:rPr>
          <w:sz w:val="18"/>
        </w:rPr>
        <w:t>.</w:t>
      </w:r>
      <w:r w:rsidRPr="004D48FC">
        <w:t xml:space="preserve"> Комитет также посчитал, что в соответствии с Руководством необходимо определить воздействие, обусловленное режимами эксплуатации, включая нормальную эксплуатацию и ожидаемые нарушения режима нормальной эксплуатации, а также воздействие, обусловленное авариями, включая аварии в пределах оснований для проектирования и в </w:t>
      </w:r>
      <w:proofErr w:type="spellStart"/>
      <w:r w:rsidRPr="004D48FC">
        <w:t>запроектном</w:t>
      </w:r>
      <w:proofErr w:type="spellEnd"/>
      <w:r w:rsidRPr="004D48FC">
        <w:t xml:space="preserve"> режиме эксплуатации, а также </w:t>
      </w:r>
      <w:proofErr w:type="spellStart"/>
      <w:r w:rsidRPr="004D48FC">
        <w:t>запроектные</w:t>
      </w:r>
      <w:proofErr w:type="spellEnd"/>
      <w:r w:rsidRPr="004D48FC">
        <w:t xml:space="preserve"> аварии</w:t>
      </w:r>
      <w:r w:rsidRPr="004D48FC">
        <w:rPr>
          <w:sz w:val="18"/>
          <w:vertAlign w:val="superscript"/>
        </w:rPr>
        <w:footnoteReference w:id="44"/>
      </w:r>
      <w:r w:rsidRPr="004D48FC">
        <w:rPr>
          <w:sz w:val="18"/>
        </w:rPr>
        <w:t>.</w:t>
      </w:r>
      <w:r w:rsidRPr="004D48FC">
        <w:t xml:space="preserve"> </w:t>
      </w:r>
    </w:p>
    <w:p w14:paraId="0ABB769B" w14:textId="0210F2A2" w:rsidR="004D48FC" w:rsidRPr="004D48FC" w:rsidRDefault="004D48FC" w:rsidP="004D48FC">
      <w:pPr>
        <w:pStyle w:val="SingleTxtG"/>
      </w:pPr>
      <w:r w:rsidRPr="004D48FC">
        <w:t>62.</w:t>
      </w:r>
      <w:r w:rsidRPr="004D48FC">
        <w:tab/>
        <w:t xml:space="preserve">Комитет далее счел, что Чехия не продемонстрировала, что провела оценку вероятности значительного вредного трансграничного воздействия аварий в свете пункта 8 a) решения IS/1, в котором [Совещание Сторон Конвенции] «обращает особое </w:t>
      </w:r>
      <w:r w:rsidRPr="004D48FC">
        <w:lastRenderedPageBreak/>
        <w:t xml:space="preserve">внимание на то, что Сторонам Конвенции, осуществляющим деятельность, связанную с атомной энергетикой, следует делать это в соответствии с Конвенцией, на устойчивой основе, принимая во внимание принцип предосторожности и принцип </w:t>
      </w:r>
      <w:r w:rsidR="004F27A8">
        <w:t>"</w:t>
      </w:r>
      <w:r w:rsidRPr="004D48FC">
        <w:t>загрязнитель платит</w:t>
      </w:r>
      <w:r w:rsidR="004F27A8">
        <w:t>"</w:t>
      </w:r>
      <w:r w:rsidRPr="004D48FC">
        <w:t>, а также с соблюдением международных стандартов ядерной безопасности и соответствующего природоохранного законодательства»</w:t>
      </w:r>
      <w:r w:rsidRPr="004D48FC">
        <w:rPr>
          <w:sz w:val="18"/>
          <w:vertAlign w:val="superscript"/>
        </w:rPr>
        <w:footnoteReference w:id="45"/>
      </w:r>
      <w:r w:rsidRPr="004D48FC">
        <w:rPr>
          <w:sz w:val="18"/>
        </w:rPr>
        <w:t>.</w:t>
      </w:r>
      <w:r w:rsidRPr="004D48FC">
        <w:t xml:space="preserve"> Комитет принял к сведению, что Чехия считает, что выполнила соответствующие требования международных договоров по ядерной безопасности при проведении оценки вероятности аварий и что соблюдение таких требований выходит за пределы сферы действия Конвенции. </w:t>
      </w:r>
    </w:p>
    <w:p w14:paraId="54C1C065" w14:textId="77777777" w:rsidR="004D48FC" w:rsidRPr="004D48FC" w:rsidRDefault="004D48FC" w:rsidP="004D48FC">
      <w:pPr>
        <w:pStyle w:val="SingleTxtG"/>
      </w:pPr>
      <w:r w:rsidRPr="004D48FC">
        <w:t>63.</w:t>
      </w:r>
      <w:r w:rsidRPr="004D48FC">
        <w:tab/>
        <w:t xml:space="preserve">В заключение Комитет подтвердил свое мнение о том, что если на АЭС произойдут аварии, особенно </w:t>
      </w:r>
      <w:proofErr w:type="spellStart"/>
      <w:r w:rsidRPr="004D48FC">
        <w:t>запроектные</w:t>
      </w:r>
      <w:proofErr w:type="spellEnd"/>
      <w:r w:rsidRPr="004D48FC">
        <w:t xml:space="preserve"> аварии, то вероятность значительного вредного трансграничного воздействия может быть очень высокой, в частности для Сторон, расположенных в непосредственной близости от АЭС, а также для других Сторон, расположенных дальше</w:t>
      </w:r>
      <w:r w:rsidRPr="004D48FC">
        <w:rPr>
          <w:sz w:val="18"/>
          <w:vertAlign w:val="superscript"/>
        </w:rPr>
        <w:footnoteReference w:id="46"/>
      </w:r>
      <w:r w:rsidRPr="004D48FC">
        <w:rPr>
          <w:sz w:val="18"/>
        </w:rPr>
        <w:t>.</w:t>
      </w:r>
      <w:r w:rsidRPr="004D48FC">
        <w:t xml:space="preserve"> В свете имеющегося опыта очень редких, но серьезных аварий, происходивших на АЭС в прошлом, Комитет посчитал, что расстояние от места осуществления данной деятельности в 32 км от границы с Австрией, 173 км от границы с Германией, 119 км от границы с Польшей и 72 км от границы со Словакией недостаточно, чтобы исключить возможность возникновения значительного вредного трансграничного воздействия рассматриваемой деятельности на окружающую среду этих Сторон. </w:t>
      </w:r>
    </w:p>
    <w:p w14:paraId="27FEC35A" w14:textId="77777777" w:rsidR="004D48FC" w:rsidRPr="004D48FC" w:rsidRDefault="004D48FC" w:rsidP="004D48FC">
      <w:pPr>
        <w:pStyle w:val="SingleTxtG"/>
      </w:pPr>
      <w:r w:rsidRPr="004D48FC">
        <w:t>64.</w:t>
      </w:r>
      <w:r w:rsidRPr="004D48FC">
        <w:tab/>
        <w:t xml:space="preserve">В свете вышеизложенного Комитет пришел к выводу, что при подготовке энергоблоков к долгосрочной эксплуатации Чехия не выявила все виды вероятного значительного трансграничного воздействия планируемой деятельности. </w:t>
      </w:r>
    </w:p>
    <w:p w14:paraId="7399134E" w14:textId="5DE659E4" w:rsidR="004D48FC" w:rsidRPr="004D48FC" w:rsidRDefault="001D1AAB" w:rsidP="001D1AAB">
      <w:pPr>
        <w:pStyle w:val="H23G"/>
      </w:pPr>
      <w:r>
        <w:tab/>
      </w:r>
      <w:r w:rsidR="004D48FC" w:rsidRPr="004D48FC">
        <w:t>2.</w:t>
      </w:r>
      <w:r w:rsidR="004D48FC" w:rsidRPr="004D48FC">
        <w:tab/>
        <w:t xml:space="preserve">Требование о проведении оценки воздействия на окружающую среду </w:t>
      </w:r>
      <w:r>
        <w:br/>
      </w:r>
      <w:r w:rsidR="004D48FC" w:rsidRPr="004D48FC">
        <w:t>(пункт 3 статьи 2)</w:t>
      </w:r>
    </w:p>
    <w:p w14:paraId="52869FB4" w14:textId="53C89F78" w:rsidR="004D48FC" w:rsidRPr="004D48FC" w:rsidRDefault="004D48FC" w:rsidP="004D48FC">
      <w:pPr>
        <w:pStyle w:val="SingleTxtG"/>
      </w:pPr>
      <w:r w:rsidRPr="004D48FC">
        <w:t>65.</w:t>
      </w:r>
      <w:r w:rsidRPr="004D48FC">
        <w:tab/>
        <w:t xml:space="preserve">Комитет отметил, что, поскольку энергоблоки </w:t>
      </w:r>
      <w:r w:rsidR="002D4F06">
        <w:t>№</w:t>
      </w:r>
      <w:r w:rsidR="00B75D9D">
        <w:t>№</w:t>
      </w:r>
      <w:r w:rsidR="002D4F06">
        <w:t> </w:t>
      </w:r>
      <w:r w:rsidRPr="004D48FC">
        <w:t>1 и 2 АЭС «Дукованы» находились в эксплуатации соответственно с 1985 и 1986</w:t>
      </w:r>
      <w:r w:rsidR="002D4F06">
        <w:t> год</w:t>
      </w:r>
      <w:r w:rsidRPr="004D48FC">
        <w:t xml:space="preserve">ов, а энергоблоки </w:t>
      </w:r>
      <w:r w:rsidR="002D4F06">
        <w:t>№ </w:t>
      </w:r>
      <w:r w:rsidRPr="004D48FC">
        <w:t xml:space="preserve">3 </w:t>
      </w:r>
      <w:r w:rsidR="00B75D9D">
        <w:br/>
      </w:r>
      <w:r w:rsidRPr="004D48FC">
        <w:t xml:space="preserve">и </w:t>
      </w:r>
      <w:r w:rsidR="002D4F06">
        <w:t>№ </w:t>
      </w:r>
      <w:r w:rsidRPr="004D48FC">
        <w:t>4</w:t>
      </w:r>
      <w:r w:rsidR="002D4F06">
        <w:t xml:space="preserve"> — </w:t>
      </w:r>
      <w:r w:rsidRPr="004D48FC">
        <w:t>с 1987</w:t>
      </w:r>
      <w:r w:rsidR="002D4F06">
        <w:t> год</w:t>
      </w:r>
      <w:r w:rsidRPr="004D48FC">
        <w:t>а, т.</w:t>
      </w:r>
      <w:r w:rsidR="001D1AAB">
        <w:t> </w:t>
      </w:r>
      <w:r w:rsidRPr="004D48FC">
        <w:t xml:space="preserve">е. до появления Конвенции, к первоначальным лицензиям Конвенция не применялась. </w:t>
      </w:r>
    </w:p>
    <w:p w14:paraId="11A9ACB6" w14:textId="77777777" w:rsidR="004D48FC" w:rsidRPr="004D48FC" w:rsidRDefault="004D48FC" w:rsidP="004D48FC">
      <w:pPr>
        <w:pStyle w:val="SingleTxtG"/>
      </w:pPr>
      <w:r w:rsidRPr="004D48FC">
        <w:t>66.</w:t>
      </w:r>
      <w:r w:rsidRPr="004D48FC">
        <w:tab/>
        <w:t xml:space="preserve">На основании имеющейся у него информации Комитет отметил, что до выдачи первоначальных лицензий или лицензий на продление срока службы процедуры оценки воздействия на окружающую среду не проводились. </w:t>
      </w:r>
    </w:p>
    <w:p w14:paraId="3553804F" w14:textId="494636F7" w:rsidR="004D48FC" w:rsidRPr="004D48FC" w:rsidRDefault="004D48FC" w:rsidP="004D48FC">
      <w:pPr>
        <w:pStyle w:val="SingleTxtG"/>
      </w:pPr>
      <w:r w:rsidRPr="004D48FC">
        <w:t>67.</w:t>
      </w:r>
      <w:r w:rsidRPr="004D48FC">
        <w:tab/>
        <w:t>Комитет также принял к сведению информацию Чехии о том, что общественности не была предоставлена возможность участвовать в соответствующих процедурах принятия решений, поскольку деятельность по продлению срока службы энергоблоков №</w:t>
      </w:r>
      <w:r w:rsidR="002D4F06">
        <w:t>№ </w:t>
      </w:r>
      <w:r w:rsidRPr="004D48FC">
        <w:t>1–4 АЭС «Дукованы» не была признана подпадающей под действие законодательства, которым осуществляется Конвенция</w:t>
      </w:r>
      <w:r w:rsidRPr="004D48FC">
        <w:rPr>
          <w:sz w:val="18"/>
          <w:vertAlign w:val="superscript"/>
        </w:rPr>
        <w:footnoteReference w:id="47"/>
      </w:r>
      <w:r w:rsidRPr="004D48FC">
        <w:rPr>
          <w:sz w:val="18"/>
        </w:rPr>
        <w:t>.</w:t>
      </w:r>
    </w:p>
    <w:p w14:paraId="5F6E2765" w14:textId="0BFDD6DA" w:rsidR="004D48FC" w:rsidRPr="004D48FC" w:rsidRDefault="004D48FC" w:rsidP="004D48FC">
      <w:pPr>
        <w:pStyle w:val="SingleTxtG"/>
      </w:pPr>
      <w:r w:rsidRPr="004D48FC">
        <w:t>68.</w:t>
      </w:r>
      <w:r w:rsidRPr="004D48FC">
        <w:tab/>
        <w:t>По данным Чехии, компетентные органы и оператор АЭС проинформировали ее общественность о планируемом продлении разрешений на эксплуатацию энергоблоков №</w:t>
      </w:r>
      <w:r w:rsidR="002D4F06">
        <w:t>№ </w:t>
      </w:r>
      <w:r w:rsidRPr="004D48FC">
        <w:t xml:space="preserve">1–4. Информация о выданных разрешениях и предстоящих процедурах по их выдаче широко распространялась через общенациональные и местные СМИ, а также через сайты государственных органов и самого оператора. </w:t>
      </w:r>
    </w:p>
    <w:p w14:paraId="1FEA3F96" w14:textId="2AF617FA" w:rsidR="004D48FC" w:rsidRPr="004D48FC" w:rsidRDefault="004D48FC" w:rsidP="004D48FC">
      <w:pPr>
        <w:pStyle w:val="SingleTxtG"/>
      </w:pPr>
      <w:r w:rsidRPr="004D48FC">
        <w:t>69.</w:t>
      </w:r>
      <w:r w:rsidRPr="004D48FC">
        <w:tab/>
        <w:t>Комитет далее принял к сведению мнение Чехии о том, что неприменение Конвенции к продлению срока службы энергоблоков №</w:t>
      </w:r>
      <w:r w:rsidR="002D4F06">
        <w:t>№ </w:t>
      </w:r>
      <w:r w:rsidRPr="004D48FC">
        <w:t>1–4 АЭС «Дукованы» было подтверждено и одобрено Конституционным судом Чехии в его постановлении от 8</w:t>
      </w:r>
      <w:r w:rsidR="001D1AAB">
        <w:t> </w:t>
      </w:r>
      <w:r w:rsidRPr="004D48FC">
        <w:t>сентября 2020</w:t>
      </w:r>
      <w:r w:rsidR="002D4F06">
        <w:t> год</w:t>
      </w:r>
      <w:r w:rsidRPr="004D48FC">
        <w:t>а на основании судебных выводов, вытекающих из постановления Верховного административного суда от 19 мая 2011</w:t>
      </w:r>
      <w:r w:rsidR="002D4F06">
        <w:t> год</w:t>
      </w:r>
      <w:r w:rsidRPr="004D48FC">
        <w:t>а</w:t>
      </w:r>
      <w:r w:rsidRPr="004D48FC">
        <w:rPr>
          <w:sz w:val="18"/>
          <w:vertAlign w:val="superscript"/>
        </w:rPr>
        <w:footnoteReference w:id="48"/>
      </w:r>
      <w:r w:rsidRPr="004D48FC">
        <w:rPr>
          <w:sz w:val="18"/>
        </w:rPr>
        <w:t>.</w:t>
      </w:r>
      <w:r w:rsidRPr="004D48FC">
        <w:t xml:space="preserve"> При этом Комитет отметил, что он не связан решениями национальных судов (см. также пункт 40 выше).</w:t>
      </w:r>
    </w:p>
    <w:p w14:paraId="78961490" w14:textId="77777777" w:rsidR="004D48FC" w:rsidRPr="004D48FC" w:rsidRDefault="004D48FC" w:rsidP="004D48FC">
      <w:pPr>
        <w:pStyle w:val="SingleTxtG"/>
      </w:pPr>
      <w:r w:rsidRPr="004D48FC">
        <w:lastRenderedPageBreak/>
        <w:t>70.</w:t>
      </w:r>
      <w:r w:rsidRPr="004D48FC">
        <w:tab/>
        <w:t>Комитет также принял к сведению довод Чехии о том, что воздействие долгосрочной эксплуатации уже было рассмотрено, проанализировано и представлено в существующем докладе об анализе безопасности, который был одобрен Государственным управлением по ядерной безопасности. Однако Комитет посчитал, что, несмотря на элементы дублирования, как правило, такая оценка ядерной безопасности несопоставима по объему с оценкой воздействия на окружающую среду. Это утверждение также относится к периодическим проверкам безопасности</w:t>
      </w:r>
      <w:r w:rsidRPr="004D48FC">
        <w:rPr>
          <w:sz w:val="18"/>
          <w:vertAlign w:val="superscript"/>
        </w:rPr>
        <w:footnoteReference w:id="49"/>
      </w:r>
      <w:r w:rsidRPr="004D48FC">
        <w:rPr>
          <w:sz w:val="18"/>
        </w:rPr>
        <w:t>.</w:t>
      </w:r>
    </w:p>
    <w:p w14:paraId="309FC58F" w14:textId="77777777" w:rsidR="004D48FC" w:rsidRPr="004D48FC" w:rsidRDefault="004D48FC" w:rsidP="004D48FC">
      <w:pPr>
        <w:pStyle w:val="SingleTxtG"/>
      </w:pPr>
      <w:r w:rsidRPr="004D48FC">
        <w:t>71.</w:t>
      </w:r>
      <w:r w:rsidRPr="004D48FC">
        <w:tab/>
        <w:t>В свете вышеизложенного Комитет пришел к выводу о том, что Чехия не выполнила требования пункта 3 статьи 2 Конвенции о проведении оценки воздействия на окружающую среду в трансграничном контексте до принятия решения о продлении сроков службы.</w:t>
      </w:r>
    </w:p>
    <w:p w14:paraId="7C6AD27E" w14:textId="55DCFF63" w:rsidR="004D48FC" w:rsidRPr="004D48FC" w:rsidRDefault="001D1AAB" w:rsidP="001D1AAB">
      <w:pPr>
        <w:pStyle w:val="H23G"/>
      </w:pPr>
      <w:r>
        <w:tab/>
      </w:r>
      <w:r w:rsidR="004D48FC" w:rsidRPr="004D48FC">
        <w:t>3.</w:t>
      </w:r>
      <w:r w:rsidR="004D48FC" w:rsidRPr="004D48FC">
        <w:tab/>
        <w:t xml:space="preserve">Требование об уведомлении потенциально затрагиваемых Сторон </w:t>
      </w:r>
      <w:r>
        <w:br/>
      </w:r>
      <w:r w:rsidR="004D48FC" w:rsidRPr="004D48FC">
        <w:t>(пункт 1 статьи 3)</w:t>
      </w:r>
    </w:p>
    <w:p w14:paraId="291A19EB" w14:textId="57C2874F" w:rsidR="004D48FC" w:rsidRPr="004D48FC" w:rsidRDefault="004D48FC" w:rsidP="004D48FC">
      <w:pPr>
        <w:pStyle w:val="SingleTxtG"/>
      </w:pPr>
      <w:r w:rsidRPr="004D48FC">
        <w:t>72.</w:t>
      </w:r>
      <w:r w:rsidRPr="004D48FC">
        <w:tab/>
        <w:t>Установив, что продление срока службы энергоблоков №</w:t>
      </w:r>
      <w:r w:rsidR="002D4F06">
        <w:t>№ </w:t>
      </w:r>
      <w:r w:rsidRPr="004D48FC">
        <w:t>1–4 АЭС «Дукованы» подпадает под действие Конвенции, Комитет счел, что Чехия должна была уведомить потенциально затрагиваемые Стороны в соответствии с пунктом 1 статьи 3 Конвенции.</w:t>
      </w:r>
    </w:p>
    <w:p w14:paraId="696126CF" w14:textId="5D441BEC" w:rsidR="004D48FC" w:rsidRPr="004D48FC" w:rsidRDefault="004D48FC" w:rsidP="004D48FC">
      <w:pPr>
        <w:pStyle w:val="SingleTxtG"/>
      </w:pPr>
      <w:r w:rsidRPr="004D48FC">
        <w:t>73.</w:t>
      </w:r>
      <w:r w:rsidRPr="004D48FC">
        <w:tab/>
        <w:t>Комитет отметил, что Чехия не уведомила Австрию и Германию о продлении срока службы энергоблоков №</w:t>
      </w:r>
      <w:r w:rsidR="002D4F06">
        <w:t>№ </w:t>
      </w:r>
      <w:r w:rsidRPr="004D48FC">
        <w:t>1–4 АЭС «Дукованы», несмотря на их соответствующие запросы в адрес Чехии в 2015</w:t>
      </w:r>
      <w:r w:rsidR="002D4F06">
        <w:t> год</w:t>
      </w:r>
      <w:r w:rsidRPr="004D48FC">
        <w:t>у (см. пункт 28 выше).</w:t>
      </w:r>
    </w:p>
    <w:p w14:paraId="4F1AB641" w14:textId="77777777" w:rsidR="004D48FC" w:rsidRPr="004D48FC" w:rsidRDefault="004D48FC" w:rsidP="004D48FC">
      <w:pPr>
        <w:pStyle w:val="SingleTxtG"/>
      </w:pPr>
      <w:r w:rsidRPr="004D48FC">
        <w:t>74.</w:t>
      </w:r>
      <w:r w:rsidRPr="004D48FC">
        <w:tab/>
        <w:t>Он также отметил, что Австрия и Германия предоставили информацию, демонстрирующую, что в случае серьезной аварии на АЭС «Дукованы» их территория может подвергнуться воздействию.</w:t>
      </w:r>
    </w:p>
    <w:p w14:paraId="4ECEBA66" w14:textId="77777777" w:rsidR="004D48FC" w:rsidRPr="004D48FC" w:rsidRDefault="004D48FC" w:rsidP="004D48FC">
      <w:pPr>
        <w:pStyle w:val="SingleTxtG"/>
      </w:pPr>
      <w:r w:rsidRPr="004D48FC">
        <w:t>75.</w:t>
      </w:r>
      <w:r w:rsidRPr="004D48FC">
        <w:tab/>
        <w:t xml:space="preserve">Комитет повторил свое ранее выраженное мнение, в котором он подчеркнул, что «в случае отсутствия уведомления, в особенности в отношении АЭС, если потенциально затрагиваемая Сторона считает, что значительного вредного трансграничного воздействия планируемой деятельности нельзя исключать, и выражает пожелание получить уведомление, Сторона происхождения должна применять Конвенцию. В этой ситуации </w:t>
      </w:r>
      <w:proofErr w:type="spellStart"/>
      <w:r w:rsidRPr="004D48FC">
        <w:t>неуведомление</w:t>
      </w:r>
      <w:proofErr w:type="spellEnd"/>
      <w:r w:rsidRPr="004D48FC">
        <w:t xml:space="preserve"> будет ущемлять право потенциально затрагиваемых Сторон и их общественности быть информированными и своевременно участвовать в процедуре оценки воздействия на окружающую среду»</w:t>
      </w:r>
      <w:r w:rsidRPr="004D48FC">
        <w:rPr>
          <w:sz w:val="18"/>
          <w:vertAlign w:val="superscript"/>
        </w:rPr>
        <w:footnoteReference w:id="50"/>
      </w:r>
      <w:r w:rsidRPr="004D48FC">
        <w:rPr>
          <w:sz w:val="18"/>
        </w:rPr>
        <w:t>.</w:t>
      </w:r>
    </w:p>
    <w:p w14:paraId="6BD1AC46" w14:textId="77777777" w:rsidR="004D48FC" w:rsidRPr="004D48FC" w:rsidRDefault="004D48FC" w:rsidP="004D48FC">
      <w:pPr>
        <w:pStyle w:val="SingleTxtG"/>
      </w:pPr>
      <w:r w:rsidRPr="004D48FC">
        <w:t>76.</w:t>
      </w:r>
      <w:r w:rsidRPr="004D48FC">
        <w:tab/>
        <w:t>Комитет обратил внимание на решение IS/1, согласно пункту 4 b) которого при оценке, для целей уведомления, того, какие Стороны могут быть затронуты указанной в добавлении I планируемой деятельностью, связанной с атомной энергетикой, Сторона происхождения должна проводить самый тщательный анализ, исходя из принципа предосторожности и на основе имеющихся научных данных</w:t>
      </w:r>
      <w:r w:rsidRPr="004D48FC">
        <w:rPr>
          <w:sz w:val="18"/>
          <w:vertAlign w:val="superscript"/>
        </w:rPr>
        <w:footnoteReference w:id="51"/>
      </w:r>
      <w:r w:rsidRPr="004D48FC">
        <w:rPr>
          <w:sz w:val="18"/>
        </w:rPr>
        <w:t>.</w:t>
      </w:r>
    </w:p>
    <w:p w14:paraId="65CAF5BC" w14:textId="64E72FE7" w:rsidR="004D48FC" w:rsidRPr="004D48FC" w:rsidRDefault="004D48FC" w:rsidP="004D48FC">
      <w:pPr>
        <w:pStyle w:val="SingleTxtG"/>
      </w:pPr>
      <w:r w:rsidRPr="004D48FC">
        <w:t>77.</w:t>
      </w:r>
      <w:r w:rsidRPr="004D48FC">
        <w:tab/>
        <w:t>Комитет также принял к сведению положение Руководства, согласно которому Стороне происхождения рекомендуется «принимать во внимание то, была ли соответствующая АЭС запланирована и построена до вступления Конвенции в силу, а</w:t>
      </w:r>
      <w:r w:rsidR="001D1AAB">
        <w:t> </w:t>
      </w:r>
      <w:r w:rsidRPr="004D48FC">
        <w:t>также тот факт, что восприятие риска может меняться с течением времени и варьироваться от Стороны к Стороне»</w:t>
      </w:r>
      <w:r w:rsidRPr="004D48FC">
        <w:rPr>
          <w:sz w:val="18"/>
          <w:vertAlign w:val="superscript"/>
        </w:rPr>
        <w:footnoteReference w:id="52"/>
      </w:r>
      <w:r w:rsidRPr="004D48FC">
        <w:rPr>
          <w:sz w:val="18"/>
        </w:rPr>
        <w:t>.</w:t>
      </w:r>
    </w:p>
    <w:p w14:paraId="36421453" w14:textId="77777777" w:rsidR="004D48FC" w:rsidRPr="004D48FC" w:rsidRDefault="004D48FC" w:rsidP="004D48FC">
      <w:pPr>
        <w:pStyle w:val="SingleTxtG"/>
      </w:pPr>
      <w:r w:rsidRPr="004D48FC">
        <w:t>78.</w:t>
      </w:r>
      <w:r w:rsidRPr="004D48FC">
        <w:tab/>
        <w:t xml:space="preserve">В заключение Комитет отметил, что в настоящее время ни одна из потенциально затрагиваемых Сторон не просила о проведении оценки трансграничного воздействия на окружающую среду через несколько лет после продления срока службы энергоблоков, но обе они просили, чтобы Чехия информировала их и консультировалась с ними относительно оценки воздействия на окружающую среду в </w:t>
      </w:r>
      <w:r w:rsidRPr="004D48FC">
        <w:lastRenderedPageBreak/>
        <w:t xml:space="preserve">случае любого продолжения эксплуатации энергоблоков АЭС в будущем в соответствии с положениями Конвенции. </w:t>
      </w:r>
    </w:p>
    <w:p w14:paraId="201284A1" w14:textId="00517A41" w:rsidR="004D48FC" w:rsidRPr="004D48FC" w:rsidRDefault="001D1AAB" w:rsidP="001D1AAB">
      <w:pPr>
        <w:pStyle w:val="H23G"/>
      </w:pPr>
      <w:r>
        <w:tab/>
      </w:r>
      <w:r w:rsidR="004D48FC" w:rsidRPr="004D48FC">
        <w:t>4.</w:t>
      </w:r>
      <w:r w:rsidR="004D48FC" w:rsidRPr="004D48FC">
        <w:tab/>
        <w:t>Уведомления о будущих продлениях срока службы</w:t>
      </w:r>
    </w:p>
    <w:p w14:paraId="0176CB1D" w14:textId="4CF972E6" w:rsidR="004D48FC" w:rsidRPr="004D48FC" w:rsidRDefault="004D48FC" w:rsidP="004D48FC">
      <w:pPr>
        <w:pStyle w:val="SingleTxtG"/>
      </w:pPr>
      <w:r w:rsidRPr="004D48FC">
        <w:t>79.</w:t>
      </w:r>
      <w:r w:rsidRPr="004D48FC">
        <w:tab/>
        <w:t>Комитет отметил, что Австрия и Германия выразили желание получать уведомления в соответствии со статьей 3 Конвенции о будущих продлениях срока службы, а также о любой деятельности, связанной с будущей периодической проверкой безопасности энергоблоков №</w:t>
      </w:r>
      <w:r w:rsidR="002D4F06">
        <w:t>№ </w:t>
      </w:r>
      <w:r w:rsidRPr="004D48FC">
        <w:t xml:space="preserve">1–4 АЭС «Дукованы», если таковая будет осуществляться. </w:t>
      </w:r>
    </w:p>
    <w:p w14:paraId="455ADAF8" w14:textId="0D3E4034" w:rsidR="004D48FC" w:rsidRPr="004D48FC" w:rsidRDefault="004D48FC" w:rsidP="004D48FC">
      <w:pPr>
        <w:pStyle w:val="SingleTxtG"/>
      </w:pPr>
      <w:r w:rsidRPr="004D48FC">
        <w:t>80.</w:t>
      </w:r>
      <w:r w:rsidRPr="004D48FC">
        <w:tab/>
        <w:t xml:space="preserve">В отношении продления срока службы энергоблоков </w:t>
      </w:r>
      <w:r w:rsidR="002D4F06">
        <w:t>№</w:t>
      </w:r>
      <w:r w:rsidR="001D1AAB">
        <w:t>№</w:t>
      </w:r>
      <w:r w:rsidR="002D4F06">
        <w:t> </w:t>
      </w:r>
      <w:r w:rsidRPr="004D48FC">
        <w:t>1 и 2, а также любой деятельности, связанной с периодической проверкой безопасности энергоблоков АЭС «</w:t>
      </w:r>
      <w:proofErr w:type="spellStart"/>
      <w:r w:rsidRPr="004D48FC">
        <w:t>Темелин</w:t>
      </w:r>
      <w:proofErr w:type="spellEnd"/>
      <w:r w:rsidRPr="004D48FC">
        <w:t>», Австрия и Германия просили уведомлять их соответствующим образом.</w:t>
      </w:r>
    </w:p>
    <w:p w14:paraId="498F4837" w14:textId="39DCDC39" w:rsidR="004D48FC" w:rsidRPr="004D48FC" w:rsidRDefault="004D48FC" w:rsidP="004D48FC">
      <w:pPr>
        <w:pStyle w:val="SingleTxtG"/>
      </w:pPr>
      <w:r w:rsidRPr="004D48FC">
        <w:t>81.</w:t>
      </w:r>
      <w:r w:rsidRPr="004D48FC">
        <w:tab/>
        <w:t>Комитет далее приветствовал обязательство, взятое Чехией на слушании 6 октября 2022</w:t>
      </w:r>
      <w:r w:rsidR="002D4F06">
        <w:t> год</w:t>
      </w:r>
      <w:r w:rsidRPr="004D48FC">
        <w:t>а, заранее уведомлять Австрию и Германию о будущих видах деятельности, связанных с продлением срока службы, а также о любой деятельности, связанной с периодическими проверками безопасности, в соответствии с пунктом 1 статьи 3 Конвенции.</w:t>
      </w:r>
    </w:p>
    <w:p w14:paraId="18D24F68" w14:textId="16ABD5F8" w:rsidR="004D48FC" w:rsidRPr="004D48FC" w:rsidRDefault="001D1AAB" w:rsidP="001D1AAB">
      <w:pPr>
        <w:pStyle w:val="HChG"/>
      </w:pPr>
      <w:r>
        <w:tab/>
      </w:r>
      <w:r w:rsidR="004D48FC" w:rsidRPr="004D48FC">
        <w:t>IV.</w:t>
      </w:r>
      <w:r w:rsidR="004D48FC" w:rsidRPr="004D48FC">
        <w:tab/>
        <w:t>Выводы</w:t>
      </w:r>
    </w:p>
    <w:p w14:paraId="573D120F" w14:textId="77777777" w:rsidR="004D48FC" w:rsidRPr="004D48FC" w:rsidRDefault="004D48FC" w:rsidP="004D48FC">
      <w:pPr>
        <w:pStyle w:val="SingleTxtG"/>
      </w:pPr>
      <w:r w:rsidRPr="004D48FC">
        <w:t>82.</w:t>
      </w:r>
      <w:r w:rsidRPr="004D48FC">
        <w:tab/>
        <w:t>Рассмотрев вышеизложенное, Комитет принимает следующие выводы с целью доведения их до сведения Совещания Сторон для официального принятия в соответствии с пунктом 13 добавления к решению III/2 (ECE/MP.EIA/6).</w:t>
      </w:r>
    </w:p>
    <w:p w14:paraId="5CEABC03" w14:textId="53A243A8" w:rsidR="004D48FC" w:rsidRPr="004D48FC" w:rsidRDefault="001D1AAB" w:rsidP="001D1AAB">
      <w:pPr>
        <w:pStyle w:val="H1G"/>
      </w:pPr>
      <w:r>
        <w:tab/>
      </w:r>
      <w:r w:rsidR="004D48FC" w:rsidRPr="004D48FC">
        <w:t>A.</w:t>
      </w:r>
      <w:r w:rsidR="004D48FC" w:rsidRPr="004D48FC">
        <w:tab/>
        <w:t xml:space="preserve">Применение Конвенции </w:t>
      </w:r>
    </w:p>
    <w:p w14:paraId="343BB4E1" w14:textId="65E795A3" w:rsidR="004D48FC" w:rsidRPr="004D48FC" w:rsidRDefault="004D48FC" w:rsidP="004D48FC">
      <w:pPr>
        <w:pStyle w:val="SingleTxtG"/>
      </w:pPr>
      <w:r w:rsidRPr="004D48FC">
        <w:t>83.</w:t>
      </w:r>
      <w:r w:rsidRPr="004D48FC">
        <w:tab/>
        <w:t>Комитет считает, что деятельность, осуществленная для продления срока службы энергоблоков №</w:t>
      </w:r>
      <w:r w:rsidR="002D4F06">
        <w:t>№ </w:t>
      </w:r>
      <w:r w:rsidRPr="004D48FC">
        <w:t xml:space="preserve">1–4 АЭС «Дукованы», а именно продление лицензий в </w:t>
      </w:r>
      <w:r w:rsidR="00DA08C1">
        <w:br/>
      </w:r>
      <w:r w:rsidRPr="004D48FC">
        <w:t>2016 и 2017</w:t>
      </w:r>
      <w:r w:rsidR="002D4F06">
        <w:t> год</w:t>
      </w:r>
      <w:r w:rsidRPr="004D48FC">
        <w:t>ах</w:t>
      </w:r>
      <w:r w:rsidR="00DA08C1">
        <w:t>,</w:t>
      </w:r>
      <w:r w:rsidRPr="004D48FC">
        <w:t xml:space="preserve"> и подготовка к долгосрочной эксплуатации этих энергоблоков представляет собой существенное изменение вида деятельности, включенного в перечень в добавлении I к Конвенции.</w:t>
      </w:r>
    </w:p>
    <w:p w14:paraId="7196E3E4" w14:textId="31530D06" w:rsidR="004D48FC" w:rsidRPr="004D48FC" w:rsidRDefault="004D48FC" w:rsidP="004D48FC">
      <w:pPr>
        <w:pStyle w:val="SingleTxtG"/>
      </w:pPr>
      <w:r w:rsidRPr="004D48FC">
        <w:t>84.</w:t>
      </w:r>
      <w:r w:rsidRPr="004D48FC">
        <w:tab/>
        <w:t>Рассмотрев Руководство как инструмент для определения применения Конвенции, Комитет приходит к выводу, что эта деятельность (продление лицензий в 2016 и 2017</w:t>
      </w:r>
      <w:r w:rsidR="002D4F06">
        <w:t> год</w:t>
      </w:r>
      <w:r w:rsidRPr="004D48FC">
        <w:t>ах) в совокупности с подготовкой к долгосрочной эксплуатации энергоблоков №</w:t>
      </w:r>
      <w:r w:rsidR="002D4F06">
        <w:t>№ </w:t>
      </w:r>
      <w:r w:rsidRPr="004D48FC">
        <w:t xml:space="preserve">1–4 АЭС «Дукованы» представляет собой продление срока службы, подпадающее под описание ситуации 1 в разделе С главы II Руководства (см. пункт 49 выше). </w:t>
      </w:r>
    </w:p>
    <w:p w14:paraId="44B19EF5" w14:textId="47BA6CFF" w:rsidR="004D48FC" w:rsidRPr="004D48FC" w:rsidRDefault="004D48FC" w:rsidP="004D48FC">
      <w:pPr>
        <w:pStyle w:val="SingleTxtG"/>
      </w:pPr>
      <w:r w:rsidRPr="004D48FC">
        <w:t>85.</w:t>
      </w:r>
      <w:r w:rsidRPr="004D48FC">
        <w:tab/>
        <w:t xml:space="preserve">Комитет считает, что при подготовке энергоблоков к долгосрочной эксплуатации Чехия не выявила все виды вероятного значительного трансграничного воздействия. Следовательно, Чехия не провела оценку всех видов значительного вредного трансграничного воздействия режимов эксплуатации и аварий при продолжении эксплуатации энергоблока </w:t>
      </w:r>
      <w:r w:rsidR="002D4F06">
        <w:t>№ </w:t>
      </w:r>
      <w:r w:rsidRPr="004D48FC">
        <w:t>1 АЭС «Дукованы» после 2016</w:t>
      </w:r>
      <w:r w:rsidR="002D4F06">
        <w:t> год</w:t>
      </w:r>
      <w:r w:rsidRPr="004D48FC">
        <w:t>а и энергоблоков №</w:t>
      </w:r>
      <w:r w:rsidR="002D4F06">
        <w:t>№ </w:t>
      </w:r>
      <w:r w:rsidRPr="004D48FC">
        <w:t>2–4 после 2017</w:t>
      </w:r>
      <w:r w:rsidR="002D4F06">
        <w:t> год</w:t>
      </w:r>
      <w:r w:rsidRPr="004D48FC">
        <w:t>а.</w:t>
      </w:r>
    </w:p>
    <w:p w14:paraId="6D2C0407" w14:textId="196A8F93" w:rsidR="004D48FC" w:rsidRPr="004D48FC" w:rsidRDefault="003700BD" w:rsidP="003700BD">
      <w:pPr>
        <w:pStyle w:val="H1G"/>
      </w:pPr>
      <w:r>
        <w:tab/>
      </w:r>
      <w:r w:rsidR="004D48FC" w:rsidRPr="004D48FC">
        <w:t>B.</w:t>
      </w:r>
      <w:r w:rsidR="004D48FC" w:rsidRPr="004D48FC">
        <w:tab/>
        <w:t>Оценка воздействия на окружающую среду (пункт 3 статьи 2)</w:t>
      </w:r>
    </w:p>
    <w:p w14:paraId="4CA37761" w14:textId="30D3939E" w:rsidR="004D48FC" w:rsidRPr="004D48FC" w:rsidRDefault="004D48FC" w:rsidP="004D48FC">
      <w:pPr>
        <w:pStyle w:val="SingleTxtG"/>
      </w:pPr>
      <w:r w:rsidRPr="004D48FC">
        <w:t>86.</w:t>
      </w:r>
      <w:r w:rsidRPr="004D48FC">
        <w:tab/>
        <w:t>Комитет приходит к выводу, что Чехия не обеспечила соблюдение пункта 3 статьи 2 Конвенции, подготовив энергоблоки №</w:t>
      </w:r>
      <w:r w:rsidR="002D4F06">
        <w:t>№ </w:t>
      </w:r>
      <w:r w:rsidRPr="004D48FC">
        <w:t>1–4 АЭС «Дукованы» к долгосрочной эксплуатации и продлив лицензии в 2016 и 2017</w:t>
      </w:r>
      <w:r w:rsidR="002D4F06">
        <w:t> год</w:t>
      </w:r>
      <w:r w:rsidRPr="004D48FC">
        <w:t>ах для продолжения их эксплуатации без проведения предварительной оценки трансграничного воздействия на окружающую среду в соответствии с Конвенцией.</w:t>
      </w:r>
    </w:p>
    <w:p w14:paraId="3627A160" w14:textId="37DC1651" w:rsidR="004D48FC" w:rsidRPr="004D48FC" w:rsidRDefault="003700BD" w:rsidP="003700BD">
      <w:pPr>
        <w:pStyle w:val="H1G"/>
      </w:pPr>
      <w:r>
        <w:lastRenderedPageBreak/>
        <w:tab/>
      </w:r>
      <w:r w:rsidR="004D48FC" w:rsidRPr="004D48FC">
        <w:t>C.</w:t>
      </w:r>
      <w:r w:rsidR="004D48FC" w:rsidRPr="004D48FC">
        <w:tab/>
        <w:t xml:space="preserve">Уведомление потенциально затрагиваемых Сторон </w:t>
      </w:r>
      <w:r>
        <w:br/>
      </w:r>
      <w:r w:rsidR="004D48FC" w:rsidRPr="004D48FC">
        <w:t>(пункт 1 статьи 3)</w:t>
      </w:r>
    </w:p>
    <w:p w14:paraId="2966B140" w14:textId="1724CD33" w:rsidR="004D48FC" w:rsidRPr="004D48FC" w:rsidRDefault="004D48FC" w:rsidP="004D48FC">
      <w:pPr>
        <w:pStyle w:val="SingleTxtG"/>
      </w:pPr>
      <w:r w:rsidRPr="004D48FC">
        <w:t>87.</w:t>
      </w:r>
      <w:r w:rsidRPr="004D48FC">
        <w:tab/>
        <w:t>Комитет приходит к выводу, что Чехия не обеспечила соблюдение пункта 1 статьи 3 Конвенции, не уведомив Австрию и Германию как потенциально затрагиваемые Стороны о продлении срока службы энергоблоков №</w:t>
      </w:r>
      <w:r w:rsidR="002D4F06">
        <w:t>№ </w:t>
      </w:r>
      <w:r w:rsidRPr="004D48FC">
        <w:t>1–4 АЭС «Дукованы» в 2016 и 2017</w:t>
      </w:r>
      <w:r w:rsidR="002D4F06">
        <w:t> год</w:t>
      </w:r>
      <w:r w:rsidRPr="004D48FC">
        <w:t>ах.</w:t>
      </w:r>
    </w:p>
    <w:p w14:paraId="63AAA1C4" w14:textId="6C2B8135" w:rsidR="004D48FC" w:rsidRPr="004D48FC" w:rsidRDefault="003700BD" w:rsidP="003700BD">
      <w:pPr>
        <w:pStyle w:val="HChG"/>
      </w:pPr>
      <w:r>
        <w:tab/>
      </w:r>
      <w:r w:rsidR="004D48FC" w:rsidRPr="004D48FC">
        <w:t>V.</w:t>
      </w:r>
      <w:r w:rsidR="004D48FC" w:rsidRPr="004D48FC">
        <w:tab/>
        <w:t>Рекомендации</w:t>
      </w:r>
    </w:p>
    <w:p w14:paraId="240CBAEA" w14:textId="77777777" w:rsidR="004D48FC" w:rsidRPr="004D48FC" w:rsidRDefault="004D48FC" w:rsidP="004D48FC">
      <w:pPr>
        <w:pStyle w:val="SingleTxtG"/>
      </w:pPr>
      <w:r w:rsidRPr="004D48FC">
        <w:t>88.</w:t>
      </w:r>
      <w:r w:rsidRPr="004D48FC">
        <w:tab/>
        <w:t>Комитет рекомендовал Совещанию Сторон:</w:t>
      </w:r>
    </w:p>
    <w:p w14:paraId="176B6D44" w14:textId="297C95CA" w:rsidR="004D48FC" w:rsidRPr="004D48FC" w:rsidRDefault="003700BD" w:rsidP="004D48FC">
      <w:pPr>
        <w:pStyle w:val="SingleTxtG"/>
      </w:pPr>
      <w:r>
        <w:tab/>
      </w:r>
      <w:r w:rsidR="004D48FC" w:rsidRPr="004D48FC">
        <w:t>a)</w:t>
      </w:r>
      <w:r w:rsidR="004D48FC" w:rsidRPr="004D48FC">
        <w:tab/>
        <w:t>одобрить выводы Комитета по осуществлению о том, что в соответствии с информацией, предоставленной Комитету, Чехия не обеспечила соблюдение пункта</w:t>
      </w:r>
      <w:r w:rsidR="00DA08C1">
        <w:t> </w:t>
      </w:r>
      <w:r w:rsidR="004D48FC" w:rsidRPr="004D48FC">
        <w:t>3 статьи 2 и пункта 1 статьи 3 Конвенции при продлении срока службы энергоблоков №</w:t>
      </w:r>
      <w:r w:rsidR="002D4F06">
        <w:t>№ </w:t>
      </w:r>
      <w:r w:rsidR="004D48FC" w:rsidRPr="004D48FC">
        <w:t>1–4 АЭС «Дукованы» и подготовке этих энергоблоков к долгосрочной эксплуатации без применения Конвенции;</w:t>
      </w:r>
    </w:p>
    <w:p w14:paraId="0F4B7D68" w14:textId="4A9BB16A" w:rsidR="004D48FC" w:rsidRPr="004D48FC" w:rsidRDefault="003700BD" w:rsidP="004D48FC">
      <w:pPr>
        <w:pStyle w:val="SingleTxtG"/>
      </w:pPr>
      <w:r>
        <w:tab/>
      </w:r>
      <w:r w:rsidR="004D48FC" w:rsidRPr="004D48FC">
        <w:t>b)</w:t>
      </w:r>
      <w:r w:rsidR="004D48FC" w:rsidRPr="004D48FC">
        <w:tab/>
        <w:t>приветствовать тот факт, что Чехия обязалась заблаговременно уведомлять Австрию и Германию о любом будущем продлении срока службы АЭС и о значительных изменениях в лицензиях на эксплуатацию энергоблоков АЭС на своей территории в соответствии с пунктом 1 статьи 3 Конвенции, как об этом просили обе Стороны;</w:t>
      </w:r>
    </w:p>
    <w:p w14:paraId="5E16BEFE" w14:textId="51F214F6" w:rsidR="004D48FC" w:rsidRPr="004D48FC" w:rsidRDefault="003700BD" w:rsidP="004D48FC">
      <w:pPr>
        <w:pStyle w:val="SingleTxtG"/>
      </w:pPr>
      <w:r>
        <w:tab/>
      </w:r>
      <w:r w:rsidR="004D48FC" w:rsidRPr="004D48FC">
        <w:t>c)</w:t>
      </w:r>
      <w:r w:rsidR="004D48FC" w:rsidRPr="004D48FC">
        <w:tab/>
        <w:t>предложить Чехии продолжить двусторонние консультации и сотрудничество с Австрией и Германией в целях надлежащего обмена информацией о деятельности, связанной с долгосрочной эксплуатацией энергоблоков АЭС «Дукованы» и «</w:t>
      </w:r>
      <w:proofErr w:type="spellStart"/>
      <w:r w:rsidR="004D48FC" w:rsidRPr="004D48FC">
        <w:t>Темелин</w:t>
      </w:r>
      <w:proofErr w:type="spellEnd"/>
      <w:r w:rsidR="004D48FC" w:rsidRPr="004D48FC">
        <w:t>»;</w:t>
      </w:r>
    </w:p>
    <w:p w14:paraId="29AA09AA" w14:textId="4F1AF8F5" w:rsidR="004D48FC" w:rsidRPr="004D48FC" w:rsidRDefault="003700BD" w:rsidP="004D48FC">
      <w:pPr>
        <w:pStyle w:val="SingleTxtG"/>
      </w:pPr>
      <w:r>
        <w:tab/>
      </w:r>
      <w:r w:rsidR="004D48FC" w:rsidRPr="004D48FC">
        <w:t>d)</w:t>
      </w:r>
      <w:r w:rsidR="004D48FC" w:rsidRPr="004D48FC">
        <w:tab/>
        <w:t>поощрять подготовку Чехией двусторонних соглашений о применении Конвенции с Австрией и Германией;</w:t>
      </w:r>
    </w:p>
    <w:p w14:paraId="7B418E1B" w14:textId="58CDB5CE" w:rsidR="004D48FC" w:rsidRPr="004D48FC" w:rsidRDefault="003700BD" w:rsidP="004D48FC">
      <w:pPr>
        <w:pStyle w:val="SingleTxtG"/>
      </w:pPr>
      <w:r>
        <w:tab/>
      </w:r>
      <w:r w:rsidR="004D48FC" w:rsidRPr="004D48FC">
        <w:t>e)</w:t>
      </w:r>
      <w:r w:rsidR="004D48FC" w:rsidRPr="004D48FC">
        <w:tab/>
        <w:t>просить Чехию обеспечить полное применение Конвенции в контексте любого будущего процесса принятия решений, касающихся любой деятельности, связанной с продлением сроков службы любой чешской АЭС, в том числе чтобы:</w:t>
      </w:r>
    </w:p>
    <w:p w14:paraId="1CF5895D" w14:textId="66C481C4" w:rsidR="004D48FC" w:rsidRPr="004D48FC" w:rsidRDefault="003700BD" w:rsidP="003700BD">
      <w:pPr>
        <w:pStyle w:val="SingleTxtG"/>
        <w:ind w:left="1701" w:hanging="567"/>
      </w:pPr>
      <w:r>
        <w:tab/>
      </w:r>
      <w:r w:rsidR="004D48FC" w:rsidRPr="004D48FC">
        <w:t>i)</w:t>
      </w:r>
      <w:r w:rsidR="004D48FC" w:rsidRPr="004D48FC">
        <w:tab/>
        <w:t>все виды воздействия режимов эксплуатации и аварий должным образом учитывались в ходе процедуры оценки воздействия на окружающую среду;</w:t>
      </w:r>
    </w:p>
    <w:p w14:paraId="12A36976" w14:textId="1BB3258E" w:rsidR="004D48FC" w:rsidRPr="004D48FC" w:rsidRDefault="003700BD" w:rsidP="003700BD">
      <w:pPr>
        <w:pStyle w:val="SingleTxtG"/>
        <w:ind w:left="1701" w:hanging="567"/>
      </w:pPr>
      <w:r>
        <w:tab/>
      </w:r>
      <w:proofErr w:type="spellStart"/>
      <w:r w:rsidR="004D48FC" w:rsidRPr="004D48FC">
        <w:t>ii</w:t>
      </w:r>
      <w:proofErr w:type="spellEnd"/>
      <w:r w:rsidR="004D48FC" w:rsidRPr="004D48FC">
        <w:t>)</w:t>
      </w:r>
      <w:r w:rsidR="004D48FC" w:rsidRPr="004D48FC">
        <w:tab/>
        <w:t>деятельность, осуществленная для подготовки к долгосрочной эксплуатации до последнего обновления лицензий, учитывалась при рассмотрении вопроса о том, является ли продление срока службы существенным изменением;</w:t>
      </w:r>
    </w:p>
    <w:p w14:paraId="2211A1F2" w14:textId="17BE6FAF" w:rsidR="004D48FC" w:rsidRPr="004D48FC" w:rsidRDefault="003700BD" w:rsidP="003700BD">
      <w:pPr>
        <w:pStyle w:val="SingleTxtG"/>
        <w:ind w:left="1701" w:hanging="567"/>
      </w:pPr>
      <w:r>
        <w:tab/>
      </w:r>
      <w:proofErr w:type="spellStart"/>
      <w:r w:rsidR="004D48FC" w:rsidRPr="004D48FC">
        <w:t>iii</w:t>
      </w:r>
      <w:proofErr w:type="spellEnd"/>
      <w:r w:rsidR="004D48FC" w:rsidRPr="004D48FC">
        <w:t>)</w:t>
      </w:r>
      <w:r w:rsidR="004D48FC" w:rsidRPr="004D48FC">
        <w:tab/>
        <w:t>Чехия уведомляла в соответствии с пунктом 1 статьи 3 Конвенции все Стороны, которые, по ее мнению, могут быть затронуты, включая Австрию и Германию;</w:t>
      </w:r>
    </w:p>
    <w:p w14:paraId="197E7EBC" w14:textId="4C888804" w:rsidR="004D48FC" w:rsidRPr="004D48FC" w:rsidRDefault="003700BD" w:rsidP="004D48FC">
      <w:pPr>
        <w:pStyle w:val="SingleTxtG"/>
      </w:pPr>
      <w:r>
        <w:tab/>
      </w:r>
      <w:r w:rsidR="004D48FC" w:rsidRPr="004D48FC">
        <w:t>f)</w:t>
      </w:r>
      <w:r w:rsidR="004D48FC" w:rsidRPr="004D48FC">
        <w:tab/>
        <w:t>рекомендовать Чехии следовать рекомендациям Совещания Сторон о надлежащей практике, согласно которым, учитывая глубокую обеспокоенность общественности и характер затрагиваемых национальных интересов в случае проведения деятельности, связанной с атомной энергетикой, уведомление широкого круга Сторон, т.</w:t>
      </w:r>
      <w:r w:rsidR="00DA08C1">
        <w:t> </w:t>
      </w:r>
      <w:r w:rsidR="004D48FC" w:rsidRPr="004D48FC">
        <w:t>е. уведомление не только соседних Сторон, может предотвратить возникновение недоразумений и потенциальных споров в дальнейшем</w:t>
      </w:r>
      <w:r w:rsidR="004D48FC" w:rsidRPr="004D48FC">
        <w:rPr>
          <w:sz w:val="18"/>
          <w:vertAlign w:val="superscript"/>
        </w:rPr>
        <w:footnoteReference w:id="53"/>
      </w:r>
      <w:r w:rsidR="004D48FC" w:rsidRPr="004D48FC">
        <w:rPr>
          <w:sz w:val="18"/>
        </w:rPr>
        <w:t>;</w:t>
      </w:r>
    </w:p>
    <w:p w14:paraId="24D0A028" w14:textId="23AB1BCA" w:rsidR="004D48FC" w:rsidRPr="004D48FC" w:rsidRDefault="003700BD" w:rsidP="004D48FC">
      <w:pPr>
        <w:pStyle w:val="SingleTxtG"/>
      </w:pPr>
      <w:r>
        <w:tab/>
      </w:r>
      <w:r w:rsidR="004D48FC" w:rsidRPr="004D48FC">
        <w:t>g)</w:t>
      </w:r>
      <w:r w:rsidR="004D48FC" w:rsidRPr="004D48FC">
        <w:tab/>
        <w:t>приветствовать сотрудничество Чехии в ходе разбирательства, которое облегчило работу Комитета.</w:t>
      </w:r>
    </w:p>
    <w:p w14:paraId="26FC22D0" w14:textId="3C008A5C" w:rsidR="00E12C5F" w:rsidRPr="004D48FC" w:rsidRDefault="004D48FC" w:rsidP="004D48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D48FC" w:rsidSect="004D48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B44E" w14:textId="77777777" w:rsidR="00CA3F52" w:rsidRPr="00A312BC" w:rsidRDefault="00CA3F52" w:rsidP="00A312BC"/>
  </w:endnote>
  <w:endnote w:type="continuationSeparator" w:id="0">
    <w:p w14:paraId="02F5F681" w14:textId="77777777" w:rsidR="00CA3F52" w:rsidRPr="00A312BC" w:rsidRDefault="00CA3F5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276A" w14:textId="49245AAE" w:rsidR="004D48FC" w:rsidRPr="004D48FC" w:rsidRDefault="004D48FC">
    <w:pPr>
      <w:pStyle w:val="a8"/>
    </w:pPr>
    <w:r w:rsidRPr="004D48FC">
      <w:rPr>
        <w:b/>
        <w:sz w:val="18"/>
      </w:rPr>
      <w:fldChar w:fldCharType="begin"/>
    </w:r>
    <w:r w:rsidRPr="004D48FC">
      <w:rPr>
        <w:b/>
        <w:sz w:val="18"/>
      </w:rPr>
      <w:instrText xml:space="preserve"> PAGE  \* MERGEFORMAT </w:instrText>
    </w:r>
    <w:r w:rsidRPr="004D48FC">
      <w:rPr>
        <w:b/>
        <w:sz w:val="18"/>
      </w:rPr>
      <w:fldChar w:fldCharType="separate"/>
    </w:r>
    <w:r w:rsidRPr="004D48FC">
      <w:rPr>
        <w:b/>
        <w:noProof/>
        <w:sz w:val="18"/>
      </w:rPr>
      <w:t>2</w:t>
    </w:r>
    <w:r w:rsidRPr="004D48FC">
      <w:rPr>
        <w:b/>
        <w:sz w:val="18"/>
      </w:rPr>
      <w:fldChar w:fldCharType="end"/>
    </w:r>
    <w:r>
      <w:rPr>
        <w:b/>
        <w:sz w:val="18"/>
      </w:rPr>
      <w:tab/>
    </w:r>
    <w:r>
      <w:t>GE.23-10514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6817" w14:textId="6768FECC" w:rsidR="004D48FC" w:rsidRPr="004D48FC" w:rsidRDefault="004D48FC" w:rsidP="004D48FC">
    <w:pPr>
      <w:pStyle w:val="a8"/>
      <w:tabs>
        <w:tab w:val="clear" w:pos="9639"/>
        <w:tab w:val="right" w:pos="9638"/>
      </w:tabs>
      <w:rPr>
        <w:b/>
        <w:sz w:val="18"/>
      </w:rPr>
    </w:pPr>
    <w:r>
      <w:t>GE.23-10514</w:t>
    </w:r>
    <w:r>
      <w:tab/>
    </w:r>
    <w:r w:rsidRPr="004D48FC">
      <w:rPr>
        <w:b/>
        <w:sz w:val="18"/>
      </w:rPr>
      <w:fldChar w:fldCharType="begin"/>
    </w:r>
    <w:r w:rsidRPr="004D48FC">
      <w:rPr>
        <w:b/>
        <w:sz w:val="18"/>
      </w:rPr>
      <w:instrText xml:space="preserve"> PAGE  \* MERGEFORMAT </w:instrText>
    </w:r>
    <w:r w:rsidRPr="004D48FC">
      <w:rPr>
        <w:b/>
        <w:sz w:val="18"/>
      </w:rPr>
      <w:fldChar w:fldCharType="separate"/>
    </w:r>
    <w:r w:rsidRPr="004D48FC">
      <w:rPr>
        <w:b/>
        <w:noProof/>
        <w:sz w:val="18"/>
      </w:rPr>
      <w:t>3</w:t>
    </w:r>
    <w:r w:rsidRPr="004D48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B9D0" w14:textId="52EBEE94" w:rsidR="00042B72" w:rsidRPr="00615482" w:rsidRDefault="004D48FC" w:rsidP="004D48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9F228E" wp14:editId="6ABBCC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23-10514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DB2283" wp14:editId="684E5F7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82">
      <w:t xml:space="preserve">   </w:t>
    </w:r>
    <w:r w:rsidR="00615482">
      <w:rPr>
        <w:lang w:val="en-US"/>
      </w:rPr>
      <w:t>140623   190623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F789" w14:textId="77777777" w:rsidR="00CA3F52" w:rsidRPr="001075E9" w:rsidRDefault="00CA3F5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670100" w14:textId="77777777" w:rsidR="00CA3F52" w:rsidRDefault="00CA3F5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29CD84C" w14:textId="77777777" w:rsidR="004D48FC" w:rsidRPr="004D48FC" w:rsidRDefault="004D48FC" w:rsidP="004D48FC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ECE/MP.EIA/IC/2016/6, </w:t>
      </w:r>
      <w:r>
        <w:t>п</w:t>
      </w:r>
      <w:r w:rsidRPr="00FD6292">
        <w:rPr>
          <w:lang w:val="en-US"/>
        </w:rPr>
        <w:t>. 48.</w:t>
      </w:r>
    </w:p>
  </w:footnote>
  <w:footnote w:id="2">
    <w:p w14:paraId="0622DD8A" w14:textId="77777777" w:rsidR="004D48FC" w:rsidRPr="004D48FC" w:rsidRDefault="004D48FC" w:rsidP="004D48FC">
      <w:pPr>
        <w:pStyle w:val="ad"/>
        <w:rPr>
          <w:lang w:val="en-US"/>
        </w:rPr>
      </w:pPr>
      <w:r w:rsidRPr="00FD6292">
        <w:rPr>
          <w:lang w:val="en-US"/>
        </w:rP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ECE/MP.EIA/IC/2017/4, </w:t>
      </w:r>
      <w:proofErr w:type="spellStart"/>
      <w:r>
        <w:t>пп</w:t>
      </w:r>
      <w:proofErr w:type="spellEnd"/>
      <w:r w:rsidRPr="00FD6292">
        <w:rPr>
          <w:lang w:val="en-US"/>
        </w:rPr>
        <w:t>. 48–50.</w:t>
      </w:r>
    </w:p>
  </w:footnote>
  <w:footnote w:id="3">
    <w:p w14:paraId="0299A96A" w14:textId="77777777" w:rsidR="004D48FC" w:rsidRPr="00FD6292" w:rsidRDefault="004D48FC" w:rsidP="004D48FC">
      <w:pPr>
        <w:pStyle w:val="ad"/>
      </w:pPr>
      <w:r w:rsidRPr="00FD6292">
        <w:rPr>
          <w:lang w:val="en-US"/>
        </w:rPr>
        <w:tab/>
      </w:r>
      <w:r>
        <w:rPr>
          <w:rStyle w:val="aa"/>
        </w:rPr>
        <w:footnoteRef/>
      </w:r>
      <w:r>
        <w:tab/>
        <w:t>Публикация Организации Объединенных Наций, ECE/MP.EIA/31.</w:t>
      </w:r>
    </w:p>
  </w:footnote>
  <w:footnote w:id="4">
    <w:p w14:paraId="5C04F669" w14:textId="77777777" w:rsidR="004D48FC" w:rsidRPr="004D48FC" w:rsidRDefault="004D48FC" w:rsidP="004D48FC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ECE/MP.EIA/IC/2021/2, </w:t>
      </w:r>
      <w:proofErr w:type="spellStart"/>
      <w:r>
        <w:t>пп</w:t>
      </w:r>
      <w:proofErr w:type="spellEnd"/>
      <w:r w:rsidRPr="00FD6292">
        <w:rPr>
          <w:lang w:val="en-US"/>
        </w:rPr>
        <w:t>. 75–77.</w:t>
      </w:r>
    </w:p>
  </w:footnote>
  <w:footnote w:id="5">
    <w:p w14:paraId="456E0F1C" w14:textId="77777777" w:rsidR="004D48FC" w:rsidRPr="004D48FC" w:rsidRDefault="004D48FC" w:rsidP="004D48FC">
      <w:pPr>
        <w:pStyle w:val="ad"/>
        <w:rPr>
          <w:lang w:val="en-US"/>
        </w:rPr>
      </w:pPr>
      <w:r w:rsidRPr="00FD6292">
        <w:rPr>
          <w:lang w:val="en-US"/>
        </w:rP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ECE/MP.EIA/IC/2021/4, </w:t>
      </w:r>
      <w:proofErr w:type="spellStart"/>
      <w:r>
        <w:t>пп</w:t>
      </w:r>
      <w:proofErr w:type="spellEnd"/>
      <w:r w:rsidRPr="00FD6292">
        <w:rPr>
          <w:lang w:val="en-US"/>
        </w:rPr>
        <w:t>. 74–76.</w:t>
      </w:r>
    </w:p>
  </w:footnote>
  <w:footnote w:id="6">
    <w:p w14:paraId="2A468468" w14:textId="77777777" w:rsidR="004D48FC" w:rsidRPr="004D48FC" w:rsidRDefault="004D48FC" w:rsidP="004D48FC">
      <w:pPr>
        <w:pStyle w:val="ad"/>
        <w:rPr>
          <w:lang w:val="en-US"/>
        </w:rPr>
      </w:pPr>
      <w:r w:rsidRPr="00FD6292">
        <w:rPr>
          <w:lang w:val="en-US"/>
        </w:rP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ECE/MP.EIA/IC/2021/6, </w:t>
      </w:r>
      <w:proofErr w:type="spellStart"/>
      <w:r>
        <w:t>пп</w:t>
      </w:r>
      <w:proofErr w:type="spellEnd"/>
      <w:r w:rsidRPr="00FD6292">
        <w:rPr>
          <w:lang w:val="en-US"/>
        </w:rPr>
        <w:t>. 75–77.</w:t>
      </w:r>
    </w:p>
  </w:footnote>
  <w:footnote w:id="7">
    <w:p w14:paraId="6E525E73" w14:textId="77777777" w:rsidR="004D48FC" w:rsidRPr="004D48FC" w:rsidRDefault="004D48FC" w:rsidP="004D48FC">
      <w:pPr>
        <w:pStyle w:val="ad"/>
        <w:rPr>
          <w:lang w:val="en-US"/>
        </w:rPr>
      </w:pPr>
      <w:r w:rsidRPr="00FD6292">
        <w:rPr>
          <w:lang w:val="en-US"/>
        </w:rPr>
        <w:tab/>
      </w:r>
      <w:r>
        <w:rPr>
          <w:rStyle w:val="aa"/>
        </w:rPr>
        <w:footnoteRef/>
      </w:r>
      <w:r w:rsidRPr="00FD6292">
        <w:rPr>
          <w:lang w:val="en-US"/>
        </w:rPr>
        <w:tab/>
        <w:t xml:space="preserve">ECE/MP.EIA/IC/2022/4, </w:t>
      </w:r>
      <w:proofErr w:type="spellStart"/>
      <w:r>
        <w:t>пп</w:t>
      </w:r>
      <w:proofErr w:type="spellEnd"/>
      <w:r w:rsidRPr="00FD6292">
        <w:rPr>
          <w:lang w:val="en-US"/>
        </w:rPr>
        <w:t>. 18–25.</w:t>
      </w:r>
    </w:p>
  </w:footnote>
  <w:footnote w:id="8">
    <w:p w14:paraId="68FE455B" w14:textId="77777777" w:rsidR="004D48FC" w:rsidRPr="00FD6292" w:rsidRDefault="004D48FC" w:rsidP="004D48FC">
      <w:pPr>
        <w:pStyle w:val="ad"/>
      </w:pPr>
      <w:r w:rsidRPr="00FD6292">
        <w:rPr>
          <w:lang w:val="en-US"/>
        </w:rPr>
        <w:tab/>
      </w:r>
      <w:r>
        <w:rPr>
          <w:rStyle w:val="aa"/>
        </w:rPr>
        <w:footnoteRef/>
      </w:r>
      <w:r>
        <w:tab/>
        <w:t>Там же, п. 26.</w:t>
      </w:r>
    </w:p>
  </w:footnote>
  <w:footnote w:id="9">
    <w:p w14:paraId="7DB79D54" w14:textId="77777777" w:rsidR="004D48FC" w:rsidRPr="00FD6292" w:rsidRDefault="004D48FC" w:rsidP="004D48FC">
      <w:pPr>
        <w:pStyle w:val="ad"/>
      </w:pPr>
      <w:r w:rsidRPr="000C5F31">
        <w:tab/>
      </w:r>
      <w:r>
        <w:rPr>
          <w:rStyle w:val="aa"/>
        </w:rPr>
        <w:footnoteRef/>
      </w:r>
      <w:r>
        <w:tab/>
        <w:t xml:space="preserve">ECE/MP.EIA/IC/2022/7, </w:t>
      </w:r>
      <w:proofErr w:type="spellStart"/>
      <w:r>
        <w:t>пп</w:t>
      </w:r>
      <w:proofErr w:type="spellEnd"/>
      <w:r>
        <w:t>. 36–37.</w:t>
      </w:r>
    </w:p>
  </w:footnote>
  <w:footnote w:id="10">
    <w:p w14:paraId="081BA797" w14:textId="77777777" w:rsidR="004D48FC" w:rsidRPr="00FD6292" w:rsidRDefault="004D48FC" w:rsidP="004D48FC">
      <w:pPr>
        <w:pStyle w:val="ad"/>
      </w:pPr>
      <w:r w:rsidRPr="000C5F31">
        <w:tab/>
      </w:r>
      <w:r>
        <w:rPr>
          <w:rStyle w:val="aa"/>
        </w:rPr>
        <w:footnoteRef/>
      </w:r>
      <w:r>
        <w:tab/>
        <w:t xml:space="preserve">Там же, </w:t>
      </w:r>
      <w:proofErr w:type="spellStart"/>
      <w:r>
        <w:t>пп</w:t>
      </w:r>
      <w:proofErr w:type="spellEnd"/>
      <w:r>
        <w:t>. 38–39.</w:t>
      </w:r>
    </w:p>
  </w:footnote>
  <w:footnote w:id="11">
    <w:p w14:paraId="27F8F9F0" w14:textId="77777777" w:rsidR="004D48FC" w:rsidRPr="00FD6292" w:rsidRDefault="004D48FC" w:rsidP="004D48FC">
      <w:pPr>
        <w:pStyle w:val="ad"/>
      </w:pPr>
      <w:r w:rsidRPr="000C5F31">
        <w:tab/>
      </w:r>
      <w:r>
        <w:rPr>
          <w:rStyle w:val="aa"/>
        </w:rPr>
        <w:footnoteRef/>
      </w:r>
      <w:r>
        <w:tab/>
        <w:t>ECE/MP.EIA/IC/2023/2, п. 27.</w:t>
      </w:r>
    </w:p>
  </w:footnote>
  <w:footnote w:id="12">
    <w:p w14:paraId="15993ADD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Письмо Чехии в Комитет от 5 сентября 2022 года, стр. 37.</w:t>
      </w:r>
    </w:p>
  </w:footnote>
  <w:footnote w:id="13">
    <w:p w14:paraId="3273FF7C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Письмо «Инициативы по </w:t>
      </w:r>
      <w:proofErr w:type="spellStart"/>
      <w:r>
        <w:t>Орхусской</w:t>
      </w:r>
      <w:proofErr w:type="spellEnd"/>
      <w:r>
        <w:t xml:space="preserve"> конвенции» (Германия) в Комитет от 9 августа 2016 года, стр. 2. </w:t>
      </w:r>
    </w:p>
  </w:footnote>
  <w:footnote w:id="14">
    <w:p w14:paraId="271D11AA" w14:textId="77777777" w:rsidR="004D48FC" w:rsidRPr="00FD6292" w:rsidRDefault="004D48FC" w:rsidP="004D48FC">
      <w:pPr>
        <w:pStyle w:val="ad"/>
      </w:pPr>
      <w:r w:rsidRPr="000408DF">
        <w:tab/>
      </w:r>
      <w:r>
        <w:rPr>
          <w:rStyle w:val="aa"/>
        </w:rPr>
        <w:footnoteRef/>
      </w:r>
      <w:r>
        <w:tab/>
        <w:t xml:space="preserve">Письмо Чехии в Комитет от 3 февраля 2017 года. </w:t>
      </w:r>
    </w:p>
  </w:footnote>
  <w:footnote w:id="15">
    <w:p w14:paraId="213B6387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Письма Чехии в Комитет от 26 марта 2021 года, стр. 2. </w:t>
      </w:r>
    </w:p>
  </w:footnote>
  <w:footnote w:id="16">
    <w:p w14:paraId="7E65F16E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Письма Чехии в Комитет от 26 марта 2021 года, стр. 1. </w:t>
      </w:r>
    </w:p>
  </w:footnote>
  <w:footnote w:id="17">
    <w:p w14:paraId="27EBFC6D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Письмо Чехии в Комитет от 30 марта 2023 года. </w:t>
      </w:r>
    </w:p>
  </w:footnote>
  <w:footnote w:id="18">
    <w:p w14:paraId="233FB7FE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Письмо Германии в Комитет от 2 февраля 2017 года.</w:t>
      </w:r>
    </w:p>
  </w:footnote>
  <w:footnote w:id="19">
    <w:p w14:paraId="5E824F4F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Письмо Чехии в адрес Австрии от 31 августа 2015 года и письмо Германии в Комитет от 2 февраля 2017 года.</w:t>
      </w:r>
    </w:p>
  </w:footnote>
  <w:footnote w:id="20">
    <w:p w14:paraId="482960D7" w14:textId="2FC87035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Совместное письмо организаций «</w:t>
      </w:r>
      <w:proofErr w:type="spellStart"/>
      <w:r>
        <w:t>Экобюро</w:t>
      </w:r>
      <w:proofErr w:type="spellEnd"/>
      <w:r>
        <w:t>» и «Глобал 2000» в Комитет от 20 декабря 2021</w:t>
      </w:r>
      <w:r w:rsidR="001D1AAB">
        <w:t> </w:t>
      </w:r>
      <w:r>
        <w:t xml:space="preserve">года, контрольный список, стр. 4, и приложение 5 к этому письму (информация об инвестициях с сайта Группы ČEZ). </w:t>
      </w:r>
    </w:p>
  </w:footnote>
  <w:footnote w:id="21">
    <w:p w14:paraId="7674FB75" w14:textId="77777777" w:rsidR="004D48FC" w:rsidRPr="00A84AFA" w:rsidRDefault="004D48FC" w:rsidP="004D48FC">
      <w:pPr>
        <w:pStyle w:val="ad"/>
        <w:rPr>
          <w:lang w:val="es-ES"/>
        </w:rPr>
      </w:pPr>
      <w:r w:rsidRPr="00856790">
        <w:tab/>
      </w:r>
      <w:r>
        <w:rPr>
          <w:rStyle w:val="aa"/>
        </w:rPr>
        <w:footnoteRef/>
      </w:r>
      <w:r w:rsidRPr="00A84AFA">
        <w:rPr>
          <w:lang w:val="es-ES"/>
        </w:rPr>
        <w:tab/>
        <w:t>ECE/MP.EIA/30/Add.2–ECE/MP.EIA/SEA/13/Add.2.</w:t>
      </w:r>
    </w:p>
  </w:footnote>
  <w:footnote w:id="22">
    <w:p w14:paraId="00DFB22A" w14:textId="469165CF" w:rsidR="004D48FC" w:rsidRPr="00766091" w:rsidRDefault="004D48FC" w:rsidP="004D48FC">
      <w:pPr>
        <w:pStyle w:val="ad"/>
        <w:rPr>
          <w:szCs w:val="18"/>
          <w:lang w:val="en-US"/>
        </w:rPr>
      </w:pPr>
      <w:r w:rsidRPr="00A84AFA">
        <w:rPr>
          <w:lang w:val="es-ES"/>
        </w:rPr>
        <w:tab/>
      </w:r>
      <w:r w:rsidRPr="008F3B38">
        <w:rPr>
          <w:rStyle w:val="aa"/>
        </w:rPr>
        <w:footnoteRef/>
      </w:r>
      <w:r w:rsidRPr="00766091">
        <w:rPr>
          <w:lang w:val="en-US"/>
        </w:rPr>
        <w:tab/>
      </w:r>
      <w:r w:rsidR="00766091">
        <w:rPr>
          <w:lang w:val="en-US"/>
        </w:rPr>
        <w:t>URL</w:t>
      </w:r>
      <w:r w:rsidR="00766091" w:rsidRPr="00766091">
        <w:rPr>
          <w:lang w:val="en-US"/>
        </w:rPr>
        <w:t xml:space="preserve">: </w:t>
      </w:r>
      <w:hyperlink r:id="rId1" w:history="1">
        <w:r w:rsidR="001D1AAB" w:rsidRPr="00766091">
          <w:rPr>
            <w:rStyle w:val="af1"/>
            <w:spacing w:val="-2"/>
            <w:lang w:val="en-US"/>
          </w:rPr>
          <w:t>https://unece.org/sites/default/files/2021-02/Implementation%20Committee%20structure%20functions%20procedures%20rules.e%202020.pdf</w:t>
        </w:r>
      </w:hyperlink>
      <w:r w:rsidR="001D1AAB" w:rsidRPr="00766091">
        <w:rPr>
          <w:lang w:val="en-US"/>
        </w:rPr>
        <w:t>.</w:t>
      </w:r>
    </w:p>
  </w:footnote>
  <w:footnote w:id="23">
    <w:p w14:paraId="20C2B613" w14:textId="7B812E42" w:rsidR="004D48FC" w:rsidRPr="00766091" w:rsidRDefault="004D48FC" w:rsidP="004D48FC">
      <w:pPr>
        <w:pStyle w:val="ad"/>
        <w:rPr>
          <w:spacing w:val="-2"/>
          <w:szCs w:val="18"/>
          <w:lang w:val="en-US"/>
        </w:rPr>
      </w:pPr>
      <w:r w:rsidRPr="00766091">
        <w:rPr>
          <w:lang w:val="en-US"/>
        </w:rPr>
        <w:tab/>
      </w:r>
      <w:r w:rsidRPr="00366D69">
        <w:rPr>
          <w:rStyle w:val="aa"/>
        </w:rPr>
        <w:footnoteRef/>
      </w:r>
      <w:r w:rsidRPr="00766091">
        <w:rPr>
          <w:lang w:val="en-US"/>
        </w:rPr>
        <w:tab/>
      </w:r>
      <w:r w:rsidR="00766091">
        <w:rPr>
          <w:lang w:val="en-US"/>
        </w:rPr>
        <w:t>URL</w:t>
      </w:r>
      <w:r w:rsidR="00766091" w:rsidRPr="00766091">
        <w:rPr>
          <w:lang w:val="en-US"/>
        </w:rPr>
        <w:t xml:space="preserve">: </w:t>
      </w:r>
      <w:r w:rsidR="001D1AAB" w:rsidRPr="001D1AAB">
        <w:rPr>
          <w:spacing w:val="-2"/>
        </w:rPr>
        <w:fldChar w:fldCharType="begin"/>
      </w:r>
      <w:r w:rsidR="001D1AAB" w:rsidRPr="00766091">
        <w:rPr>
          <w:spacing w:val="-2"/>
          <w:lang w:val="en-US"/>
        </w:rPr>
        <w:instrText xml:space="preserve"> HYPERLINK "</w:instrText>
      </w:r>
      <w:r w:rsidR="001D1AAB" w:rsidRPr="00766091">
        <w:rPr>
          <w:spacing w:val="-2"/>
          <w:lang w:val="en-US"/>
        </w:rPr>
        <w:instrText>https://unece.org/sites/default/files/2021-02/Implementation%20Committee%20structure%20functions%20procedures%20rules.e%202020.pdf</w:instrText>
      </w:r>
      <w:r w:rsidR="001D1AAB" w:rsidRPr="00766091">
        <w:rPr>
          <w:spacing w:val="-2"/>
          <w:lang w:val="en-US"/>
        </w:rPr>
        <w:instrText xml:space="preserve">" </w:instrText>
      </w:r>
      <w:r w:rsidR="001D1AAB" w:rsidRPr="001D1AAB">
        <w:rPr>
          <w:spacing w:val="-2"/>
        </w:rPr>
        <w:fldChar w:fldCharType="separate"/>
      </w:r>
      <w:r w:rsidR="001D1AAB" w:rsidRPr="00766091">
        <w:rPr>
          <w:rStyle w:val="af1"/>
          <w:spacing w:val="-2"/>
          <w:lang w:val="en-US"/>
        </w:rPr>
        <w:t>https://unece.org/sites/default/files/2021-02/Implementation%20Committee%20structure%20functions%20procedures%20rules.e%202020.pdf</w:t>
      </w:r>
      <w:r w:rsidR="001D1AAB" w:rsidRPr="001D1AAB">
        <w:rPr>
          <w:spacing w:val="-2"/>
        </w:rPr>
        <w:fldChar w:fldCharType="end"/>
      </w:r>
      <w:r w:rsidR="001D1AAB" w:rsidRPr="00766091">
        <w:rPr>
          <w:spacing w:val="-2"/>
          <w:lang w:val="en-US"/>
        </w:rPr>
        <w:t>.</w:t>
      </w:r>
    </w:p>
  </w:footnote>
  <w:footnote w:id="24">
    <w:p w14:paraId="68CFAEF3" w14:textId="77777777" w:rsidR="004D48FC" w:rsidRPr="00FD6292" w:rsidRDefault="004D48FC" w:rsidP="004D48FC">
      <w:pPr>
        <w:pStyle w:val="ad"/>
      </w:pPr>
      <w:r w:rsidRPr="00766091">
        <w:rPr>
          <w:lang w:val="en-US"/>
        </w:rPr>
        <w:tab/>
      </w:r>
      <w:r w:rsidRPr="005F2DE4">
        <w:rPr>
          <w:rStyle w:val="aa"/>
        </w:rPr>
        <w:footnoteRef/>
      </w:r>
      <w:r>
        <w:tab/>
        <w:t xml:space="preserve">См., например, «Выводы и рекомендации по представлению Армении в отношении Азербайджана» (EIA/IC/S/5), (ECE/MP.EIA/IC/2013/4, приложение). </w:t>
      </w:r>
    </w:p>
  </w:footnote>
  <w:footnote w:id="25">
    <w:p w14:paraId="02778087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30 сентября 1993 года Чехия стала правопреемницей Конвенции, ранее подписанной бывшей Чехословакией.</w:t>
      </w:r>
    </w:p>
  </w:footnote>
  <w:footnote w:id="26">
    <w:p w14:paraId="3D8A678D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Решение VIII/6, п. 5.</w:t>
      </w:r>
    </w:p>
  </w:footnote>
  <w:footnote w:id="27">
    <w:p w14:paraId="01B36206" w14:textId="77777777" w:rsidR="004D48FC" w:rsidRPr="00FD6292" w:rsidRDefault="004D48FC" w:rsidP="004D48FC">
      <w:pPr>
        <w:pStyle w:val="ad"/>
      </w:pPr>
      <w:r>
        <w:tab/>
      </w:r>
      <w:r w:rsidRPr="001E55A0">
        <w:rPr>
          <w:rStyle w:val="aa"/>
        </w:rPr>
        <w:footnoteRef/>
      </w:r>
      <w:r>
        <w:tab/>
        <w:t>См. ECE/MP.EIA/IC/2014/2, приложение, п. 59.</w:t>
      </w:r>
    </w:p>
  </w:footnote>
  <w:footnote w:id="28">
    <w:p w14:paraId="59C42378" w14:textId="77777777" w:rsidR="004D48FC" w:rsidRPr="00FD6292" w:rsidRDefault="004D48FC" w:rsidP="004D48FC">
      <w:pPr>
        <w:pStyle w:val="ad"/>
      </w:pPr>
      <w:r>
        <w:tab/>
      </w:r>
      <w:r w:rsidRPr="002506E0">
        <w:rPr>
          <w:rStyle w:val="aa"/>
        </w:rPr>
        <w:footnoteRef/>
      </w:r>
      <w:r>
        <w:tab/>
        <w:t xml:space="preserve">См. ECE/MP.EIA/23/Add.1–ECE/MP.EIA/SEA/7/Add.1, решение VII/3–III/3, приложение I, п. I.9; ECE/MP.EIA/27/Add.1–ECE/MP.EIA/SEA/11/Add.1, решение IS/2, </w:t>
      </w:r>
      <w:proofErr w:type="spellStart"/>
      <w:r>
        <w:t>пп</w:t>
      </w:r>
      <w:proofErr w:type="spellEnd"/>
      <w:r>
        <w:t>. 4–9.</w:t>
      </w:r>
    </w:p>
  </w:footnote>
  <w:footnote w:id="29">
    <w:p w14:paraId="5491A1A4" w14:textId="77777777" w:rsidR="004D48FC" w:rsidRPr="00FD6292" w:rsidRDefault="004D48FC" w:rsidP="004D48FC">
      <w:pPr>
        <w:pStyle w:val="ad"/>
      </w:pPr>
      <w:r w:rsidRPr="00AB590A">
        <w:tab/>
      </w:r>
      <w:r w:rsidRPr="00AB590A">
        <w:rPr>
          <w:rStyle w:val="aa"/>
        </w:rPr>
        <w:footnoteRef/>
      </w:r>
      <w:r>
        <w:tab/>
      </w:r>
      <w:r>
        <w:rPr>
          <w:i/>
          <w:iCs/>
        </w:rPr>
        <w:t>Руководство по применимости Конвенции к продлению срока службы атомных электростанций</w:t>
      </w:r>
      <w:r w:rsidRPr="001D1AAB">
        <w:t xml:space="preserve">, ситуация 1, </w:t>
      </w:r>
      <w:proofErr w:type="spellStart"/>
      <w:r w:rsidRPr="001D1AAB">
        <w:t>пп</w:t>
      </w:r>
      <w:proofErr w:type="spellEnd"/>
      <w:r w:rsidRPr="001D1AAB">
        <w:t>. 25–26</w:t>
      </w:r>
      <w:r>
        <w:rPr>
          <w:i/>
          <w:iCs/>
        </w:rPr>
        <w:t>.</w:t>
      </w:r>
    </w:p>
  </w:footnote>
  <w:footnote w:id="30">
    <w:p w14:paraId="71F2E266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Там же, ситуация 3, </w:t>
      </w:r>
      <w:proofErr w:type="spellStart"/>
      <w:r>
        <w:t>пп</w:t>
      </w:r>
      <w:proofErr w:type="spellEnd"/>
      <w:r>
        <w:t>. 28–31.</w:t>
      </w:r>
    </w:p>
  </w:footnote>
  <w:footnote w:id="31">
    <w:p w14:paraId="0DE44A62" w14:textId="77777777" w:rsidR="004D48FC" w:rsidRPr="00FD6292" w:rsidRDefault="004D48FC" w:rsidP="004D48FC">
      <w:pPr>
        <w:pStyle w:val="ad"/>
      </w:pPr>
      <w:r>
        <w:tab/>
      </w:r>
      <w:r w:rsidRPr="000A3EEA">
        <w:rPr>
          <w:rStyle w:val="aa"/>
        </w:rPr>
        <w:footnoteRef/>
      </w:r>
      <w:r>
        <w:tab/>
        <w:t xml:space="preserve">См. ECE/MP.EIA/IC/2014/2, приложение, п. 37. </w:t>
      </w:r>
    </w:p>
  </w:footnote>
  <w:footnote w:id="32">
    <w:p w14:paraId="0A0657AA" w14:textId="77777777" w:rsidR="004D48FC" w:rsidRPr="00A304A4" w:rsidRDefault="004D48FC" w:rsidP="004D48FC">
      <w:pPr>
        <w:pStyle w:val="ad"/>
        <w:rPr>
          <w:i/>
          <w:iCs/>
        </w:rPr>
      </w:pPr>
      <w:r>
        <w:tab/>
      </w:r>
      <w:r w:rsidRPr="007D6E27">
        <w:rPr>
          <w:rStyle w:val="aa"/>
        </w:rPr>
        <w:footnoteRef/>
      </w:r>
      <w:r>
        <w:tab/>
      </w:r>
      <w:r w:rsidRPr="00A304A4">
        <w:rPr>
          <w:i/>
          <w:iCs/>
        </w:rPr>
        <w:t>Руководство по применимости Конвенции</w:t>
      </w:r>
      <w:r w:rsidRPr="001D1AAB">
        <w:t>, п. 37</w:t>
      </w:r>
      <w:r w:rsidRPr="00A304A4">
        <w:rPr>
          <w:i/>
          <w:iCs/>
        </w:rPr>
        <w:t>.</w:t>
      </w:r>
    </w:p>
  </w:footnote>
  <w:footnote w:id="33">
    <w:p w14:paraId="305DC1DE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См. также ECE/MP.EIA/IC/2020/4, приложение, п. 11: «Комитет подчеркнул, что, хотя Конвенция предоставляет своим Сторонам гибкость в отношении применения своих процедур в различных национальных контекстах, эта гибкость ограничивается обязанностью каждой Стороны соблюдать Конвенцию и эффективно и в соответствии с ее целью осуществлять ее».</w:t>
      </w:r>
    </w:p>
  </w:footnote>
  <w:footnote w:id="34">
    <w:p w14:paraId="17E32277" w14:textId="77777777" w:rsidR="004D48FC" w:rsidRPr="004D48FC" w:rsidRDefault="004D48FC" w:rsidP="004D48FC">
      <w:pPr>
        <w:pStyle w:val="ad"/>
        <w:rPr>
          <w:lang w:val="en-US"/>
        </w:rPr>
      </w:pPr>
      <w:r w:rsidRPr="00856790">
        <w:tab/>
      </w:r>
      <w:r w:rsidRPr="00A145E9">
        <w:rPr>
          <w:rStyle w:val="aa"/>
        </w:rPr>
        <w:footnoteRef/>
      </w:r>
      <w:r w:rsidRPr="00FD6292">
        <w:rPr>
          <w:lang w:val="en-US"/>
        </w:rPr>
        <w:tab/>
        <w:t xml:space="preserve">ECE/MP.EIA/IC/2022/2, </w:t>
      </w:r>
      <w:r>
        <w:t>п</w:t>
      </w:r>
      <w:r w:rsidRPr="00FD6292">
        <w:rPr>
          <w:lang w:val="en-US"/>
        </w:rPr>
        <w:t>. 25.</w:t>
      </w:r>
    </w:p>
  </w:footnote>
  <w:footnote w:id="35">
    <w:p w14:paraId="7FADE746" w14:textId="77777777" w:rsidR="004D48FC" w:rsidRPr="00FD6292" w:rsidRDefault="004D48FC" w:rsidP="004D48FC">
      <w:pPr>
        <w:pStyle w:val="ad"/>
      </w:pPr>
      <w:r w:rsidRPr="00FD6292">
        <w:rPr>
          <w:lang w:val="en-US"/>
        </w:rPr>
        <w:tab/>
      </w:r>
      <w:r w:rsidRPr="00A145E9">
        <w:rPr>
          <w:rStyle w:val="aa"/>
        </w:rPr>
        <w:footnoteRef/>
      </w:r>
      <w:r>
        <w:tab/>
        <w:t>Там же, п. 26.</w:t>
      </w:r>
    </w:p>
  </w:footnote>
  <w:footnote w:id="36">
    <w:p w14:paraId="4D8E6389" w14:textId="77777777" w:rsidR="004D48FC" w:rsidRPr="00FD6292" w:rsidRDefault="004D48FC" w:rsidP="004D48FC">
      <w:pPr>
        <w:pStyle w:val="ad"/>
      </w:pPr>
      <w:r>
        <w:tab/>
      </w:r>
      <w:r w:rsidRPr="00A145E9">
        <w:rPr>
          <w:rStyle w:val="aa"/>
        </w:rPr>
        <w:footnoteRef/>
      </w:r>
      <w:r>
        <w:tab/>
      </w:r>
      <w:r>
        <w:rPr>
          <w:i/>
          <w:iCs/>
        </w:rPr>
        <w:t>Руководство по применимости Конвенции</w:t>
      </w:r>
      <w:r w:rsidRPr="001D1AAB">
        <w:t>, п. 47.</w:t>
      </w:r>
    </w:p>
  </w:footnote>
  <w:footnote w:id="37">
    <w:p w14:paraId="6A8D6964" w14:textId="77777777" w:rsidR="004D48FC" w:rsidRPr="00FD6292" w:rsidRDefault="004D48FC" w:rsidP="004D48FC">
      <w:pPr>
        <w:pStyle w:val="ad"/>
      </w:pPr>
      <w:r>
        <w:tab/>
      </w:r>
      <w:r w:rsidRPr="00E00E7B">
        <w:rPr>
          <w:rStyle w:val="aa"/>
        </w:rPr>
        <w:footnoteRef/>
      </w:r>
      <w:r>
        <w:tab/>
        <w:t>Там же, п. 43.</w:t>
      </w:r>
    </w:p>
  </w:footnote>
  <w:footnote w:id="38">
    <w:p w14:paraId="4E110D60" w14:textId="77777777" w:rsidR="004D48FC" w:rsidRPr="00FD6292" w:rsidRDefault="004D48FC" w:rsidP="004D48FC">
      <w:pPr>
        <w:pStyle w:val="ad"/>
      </w:pPr>
      <w:r>
        <w:tab/>
      </w:r>
      <w:r w:rsidRPr="00E00E7B">
        <w:rPr>
          <w:rStyle w:val="aa"/>
        </w:rPr>
        <w:footnoteRef/>
      </w:r>
      <w:r>
        <w:tab/>
        <w:t>Там же, п. 48.</w:t>
      </w:r>
    </w:p>
  </w:footnote>
  <w:footnote w:id="39">
    <w:p w14:paraId="7F3AF2DD" w14:textId="77777777" w:rsidR="004D48FC" w:rsidRPr="00FD6292" w:rsidRDefault="004D48FC" w:rsidP="004D48FC">
      <w:pPr>
        <w:pStyle w:val="ad"/>
      </w:pPr>
      <w:r>
        <w:tab/>
      </w:r>
      <w:r>
        <w:rPr>
          <w:rStyle w:val="aa"/>
        </w:rPr>
        <w:footnoteRef/>
      </w:r>
      <w:r>
        <w:tab/>
        <w:t>Там же, п. 47.</w:t>
      </w:r>
    </w:p>
  </w:footnote>
  <w:footnote w:id="40">
    <w:p w14:paraId="13840412" w14:textId="77777777" w:rsidR="004D48FC" w:rsidRPr="00FD6292" w:rsidRDefault="004D48FC" w:rsidP="004D48FC">
      <w:pPr>
        <w:pStyle w:val="ad"/>
      </w:pPr>
      <w:r>
        <w:tab/>
      </w:r>
      <w:r w:rsidRPr="00E00E7B">
        <w:rPr>
          <w:rStyle w:val="aa"/>
        </w:rPr>
        <w:footnoteRef/>
      </w:r>
      <w:r>
        <w:tab/>
        <w:t xml:space="preserve">Комитет использует термин «предварительная оценка» в значении, установленном в </w:t>
      </w:r>
      <w:r w:rsidRPr="00D90391">
        <w:rPr>
          <w:i/>
          <w:iCs/>
        </w:rPr>
        <w:t>Рекомендации о надлежащей практике применения Конвенции к деятельности в области атомной энергетики</w:t>
      </w:r>
      <w:r>
        <w:t xml:space="preserve"> (публикация Организации Объединенных Наций, ECE/MP.EIA/24), п. 9: «Цель предварительной оценки по Конвенции заключается в установлении того, может ли планируемый вид деятельность или существенное изменение деятельности, указанной в добавлении I к Конвенции, оказать значительное вредное трансграничное воздействие». </w:t>
      </w:r>
    </w:p>
  </w:footnote>
  <w:footnote w:id="41">
    <w:p w14:paraId="4A9CDCB6" w14:textId="77777777" w:rsidR="004D48FC" w:rsidRPr="004D48FC" w:rsidRDefault="004D48FC" w:rsidP="004D48FC">
      <w:pPr>
        <w:pStyle w:val="ad"/>
        <w:rPr>
          <w:lang w:val="en-US"/>
        </w:rPr>
      </w:pPr>
      <w:r w:rsidRPr="00856790">
        <w:tab/>
      </w:r>
      <w:r w:rsidRPr="00E00E7B">
        <w:rPr>
          <w:rStyle w:val="aa"/>
        </w:rPr>
        <w:footnoteRef/>
      </w:r>
      <w:r w:rsidRPr="00FD6292">
        <w:rPr>
          <w:lang w:val="en-US"/>
        </w:rPr>
        <w:tab/>
        <w:t xml:space="preserve">ECE/MP.EIA/IC/2022/2, </w:t>
      </w:r>
      <w:r>
        <w:t>п</w:t>
      </w:r>
      <w:r w:rsidRPr="00FD6292">
        <w:rPr>
          <w:lang w:val="en-US"/>
        </w:rPr>
        <w:t>. 27.</w:t>
      </w:r>
    </w:p>
  </w:footnote>
  <w:footnote w:id="42">
    <w:p w14:paraId="7ECC1877" w14:textId="77777777" w:rsidR="004D48FC" w:rsidRPr="00FD6292" w:rsidRDefault="004D48FC" w:rsidP="004D48FC">
      <w:pPr>
        <w:pStyle w:val="ad"/>
      </w:pPr>
      <w:r w:rsidRPr="00FD6292">
        <w:rPr>
          <w:lang w:val="en-US"/>
        </w:rPr>
        <w:tab/>
      </w:r>
      <w:r w:rsidRPr="00E00E7B">
        <w:rPr>
          <w:rStyle w:val="aa"/>
        </w:rPr>
        <w:footnoteRef/>
      </w:r>
      <w:r>
        <w:tab/>
      </w:r>
      <w:r>
        <w:rPr>
          <w:i/>
          <w:iCs/>
        </w:rPr>
        <w:t>Руководство по применимости Конвенции</w:t>
      </w:r>
      <w:r w:rsidRPr="001D1AAB">
        <w:t>, п. 58.</w:t>
      </w:r>
    </w:p>
  </w:footnote>
  <w:footnote w:id="43">
    <w:p w14:paraId="76D39213" w14:textId="77777777" w:rsidR="004D48FC" w:rsidRPr="004D48FC" w:rsidRDefault="004D48FC" w:rsidP="004D48FC">
      <w:pPr>
        <w:pStyle w:val="ad"/>
        <w:rPr>
          <w:lang w:val="en-US"/>
        </w:rPr>
      </w:pPr>
      <w:r>
        <w:tab/>
      </w:r>
      <w:r w:rsidRPr="00087769">
        <w:rPr>
          <w:rStyle w:val="aa"/>
        </w:rPr>
        <w:footnoteRef/>
      </w:r>
      <w:r w:rsidRPr="004D48FC">
        <w:rPr>
          <w:lang w:val="en-US"/>
        </w:rPr>
        <w:tab/>
      </w:r>
      <w:r w:rsidRPr="00FD6292">
        <w:rPr>
          <w:lang w:val="en-US"/>
        </w:rPr>
        <w:t>ECE</w:t>
      </w:r>
      <w:r w:rsidRPr="004D48FC">
        <w:rPr>
          <w:lang w:val="en-US"/>
        </w:rPr>
        <w:t>/</w:t>
      </w:r>
      <w:r w:rsidRPr="00FD6292">
        <w:rPr>
          <w:lang w:val="en-US"/>
        </w:rPr>
        <w:t>MP</w:t>
      </w:r>
      <w:r w:rsidRPr="004D48FC">
        <w:rPr>
          <w:lang w:val="en-US"/>
        </w:rPr>
        <w:t>.</w:t>
      </w:r>
      <w:r w:rsidRPr="00FD6292">
        <w:rPr>
          <w:lang w:val="en-US"/>
        </w:rPr>
        <w:t>EIA</w:t>
      </w:r>
      <w:r w:rsidRPr="004D48FC">
        <w:rPr>
          <w:lang w:val="en-US"/>
        </w:rPr>
        <w:t>/</w:t>
      </w:r>
      <w:r w:rsidRPr="00FD6292">
        <w:rPr>
          <w:lang w:val="en-US"/>
        </w:rPr>
        <w:t>IC</w:t>
      </w:r>
      <w:r w:rsidRPr="004D48FC">
        <w:rPr>
          <w:lang w:val="en-US"/>
        </w:rPr>
        <w:t xml:space="preserve">/2016/2, </w:t>
      </w:r>
      <w:r>
        <w:t>п</w:t>
      </w:r>
      <w:r w:rsidRPr="004D48FC">
        <w:rPr>
          <w:lang w:val="en-US"/>
        </w:rPr>
        <w:t xml:space="preserve">. 62; </w:t>
      </w:r>
      <w:r w:rsidRPr="00FD6292">
        <w:rPr>
          <w:lang w:val="en-US"/>
        </w:rPr>
        <w:t>ECE</w:t>
      </w:r>
      <w:r w:rsidRPr="004D48FC">
        <w:rPr>
          <w:lang w:val="en-US"/>
        </w:rPr>
        <w:t>/</w:t>
      </w:r>
      <w:r w:rsidRPr="00FD6292">
        <w:rPr>
          <w:lang w:val="en-US"/>
        </w:rPr>
        <w:t>MP</w:t>
      </w:r>
      <w:r w:rsidRPr="004D48FC">
        <w:rPr>
          <w:lang w:val="en-US"/>
        </w:rPr>
        <w:t>.</w:t>
      </w:r>
      <w:r w:rsidRPr="00FD6292">
        <w:rPr>
          <w:lang w:val="en-US"/>
        </w:rPr>
        <w:t>EIA</w:t>
      </w:r>
      <w:r w:rsidRPr="004D48FC">
        <w:rPr>
          <w:lang w:val="en-US"/>
        </w:rPr>
        <w:t xml:space="preserve">/2019/14, </w:t>
      </w:r>
      <w:r>
        <w:t>п</w:t>
      </w:r>
      <w:r w:rsidRPr="004D48FC">
        <w:rPr>
          <w:lang w:val="en-US"/>
        </w:rPr>
        <w:t>. 94.</w:t>
      </w:r>
    </w:p>
  </w:footnote>
  <w:footnote w:id="44">
    <w:p w14:paraId="2D97E50E" w14:textId="77777777" w:rsidR="004D48FC" w:rsidRPr="00FD6292" w:rsidRDefault="004D48FC" w:rsidP="004D48FC">
      <w:pPr>
        <w:pStyle w:val="ad"/>
      </w:pPr>
      <w:r w:rsidRPr="004D48FC">
        <w:rPr>
          <w:lang w:val="en-US"/>
        </w:rPr>
        <w:tab/>
      </w:r>
      <w:r w:rsidRPr="00E00E7B">
        <w:rPr>
          <w:rStyle w:val="aa"/>
        </w:rPr>
        <w:footnoteRef/>
      </w:r>
      <w:r>
        <w:tab/>
      </w:r>
      <w:r>
        <w:rPr>
          <w:i/>
          <w:iCs/>
        </w:rPr>
        <w:t>Руководство по применимости Конвенции</w:t>
      </w:r>
      <w:r w:rsidRPr="001D1AAB">
        <w:t>, п. 58.</w:t>
      </w:r>
    </w:p>
  </w:footnote>
  <w:footnote w:id="45">
    <w:p w14:paraId="373B1132" w14:textId="77777777" w:rsidR="004D48FC" w:rsidRPr="00A84AFA" w:rsidRDefault="004D48FC" w:rsidP="004D48FC">
      <w:pPr>
        <w:pStyle w:val="ad"/>
        <w:rPr>
          <w:lang w:val="es-ES"/>
        </w:rPr>
      </w:pPr>
      <w:r>
        <w:tab/>
      </w:r>
      <w:r w:rsidRPr="00470CA2">
        <w:rPr>
          <w:rStyle w:val="aa"/>
        </w:rPr>
        <w:footnoteRef/>
      </w:r>
      <w:r w:rsidRPr="00A84AFA">
        <w:rPr>
          <w:lang w:val="es-ES"/>
        </w:rPr>
        <w:tab/>
        <w:t>ECE/MP.EIA/27/Add.1–ECE/MP.EIA/SEA/11/Add.1.</w:t>
      </w:r>
    </w:p>
  </w:footnote>
  <w:footnote w:id="46">
    <w:p w14:paraId="700F6D19" w14:textId="77777777" w:rsidR="004D48FC" w:rsidRPr="00A84AFA" w:rsidRDefault="004D48FC" w:rsidP="004D48FC">
      <w:pPr>
        <w:pStyle w:val="ad"/>
        <w:rPr>
          <w:lang w:val="es-ES"/>
        </w:rPr>
      </w:pPr>
      <w:r w:rsidRPr="00A84AFA">
        <w:rPr>
          <w:lang w:val="es-ES"/>
        </w:rPr>
        <w:tab/>
      </w:r>
      <w:r w:rsidRPr="008A7E59">
        <w:rPr>
          <w:rStyle w:val="aa"/>
        </w:rPr>
        <w:footnoteRef/>
      </w:r>
      <w:r w:rsidRPr="00A84AFA">
        <w:rPr>
          <w:lang w:val="es-ES"/>
        </w:rPr>
        <w:tab/>
      </w:r>
      <w:r>
        <w:t>См</w:t>
      </w:r>
      <w:r w:rsidRPr="00A84AFA">
        <w:rPr>
          <w:lang w:val="es-ES"/>
        </w:rPr>
        <w:t xml:space="preserve">. ECE/MP.EIA/IC/2016/2, </w:t>
      </w:r>
      <w:r>
        <w:t>п</w:t>
      </w:r>
      <w:r w:rsidRPr="00A84AFA">
        <w:rPr>
          <w:lang w:val="es-ES"/>
        </w:rPr>
        <w:t xml:space="preserve">. 62; ECE/MP.EIA/2019/14, </w:t>
      </w:r>
      <w:r>
        <w:t>п</w:t>
      </w:r>
      <w:r w:rsidRPr="00A84AFA">
        <w:rPr>
          <w:lang w:val="es-ES"/>
        </w:rPr>
        <w:t>. 94.</w:t>
      </w:r>
    </w:p>
  </w:footnote>
  <w:footnote w:id="47">
    <w:p w14:paraId="1AD9524B" w14:textId="77777777" w:rsidR="004D48FC" w:rsidRPr="00FD6292" w:rsidRDefault="004D48FC" w:rsidP="004D48FC">
      <w:pPr>
        <w:pStyle w:val="ad"/>
      </w:pPr>
      <w:r w:rsidRPr="00A84AFA">
        <w:rPr>
          <w:lang w:val="es-ES"/>
        </w:rPr>
        <w:tab/>
      </w:r>
      <w:r>
        <w:rPr>
          <w:rStyle w:val="aa"/>
        </w:rPr>
        <w:footnoteRef/>
      </w:r>
      <w:r>
        <w:tab/>
        <w:t xml:space="preserve">Письмо Чехии в Комитет по осуществлению от 17 декабря 2021 года, стр. 2. </w:t>
      </w:r>
    </w:p>
  </w:footnote>
  <w:footnote w:id="48">
    <w:p w14:paraId="1E36C49D" w14:textId="77777777" w:rsidR="004D48FC" w:rsidRPr="004D48FC" w:rsidRDefault="004D48FC" w:rsidP="004D48FC">
      <w:pPr>
        <w:pStyle w:val="ad"/>
        <w:rPr>
          <w:lang w:val="en-US"/>
        </w:rPr>
      </w:pPr>
      <w:r>
        <w:tab/>
      </w:r>
      <w:r w:rsidRPr="00BD14A2">
        <w:rPr>
          <w:rStyle w:val="aa"/>
        </w:rPr>
        <w:footnoteRef/>
      </w:r>
      <w:r w:rsidRPr="00FD6292">
        <w:rPr>
          <w:lang w:val="en-US"/>
        </w:rPr>
        <w:tab/>
        <w:t>No. 2 As 9/2011-154, No. 2399/2011 Coll. NSS.</w:t>
      </w:r>
    </w:p>
  </w:footnote>
  <w:footnote w:id="49">
    <w:p w14:paraId="36218BCF" w14:textId="77777777" w:rsidR="004D48FC" w:rsidRPr="00FD6292" w:rsidRDefault="004D48FC" w:rsidP="004D48FC">
      <w:pPr>
        <w:pStyle w:val="ad"/>
      </w:pPr>
      <w:r w:rsidRPr="00FD6292">
        <w:rPr>
          <w:lang w:val="en-US"/>
        </w:rPr>
        <w:tab/>
      </w:r>
      <w:r w:rsidRPr="00BD14A2">
        <w:rPr>
          <w:rStyle w:val="aa"/>
        </w:rPr>
        <w:footnoteRef/>
      </w:r>
      <w:r>
        <w:tab/>
        <w:t>См. информацию о периодических проверках безопасности в документе ECE/MP.EIA/IC/2014/2, п. 53.</w:t>
      </w:r>
    </w:p>
  </w:footnote>
  <w:footnote w:id="50">
    <w:p w14:paraId="3FFD56B2" w14:textId="77777777" w:rsidR="004D48FC" w:rsidRPr="00A84AFA" w:rsidRDefault="004D48FC" w:rsidP="004D48FC">
      <w:pPr>
        <w:pStyle w:val="ad"/>
        <w:rPr>
          <w:lang w:val="es-ES"/>
        </w:rPr>
      </w:pPr>
      <w:r>
        <w:tab/>
      </w:r>
      <w:r w:rsidRPr="006F5401">
        <w:rPr>
          <w:rStyle w:val="aa"/>
        </w:rPr>
        <w:footnoteRef/>
      </w:r>
      <w:r w:rsidRPr="00A84AFA">
        <w:rPr>
          <w:lang w:val="es-ES"/>
        </w:rPr>
        <w:tab/>
        <w:t xml:space="preserve">ECE/MP.EIA/2019/14, </w:t>
      </w:r>
      <w:r>
        <w:t>п</w:t>
      </w:r>
      <w:r w:rsidRPr="00A84AFA">
        <w:rPr>
          <w:lang w:val="es-ES"/>
        </w:rPr>
        <w:t>. 103.</w:t>
      </w:r>
    </w:p>
  </w:footnote>
  <w:footnote w:id="51">
    <w:p w14:paraId="74F3C3FA" w14:textId="77777777" w:rsidR="004D48FC" w:rsidRPr="00A84AFA" w:rsidRDefault="004D48FC" w:rsidP="004D48FC">
      <w:pPr>
        <w:pStyle w:val="ad"/>
        <w:rPr>
          <w:lang w:val="es-ES"/>
        </w:rPr>
      </w:pPr>
      <w:r w:rsidRPr="00A84AFA">
        <w:rPr>
          <w:lang w:val="es-ES"/>
        </w:rPr>
        <w:tab/>
      </w:r>
      <w:r w:rsidRPr="006F5401">
        <w:rPr>
          <w:rStyle w:val="aa"/>
        </w:rPr>
        <w:footnoteRef/>
      </w:r>
      <w:r w:rsidRPr="00A84AFA">
        <w:rPr>
          <w:lang w:val="es-ES"/>
        </w:rPr>
        <w:tab/>
        <w:t>ECE/MP.EIA/27/Add.1–ECE/MP.EIA/SEA/11/Add.1.</w:t>
      </w:r>
    </w:p>
  </w:footnote>
  <w:footnote w:id="52">
    <w:p w14:paraId="46B23B71" w14:textId="77777777" w:rsidR="004D48FC" w:rsidRPr="001D1AAB" w:rsidRDefault="004D48FC" w:rsidP="004D48FC">
      <w:pPr>
        <w:pStyle w:val="ad"/>
      </w:pPr>
      <w:r w:rsidRPr="00A84AFA">
        <w:rPr>
          <w:lang w:val="es-ES"/>
        </w:rPr>
        <w:tab/>
      </w:r>
      <w:r w:rsidRPr="006F5401">
        <w:rPr>
          <w:rStyle w:val="aa"/>
        </w:rPr>
        <w:footnoteRef/>
      </w:r>
      <w:r>
        <w:tab/>
      </w:r>
      <w:r>
        <w:rPr>
          <w:i/>
          <w:iCs/>
        </w:rPr>
        <w:t>Руководство по применимости Конвенции</w:t>
      </w:r>
      <w:r w:rsidRPr="001D1AAB">
        <w:t>, п. 78.</w:t>
      </w:r>
    </w:p>
  </w:footnote>
  <w:footnote w:id="53">
    <w:p w14:paraId="3E9F2E00" w14:textId="77777777" w:rsidR="004D48FC" w:rsidRPr="00FD6292" w:rsidRDefault="004D48FC" w:rsidP="004D48FC">
      <w:pPr>
        <w:pStyle w:val="ad"/>
      </w:pPr>
      <w:r>
        <w:tab/>
      </w:r>
      <w:r w:rsidRPr="002450D7">
        <w:rPr>
          <w:rStyle w:val="aa"/>
          <w:color w:val="000000" w:themeColor="text1"/>
        </w:rPr>
        <w:footnoteRef/>
      </w:r>
      <w:r>
        <w:tab/>
        <w:t>Рекомендации о надлежащей практике применения Конвенции к деятельности в области атомной энергетики, п. 28 (ECE/MP.EIA/2017/10), одобренные Совещанием Сторон на его седьмой сессии (Минск, 13–16 июня 2017 года) в решении VII/6.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FAD0" w14:textId="69C07233" w:rsidR="004D48FC" w:rsidRPr="004D48FC" w:rsidRDefault="004D48FC">
    <w:pPr>
      <w:pStyle w:val="a5"/>
    </w:pPr>
    <w:fldSimple w:instr=" TITLE  \* MERGEFORMAT ">
      <w:r w:rsidR="00106E00">
        <w:t>ECE/MP.EIA/IC/2023/11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13DF" w14:textId="290532FB" w:rsidR="004D48FC" w:rsidRPr="004D48FC" w:rsidRDefault="004D48FC" w:rsidP="004D48FC">
    <w:pPr>
      <w:pStyle w:val="a5"/>
      <w:jc w:val="right"/>
    </w:pPr>
    <w:fldSimple w:instr=" TITLE  \* MERGEFORMAT ">
      <w:r w:rsidR="00106E00">
        <w:t>ECE/MP.EIA/IC/2023/11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8365008">
    <w:abstractNumId w:val="16"/>
  </w:num>
  <w:num w:numId="2" w16cid:durableId="506022689">
    <w:abstractNumId w:val="11"/>
  </w:num>
  <w:num w:numId="3" w16cid:durableId="618686981">
    <w:abstractNumId w:val="10"/>
  </w:num>
  <w:num w:numId="4" w16cid:durableId="310794566">
    <w:abstractNumId w:val="17"/>
  </w:num>
  <w:num w:numId="5" w16cid:durableId="1504317319">
    <w:abstractNumId w:val="13"/>
  </w:num>
  <w:num w:numId="6" w16cid:durableId="1582251796">
    <w:abstractNumId w:val="8"/>
  </w:num>
  <w:num w:numId="7" w16cid:durableId="1650935496">
    <w:abstractNumId w:val="3"/>
  </w:num>
  <w:num w:numId="8" w16cid:durableId="516849269">
    <w:abstractNumId w:val="2"/>
  </w:num>
  <w:num w:numId="9" w16cid:durableId="1209759389">
    <w:abstractNumId w:val="1"/>
  </w:num>
  <w:num w:numId="10" w16cid:durableId="589890170">
    <w:abstractNumId w:val="0"/>
  </w:num>
  <w:num w:numId="11" w16cid:durableId="495846496">
    <w:abstractNumId w:val="9"/>
  </w:num>
  <w:num w:numId="12" w16cid:durableId="1932084496">
    <w:abstractNumId w:val="7"/>
  </w:num>
  <w:num w:numId="13" w16cid:durableId="1866167970">
    <w:abstractNumId w:val="6"/>
  </w:num>
  <w:num w:numId="14" w16cid:durableId="720203278">
    <w:abstractNumId w:val="5"/>
  </w:num>
  <w:num w:numId="15" w16cid:durableId="2046438312">
    <w:abstractNumId w:val="4"/>
  </w:num>
  <w:num w:numId="16" w16cid:durableId="1302149718">
    <w:abstractNumId w:val="15"/>
  </w:num>
  <w:num w:numId="17" w16cid:durableId="2012636642">
    <w:abstractNumId w:val="12"/>
  </w:num>
  <w:num w:numId="18" w16cid:durableId="290214890">
    <w:abstractNumId w:val="14"/>
  </w:num>
  <w:num w:numId="19" w16cid:durableId="191039065">
    <w:abstractNumId w:val="15"/>
  </w:num>
  <w:num w:numId="20" w16cid:durableId="1071196110">
    <w:abstractNumId w:val="12"/>
  </w:num>
  <w:num w:numId="21" w16cid:durableId="103083797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2"/>
    <w:rsid w:val="00033EE1"/>
    <w:rsid w:val="00042B72"/>
    <w:rsid w:val="000558BD"/>
    <w:rsid w:val="000B57E7"/>
    <w:rsid w:val="000B6373"/>
    <w:rsid w:val="000E4E5B"/>
    <w:rsid w:val="000F09DF"/>
    <w:rsid w:val="000F61B2"/>
    <w:rsid w:val="00106E00"/>
    <w:rsid w:val="001075E9"/>
    <w:rsid w:val="0014152F"/>
    <w:rsid w:val="00180183"/>
    <w:rsid w:val="0018024D"/>
    <w:rsid w:val="0018649F"/>
    <w:rsid w:val="00196389"/>
    <w:rsid w:val="001B3EF6"/>
    <w:rsid w:val="001C7A89"/>
    <w:rsid w:val="001D1AAB"/>
    <w:rsid w:val="002427DA"/>
    <w:rsid w:val="00255343"/>
    <w:rsid w:val="0027151D"/>
    <w:rsid w:val="002812B3"/>
    <w:rsid w:val="002A2EFC"/>
    <w:rsid w:val="002B0106"/>
    <w:rsid w:val="002B74B1"/>
    <w:rsid w:val="002C0E18"/>
    <w:rsid w:val="002D4F0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0B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48FC"/>
    <w:rsid w:val="004E05B7"/>
    <w:rsid w:val="004F27A8"/>
    <w:rsid w:val="0050108D"/>
    <w:rsid w:val="00513081"/>
    <w:rsid w:val="00517901"/>
    <w:rsid w:val="00526683"/>
    <w:rsid w:val="00526DB8"/>
    <w:rsid w:val="00560908"/>
    <w:rsid w:val="005639C1"/>
    <w:rsid w:val="005709E0"/>
    <w:rsid w:val="00572E19"/>
    <w:rsid w:val="005961C8"/>
    <w:rsid w:val="005966F1"/>
    <w:rsid w:val="005D7914"/>
    <w:rsid w:val="005E2B41"/>
    <w:rsid w:val="005F0B42"/>
    <w:rsid w:val="0061548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78FE"/>
    <w:rsid w:val="00757357"/>
    <w:rsid w:val="0076609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7F0C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5D9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F52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08C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A8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12890"/>
  <w15:docId w15:val="{493686F1-2AC1-4C70-9191-FF78CB1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D4F0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2D4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1-02/Implementation%20Committee%20structure%20functions%20procedures%20rules.e%202020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sites/default/files/2021-02/Implementation%20Committee%20structure%20functions%20procedures%20rules.e%2020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92285-F63B-4D5D-B374-2B92ADFA0BB3}"/>
</file>

<file path=customXml/itemProps2.xml><?xml version="1.0" encoding="utf-8"?>
<ds:datastoreItem xmlns:ds="http://schemas.openxmlformats.org/officeDocument/2006/customXml" ds:itemID="{D7E7FD5A-F997-43B9-9916-F2270E8DDF1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53</TotalTime>
  <Pages>17</Pages>
  <Words>6807</Words>
  <Characters>42938</Characters>
  <Application>Microsoft Office Word</Application>
  <DocSecurity>0</DocSecurity>
  <Lines>746</Lines>
  <Paragraphs>150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ECE/MP.EIA/IC/2023/11</vt:lpstr>
      <vt:lpstr>A/</vt:lpstr>
      <vt:lpstr>A/</vt:lpstr>
    </vt:vector>
  </TitlesOfParts>
  <Company>DCM</Company>
  <LinksUpToDate>false</LinksUpToDate>
  <CharactersWithSpaces>49621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ECE/MP.EIA/IC/2023/11</dc:title>
  <dc:subject/>
  <dc:creator>Larisa MAYKOVSKAYA</dc:creator>
  <cp:keywords/>
  <cp:lastModifiedBy>Larisa MAYKOVSKAYA</cp:lastModifiedBy>
  <cp:revision>3</cp:revision>
  <cp:lastPrinted>2023-06-19T14:32:00Z</cp:lastPrinted>
  <dcterms:created xsi:type="dcterms:W3CDTF">2023-06-19T14:32:00Z</dcterms:created>
  <dcterms:modified xsi:type="dcterms:W3CDTF">2023-06-19T14:32:00Z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