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4C224E0E"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w:t>
            </w:r>
            <w:r w:rsidR="00787EA9">
              <w:rPr>
                <w:b/>
                <w:sz w:val="40"/>
                <w:szCs w:val="40"/>
              </w:rPr>
              <w:t>8</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74883856"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22983">
              <w:rPr>
                <w:rFonts w:asciiTheme="majorBidi" w:hAnsiTheme="majorBidi" w:cstheme="majorBidi"/>
                <w:b/>
                <w:color w:val="000000"/>
              </w:rPr>
              <w:t>1</w:t>
            </w:r>
            <w:r w:rsidR="00787EA9">
              <w:rPr>
                <w:rFonts w:asciiTheme="majorBidi" w:hAnsiTheme="majorBidi" w:cstheme="majorBidi"/>
                <w:b/>
                <w:color w:val="000000"/>
              </w:rPr>
              <w:t>5</w:t>
            </w:r>
            <w:r w:rsidR="00864759">
              <w:rPr>
                <w:rFonts w:asciiTheme="majorBidi" w:hAnsiTheme="majorBidi" w:cstheme="majorBidi"/>
                <w:b/>
                <w:color w:val="000000"/>
              </w:rPr>
              <w:t xml:space="preserve">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2866EABF" w:rsidR="00401917" w:rsidRPr="006500BA" w:rsidRDefault="00B47909" w:rsidP="00401917">
            <w:r>
              <w:t>Geneva, 3-7 July 2023</w:t>
            </w:r>
          </w:p>
          <w:p w14:paraId="398A43BC" w14:textId="3B8B2017" w:rsidR="00401917" w:rsidRPr="006500BA" w:rsidRDefault="00401917" w:rsidP="00401917">
            <w:r w:rsidRPr="006500BA">
              <w:t xml:space="preserve">Item </w:t>
            </w:r>
            <w:r w:rsidR="00DF3CE7">
              <w:t>3</w:t>
            </w:r>
            <w:r w:rsidRPr="006500BA">
              <w:t xml:space="preserve"> of the provisional agenda</w:t>
            </w:r>
          </w:p>
          <w:p w14:paraId="49DCFCD0" w14:textId="7E54A272" w:rsidR="0099001C" w:rsidRPr="00DA5C98" w:rsidRDefault="009B4221" w:rsidP="004E6690">
            <w:pPr>
              <w:rPr>
                <w:b/>
                <w:bCs/>
                <w:highlight w:val="yellow"/>
              </w:rPr>
            </w:pPr>
            <w:r>
              <w:rPr>
                <w:b/>
                <w:bCs/>
              </w:rPr>
              <w:t>Listing, classification and packing</w:t>
            </w:r>
          </w:p>
        </w:tc>
      </w:tr>
    </w:tbl>
    <w:p w14:paraId="00806DFD" w14:textId="023079D6" w:rsidR="009B4221" w:rsidRDefault="00706D51" w:rsidP="009B4221">
      <w:pPr>
        <w:pStyle w:val="HChG"/>
        <w:rPr>
          <w:lang w:val="fr-BE"/>
        </w:rPr>
      </w:pPr>
      <w:r w:rsidRPr="00BC2AC9">
        <w:rPr>
          <w:rFonts w:eastAsia="MS Mincho"/>
        </w:rPr>
        <w:tab/>
      </w:r>
      <w:r w:rsidRPr="00BC2AC9">
        <w:rPr>
          <w:rFonts w:eastAsia="MS Mincho"/>
        </w:rPr>
        <w:tab/>
      </w:r>
      <w:r w:rsidR="00C378FA" w:rsidRPr="00FF5713">
        <w:rPr>
          <w:lang w:val="fr-BE"/>
        </w:rPr>
        <w:t>Classification of UN</w:t>
      </w:r>
      <w:r w:rsidR="0037033E">
        <w:rPr>
          <w:lang w:val="fr-BE"/>
        </w:rPr>
        <w:t> </w:t>
      </w:r>
      <w:r w:rsidR="00C378FA" w:rsidRPr="00FF5713">
        <w:rPr>
          <w:lang w:val="fr-BE"/>
        </w:rPr>
        <w:t>2372 1,2-DI-(DIMETHYLAMINO)</w:t>
      </w:r>
      <w:r w:rsidR="00C378FA">
        <w:rPr>
          <w:lang w:val="fr-BE"/>
        </w:rPr>
        <w:t xml:space="preserve"> </w:t>
      </w:r>
      <w:r w:rsidR="00C378FA" w:rsidRPr="00FF5713">
        <w:rPr>
          <w:lang w:val="fr-BE"/>
        </w:rPr>
        <w:t>ETHANE</w:t>
      </w:r>
    </w:p>
    <w:p w14:paraId="69C9DCE8" w14:textId="60467899" w:rsidR="00C378FA" w:rsidRPr="00C378FA" w:rsidRDefault="00C378FA" w:rsidP="00C378FA">
      <w:pPr>
        <w:pStyle w:val="H1G"/>
        <w:rPr>
          <w:lang w:val="fr-BE"/>
        </w:rPr>
      </w:pPr>
      <w:r>
        <w:rPr>
          <w:lang w:val="fr-BE"/>
        </w:rPr>
        <w:tab/>
      </w:r>
      <w:r>
        <w:rPr>
          <w:lang w:val="fr-BE"/>
        </w:rPr>
        <w:tab/>
      </w:r>
      <w:r w:rsidR="00395E6E" w:rsidRPr="008A0AC2">
        <w:t xml:space="preserve">Transmitted by the expert from </w:t>
      </w:r>
      <w:r w:rsidR="00395E6E">
        <w:t>Belgium</w:t>
      </w:r>
    </w:p>
    <w:p w14:paraId="446F0381" w14:textId="31710EFF" w:rsidR="00642B44" w:rsidRDefault="0067793E" w:rsidP="00B45049">
      <w:pPr>
        <w:pStyle w:val="HChG"/>
        <w:ind w:left="0" w:firstLine="0"/>
      </w:pPr>
      <w:r>
        <w:tab/>
      </w:r>
      <w:r>
        <w:tab/>
        <w:t>I</w:t>
      </w:r>
      <w:r w:rsidR="00642B44">
        <w:t>ntroduction</w:t>
      </w:r>
    </w:p>
    <w:p w14:paraId="63B851A4" w14:textId="5EB8E07D" w:rsidR="00642B44" w:rsidRDefault="0067793E" w:rsidP="00B45049">
      <w:pPr>
        <w:pStyle w:val="SingleTxtG"/>
      </w:pPr>
      <w:r>
        <w:t>1.</w:t>
      </w:r>
      <w:r>
        <w:tab/>
      </w:r>
      <w:r w:rsidR="00642B44" w:rsidRPr="001566FB">
        <w:t>UN</w:t>
      </w:r>
      <w:r w:rsidR="00082F0E">
        <w:t> </w:t>
      </w:r>
      <w:r w:rsidR="00642B44" w:rsidRPr="001566FB">
        <w:t>2372 1,2-DI-(DIMETHYLAMIN</w:t>
      </w:r>
      <w:r w:rsidR="00642B44">
        <w:t>O</w:t>
      </w:r>
      <w:r w:rsidR="00642B44" w:rsidRPr="001566FB">
        <w:t>) ETHANE</w:t>
      </w:r>
      <w:r w:rsidR="00642B44">
        <w:t xml:space="preserve"> also known as N,N,N',N'-tetramethyl-ethaan-1,2-diamine (TEMED)</w:t>
      </w:r>
      <w:r w:rsidR="00642B44" w:rsidRPr="001566FB">
        <w:t xml:space="preserve"> is a chemical compound th</w:t>
      </w:r>
      <w:r w:rsidR="00642B44">
        <w:t>at can be used as a ligand in complex-forming reactions.</w:t>
      </w:r>
    </w:p>
    <w:p w14:paraId="3120E4FC" w14:textId="3C53B9F3" w:rsidR="00642B44" w:rsidRDefault="0067793E" w:rsidP="0067793E">
      <w:pPr>
        <w:pStyle w:val="SingleTxtG"/>
      </w:pPr>
      <w:r>
        <w:rPr>
          <w:iCs/>
          <w:sz w:val="24"/>
          <w:szCs w:val="24"/>
        </w:rPr>
        <w:t>2.</w:t>
      </w:r>
      <w:r>
        <w:rPr>
          <w:iCs/>
          <w:sz w:val="24"/>
          <w:szCs w:val="24"/>
        </w:rPr>
        <w:tab/>
      </w:r>
      <w:r w:rsidR="00642B44">
        <w:t>In 1974, UN</w:t>
      </w:r>
      <w:r w:rsidR="00082F0E">
        <w:t> </w:t>
      </w:r>
      <w:r w:rsidR="00642B44">
        <w:t>2372 was mentioned in the report of the eight session of the committee on the transport of dangerous goods (</w:t>
      </w:r>
      <w:hyperlink r:id="rId11" w:history="1">
        <w:r w:rsidR="00642B44" w:rsidRPr="000F6CDE">
          <w:rPr>
            <w:rStyle w:val="Hyperlink"/>
          </w:rPr>
          <w:t>E/CN.2/CONF.5/57</w:t>
        </w:r>
      </w:hyperlink>
      <w:r w:rsidR="00642B44">
        <w:t>). In annex 2 of th</w:t>
      </w:r>
      <w:r w:rsidR="00270AF5">
        <w:t>at</w:t>
      </w:r>
      <w:r w:rsidR="00642B44">
        <w:t xml:space="preserve"> report, UN</w:t>
      </w:r>
      <w:r w:rsidR="005E0CA6">
        <w:t> </w:t>
      </w:r>
      <w:r w:rsidR="00642B44">
        <w:t>2372 was listed as a flammable liquid (</w:t>
      </w:r>
      <w:r w:rsidR="00EA5316">
        <w:t>c</w:t>
      </w:r>
      <w:r w:rsidR="00642B44">
        <w:t xml:space="preserve">lass 3), packing group </w:t>
      </w:r>
      <w:r w:rsidR="001B7316">
        <w:t xml:space="preserve">(PG) </w:t>
      </w:r>
      <w:r w:rsidR="00642B44">
        <w:t>II. A classification which is still valid today.</w:t>
      </w:r>
    </w:p>
    <w:p w14:paraId="737E5C77" w14:textId="3117DCC4" w:rsidR="00642B44" w:rsidRDefault="0067793E" w:rsidP="0067793E">
      <w:pPr>
        <w:pStyle w:val="SingleTxtG"/>
      </w:pPr>
      <w:r>
        <w:t>3.</w:t>
      </w:r>
      <w:r>
        <w:tab/>
      </w:r>
      <w:r w:rsidR="00642B44">
        <w:t>Depending on the consulted source the given flashpoint for UN</w:t>
      </w:r>
      <w:r w:rsidR="0081356A">
        <w:t> </w:t>
      </w:r>
      <w:r w:rsidR="00642B44">
        <w:t>2372 is 17-20 °C and the boiling point ~ 121 °C, while its melting point is -55 °C. Thus, this substance clearly meets the criteria to be classified as a class 3, packing group II flammable liquid according to the criteria given in 2.3.2.6 of the Model Regulations (flash point &lt; 23 °C, boiling point &gt;</w:t>
      </w:r>
      <w:r w:rsidR="00246E57">
        <w:t> </w:t>
      </w:r>
      <w:r w:rsidR="00642B44">
        <w:t>35 °C).</w:t>
      </w:r>
    </w:p>
    <w:p w14:paraId="793C77BD" w14:textId="6C36913E" w:rsidR="00642B44" w:rsidRPr="00C80CD7" w:rsidRDefault="0067793E" w:rsidP="00C80CD7">
      <w:pPr>
        <w:pStyle w:val="SingleTxtG"/>
      </w:pPr>
      <w:r>
        <w:t>4.</w:t>
      </w:r>
      <w:r>
        <w:tab/>
      </w:r>
      <w:r w:rsidR="00642B44">
        <w:t>The REACH-file</w:t>
      </w:r>
      <w:r w:rsidR="00642B44">
        <w:rPr>
          <w:rStyle w:val="FootnoteReference"/>
        </w:rPr>
        <w:footnoteReference w:id="2"/>
      </w:r>
      <w:r w:rsidR="00642B44">
        <w:t xml:space="preserve"> for this substance contains data from several studies that indicate that TEMED in addition harbors corrosive properties. Most noteworthy is data from a study done in 2000 during which New Zealand White Rabbits were exposed to TEMED for 3’, 1</w:t>
      </w:r>
      <w:r w:rsidR="007D647F">
        <w:t> </w:t>
      </w:r>
      <w:r w:rsidR="00642B44">
        <w:t>h and 4 h and observations done for corrosive effects 1 h and 24 h after patch removal. For all exposure times, no visible necrosis was observed 1h after patch removal, but was observed 24</w:t>
      </w:r>
      <w:r w:rsidR="00DA763A">
        <w:t> </w:t>
      </w:r>
      <w:r w:rsidR="00642B44">
        <w:t>h after patch removal. Note also that the 4 h exposure was terminated after 1 h due to the severity of the observed irritative effects.</w:t>
      </w:r>
    </w:p>
    <w:p w14:paraId="3877AB9F" w14:textId="008E4381" w:rsidR="00642B44" w:rsidRDefault="00036E8F" w:rsidP="00036E8F">
      <w:pPr>
        <w:pStyle w:val="SingleTxtG"/>
      </w:pPr>
      <w:r>
        <w:rPr>
          <w:iCs/>
          <w:sz w:val="24"/>
          <w:szCs w:val="24"/>
        </w:rPr>
        <w:t>5.</w:t>
      </w:r>
      <w:r>
        <w:rPr>
          <w:iCs/>
          <w:sz w:val="24"/>
          <w:szCs w:val="24"/>
        </w:rPr>
        <w:tab/>
      </w:r>
      <w:r w:rsidR="00642B44">
        <w:t xml:space="preserve">When these data would be applied according to 2.8.3.3 of the Model Regulations, this substance would meet the criteria for classification as a </w:t>
      </w:r>
      <w:r w:rsidR="00EA5316">
        <w:t>c</w:t>
      </w:r>
      <w:r w:rsidR="00642B44">
        <w:t>lass 8 corrosive substance. Given that no necrosis was observed after ≤ 60 min</w:t>
      </w:r>
      <w:r w:rsidR="00153A98">
        <w:t>utes</w:t>
      </w:r>
      <w:r w:rsidR="00642B44">
        <w:t>, but was observed after 24 h for exposure times of 3 min</w:t>
      </w:r>
      <w:r w:rsidR="00153A98">
        <w:t>utes</w:t>
      </w:r>
      <w:r w:rsidR="00642B44">
        <w:t xml:space="preserve"> and 1 h, TEMED would meet the criteria for inclusion in </w:t>
      </w:r>
      <w:r w:rsidR="006637C0">
        <w:t>PG</w:t>
      </w:r>
      <w:r w:rsidR="00477F2A">
        <w:t> </w:t>
      </w:r>
      <w:r w:rsidR="00642B44">
        <w:t>II.</w:t>
      </w:r>
    </w:p>
    <w:p w14:paraId="61FFB273" w14:textId="2C1121C8" w:rsidR="00642B44" w:rsidRDefault="00036E8F" w:rsidP="00036E8F">
      <w:pPr>
        <w:pStyle w:val="SingleTxtG"/>
      </w:pPr>
      <w:r>
        <w:rPr>
          <w:iCs/>
          <w:sz w:val="24"/>
          <w:szCs w:val="24"/>
        </w:rPr>
        <w:t>6.</w:t>
      </w:r>
      <w:r>
        <w:rPr>
          <w:iCs/>
          <w:sz w:val="24"/>
          <w:szCs w:val="24"/>
        </w:rPr>
        <w:tab/>
      </w:r>
      <w:r w:rsidR="00642B44">
        <w:t>Under GHS/CLP, TEMED is classified as category 1B (H314) for skin corrosion/irritation. Indicating again it’s corrosive properties.</w:t>
      </w:r>
    </w:p>
    <w:p w14:paraId="74A187F2" w14:textId="5F0493F9" w:rsidR="00642B44" w:rsidRDefault="00036E8F" w:rsidP="00036E8F">
      <w:pPr>
        <w:pStyle w:val="SingleTxtG"/>
      </w:pPr>
      <w:r>
        <w:t>7.</w:t>
      </w:r>
      <w:r>
        <w:tab/>
      </w:r>
      <w:r w:rsidR="00642B44">
        <w:t>Also, in table A1.19 of Annex 1 of the GHS it is indicated that substances that are in category 1B for skin corrosion/irritation (H314) would require a class 8 label during transport. As such, providing yet another indication that UN</w:t>
      </w:r>
      <w:r w:rsidR="00AB4630">
        <w:t> </w:t>
      </w:r>
      <w:r w:rsidR="00642B44">
        <w:t>2372 harbors corrosive properties that meet the class 8 criteria according to the Model Regulations.</w:t>
      </w:r>
    </w:p>
    <w:p w14:paraId="5476B2B8" w14:textId="732EEEA2" w:rsidR="00642B44" w:rsidRDefault="00E24CC0" w:rsidP="00E24CC0">
      <w:pPr>
        <w:pStyle w:val="SingleTxtG"/>
      </w:pPr>
      <w:r>
        <w:lastRenderedPageBreak/>
        <w:t>8.</w:t>
      </w:r>
      <w:r>
        <w:tab/>
      </w:r>
      <w:r w:rsidR="00642B44">
        <w:t>When applying the precedence of hazard criteria given in 2.0.3.3 for a substance that classifies for class 3, PG</w:t>
      </w:r>
      <w:r w:rsidR="00347FB9">
        <w:t> </w:t>
      </w:r>
      <w:r w:rsidR="00642B44">
        <w:t>II and class 8, PG</w:t>
      </w:r>
      <w:r w:rsidR="00347FB9">
        <w:t> </w:t>
      </w:r>
      <w:r w:rsidR="00642B44">
        <w:t xml:space="preserve">II, it follows that </w:t>
      </w:r>
      <w:r w:rsidR="008F20FB">
        <w:t>c</w:t>
      </w:r>
      <w:r w:rsidR="00642B44">
        <w:t>lass 3, PG</w:t>
      </w:r>
      <w:r w:rsidR="00347FB9">
        <w:t> </w:t>
      </w:r>
      <w:r w:rsidR="00642B44">
        <w:t>II should remain the primary hazard and that class 8 should be assigned as a subsidiary hazard.</w:t>
      </w:r>
    </w:p>
    <w:p w14:paraId="7F5E4167" w14:textId="546A517E" w:rsidR="00642B44" w:rsidRDefault="00E24CC0" w:rsidP="00E24CC0">
      <w:pPr>
        <w:pStyle w:val="SingleTxtG"/>
      </w:pPr>
      <w:r>
        <w:t>9.</w:t>
      </w:r>
      <w:r>
        <w:tab/>
      </w:r>
      <w:r w:rsidR="00642B44">
        <w:t xml:space="preserve">When applying the guidelines given in the Guiding Principles, there is one other change that would have to be applied to the Dangerous Goods </w:t>
      </w:r>
      <w:r w:rsidR="00355CD0">
        <w:t>L</w:t>
      </w:r>
      <w:r w:rsidR="00642B44">
        <w:t>ist. According to Table 4.3 of the Guiding Principles, portable tank code T4 is to be applied to class 3, PG</w:t>
      </w:r>
      <w:r w:rsidR="00402552">
        <w:t> </w:t>
      </w:r>
      <w:r w:rsidR="00642B44">
        <w:t xml:space="preserve">II substances with subsidiary hazard other than 6.1 or 8. To </w:t>
      </w:r>
      <w:r w:rsidR="001A3F5D">
        <w:t>c</w:t>
      </w:r>
      <w:r w:rsidR="00642B44">
        <w:t>lass 3, PG</w:t>
      </w:r>
      <w:r w:rsidR="00402552">
        <w:t> </w:t>
      </w:r>
      <w:r w:rsidR="00642B44">
        <w:t>II substances with subsidiary hazards 6.1 or 8, the portable tank code should rather be T7 instead of T4. The main difference between those two tank codes is that the required test pressure rises from 2</w:t>
      </w:r>
      <w:r w:rsidR="00147D0B">
        <w:t>.</w:t>
      </w:r>
      <w:r w:rsidR="00642B44">
        <w:t>65 bar to 4 bar.</w:t>
      </w:r>
    </w:p>
    <w:p w14:paraId="5E00043A" w14:textId="303C01D8" w:rsidR="00642B44" w:rsidRPr="00C06FDA" w:rsidRDefault="00E24CC0" w:rsidP="00E24CC0">
      <w:pPr>
        <w:pStyle w:val="HChG"/>
      </w:pPr>
      <w:r>
        <w:tab/>
      </w:r>
      <w:r>
        <w:tab/>
      </w:r>
      <w:r w:rsidR="00642B44" w:rsidRPr="00C06FDA">
        <w:t>Proposal</w:t>
      </w:r>
    </w:p>
    <w:p w14:paraId="41AF0FFE" w14:textId="1C3757FE" w:rsidR="00642B44" w:rsidRDefault="00E24CC0" w:rsidP="00E24CC0">
      <w:pPr>
        <w:pStyle w:val="SingleTxtG"/>
      </w:pPr>
      <w:r>
        <w:t>10.</w:t>
      </w:r>
      <w:r>
        <w:tab/>
      </w:r>
      <w:r w:rsidR="00642B44" w:rsidRPr="005134A8">
        <w:t xml:space="preserve">Amend in the Dangerous Goods List </w:t>
      </w:r>
      <w:r w:rsidR="000D2DAB" w:rsidRPr="005134A8">
        <w:t xml:space="preserve">the entry </w:t>
      </w:r>
      <w:r w:rsidR="00642B44" w:rsidRPr="005134A8">
        <w:t>for UN</w:t>
      </w:r>
      <w:r w:rsidR="00147D0B">
        <w:t> </w:t>
      </w:r>
      <w:r w:rsidR="00642B44" w:rsidRPr="005134A8">
        <w:t>2372</w:t>
      </w:r>
      <w:r w:rsidR="000D2DAB">
        <w:t>,</w:t>
      </w:r>
      <w:r w:rsidR="00642B44" w:rsidRPr="005134A8">
        <w:t xml:space="preserve"> as follows</w:t>
      </w:r>
      <w:r w:rsidR="0057444F">
        <w:t xml:space="preserve"> (</w:t>
      </w:r>
      <w:r w:rsidR="00197982">
        <w:t>a</w:t>
      </w:r>
      <w:r w:rsidR="00642B44">
        <w:t>mendments in bold, n</w:t>
      </w:r>
      <w:r w:rsidR="00642B44" w:rsidRPr="005134A8">
        <w:t xml:space="preserve">ew text </w:t>
      </w:r>
      <w:r w:rsidR="00642B44" w:rsidRPr="00E32E1A">
        <w:rPr>
          <w:b/>
          <w:bCs/>
          <w:u w:val="single"/>
        </w:rPr>
        <w:t>underlined</w:t>
      </w:r>
      <w:r w:rsidR="00642B44" w:rsidRPr="005134A8">
        <w:t xml:space="preserve">, deleted text </w:t>
      </w:r>
      <w:r w:rsidR="00642B44" w:rsidRPr="00E32E1A">
        <w:rPr>
          <w:b/>
          <w:bCs/>
          <w:strike/>
        </w:rPr>
        <w:t>stricken through</w:t>
      </w:r>
      <w:r w:rsidR="0057444F">
        <w:t>):</w:t>
      </w:r>
    </w:p>
    <w:tbl>
      <w:tblPr>
        <w:tblStyle w:val="TableGrid"/>
        <w:tblpPr w:leftFromText="141" w:rightFromText="141" w:vertAnchor="text" w:horzAnchor="margin" w:tblpXSpec="center" w:tblpY="167"/>
        <w:tblW w:w="9771" w:type="dxa"/>
        <w:tblLayout w:type="fixed"/>
        <w:tblLook w:val="04A0" w:firstRow="1" w:lastRow="0" w:firstColumn="1" w:lastColumn="0" w:noHBand="0" w:noVBand="1"/>
      </w:tblPr>
      <w:tblGrid>
        <w:gridCol w:w="561"/>
        <w:gridCol w:w="2978"/>
        <w:gridCol w:w="468"/>
        <w:gridCol w:w="390"/>
        <w:gridCol w:w="391"/>
        <w:gridCol w:w="493"/>
        <w:gridCol w:w="520"/>
        <w:gridCol w:w="523"/>
        <w:gridCol w:w="902"/>
        <w:gridCol w:w="902"/>
        <w:gridCol w:w="821"/>
        <w:gridCol w:w="822"/>
      </w:tblGrid>
      <w:tr w:rsidR="00642B44" w14:paraId="0AF66E07" w14:textId="77777777" w:rsidTr="004F247E">
        <w:trPr>
          <w:trHeight w:val="1335"/>
        </w:trPr>
        <w:tc>
          <w:tcPr>
            <w:tcW w:w="561" w:type="dxa"/>
            <w:vMerge w:val="restart"/>
            <w:textDirection w:val="btLr"/>
            <w:vAlign w:val="center"/>
          </w:tcPr>
          <w:p w14:paraId="740564D4" w14:textId="77777777" w:rsidR="00642B44" w:rsidRDefault="00642B44" w:rsidP="004F247E">
            <w:pPr>
              <w:pStyle w:val="ListParagraph"/>
              <w:ind w:left="113" w:right="113"/>
              <w:jc w:val="center"/>
            </w:pPr>
            <w:r>
              <w:t>UN No.</w:t>
            </w:r>
          </w:p>
        </w:tc>
        <w:tc>
          <w:tcPr>
            <w:tcW w:w="2978" w:type="dxa"/>
            <w:vMerge w:val="restart"/>
            <w:textDirection w:val="btLr"/>
            <w:vAlign w:val="center"/>
          </w:tcPr>
          <w:p w14:paraId="0DFA05E4" w14:textId="77777777" w:rsidR="00642B44" w:rsidRDefault="00642B44" w:rsidP="004F247E">
            <w:pPr>
              <w:pStyle w:val="ListParagraph"/>
              <w:ind w:left="113" w:right="113"/>
              <w:jc w:val="center"/>
            </w:pPr>
            <w:r>
              <w:t>Name and description</w:t>
            </w:r>
          </w:p>
        </w:tc>
        <w:tc>
          <w:tcPr>
            <w:tcW w:w="468" w:type="dxa"/>
            <w:vMerge w:val="restart"/>
            <w:textDirection w:val="btLr"/>
            <w:vAlign w:val="center"/>
          </w:tcPr>
          <w:p w14:paraId="4BC0AC75" w14:textId="77777777" w:rsidR="00642B44" w:rsidRDefault="00642B44" w:rsidP="004F247E">
            <w:pPr>
              <w:pStyle w:val="ListParagraph"/>
              <w:ind w:left="113" w:right="113"/>
              <w:jc w:val="center"/>
            </w:pPr>
            <w:r>
              <w:t>Class or division</w:t>
            </w:r>
          </w:p>
        </w:tc>
        <w:tc>
          <w:tcPr>
            <w:tcW w:w="390" w:type="dxa"/>
            <w:vMerge w:val="restart"/>
            <w:textDirection w:val="btLr"/>
            <w:vAlign w:val="center"/>
          </w:tcPr>
          <w:p w14:paraId="39A4D9EC" w14:textId="77777777" w:rsidR="00642B44" w:rsidRDefault="00642B44" w:rsidP="004F247E">
            <w:pPr>
              <w:pStyle w:val="ListParagraph"/>
              <w:ind w:left="113" w:right="113"/>
              <w:jc w:val="center"/>
            </w:pPr>
            <w:r>
              <w:t>Subsidiary hazard</w:t>
            </w:r>
          </w:p>
        </w:tc>
        <w:tc>
          <w:tcPr>
            <w:tcW w:w="391" w:type="dxa"/>
            <w:vMerge w:val="restart"/>
            <w:textDirection w:val="btLr"/>
            <w:vAlign w:val="center"/>
          </w:tcPr>
          <w:p w14:paraId="04490F46" w14:textId="77777777" w:rsidR="00642B44" w:rsidRDefault="00642B44" w:rsidP="004F247E">
            <w:pPr>
              <w:pStyle w:val="ListParagraph"/>
              <w:ind w:left="113" w:right="113"/>
              <w:jc w:val="center"/>
            </w:pPr>
            <w:r>
              <w:t>UN packing group</w:t>
            </w:r>
          </w:p>
        </w:tc>
        <w:tc>
          <w:tcPr>
            <w:tcW w:w="493" w:type="dxa"/>
            <w:vMerge w:val="restart"/>
            <w:textDirection w:val="btLr"/>
            <w:vAlign w:val="center"/>
          </w:tcPr>
          <w:p w14:paraId="01DBB06C" w14:textId="77777777" w:rsidR="00642B44" w:rsidRDefault="00642B44" w:rsidP="004F247E">
            <w:pPr>
              <w:pStyle w:val="ListParagraph"/>
              <w:ind w:left="113" w:right="113"/>
              <w:jc w:val="center"/>
            </w:pPr>
            <w:r>
              <w:t>Special provisions</w:t>
            </w:r>
          </w:p>
        </w:tc>
        <w:tc>
          <w:tcPr>
            <w:tcW w:w="1043" w:type="dxa"/>
            <w:gridSpan w:val="2"/>
            <w:vMerge w:val="restart"/>
            <w:textDirection w:val="btLr"/>
            <w:vAlign w:val="center"/>
          </w:tcPr>
          <w:p w14:paraId="640BD75B" w14:textId="77777777" w:rsidR="00642B44" w:rsidRPr="00630446" w:rsidRDefault="00642B44" w:rsidP="004F247E">
            <w:pPr>
              <w:pStyle w:val="ListParagraph"/>
              <w:ind w:left="113" w:right="113"/>
              <w:jc w:val="center"/>
            </w:pPr>
            <w:r w:rsidRPr="00630446">
              <w:t>Limited and excepted quantities</w:t>
            </w:r>
          </w:p>
        </w:tc>
        <w:tc>
          <w:tcPr>
            <w:tcW w:w="1804" w:type="dxa"/>
            <w:gridSpan w:val="2"/>
            <w:textDirection w:val="btLr"/>
            <w:vAlign w:val="center"/>
          </w:tcPr>
          <w:p w14:paraId="355199C6" w14:textId="77777777" w:rsidR="00642B44" w:rsidRPr="00630446" w:rsidRDefault="00642B44" w:rsidP="004F247E">
            <w:pPr>
              <w:pStyle w:val="ListParagraph"/>
              <w:ind w:left="113" w:right="113"/>
              <w:jc w:val="center"/>
            </w:pPr>
            <w:r w:rsidRPr="004C4CDF">
              <w:t>Packagings and IBCs</w:t>
            </w:r>
          </w:p>
        </w:tc>
        <w:tc>
          <w:tcPr>
            <w:tcW w:w="1643" w:type="dxa"/>
            <w:gridSpan w:val="2"/>
            <w:textDirection w:val="btLr"/>
            <w:vAlign w:val="center"/>
          </w:tcPr>
          <w:p w14:paraId="16851800" w14:textId="77777777" w:rsidR="00642B44" w:rsidRPr="004C4CDF" w:rsidRDefault="00642B44" w:rsidP="004F247E">
            <w:pPr>
              <w:pStyle w:val="ListParagraph"/>
              <w:ind w:left="113" w:right="113"/>
              <w:jc w:val="center"/>
            </w:pPr>
            <w:r w:rsidRPr="004C4CDF">
              <w:t>Portable tanks and bulk containers</w:t>
            </w:r>
          </w:p>
        </w:tc>
      </w:tr>
      <w:tr w:rsidR="00642B44" w14:paraId="132547FE" w14:textId="77777777" w:rsidTr="004F247E">
        <w:trPr>
          <w:trHeight w:val="1474"/>
        </w:trPr>
        <w:tc>
          <w:tcPr>
            <w:tcW w:w="561" w:type="dxa"/>
            <w:vMerge/>
            <w:textDirection w:val="btLr"/>
            <w:vAlign w:val="center"/>
          </w:tcPr>
          <w:p w14:paraId="2AE7B499" w14:textId="77777777" w:rsidR="00642B44" w:rsidRDefault="00642B44" w:rsidP="004F247E">
            <w:pPr>
              <w:pStyle w:val="ListParagraph"/>
              <w:ind w:left="113" w:right="113"/>
              <w:jc w:val="center"/>
            </w:pPr>
          </w:p>
        </w:tc>
        <w:tc>
          <w:tcPr>
            <w:tcW w:w="2978" w:type="dxa"/>
            <w:vMerge/>
            <w:textDirection w:val="btLr"/>
            <w:vAlign w:val="center"/>
          </w:tcPr>
          <w:p w14:paraId="160811F3" w14:textId="77777777" w:rsidR="00642B44" w:rsidRDefault="00642B44" w:rsidP="004F247E">
            <w:pPr>
              <w:pStyle w:val="ListParagraph"/>
              <w:ind w:left="113" w:right="113"/>
              <w:jc w:val="center"/>
            </w:pPr>
          </w:p>
        </w:tc>
        <w:tc>
          <w:tcPr>
            <w:tcW w:w="468" w:type="dxa"/>
            <w:vMerge/>
            <w:textDirection w:val="btLr"/>
            <w:vAlign w:val="center"/>
          </w:tcPr>
          <w:p w14:paraId="4EA54BE0" w14:textId="77777777" w:rsidR="00642B44" w:rsidRDefault="00642B44" w:rsidP="004F247E">
            <w:pPr>
              <w:pStyle w:val="ListParagraph"/>
              <w:ind w:left="113" w:right="113"/>
              <w:jc w:val="center"/>
            </w:pPr>
          </w:p>
        </w:tc>
        <w:tc>
          <w:tcPr>
            <w:tcW w:w="390" w:type="dxa"/>
            <w:vMerge/>
            <w:textDirection w:val="btLr"/>
            <w:vAlign w:val="center"/>
          </w:tcPr>
          <w:p w14:paraId="365CBDD9" w14:textId="77777777" w:rsidR="00642B44" w:rsidRDefault="00642B44" w:rsidP="004F247E">
            <w:pPr>
              <w:pStyle w:val="ListParagraph"/>
              <w:ind w:left="113" w:right="113"/>
              <w:jc w:val="center"/>
            </w:pPr>
          </w:p>
        </w:tc>
        <w:tc>
          <w:tcPr>
            <w:tcW w:w="391" w:type="dxa"/>
            <w:vMerge/>
            <w:textDirection w:val="btLr"/>
            <w:vAlign w:val="center"/>
          </w:tcPr>
          <w:p w14:paraId="1EEBEFC5" w14:textId="77777777" w:rsidR="00642B44" w:rsidRDefault="00642B44" w:rsidP="004F247E">
            <w:pPr>
              <w:pStyle w:val="ListParagraph"/>
              <w:ind w:left="113" w:right="113"/>
              <w:jc w:val="center"/>
            </w:pPr>
          </w:p>
        </w:tc>
        <w:tc>
          <w:tcPr>
            <w:tcW w:w="493" w:type="dxa"/>
            <w:vMerge/>
            <w:textDirection w:val="btLr"/>
            <w:vAlign w:val="center"/>
          </w:tcPr>
          <w:p w14:paraId="5C5A2C69" w14:textId="77777777" w:rsidR="00642B44" w:rsidRDefault="00642B44" w:rsidP="004F247E">
            <w:pPr>
              <w:pStyle w:val="ListParagraph"/>
              <w:ind w:left="113" w:right="113"/>
              <w:jc w:val="center"/>
            </w:pPr>
          </w:p>
        </w:tc>
        <w:tc>
          <w:tcPr>
            <w:tcW w:w="1043" w:type="dxa"/>
            <w:gridSpan w:val="2"/>
            <w:vMerge/>
            <w:textDirection w:val="btLr"/>
            <w:vAlign w:val="center"/>
          </w:tcPr>
          <w:p w14:paraId="0A669BCE" w14:textId="77777777" w:rsidR="00642B44" w:rsidRPr="00630446" w:rsidRDefault="00642B44" w:rsidP="004F247E">
            <w:pPr>
              <w:pStyle w:val="ListParagraph"/>
              <w:ind w:left="113" w:right="113"/>
              <w:jc w:val="center"/>
            </w:pPr>
          </w:p>
        </w:tc>
        <w:tc>
          <w:tcPr>
            <w:tcW w:w="902" w:type="dxa"/>
            <w:textDirection w:val="btLr"/>
            <w:vAlign w:val="center"/>
          </w:tcPr>
          <w:p w14:paraId="1D73D148" w14:textId="77777777" w:rsidR="00642B44" w:rsidRPr="00630446" w:rsidRDefault="00642B44" w:rsidP="004F247E">
            <w:pPr>
              <w:pStyle w:val="ListParagraph"/>
              <w:ind w:left="113" w:right="113"/>
              <w:jc w:val="center"/>
            </w:pPr>
            <w:r w:rsidRPr="004C4CDF">
              <w:t>Packing instruction</w:t>
            </w:r>
          </w:p>
        </w:tc>
        <w:tc>
          <w:tcPr>
            <w:tcW w:w="902" w:type="dxa"/>
            <w:textDirection w:val="btLr"/>
            <w:vAlign w:val="center"/>
          </w:tcPr>
          <w:p w14:paraId="7F306768" w14:textId="77777777" w:rsidR="00642B44" w:rsidRPr="00630446" w:rsidRDefault="00642B44" w:rsidP="004F247E">
            <w:pPr>
              <w:pStyle w:val="ListParagraph"/>
              <w:ind w:left="113" w:right="113"/>
              <w:jc w:val="center"/>
            </w:pPr>
            <w:r w:rsidRPr="004C4CDF">
              <w:t>Special packing provisions</w:t>
            </w:r>
          </w:p>
        </w:tc>
        <w:tc>
          <w:tcPr>
            <w:tcW w:w="821" w:type="dxa"/>
            <w:textDirection w:val="btLr"/>
            <w:vAlign w:val="center"/>
          </w:tcPr>
          <w:p w14:paraId="7EFC0015" w14:textId="77777777" w:rsidR="00642B44" w:rsidRPr="004C4CDF" w:rsidRDefault="00642B44" w:rsidP="004F247E">
            <w:pPr>
              <w:pStyle w:val="ListParagraph"/>
              <w:ind w:left="113" w:right="113"/>
              <w:jc w:val="center"/>
            </w:pPr>
            <w:r w:rsidRPr="004C4CDF">
              <w:t>Instructions</w:t>
            </w:r>
          </w:p>
        </w:tc>
        <w:tc>
          <w:tcPr>
            <w:tcW w:w="822" w:type="dxa"/>
            <w:textDirection w:val="btLr"/>
            <w:vAlign w:val="center"/>
          </w:tcPr>
          <w:p w14:paraId="249C16D9" w14:textId="77777777" w:rsidR="00642B44" w:rsidRPr="004C4CDF" w:rsidRDefault="00642B44" w:rsidP="004F247E">
            <w:pPr>
              <w:pStyle w:val="ListParagraph"/>
              <w:ind w:left="113" w:right="113"/>
              <w:jc w:val="center"/>
            </w:pPr>
            <w:r w:rsidRPr="004C4CDF">
              <w:t>Special provisions</w:t>
            </w:r>
          </w:p>
        </w:tc>
      </w:tr>
      <w:tr w:rsidR="00642B44" w14:paraId="50334AA4" w14:textId="77777777" w:rsidTr="004F247E">
        <w:tc>
          <w:tcPr>
            <w:tcW w:w="561" w:type="dxa"/>
          </w:tcPr>
          <w:p w14:paraId="1847A7DA" w14:textId="77777777" w:rsidR="00642B44" w:rsidRDefault="00642B44" w:rsidP="004F247E">
            <w:pPr>
              <w:pStyle w:val="ListParagraph"/>
              <w:ind w:left="0"/>
              <w:jc w:val="center"/>
            </w:pPr>
            <w:r>
              <w:t>(1)</w:t>
            </w:r>
          </w:p>
        </w:tc>
        <w:tc>
          <w:tcPr>
            <w:tcW w:w="2978" w:type="dxa"/>
          </w:tcPr>
          <w:p w14:paraId="0FFF221A" w14:textId="77777777" w:rsidR="00642B44" w:rsidRDefault="00642B44" w:rsidP="004F247E">
            <w:pPr>
              <w:pStyle w:val="ListParagraph"/>
              <w:ind w:left="0"/>
              <w:jc w:val="center"/>
            </w:pPr>
            <w:r>
              <w:t>(2)</w:t>
            </w:r>
          </w:p>
        </w:tc>
        <w:tc>
          <w:tcPr>
            <w:tcW w:w="468" w:type="dxa"/>
          </w:tcPr>
          <w:p w14:paraId="49CBF2FF" w14:textId="77777777" w:rsidR="00642B44" w:rsidRDefault="00642B44" w:rsidP="004F247E">
            <w:pPr>
              <w:pStyle w:val="ListParagraph"/>
              <w:ind w:left="0"/>
              <w:jc w:val="center"/>
            </w:pPr>
            <w:r>
              <w:t>(3)</w:t>
            </w:r>
          </w:p>
        </w:tc>
        <w:tc>
          <w:tcPr>
            <w:tcW w:w="390" w:type="dxa"/>
          </w:tcPr>
          <w:p w14:paraId="3035F947" w14:textId="77777777" w:rsidR="00642B44" w:rsidRDefault="00642B44" w:rsidP="004F247E">
            <w:pPr>
              <w:pStyle w:val="ListParagraph"/>
              <w:ind w:left="0"/>
              <w:jc w:val="center"/>
            </w:pPr>
            <w:r>
              <w:t>(4)</w:t>
            </w:r>
          </w:p>
        </w:tc>
        <w:tc>
          <w:tcPr>
            <w:tcW w:w="391" w:type="dxa"/>
          </w:tcPr>
          <w:p w14:paraId="21A8EE10" w14:textId="77777777" w:rsidR="00642B44" w:rsidRDefault="00642B44" w:rsidP="004F247E">
            <w:pPr>
              <w:pStyle w:val="ListParagraph"/>
              <w:ind w:left="0"/>
              <w:jc w:val="center"/>
            </w:pPr>
            <w:r>
              <w:t>(5)</w:t>
            </w:r>
          </w:p>
        </w:tc>
        <w:tc>
          <w:tcPr>
            <w:tcW w:w="493" w:type="dxa"/>
          </w:tcPr>
          <w:p w14:paraId="68C1AA69" w14:textId="77777777" w:rsidR="00642B44" w:rsidRDefault="00642B44" w:rsidP="004F247E">
            <w:pPr>
              <w:pStyle w:val="ListParagraph"/>
              <w:ind w:left="0"/>
              <w:jc w:val="center"/>
            </w:pPr>
            <w:r>
              <w:t>(6)</w:t>
            </w:r>
          </w:p>
        </w:tc>
        <w:tc>
          <w:tcPr>
            <w:tcW w:w="520" w:type="dxa"/>
          </w:tcPr>
          <w:p w14:paraId="68B36CBD" w14:textId="77777777" w:rsidR="00642B44" w:rsidRDefault="00642B44" w:rsidP="004F247E">
            <w:pPr>
              <w:pStyle w:val="ListParagraph"/>
              <w:ind w:left="0"/>
              <w:jc w:val="center"/>
            </w:pPr>
            <w:r>
              <w:t>(7a)</w:t>
            </w:r>
          </w:p>
        </w:tc>
        <w:tc>
          <w:tcPr>
            <w:tcW w:w="523" w:type="dxa"/>
          </w:tcPr>
          <w:p w14:paraId="465F6C65" w14:textId="77777777" w:rsidR="00642B44" w:rsidRDefault="00642B44" w:rsidP="004F247E">
            <w:pPr>
              <w:pStyle w:val="ListParagraph"/>
              <w:ind w:left="0"/>
              <w:jc w:val="center"/>
            </w:pPr>
            <w:r>
              <w:t>(7b)</w:t>
            </w:r>
          </w:p>
        </w:tc>
        <w:tc>
          <w:tcPr>
            <w:tcW w:w="902" w:type="dxa"/>
          </w:tcPr>
          <w:p w14:paraId="55CE4172" w14:textId="77777777" w:rsidR="00642B44" w:rsidRDefault="00642B44" w:rsidP="004F247E">
            <w:pPr>
              <w:pStyle w:val="ListParagraph"/>
              <w:ind w:left="0"/>
              <w:jc w:val="center"/>
            </w:pPr>
            <w:r>
              <w:t>(8)</w:t>
            </w:r>
          </w:p>
        </w:tc>
        <w:tc>
          <w:tcPr>
            <w:tcW w:w="902" w:type="dxa"/>
          </w:tcPr>
          <w:p w14:paraId="64B19BB0" w14:textId="77777777" w:rsidR="00642B44" w:rsidRDefault="00642B44" w:rsidP="004F247E">
            <w:pPr>
              <w:pStyle w:val="ListParagraph"/>
              <w:ind w:left="0"/>
              <w:jc w:val="center"/>
            </w:pPr>
            <w:r>
              <w:t>(9)</w:t>
            </w:r>
          </w:p>
        </w:tc>
        <w:tc>
          <w:tcPr>
            <w:tcW w:w="821" w:type="dxa"/>
          </w:tcPr>
          <w:p w14:paraId="0CAE90A6" w14:textId="77777777" w:rsidR="00642B44" w:rsidRDefault="00642B44" w:rsidP="004F247E">
            <w:pPr>
              <w:pStyle w:val="ListParagraph"/>
              <w:ind w:left="0"/>
              <w:jc w:val="center"/>
            </w:pPr>
            <w:r>
              <w:t>(10)</w:t>
            </w:r>
          </w:p>
        </w:tc>
        <w:tc>
          <w:tcPr>
            <w:tcW w:w="822" w:type="dxa"/>
          </w:tcPr>
          <w:p w14:paraId="1FEFDE63" w14:textId="77777777" w:rsidR="00642B44" w:rsidRDefault="00642B44" w:rsidP="004F247E">
            <w:pPr>
              <w:pStyle w:val="ListParagraph"/>
              <w:ind w:left="0"/>
              <w:jc w:val="center"/>
            </w:pPr>
            <w:r>
              <w:t>(11)</w:t>
            </w:r>
          </w:p>
        </w:tc>
      </w:tr>
      <w:tr w:rsidR="00642B44" w14:paraId="6BAB15C7" w14:textId="77777777" w:rsidTr="004F247E">
        <w:tc>
          <w:tcPr>
            <w:tcW w:w="561" w:type="dxa"/>
            <w:vAlign w:val="center"/>
          </w:tcPr>
          <w:p w14:paraId="5AC344C7" w14:textId="77777777" w:rsidR="00642B44" w:rsidRDefault="00642B44" w:rsidP="004F247E">
            <w:pPr>
              <w:pStyle w:val="ListParagraph"/>
              <w:ind w:left="0"/>
              <w:jc w:val="center"/>
            </w:pPr>
            <w:r>
              <w:t>2372</w:t>
            </w:r>
          </w:p>
        </w:tc>
        <w:tc>
          <w:tcPr>
            <w:tcW w:w="2978" w:type="dxa"/>
            <w:vAlign w:val="center"/>
          </w:tcPr>
          <w:p w14:paraId="10325FE9" w14:textId="77777777" w:rsidR="00642B44" w:rsidRDefault="00642B44" w:rsidP="004F247E">
            <w:pPr>
              <w:pStyle w:val="ListParagraph"/>
              <w:jc w:val="center"/>
            </w:pPr>
            <w:r>
              <w:t xml:space="preserve">1,2-DI-(DIMETHYLAMINO) </w:t>
            </w:r>
            <w:r>
              <w:br/>
              <w:t>ETHANE</w:t>
            </w:r>
          </w:p>
        </w:tc>
        <w:tc>
          <w:tcPr>
            <w:tcW w:w="468" w:type="dxa"/>
            <w:vAlign w:val="center"/>
          </w:tcPr>
          <w:p w14:paraId="77962A69" w14:textId="77777777" w:rsidR="00642B44" w:rsidRDefault="00642B44" w:rsidP="004F247E">
            <w:pPr>
              <w:pStyle w:val="ListParagraph"/>
              <w:ind w:left="0"/>
              <w:jc w:val="center"/>
            </w:pPr>
            <w:r>
              <w:t>3</w:t>
            </w:r>
          </w:p>
        </w:tc>
        <w:tc>
          <w:tcPr>
            <w:tcW w:w="390" w:type="dxa"/>
            <w:vAlign w:val="center"/>
          </w:tcPr>
          <w:p w14:paraId="56E5E3E5" w14:textId="77777777" w:rsidR="00642B44" w:rsidRPr="00E32E1A" w:rsidRDefault="00642B44" w:rsidP="004F247E">
            <w:pPr>
              <w:pStyle w:val="ListParagraph"/>
              <w:ind w:left="0"/>
              <w:jc w:val="center"/>
              <w:rPr>
                <w:b/>
                <w:bCs/>
                <w:u w:val="single"/>
              </w:rPr>
            </w:pPr>
            <w:r w:rsidRPr="00E32E1A">
              <w:rPr>
                <w:b/>
                <w:bCs/>
                <w:u w:val="single"/>
              </w:rPr>
              <w:t>8</w:t>
            </w:r>
          </w:p>
        </w:tc>
        <w:tc>
          <w:tcPr>
            <w:tcW w:w="391" w:type="dxa"/>
            <w:vAlign w:val="center"/>
          </w:tcPr>
          <w:p w14:paraId="4C64BBCE" w14:textId="77777777" w:rsidR="00642B44" w:rsidRDefault="00642B44" w:rsidP="004F247E">
            <w:pPr>
              <w:pStyle w:val="ListParagraph"/>
              <w:ind w:left="0"/>
              <w:jc w:val="center"/>
            </w:pPr>
            <w:r>
              <w:t>II</w:t>
            </w:r>
          </w:p>
        </w:tc>
        <w:tc>
          <w:tcPr>
            <w:tcW w:w="493" w:type="dxa"/>
            <w:vAlign w:val="center"/>
          </w:tcPr>
          <w:p w14:paraId="4F85B217" w14:textId="77777777" w:rsidR="00642B44" w:rsidRDefault="00642B44" w:rsidP="004F247E">
            <w:pPr>
              <w:pStyle w:val="ListParagraph"/>
              <w:ind w:left="0"/>
              <w:jc w:val="center"/>
            </w:pPr>
          </w:p>
        </w:tc>
        <w:tc>
          <w:tcPr>
            <w:tcW w:w="520" w:type="dxa"/>
            <w:vAlign w:val="center"/>
          </w:tcPr>
          <w:p w14:paraId="570DF78B" w14:textId="77777777" w:rsidR="00642B44" w:rsidRDefault="00642B44" w:rsidP="004F247E">
            <w:pPr>
              <w:pStyle w:val="ListParagraph"/>
              <w:ind w:left="0"/>
              <w:jc w:val="center"/>
            </w:pPr>
            <w:r>
              <w:t>1L</w:t>
            </w:r>
          </w:p>
        </w:tc>
        <w:tc>
          <w:tcPr>
            <w:tcW w:w="523" w:type="dxa"/>
            <w:vAlign w:val="center"/>
          </w:tcPr>
          <w:p w14:paraId="4DDE6B82" w14:textId="77777777" w:rsidR="00642B44" w:rsidRDefault="00642B44" w:rsidP="004F247E">
            <w:pPr>
              <w:pStyle w:val="ListParagraph"/>
              <w:ind w:left="0"/>
              <w:jc w:val="center"/>
            </w:pPr>
            <w:r>
              <w:t>E2</w:t>
            </w:r>
          </w:p>
        </w:tc>
        <w:tc>
          <w:tcPr>
            <w:tcW w:w="902" w:type="dxa"/>
            <w:vAlign w:val="center"/>
          </w:tcPr>
          <w:p w14:paraId="68CF3629" w14:textId="77777777" w:rsidR="00642B44" w:rsidRDefault="00642B44" w:rsidP="004F247E">
            <w:pPr>
              <w:pStyle w:val="ListParagraph"/>
              <w:ind w:left="0"/>
              <w:jc w:val="center"/>
            </w:pPr>
            <w:r>
              <w:t>P001</w:t>
            </w:r>
            <w:r>
              <w:br/>
              <w:t>IBC02</w:t>
            </w:r>
          </w:p>
        </w:tc>
        <w:tc>
          <w:tcPr>
            <w:tcW w:w="902" w:type="dxa"/>
            <w:vAlign w:val="center"/>
          </w:tcPr>
          <w:p w14:paraId="705DBE39" w14:textId="77777777" w:rsidR="00642B44" w:rsidRDefault="00642B44" w:rsidP="004F247E">
            <w:pPr>
              <w:pStyle w:val="ListParagraph"/>
              <w:ind w:left="0"/>
              <w:jc w:val="center"/>
            </w:pPr>
          </w:p>
        </w:tc>
        <w:tc>
          <w:tcPr>
            <w:tcW w:w="821" w:type="dxa"/>
            <w:vAlign w:val="center"/>
          </w:tcPr>
          <w:p w14:paraId="57579029" w14:textId="77777777" w:rsidR="00642B44" w:rsidRPr="00E32E1A" w:rsidRDefault="00642B44" w:rsidP="004F247E">
            <w:pPr>
              <w:pStyle w:val="ListParagraph"/>
              <w:ind w:left="0"/>
              <w:jc w:val="center"/>
              <w:rPr>
                <w:b/>
                <w:bCs/>
                <w:strike/>
                <w:u w:val="single"/>
              </w:rPr>
            </w:pPr>
            <w:r w:rsidRPr="00E32E1A">
              <w:rPr>
                <w:b/>
                <w:bCs/>
                <w:strike/>
              </w:rPr>
              <w:t>T4</w:t>
            </w:r>
            <w:r w:rsidRPr="00E32E1A">
              <w:rPr>
                <w:b/>
                <w:bCs/>
                <w:strike/>
                <w:u w:val="single"/>
              </w:rPr>
              <w:br/>
            </w:r>
            <w:r w:rsidRPr="00E32E1A">
              <w:rPr>
                <w:b/>
                <w:bCs/>
                <w:u w:val="single"/>
              </w:rPr>
              <w:t>T7</w:t>
            </w:r>
          </w:p>
        </w:tc>
        <w:tc>
          <w:tcPr>
            <w:tcW w:w="822" w:type="dxa"/>
            <w:vAlign w:val="center"/>
          </w:tcPr>
          <w:p w14:paraId="55424DAF" w14:textId="77777777" w:rsidR="00642B44" w:rsidRDefault="00642B44" w:rsidP="004F247E">
            <w:pPr>
              <w:pStyle w:val="ListParagraph"/>
              <w:ind w:left="0"/>
              <w:jc w:val="center"/>
            </w:pPr>
            <w:r>
              <w:t>TP1</w:t>
            </w:r>
          </w:p>
        </w:tc>
      </w:tr>
    </w:tbl>
    <w:p w14:paraId="1D6F6004" w14:textId="77777777" w:rsidR="00642B44" w:rsidRDefault="00642B44" w:rsidP="007E67FF">
      <w:pPr>
        <w:pStyle w:val="ListParagraph"/>
        <w:ind w:left="0"/>
        <w:rPr>
          <w:iCs/>
        </w:rPr>
      </w:pPr>
    </w:p>
    <w:p w14:paraId="3607AA41" w14:textId="08723DEC" w:rsidR="00642B44" w:rsidRPr="00D40878" w:rsidRDefault="007E67FF" w:rsidP="007E67FF">
      <w:pPr>
        <w:pStyle w:val="SingleTxtG"/>
      </w:pPr>
      <w:r>
        <w:t>11.</w:t>
      </w:r>
      <w:r>
        <w:tab/>
      </w:r>
      <w:r w:rsidR="00642B44" w:rsidRPr="008F638E">
        <w:t>Since changing the assigned tank code T4 to the more stringent tank code T7 can have an impact on the transporters of UN</w:t>
      </w:r>
      <w:r w:rsidR="00197982">
        <w:t> </w:t>
      </w:r>
      <w:r w:rsidR="00642B44" w:rsidRPr="008F638E">
        <w:t>2372, while to our knowledge no incidents have occurred, it seems reasonable to foresee a transitional period.</w:t>
      </w:r>
    </w:p>
    <w:p w14:paraId="5F1B46A5" w14:textId="73C3F363" w:rsidR="00642B44" w:rsidRPr="00022E74" w:rsidRDefault="007E67FF" w:rsidP="007E67FF">
      <w:pPr>
        <w:pStyle w:val="HChG"/>
      </w:pPr>
      <w:r>
        <w:tab/>
      </w:r>
      <w:r>
        <w:tab/>
      </w:r>
      <w:r w:rsidR="00642B44" w:rsidRPr="00022E74">
        <w:t>Sustainable development goals</w:t>
      </w:r>
    </w:p>
    <w:p w14:paraId="227C1A34" w14:textId="19F3A726" w:rsidR="00DF64B4" w:rsidRPr="00DF64B4" w:rsidRDefault="007E67FF" w:rsidP="007E67FF">
      <w:pPr>
        <w:pStyle w:val="SingleTxtG"/>
      </w:pPr>
      <w:r>
        <w:t>12.</w:t>
      </w:r>
      <w:r>
        <w:tab/>
      </w:r>
      <w:r w:rsidR="00642B44" w:rsidRPr="00041C15">
        <w:t>This informa</w:t>
      </w:r>
      <w:r w:rsidR="000D2DAB">
        <w:t>l document</w:t>
      </w:r>
      <w:r w:rsidR="00642B44" w:rsidRPr="00041C15">
        <w:t xml:space="preserve"> </w:t>
      </w:r>
      <w:r w:rsidR="00642B44">
        <w:t>contributes</w:t>
      </w:r>
      <w:r w:rsidR="00642B44" w:rsidRPr="00041C15">
        <w:t xml:space="preserve"> to </w:t>
      </w:r>
      <w:r w:rsidR="00642B44">
        <w:t xml:space="preserve">Sustainable Development Goal 12 </w:t>
      </w:r>
      <w:r>
        <w:t>"</w:t>
      </w:r>
      <w:r w:rsidR="00642B44" w:rsidRPr="007E67FF">
        <w:rPr>
          <w:i/>
          <w:iCs/>
        </w:rPr>
        <w:t>Ensure sustainable consumption and production patterns” and more specifically its target 12.4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r>
        <w: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6BBD" w14:textId="77777777" w:rsidR="001F0D8E" w:rsidRDefault="001F0D8E"/>
  </w:endnote>
  <w:endnote w:type="continuationSeparator" w:id="0">
    <w:p w14:paraId="0A9D2DBC" w14:textId="77777777" w:rsidR="001F0D8E" w:rsidRDefault="001F0D8E"/>
  </w:endnote>
  <w:endnote w:type="continuationNotice" w:id="1">
    <w:p w14:paraId="7ACAAC1A" w14:textId="77777777" w:rsidR="001F0D8E" w:rsidRDefault="001F0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9611" w14:textId="77777777" w:rsidR="001F0D8E" w:rsidRPr="000B175B" w:rsidRDefault="001F0D8E" w:rsidP="000B175B">
      <w:pPr>
        <w:tabs>
          <w:tab w:val="right" w:pos="2155"/>
        </w:tabs>
        <w:spacing w:after="80"/>
        <w:ind w:left="680"/>
        <w:rPr>
          <w:u w:val="single"/>
        </w:rPr>
      </w:pPr>
      <w:r>
        <w:rPr>
          <w:u w:val="single"/>
        </w:rPr>
        <w:tab/>
      </w:r>
    </w:p>
  </w:footnote>
  <w:footnote w:type="continuationSeparator" w:id="0">
    <w:p w14:paraId="2BDF16AA" w14:textId="77777777" w:rsidR="001F0D8E" w:rsidRPr="00FC68B7" w:rsidRDefault="001F0D8E" w:rsidP="00FC68B7">
      <w:pPr>
        <w:tabs>
          <w:tab w:val="left" w:pos="2155"/>
        </w:tabs>
        <w:spacing w:after="80"/>
        <w:ind w:left="680"/>
        <w:rPr>
          <w:u w:val="single"/>
        </w:rPr>
      </w:pPr>
      <w:r>
        <w:rPr>
          <w:u w:val="single"/>
        </w:rPr>
        <w:tab/>
      </w:r>
    </w:p>
  </w:footnote>
  <w:footnote w:type="continuationNotice" w:id="1">
    <w:p w14:paraId="3521CAC7" w14:textId="77777777" w:rsidR="001F0D8E" w:rsidRDefault="001F0D8E"/>
  </w:footnote>
  <w:footnote w:id="2">
    <w:p w14:paraId="7E61F7F8" w14:textId="444756A4" w:rsidR="00642B44" w:rsidRPr="009B5231" w:rsidRDefault="0029221D" w:rsidP="0029221D">
      <w:pPr>
        <w:pStyle w:val="FootnoteText"/>
        <w:rPr>
          <w:lang w:val="fr-BE"/>
        </w:rPr>
      </w:pPr>
      <w:r>
        <w:tab/>
      </w:r>
      <w:r w:rsidR="00642B44">
        <w:rPr>
          <w:rStyle w:val="FootnoteReference"/>
        </w:rPr>
        <w:footnoteRef/>
      </w:r>
      <w:r w:rsidR="00507B43">
        <w:tab/>
      </w:r>
      <w:hyperlink r:id="rId1" w:history="1">
        <w:r w:rsidR="00507B43" w:rsidRPr="001805AD">
          <w:rPr>
            <w:rStyle w:val="Hyperlink"/>
          </w:rPr>
          <w:t>https://echa.europa.eu/nl/registration-dossier/-/registered-dossier/27608/7/4/2/?documentUUID=65c68a58-38bb-4524-9497-30d2925959a7</w:t>
        </w:r>
      </w:hyperlink>
      <w:r w:rsidR="00507B43">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3ED69DBA" w:rsidR="006C0DC6" w:rsidRPr="0099001C" w:rsidRDefault="006C0DC6" w:rsidP="00366CA7">
    <w:pPr>
      <w:pStyle w:val="Header"/>
    </w:pPr>
    <w:r>
      <w:t>UN/SCE</w:t>
    </w:r>
    <w:r w:rsidR="00C01A22">
      <w:t>TDG</w:t>
    </w:r>
    <w:r>
      <w:t>/</w:t>
    </w:r>
    <w:r w:rsidR="00685FC7">
      <w:t>62</w:t>
    </w:r>
    <w:r>
      <w:t>/INF.</w:t>
    </w:r>
    <w:r w:rsidR="00864759">
      <w:t>1</w:t>
    </w:r>
    <w:r w:rsidR="0067793E">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294885F" w:rsidR="006C0DC6" w:rsidRPr="0099001C" w:rsidRDefault="006C0DC6" w:rsidP="0099001C">
    <w:pPr>
      <w:pStyle w:val="Header"/>
      <w:jc w:val="right"/>
    </w:pPr>
    <w:r>
      <w:t>UN/SCE</w:t>
    </w:r>
    <w:r w:rsidR="00C01A22">
      <w:t>TDG</w:t>
    </w:r>
    <w:r>
      <w:t>/</w:t>
    </w:r>
    <w:r w:rsidR="00C83CA0">
      <w:t>62</w:t>
    </w:r>
    <w:r w:rsidR="00C07F9E">
      <w:t>/</w:t>
    </w:r>
    <w:r>
      <w:t>INF.</w:t>
    </w:r>
    <w:r w:rsidR="00864759">
      <w:t>1</w:t>
    </w:r>
    <w:r w:rsidR="004836D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5D6E"/>
    <w:multiLevelType w:val="hybridMultilevel"/>
    <w:tmpl w:val="03C63280"/>
    <w:lvl w:ilvl="0" w:tplc="E2C05DA0">
      <w:numFmt w:val="bullet"/>
      <w:lvlText w:val="-"/>
      <w:lvlJc w:val="left"/>
      <w:pPr>
        <w:ind w:left="2769" w:hanging="360"/>
      </w:pPr>
      <w:rPr>
        <w:rFonts w:ascii="Times New Roman" w:eastAsia="Times New Roman" w:hAnsi="Times New Roman" w:cs="Times New Roman"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 w15:restartNumberingAfterBreak="0">
    <w:nsid w:val="0FCE0912"/>
    <w:multiLevelType w:val="hybridMultilevel"/>
    <w:tmpl w:val="503A1B7A"/>
    <w:lvl w:ilvl="0" w:tplc="7D6278C8">
      <w:start w:val="1"/>
      <w:numFmt w:val="decimal"/>
      <w:lvlText w:val="%1."/>
      <w:lvlJc w:val="right"/>
      <w:pPr>
        <w:ind w:left="1290" w:hanging="360"/>
      </w:pPr>
      <w:rPr>
        <w:rFonts w:hint="default"/>
        <w:b w:val="0"/>
        <w:bCs w:val="0"/>
        <w:i w:val="0"/>
        <w:iCs/>
        <w:sz w:val="24"/>
        <w:szCs w:val="24"/>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3" w15:restartNumberingAfterBreak="0">
    <w:nsid w:val="31386190"/>
    <w:multiLevelType w:val="multilevel"/>
    <w:tmpl w:val="09AC634E"/>
    <w:lvl w:ilvl="0">
      <w:start w:val="1"/>
      <w:numFmt w:val="decimal"/>
      <w:lvlText w:val="%1."/>
      <w:lvlJc w:val="left"/>
      <w:pPr>
        <w:ind w:left="1494" w:hanging="360"/>
      </w:pPr>
      <w:rPr>
        <w:rFonts w:hint="default"/>
        <w:b/>
      </w:rPr>
    </w:lvl>
    <w:lvl w:ilvl="1">
      <w:start w:val="1"/>
      <w:numFmt w:val="decimal"/>
      <w:isLgl/>
      <w:lvlText w:val="%1.%2"/>
      <w:lvlJc w:val="left"/>
      <w:pPr>
        <w:ind w:left="1854" w:hanging="36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2934" w:hanging="72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014" w:hanging="1080"/>
      </w:pPr>
      <w:rPr>
        <w:rFonts w:hint="default"/>
        <w:b/>
      </w:rPr>
    </w:lvl>
    <w:lvl w:ilvl="6">
      <w:start w:val="1"/>
      <w:numFmt w:val="decimal"/>
      <w:isLgl/>
      <w:lvlText w:val="%1.%2.%3.%4.%5.%6.%7"/>
      <w:lvlJc w:val="left"/>
      <w:pPr>
        <w:ind w:left="4734" w:hanging="1440"/>
      </w:pPr>
      <w:rPr>
        <w:rFonts w:hint="default"/>
        <w:b/>
      </w:rPr>
    </w:lvl>
    <w:lvl w:ilvl="7">
      <w:start w:val="1"/>
      <w:numFmt w:val="decimal"/>
      <w:isLgl/>
      <w:lvlText w:val="%1.%2.%3.%4.%5.%6.%7.%8"/>
      <w:lvlJc w:val="left"/>
      <w:pPr>
        <w:ind w:left="5094" w:hanging="1440"/>
      </w:pPr>
      <w:rPr>
        <w:rFonts w:hint="default"/>
        <w:b/>
      </w:rPr>
    </w:lvl>
    <w:lvl w:ilvl="8">
      <w:start w:val="1"/>
      <w:numFmt w:val="decimal"/>
      <w:isLgl/>
      <w:lvlText w:val="%1.%2.%3.%4.%5.%6.%7.%8.%9"/>
      <w:lvlJc w:val="left"/>
      <w:pPr>
        <w:ind w:left="5814" w:hanging="1800"/>
      </w:pPr>
      <w:rPr>
        <w:rFonts w:hint="default"/>
        <w:b/>
      </w:rPr>
    </w:lvl>
  </w:abstractNum>
  <w:abstractNum w:abstractNumId="4"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ACC7079"/>
    <w:multiLevelType w:val="multilevel"/>
    <w:tmpl w:val="29F4F05C"/>
    <w:lvl w:ilvl="0">
      <w:start w:val="3"/>
      <w:numFmt w:val="decimal"/>
      <w:lvlText w:val="%1"/>
      <w:lvlJc w:val="left"/>
      <w:pPr>
        <w:ind w:left="400" w:hanging="400"/>
      </w:pPr>
      <w:rPr>
        <w:rFonts w:hint="default"/>
      </w:rPr>
    </w:lvl>
    <w:lvl w:ilvl="1">
      <w:start w:val="7"/>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5810F8"/>
    <w:multiLevelType w:val="hybridMultilevel"/>
    <w:tmpl w:val="B9CC4F22"/>
    <w:lvl w:ilvl="0" w:tplc="D03407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251390"/>
    <w:multiLevelType w:val="hybridMultilevel"/>
    <w:tmpl w:val="ACFE11F2"/>
    <w:lvl w:ilvl="0" w:tplc="3BB03842">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401802585">
    <w:abstractNumId w:val="0"/>
  </w:num>
  <w:num w:numId="2" w16cid:durableId="1332098558">
    <w:abstractNumId w:val="9"/>
  </w:num>
  <w:num w:numId="3" w16cid:durableId="1067217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605998">
    <w:abstractNumId w:val="4"/>
  </w:num>
  <w:num w:numId="5" w16cid:durableId="953439575">
    <w:abstractNumId w:val="6"/>
  </w:num>
  <w:num w:numId="6" w16cid:durableId="935290162">
    <w:abstractNumId w:val="3"/>
  </w:num>
  <w:num w:numId="7" w16cid:durableId="1459451718">
    <w:abstractNumId w:val="1"/>
  </w:num>
  <w:num w:numId="8" w16cid:durableId="275455172">
    <w:abstractNumId w:val="7"/>
  </w:num>
  <w:num w:numId="9" w16cid:durableId="1462914749">
    <w:abstractNumId w:val="5"/>
  </w:num>
  <w:num w:numId="10" w16cid:durableId="1971399349">
    <w:abstractNumId w:val="10"/>
  </w:num>
  <w:num w:numId="11" w16cid:durableId="198118190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126D2"/>
    <w:rsid w:val="00012767"/>
    <w:rsid w:val="000137FF"/>
    <w:rsid w:val="00013D99"/>
    <w:rsid w:val="000170CB"/>
    <w:rsid w:val="000204EA"/>
    <w:rsid w:val="0002214E"/>
    <w:rsid w:val="00025C33"/>
    <w:rsid w:val="0003123C"/>
    <w:rsid w:val="00031CBB"/>
    <w:rsid w:val="00033B3D"/>
    <w:rsid w:val="00034E80"/>
    <w:rsid w:val="00036E8F"/>
    <w:rsid w:val="00042858"/>
    <w:rsid w:val="00042DC9"/>
    <w:rsid w:val="00043E1A"/>
    <w:rsid w:val="0004433E"/>
    <w:rsid w:val="000448F5"/>
    <w:rsid w:val="00050F6B"/>
    <w:rsid w:val="00051214"/>
    <w:rsid w:val="00052AC5"/>
    <w:rsid w:val="00054C58"/>
    <w:rsid w:val="00055014"/>
    <w:rsid w:val="0005512E"/>
    <w:rsid w:val="00056270"/>
    <w:rsid w:val="00057F51"/>
    <w:rsid w:val="000604EC"/>
    <w:rsid w:val="000609DB"/>
    <w:rsid w:val="000668CB"/>
    <w:rsid w:val="0006754E"/>
    <w:rsid w:val="000723E7"/>
    <w:rsid w:val="00072C8C"/>
    <w:rsid w:val="00076279"/>
    <w:rsid w:val="00076E62"/>
    <w:rsid w:val="000778B2"/>
    <w:rsid w:val="000803B3"/>
    <w:rsid w:val="00081647"/>
    <w:rsid w:val="00081F44"/>
    <w:rsid w:val="00082F0E"/>
    <w:rsid w:val="00083694"/>
    <w:rsid w:val="00083C33"/>
    <w:rsid w:val="000877CA"/>
    <w:rsid w:val="00090A51"/>
    <w:rsid w:val="000931C0"/>
    <w:rsid w:val="0009390A"/>
    <w:rsid w:val="0009481C"/>
    <w:rsid w:val="00096CD4"/>
    <w:rsid w:val="000A0664"/>
    <w:rsid w:val="000A0F8C"/>
    <w:rsid w:val="000A18E8"/>
    <w:rsid w:val="000A22EE"/>
    <w:rsid w:val="000A2372"/>
    <w:rsid w:val="000A3E88"/>
    <w:rsid w:val="000A5146"/>
    <w:rsid w:val="000B175B"/>
    <w:rsid w:val="000B3A0F"/>
    <w:rsid w:val="000B4AAF"/>
    <w:rsid w:val="000B4C96"/>
    <w:rsid w:val="000C0C81"/>
    <w:rsid w:val="000C0CCF"/>
    <w:rsid w:val="000C1589"/>
    <w:rsid w:val="000C25B7"/>
    <w:rsid w:val="000C38D0"/>
    <w:rsid w:val="000C5B0B"/>
    <w:rsid w:val="000C6544"/>
    <w:rsid w:val="000C6A00"/>
    <w:rsid w:val="000D14AA"/>
    <w:rsid w:val="000D191F"/>
    <w:rsid w:val="000D2DAB"/>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5BE"/>
    <w:rsid w:val="00123D08"/>
    <w:rsid w:val="001240C5"/>
    <w:rsid w:val="00126AA6"/>
    <w:rsid w:val="0013106B"/>
    <w:rsid w:val="00132EE2"/>
    <w:rsid w:val="0013397C"/>
    <w:rsid w:val="00134971"/>
    <w:rsid w:val="001362CB"/>
    <w:rsid w:val="0013641F"/>
    <w:rsid w:val="001373F3"/>
    <w:rsid w:val="00137D36"/>
    <w:rsid w:val="001413E6"/>
    <w:rsid w:val="00144078"/>
    <w:rsid w:val="00147D0B"/>
    <w:rsid w:val="00153A98"/>
    <w:rsid w:val="001547CA"/>
    <w:rsid w:val="00156F3C"/>
    <w:rsid w:val="001608BE"/>
    <w:rsid w:val="00162389"/>
    <w:rsid w:val="00162BF7"/>
    <w:rsid w:val="00163012"/>
    <w:rsid w:val="00163D0D"/>
    <w:rsid w:val="00165823"/>
    <w:rsid w:val="0016583F"/>
    <w:rsid w:val="001661FA"/>
    <w:rsid w:val="00172643"/>
    <w:rsid w:val="00172AF7"/>
    <w:rsid w:val="00175196"/>
    <w:rsid w:val="001806E6"/>
    <w:rsid w:val="00184ED4"/>
    <w:rsid w:val="00190AEA"/>
    <w:rsid w:val="001913D8"/>
    <w:rsid w:val="001968A3"/>
    <w:rsid w:val="00196CD0"/>
    <w:rsid w:val="00197982"/>
    <w:rsid w:val="001A1B3F"/>
    <w:rsid w:val="001A2C53"/>
    <w:rsid w:val="001A3CE1"/>
    <w:rsid w:val="001A3F5D"/>
    <w:rsid w:val="001A42F3"/>
    <w:rsid w:val="001B1308"/>
    <w:rsid w:val="001B1F42"/>
    <w:rsid w:val="001B4B04"/>
    <w:rsid w:val="001B7316"/>
    <w:rsid w:val="001B7FE6"/>
    <w:rsid w:val="001C0BFF"/>
    <w:rsid w:val="001C6663"/>
    <w:rsid w:val="001C7895"/>
    <w:rsid w:val="001D1E09"/>
    <w:rsid w:val="001D1E2A"/>
    <w:rsid w:val="001D26DF"/>
    <w:rsid w:val="001D5B87"/>
    <w:rsid w:val="001D6D9F"/>
    <w:rsid w:val="001E47FD"/>
    <w:rsid w:val="001E4C75"/>
    <w:rsid w:val="001E58EE"/>
    <w:rsid w:val="001E5A79"/>
    <w:rsid w:val="001E710B"/>
    <w:rsid w:val="001F0D8E"/>
    <w:rsid w:val="001F20EB"/>
    <w:rsid w:val="001F3237"/>
    <w:rsid w:val="00205370"/>
    <w:rsid w:val="00206DE0"/>
    <w:rsid w:val="00207368"/>
    <w:rsid w:val="0021004F"/>
    <w:rsid w:val="00211ADF"/>
    <w:rsid w:val="00211D0D"/>
    <w:rsid w:val="00211E0B"/>
    <w:rsid w:val="0021247E"/>
    <w:rsid w:val="00214734"/>
    <w:rsid w:val="00220F34"/>
    <w:rsid w:val="00222983"/>
    <w:rsid w:val="00226D5F"/>
    <w:rsid w:val="00226D9D"/>
    <w:rsid w:val="00234380"/>
    <w:rsid w:val="002348F4"/>
    <w:rsid w:val="0023564D"/>
    <w:rsid w:val="00236E81"/>
    <w:rsid w:val="002401EF"/>
    <w:rsid w:val="00240479"/>
    <w:rsid w:val="002405A7"/>
    <w:rsid w:val="00244673"/>
    <w:rsid w:val="00245F5C"/>
    <w:rsid w:val="0024624B"/>
    <w:rsid w:val="00246E57"/>
    <w:rsid w:val="002505DA"/>
    <w:rsid w:val="0025679D"/>
    <w:rsid w:val="002570BC"/>
    <w:rsid w:val="00257E45"/>
    <w:rsid w:val="00260792"/>
    <w:rsid w:val="00262488"/>
    <w:rsid w:val="00263372"/>
    <w:rsid w:val="00263951"/>
    <w:rsid w:val="00265671"/>
    <w:rsid w:val="00266898"/>
    <w:rsid w:val="00270AF5"/>
    <w:rsid w:val="0027313E"/>
    <w:rsid w:val="00275D77"/>
    <w:rsid w:val="002772D1"/>
    <w:rsid w:val="00284A54"/>
    <w:rsid w:val="00285613"/>
    <w:rsid w:val="00286659"/>
    <w:rsid w:val="00290ADF"/>
    <w:rsid w:val="0029221D"/>
    <w:rsid w:val="00296DEC"/>
    <w:rsid w:val="002A26BE"/>
    <w:rsid w:val="002A4DFC"/>
    <w:rsid w:val="002A537C"/>
    <w:rsid w:val="002A5947"/>
    <w:rsid w:val="002A5A2D"/>
    <w:rsid w:val="002A7047"/>
    <w:rsid w:val="002B079A"/>
    <w:rsid w:val="002B1E40"/>
    <w:rsid w:val="002B3993"/>
    <w:rsid w:val="002B4916"/>
    <w:rsid w:val="002B66EE"/>
    <w:rsid w:val="002B670E"/>
    <w:rsid w:val="002B6A44"/>
    <w:rsid w:val="002C133E"/>
    <w:rsid w:val="002C1386"/>
    <w:rsid w:val="002C21E5"/>
    <w:rsid w:val="002C22EC"/>
    <w:rsid w:val="002C267E"/>
    <w:rsid w:val="002C347A"/>
    <w:rsid w:val="002C710D"/>
    <w:rsid w:val="002D14CB"/>
    <w:rsid w:val="002D4449"/>
    <w:rsid w:val="002D59D3"/>
    <w:rsid w:val="002E0624"/>
    <w:rsid w:val="002E08AE"/>
    <w:rsid w:val="002E6284"/>
    <w:rsid w:val="002E716A"/>
    <w:rsid w:val="002E7C49"/>
    <w:rsid w:val="002F1024"/>
    <w:rsid w:val="002F1089"/>
    <w:rsid w:val="002F247E"/>
    <w:rsid w:val="002F3DFA"/>
    <w:rsid w:val="002F793D"/>
    <w:rsid w:val="002F7D86"/>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6381"/>
    <w:rsid w:val="00347FB9"/>
    <w:rsid w:val="00350692"/>
    <w:rsid w:val="003506B8"/>
    <w:rsid w:val="00351974"/>
    <w:rsid w:val="00352E14"/>
    <w:rsid w:val="00353DBA"/>
    <w:rsid w:val="00355CD0"/>
    <w:rsid w:val="003565E5"/>
    <w:rsid w:val="00360834"/>
    <w:rsid w:val="0036192E"/>
    <w:rsid w:val="00363EAF"/>
    <w:rsid w:val="00364E58"/>
    <w:rsid w:val="00366CA7"/>
    <w:rsid w:val="0037033E"/>
    <w:rsid w:val="0037088A"/>
    <w:rsid w:val="0037249C"/>
    <w:rsid w:val="00372AA1"/>
    <w:rsid w:val="00373BDC"/>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5E6E"/>
    <w:rsid w:val="003972E0"/>
    <w:rsid w:val="003A26B0"/>
    <w:rsid w:val="003A402E"/>
    <w:rsid w:val="003A4B23"/>
    <w:rsid w:val="003A5D05"/>
    <w:rsid w:val="003B14B9"/>
    <w:rsid w:val="003B232F"/>
    <w:rsid w:val="003B39CC"/>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E77"/>
    <w:rsid w:val="003F668F"/>
    <w:rsid w:val="003F6DAE"/>
    <w:rsid w:val="003F7973"/>
    <w:rsid w:val="003F7A75"/>
    <w:rsid w:val="00401917"/>
    <w:rsid w:val="00402552"/>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51A"/>
    <w:rsid w:val="00441D9D"/>
    <w:rsid w:val="004458CC"/>
    <w:rsid w:val="00446DE4"/>
    <w:rsid w:val="00451562"/>
    <w:rsid w:val="0045333F"/>
    <w:rsid w:val="00455859"/>
    <w:rsid w:val="00455DB6"/>
    <w:rsid w:val="00457B08"/>
    <w:rsid w:val="00460DD9"/>
    <w:rsid w:val="0046228F"/>
    <w:rsid w:val="00462C6B"/>
    <w:rsid w:val="0046790F"/>
    <w:rsid w:val="00467927"/>
    <w:rsid w:val="00467C48"/>
    <w:rsid w:val="0047074F"/>
    <w:rsid w:val="004750BF"/>
    <w:rsid w:val="004750F2"/>
    <w:rsid w:val="004774B9"/>
    <w:rsid w:val="00477F2A"/>
    <w:rsid w:val="0048291A"/>
    <w:rsid w:val="004836DD"/>
    <w:rsid w:val="004901B7"/>
    <w:rsid w:val="0049119A"/>
    <w:rsid w:val="0049427E"/>
    <w:rsid w:val="00494847"/>
    <w:rsid w:val="00497707"/>
    <w:rsid w:val="00497A7B"/>
    <w:rsid w:val="004A0596"/>
    <w:rsid w:val="004A18AA"/>
    <w:rsid w:val="004A26AA"/>
    <w:rsid w:val="004A2EA2"/>
    <w:rsid w:val="004A3F42"/>
    <w:rsid w:val="004A41CA"/>
    <w:rsid w:val="004A6072"/>
    <w:rsid w:val="004A6265"/>
    <w:rsid w:val="004A6319"/>
    <w:rsid w:val="004A6C6E"/>
    <w:rsid w:val="004A707C"/>
    <w:rsid w:val="004A7239"/>
    <w:rsid w:val="004B0E57"/>
    <w:rsid w:val="004B2DC9"/>
    <w:rsid w:val="004B6733"/>
    <w:rsid w:val="004C012B"/>
    <w:rsid w:val="004C4CD5"/>
    <w:rsid w:val="004C7AF7"/>
    <w:rsid w:val="004D16C5"/>
    <w:rsid w:val="004D40EA"/>
    <w:rsid w:val="004D5A7E"/>
    <w:rsid w:val="004D5CB2"/>
    <w:rsid w:val="004D6E91"/>
    <w:rsid w:val="004D7EFA"/>
    <w:rsid w:val="004E09B1"/>
    <w:rsid w:val="004E3926"/>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07B43"/>
    <w:rsid w:val="0051049E"/>
    <w:rsid w:val="00515387"/>
    <w:rsid w:val="00515AB9"/>
    <w:rsid w:val="00516318"/>
    <w:rsid w:val="0051748D"/>
    <w:rsid w:val="00517A1B"/>
    <w:rsid w:val="00521E28"/>
    <w:rsid w:val="0052272B"/>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444F"/>
    <w:rsid w:val="0057476B"/>
    <w:rsid w:val="00575F30"/>
    <w:rsid w:val="005777F3"/>
    <w:rsid w:val="00577EE1"/>
    <w:rsid w:val="00580000"/>
    <w:rsid w:val="0058529D"/>
    <w:rsid w:val="00585897"/>
    <w:rsid w:val="00585A18"/>
    <w:rsid w:val="00586F4A"/>
    <w:rsid w:val="005900D3"/>
    <w:rsid w:val="00592D34"/>
    <w:rsid w:val="00592FDB"/>
    <w:rsid w:val="00593CED"/>
    <w:rsid w:val="00597743"/>
    <w:rsid w:val="005A0344"/>
    <w:rsid w:val="005A0903"/>
    <w:rsid w:val="005A1E22"/>
    <w:rsid w:val="005A1FCA"/>
    <w:rsid w:val="005A23B7"/>
    <w:rsid w:val="005A503C"/>
    <w:rsid w:val="005A73F2"/>
    <w:rsid w:val="005A79B8"/>
    <w:rsid w:val="005B054C"/>
    <w:rsid w:val="005B1390"/>
    <w:rsid w:val="005B1B47"/>
    <w:rsid w:val="005B1F1B"/>
    <w:rsid w:val="005B1F57"/>
    <w:rsid w:val="005B2C89"/>
    <w:rsid w:val="005B2F2E"/>
    <w:rsid w:val="005B3DB3"/>
    <w:rsid w:val="005B408C"/>
    <w:rsid w:val="005B7D9A"/>
    <w:rsid w:val="005B7DB1"/>
    <w:rsid w:val="005C185C"/>
    <w:rsid w:val="005C22AD"/>
    <w:rsid w:val="005C4858"/>
    <w:rsid w:val="005C4B74"/>
    <w:rsid w:val="005C53DB"/>
    <w:rsid w:val="005C7453"/>
    <w:rsid w:val="005D33AB"/>
    <w:rsid w:val="005D425A"/>
    <w:rsid w:val="005D4725"/>
    <w:rsid w:val="005D4B75"/>
    <w:rsid w:val="005D529D"/>
    <w:rsid w:val="005E0CA6"/>
    <w:rsid w:val="005E1401"/>
    <w:rsid w:val="005E27AB"/>
    <w:rsid w:val="005E3329"/>
    <w:rsid w:val="005E37E7"/>
    <w:rsid w:val="005E46D3"/>
    <w:rsid w:val="005E667D"/>
    <w:rsid w:val="005E743D"/>
    <w:rsid w:val="005F2648"/>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218CD"/>
    <w:rsid w:val="00623353"/>
    <w:rsid w:val="006241C1"/>
    <w:rsid w:val="00624260"/>
    <w:rsid w:val="00626A24"/>
    <w:rsid w:val="0062753C"/>
    <w:rsid w:val="00627ED0"/>
    <w:rsid w:val="00633ED0"/>
    <w:rsid w:val="00634702"/>
    <w:rsid w:val="00640B26"/>
    <w:rsid w:val="00640FD5"/>
    <w:rsid w:val="00641F8E"/>
    <w:rsid w:val="00642B1E"/>
    <w:rsid w:val="00642B44"/>
    <w:rsid w:val="006435B3"/>
    <w:rsid w:val="00643E18"/>
    <w:rsid w:val="0064479D"/>
    <w:rsid w:val="00651B40"/>
    <w:rsid w:val="006545BA"/>
    <w:rsid w:val="00655B27"/>
    <w:rsid w:val="00660D97"/>
    <w:rsid w:val="00661F7A"/>
    <w:rsid w:val="006632CE"/>
    <w:rsid w:val="006637C0"/>
    <w:rsid w:val="00665595"/>
    <w:rsid w:val="006666F6"/>
    <w:rsid w:val="006743E5"/>
    <w:rsid w:val="00676886"/>
    <w:rsid w:val="0067793E"/>
    <w:rsid w:val="0068043C"/>
    <w:rsid w:val="00682F59"/>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6EE8"/>
    <w:rsid w:val="006A7392"/>
    <w:rsid w:val="006A7757"/>
    <w:rsid w:val="006B0029"/>
    <w:rsid w:val="006B2C0F"/>
    <w:rsid w:val="006B4842"/>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6F4E35"/>
    <w:rsid w:val="00700E12"/>
    <w:rsid w:val="00702B6B"/>
    <w:rsid w:val="00702BA6"/>
    <w:rsid w:val="00706D51"/>
    <w:rsid w:val="007077BB"/>
    <w:rsid w:val="00711A8E"/>
    <w:rsid w:val="00713019"/>
    <w:rsid w:val="0071349F"/>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52A06"/>
    <w:rsid w:val="00752BD5"/>
    <w:rsid w:val="0075458D"/>
    <w:rsid w:val="00754EE1"/>
    <w:rsid w:val="00755C1A"/>
    <w:rsid w:val="00756AAE"/>
    <w:rsid w:val="0075725D"/>
    <w:rsid w:val="00760E59"/>
    <w:rsid w:val="00763C11"/>
    <w:rsid w:val="00766D93"/>
    <w:rsid w:val="0077406B"/>
    <w:rsid w:val="007750C3"/>
    <w:rsid w:val="0077541D"/>
    <w:rsid w:val="00780296"/>
    <w:rsid w:val="00781A60"/>
    <w:rsid w:val="00781E95"/>
    <w:rsid w:val="00783117"/>
    <w:rsid w:val="00783AF2"/>
    <w:rsid w:val="00783AF8"/>
    <w:rsid w:val="00783F74"/>
    <w:rsid w:val="0078417F"/>
    <w:rsid w:val="00786A3A"/>
    <w:rsid w:val="00787C77"/>
    <w:rsid w:val="00787EA9"/>
    <w:rsid w:val="00790122"/>
    <w:rsid w:val="0079022E"/>
    <w:rsid w:val="00792728"/>
    <w:rsid w:val="00792ECE"/>
    <w:rsid w:val="007955EA"/>
    <w:rsid w:val="007A3FBD"/>
    <w:rsid w:val="007A4977"/>
    <w:rsid w:val="007A5788"/>
    <w:rsid w:val="007A62D5"/>
    <w:rsid w:val="007A6A94"/>
    <w:rsid w:val="007B0262"/>
    <w:rsid w:val="007B07EF"/>
    <w:rsid w:val="007B6BA5"/>
    <w:rsid w:val="007B7FB2"/>
    <w:rsid w:val="007C025B"/>
    <w:rsid w:val="007C3390"/>
    <w:rsid w:val="007C41AF"/>
    <w:rsid w:val="007C4F4B"/>
    <w:rsid w:val="007C6044"/>
    <w:rsid w:val="007D647F"/>
    <w:rsid w:val="007D6D82"/>
    <w:rsid w:val="007D7676"/>
    <w:rsid w:val="007E18A9"/>
    <w:rsid w:val="007E47A5"/>
    <w:rsid w:val="007E5203"/>
    <w:rsid w:val="007E5261"/>
    <w:rsid w:val="007E6124"/>
    <w:rsid w:val="007E67FF"/>
    <w:rsid w:val="007F025F"/>
    <w:rsid w:val="007F0B83"/>
    <w:rsid w:val="007F48EF"/>
    <w:rsid w:val="007F4FCD"/>
    <w:rsid w:val="007F572B"/>
    <w:rsid w:val="007F6611"/>
    <w:rsid w:val="00806235"/>
    <w:rsid w:val="008068A7"/>
    <w:rsid w:val="00812CCE"/>
    <w:rsid w:val="0081356A"/>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230A"/>
    <w:rsid w:val="00832795"/>
    <w:rsid w:val="008349EC"/>
    <w:rsid w:val="00834D4E"/>
    <w:rsid w:val="00835B77"/>
    <w:rsid w:val="00836AF7"/>
    <w:rsid w:val="00843D81"/>
    <w:rsid w:val="008440DF"/>
    <w:rsid w:val="00847D11"/>
    <w:rsid w:val="0085028A"/>
    <w:rsid w:val="00855CD0"/>
    <w:rsid w:val="00856CA5"/>
    <w:rsid w:val="0086000D"/>
    <w:rsid w:val="008606C3"/>
    <w:rsid w:val="00862284"/>
    <w:rsid w:val="00864659"/>
    <w:rsid w:val="00864759"/>
    <w:rsid w:val="00865565"/>
    <w:rsid w:val="008656DC"/>
    <w:rsid w:val="00865A21"/>
    <w:rsid w:val="0086612E"/>
    <w:rsid w:val="00867604"/>
    <w:rsid w:val="00870D13"/>
    <w:rsid w:val="00871FD5"/>
    <w:rsid w:val="0087209B"/>
    <w:rsid w:val="00872B97"/>
    <w:rsid w:val="00872DF7"/>
    <w:rsid w:val="00874FB8"/>
    <w:rsid w:val="00882090"/>
    <w:rsid w:val="008852E3"/>
    <w:rsid w:val="00886089"/>
    <w:rsid w:val="00887755"/>
    <w:rsid w:val="0089033B"/>
    <w:rsid w:val="00890B04"/>
    <w:rsid w:val="0089166C"/>
    <w:rsid w:val="00892DC9"/>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232C"/>
    <w:rsid w:val="008D314A"/>
    <w:rsid w:val="008D3F4B"/>
    <w:rsid w:val="008E0E46"/>
    <w:rsid w:val="008E0FB3"/>
    <w:rsid w:val="008E1F9C"/>
    <w:rsid w:val="008E4640"/>
    <w:rsid w:val="008E4C4C"/>
    <w:rsid w:val="008E4F84"/>
    <w:rsid w:val="008E573F"/>
    <w:rsid w:val="008E64AE"/>
    <w:rsid w:val="008F02B0"/>
    <w:rsid w:val="008F20FB"/>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71"/>
    <w:rsid w:val="009715EE"/>
    <w:rsid w:val="00971679"/>
    <w:rsid w:val="00973246"/>
    <w:rsid w:val="00973E03"/>
    <w:rsid w:val="00973EB4"/>
    <w:rsid w:val="00974146"/>
    <w:rsid w:val="00974A8D"/>
    <w:rsid w:val="00974ABE"/>
    <w:rsid w:val="00974C60"/>
    <w:rsid w:val="00974F4C"/>
    <w:rsid w:val="009773C6"/>
    <w:rsid w:val="0098016B"/>
    <w:rsid w:val="00980FDB"/>
    <w:rsid w:val="00987072"/>
    <w:rsid w:val="0098707E"/>
    <w:rsid w:val="0099001C"/>
    <w:rsid w:val="00991261"/>
    <w:rsid w:val="00993084"/>
    <w:rsid w:val="00997A54"/>
    <w:rsid w:val="009A0D5F"/>
    <w:rsid w:val="009A1082"/>
    <w:rsid w:val="009A527C"/>
    <w:rsid w:val="009A5B4A"/>
    <w:rsid w:val="009A6445"/>
    <w:rsid w:val="009B4221"/>
    <w:rsid w:val="009B43E1"/>
    <w:rsid w:val="009B4939"/>
    <w:rsid w:val="009B55EC"/>
    <w:rsid w:val="009B6D3A"/>
    <w:rsid w:val="009B71F3"/>
    <w:rsid w:val="009C135B"/>
    <w:rsid w:val="009C17AC"/>
    <w:rsid w:val="009C1FAD"/>
    <w:rsid w:val="009C31E7"/>
    <w:rsid w:val="009C36B5"/>
    <w:rsid w:val="009C7A27"/>
    <w:rsid w:val="009C7F4E"/>
    <w:rsid w:val="009D0EC7"/>
    <w:rsid w:val="009D0FA6"/>
    <w:rsid w:val="009D1B37"/>
    <w:rsid w:val="009D2627"/>
    <w:rsid w:val="009D49A6"/>
    <w:rsid w:val="009D49D7"/>
    <w:rsid w:val="009D5096"/>
    <w:rsid w:val="009D623C"/>
    <w:rsid w:val="009D6C74"/>
    <w:rsid w:val="009D7CE5"/>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3867"/>
    <w:rsid w:val="00A748A6"/>
    <w:rsid w:val="00A76B9A"/>
    <w:rsid w:val="00A77E77"/>
    <w:rsid w:val="00A805EB"/>
    <w:rsid w:val="00A80877"/>
    <w:rsid w:val="00A81711"/>
    <w:rsid w:val="00A8552C"/>
    <w:rsid w:val="00A8562B"/>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630"/>
    <w:rsid w:val="00AB4960"/>
    <w:rsid w:val="00AB5CA7"/>
    <w:rsid w:val="00AB6319"/>
    <w:rsid w:val="00AB720C"/>
    <w:rsid w:val="00AC1F45"/>
    <w:rsid w:val="00AC35ED"/>
    <w:rsid w:val="00AC3764"/>
    <w:rsid w:val="00AC4E2F"/>
    <w:rsid w:val="00AD4754"/>
    <w:rsid w:val="00AD605D"/>
    <w:rsid w:val="00AE3607"/>
    <w:rsid w:val="00AE3D8F"/>
    <w:rsid w:val="00AE487E"/>
    <w:rsid w:val="00AE73C4"/>
    <w:rsid w:val="00AE77FC"/>
    <w:rsid w:val="00AE793D"/>
    <w:rsid w:val="00AE7DC6"/>
    <w:rsid w:val="00AF07A0"/>
    <w:rsid w:val="00AF22E6"/>
    <w:rsid w:val="00AF475E"/>
    <w:rsid w:val="00AF6194"/>
    <w:rsid w:val="00B04217"/>
    <w:rsid w:val="00B07503"/>
    <w:rsid w:val="00B10465"/>
    <w:rsid w:val="00B10CA2"/>
    <w:rsid w:val="00B12909"/>
    <w:rsid w:val="00B1509D"/>
    <w:rsid w:val="00B172A6"/>
    <w:rsid w:val="00B17BBD"/>
    <w:rsid w:val="00B17E1A"/>
    <w:rsid w:val="00B30179"/>
    <w:rsid w:val="00B325A9"/>
    <w:rsid w:val="00B339D3"/>
    <w:rsid w:val="00B33EC0"/>
    <w:rsid w:val="00B33FCC"/>
    <w:rsid w:val="00B34697"/>
    <w:rsid w:val="00B36BD5"/>
    <w:rsid w:val="00B45049"/>
    <w:rsid w:val="00B47909"/>
    <w:rsid w:val="00B47B0C"/>
    <w:rsid w:val="00B47D1B"/>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4353"/>
    <w:rsid w:val="00B74FD7"/>
    <w:rsid w:val="00B762D3"/>
    <w:rsid w:val="00B77F59"/>
    <w:rsid w:val="00B804CB"/>
    <w:rsid w:val="00B80A98"/>
    <w:rsid w:val="00B81E12"/>
    <w:rsid w:val="00B83093"/>
    <w:rsid w:val="00B83964"/>
    <w:rsid w:val="00B839A7"/>
    <w:rsid w:val="00B845D6"/>
    <w:rsid w:val="00B85329"/>
    <w:rsid w:val="00B8628B"/>
    <w:rsid w:val="00B87183"/>
    <w:rsid w:val="00B87CF1"/>
    <w:rsid w:val="00B90AC5"/>
    <w:rsid w:val="00B90C56"/>
    <w:rsid w:val="00B91D03"/>
    <w:rsid w:val="00B96314"/>
    <w:rsid w:val="00B963B2"/>
    <w:rsid w:val="00B968A0"/>
    <w:rsid w:val="00BA515F"/>
    <w:rsid w:val="00BB129E"/>
    <w:rsid w:val="00BB5D03"/>
    <w:rsid w:val="00BB60D4"/>
    <w:rsid w:val="00BB659A"/>
    <w:rsid w:val="00BB6799"/>
    <w:rsid w:val="00BC096F"/>
    <w:rsid w:val="00BC2AC9"/>
    <w:rsid w:val="00BC3830"/>
    <w:rsid w:val="00BC5C60"/>
    <w:rsid w:val="00BC6B7B"/>
    <w:rsid w:val="00BC7496"/>
    <w:rsid w:val="00BC74E9"/>
    <w:rsid w:val="00BD138D"/>
    <w:rsid w:val="00BD2146"/>
    <w:rsid w:val="00BD48C8"/>
    <w:rsid w:val="00BD4FD9"/>
    <w:rsid w:val="00BD6280"/>
    <w:rsid w:val="00BE232B"/>
    <w:rsid w:val="00BE37C1"/>
    <w:rsid w:val="00BE4F74"/>
    <w:rsid w:val="00BE6017"/>
    <w:rsid w:val="00BE618E"/>
    <w:rsid w:val="00BE62C1"/>
    <w:rsid w:val="00BE6BC5"/>
    <w:rsid w:val="00BF0BE9"/>
    <w:rsid w:val="00BF3D59"/>
    <w:rsid w:val="00BF5A7C"/>
    <w:rsid w:val="00C019B8"/>
    <w:rsid w:val="00C01A22"/>
    <w:rsid w:val="00C02990"/>
    <w:rsid w:val="00C030C9"/>
    <w:rsid w:val="00C04DFB"/>
    <w:rsid w:val="00C05ACF"/>
    <w:rsid w:val="00C07F9E"/>
    <w:rsid w:val="00C10DD8"/>
    <w:rsid w:val="00C118EC"/>
    <w:rsid w:val="00C11B7B"/>
    <w:rsid w:val="00C127CB"/>
    <w:rsid w:val="00C133DE"/>
    <w:rsid w:val="00C16E1A"/>
    <w:rsid w:val="00C17699"/>
    <w:rsid w:val="00C1778D"/>
    <w:rsid w:val="00C2005D"/>
    <w:rsid w:val="00C225E1"/>
    <w:rsid w:val="00C23A6D"/>
    <w:rsid w:val="00C24684"/>
    <w:rsid w:val="00C25DDD"/>
    <w:rsid w:val="00C27AA0"/>
    <w:rsid w:val="00C31CDC"/>
    <w:rsid w:val="00C32D7F"/>
    <w:rsid w:val="00C32E0D"/>
    <w:rsid w:val="00C35408"/>
    <w:rsid w:val="00C37443"/>
    <w:rsid w:val="00C378FA"/>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40C"/>
    <w:rsid w:val="00C745C3"/>
    <w:rsid w:val="00C74908"/>
    <w:rsid w:val="00C766BF"/>
    <w:rsid w:val="00C76A06"/>
    <w:rsid w:val="00C777EC"/>
    <w:rsid w:val="00C80C9A"/>
    <w:rsid w:val="00C80CD7"/>
    <w:rsid w:val="00C83CA0"/>
    <w:rsid w:val="00C86B34"/>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07B72"/>
    <w:rsid w:val="00D07F07"/>
    <w:rsid w:val="00D137EF"/>
    <w:rsid w:val="00D1722D"/>
    <w:rsid w:val="00D17E6C"/>
    <w:rsid w:val="00D2031B"/>
    <w:rsid w:val="00D21980"/>
    <w:rsid w:val="00D24347"/>
    <w:rsid w:val="00D25FE2"/>
    <w:rsid w:val="00D279BB"/>
    <w:rsid w:val="00D317BB"/>
    <w:rsid w:val="00D3192B"/>
    <w:rsid w:val="00D31A35"/>
    <w:rsid w:val="00D341D6"/>
    <w:rsid w:val="00D35D8F"/>
    <w:rsid w:val="00D40878"/>
    <w:rsid w:val="00D417A5"/>
    <w:rsid w:val="00D42106"/>
    <w:rsid w:val="00D43252"/>
    <w:rsid w:val="00D45103"/>
    <w:rsid w:val="00D45C2F"/>
    <w:rsid w:val="00D525A5"/>
    <w:rsid w:val="00D5284C"/>
    <w:rsid w:val="00D52856"/>
    <w:rsid w:val="00D53B47"/>
    <w:rsid w:val="00D54AB1"/>
    <w:rsid w:val="00D54E5F"/>
    <w:rsid w:val="00D57892"/>
    <w:rsid w:val="00D60093"/>
    <w:rsid w:val="00D61666"/>
    <w:rsid w:val="00D637C6"/>
    <w:rsid w:val="00D63AF3"/>
    <w:rsid w:val="00D655D5"/>
    <w:rsid w:val="00D66932"/>
    <w:rsid w:val="00D71971"/>
    <w:rsid w:val="00D73A96"/>
    <w:rsid w:val="00D74E9A"/>
    <w:rsid w:val="00D76E2A"/>
    <w:rsid w:val="00D77993"/>
    <w:rsid w:val="00D81879"/>
    <w:rsid w:val="00D81A2B"/>
    <w:rsid w:val="00D83937"/>
    <w:rsid w:val="00D91C9C"/>
    <w:rsid w:val="00D943F1"/>
    <w:rsid w:val="00D95F86"/>
    <w:rsid w:val="00D978C6"/>
    <w:rsid w:val="00DA2989"/>
    <w:rsid w:val="00DA3054"/>
    <w:rsid w:val="00DA3E74"/>
    <w:rsid w:val="00DA4AC8"/>
    <w:rsid w:val="00DA5C98"/>
    <w:rsid w:val="00DA67AD"/>
    <w:rsid w:val="00DA763A"/>
    <w:rsid w:val="00DB2A67"/>
    <w:rsid w:val="00DB2BED"/>
    <w:rsid w:val="00DB579F"/>
    <w:rsid w:val="00DB5D0F"/>
    <w:rsid w:val="00DC050C"/>
    <w:rsid w:val="00DC2836"/>
    <w:rsid w:val="00DC3156"/>
    <w:rsid w:val="00DC3242"/>
    <w:rsid w:val="00DC410C"/>
    <w:rsid w:val="00DC7D1E"/>
    <w:rsid w:val="00DD5F36"/>
    <w:rsid w:val="00DD6DB6"/>
    <w:rsid w:val="00DD738F"/>
    <w:rsid w:val="00DE057D"/>
    <w:rsid w:val="00DE0580"/>
    <w:rsid w:val="00DE0710"/>
    <w:rsid w:val="00DE7C9F"/>
    <w:rsid w:val="00DF0A29"/>
    <w:rsid w:val="00DF12D5"/>
    <w:rsid w:val="00DF12F7"/>
    <w:rsid w:val="00DF1FBC"/>
    <w:rsid w:val="00DF2C64"/>
    <w:rsid w:val="00DF30CC"/>
    <w:rsid w:val="00DF3CE7"/>
    <w:rsid w:val="00DF545B"/>
    <w:rsid w:val="00DF64B4"/>
    <w:rsid w:val="00DF6813"/>
    <w:rsid w:val="00E01030"/>
    <w:rsid w:val="00E0120E"/>
    <w:rsid w:val="00E012D2"/>
    <w:rsid w:val="00E01575"/>
    <w:rsid w:val="00E023E0"/>
    <w:rsid w:val="00E027C0"/>
    <w:rsid w:val="00E02BA9"/>
    <w:rsid w:val="00E02C81"/>
    <w:rsid w:val="00E0362D"/>
    <w:rsid w:val="00E06EAB"/>
    <w:rsid w:val="00E07263"/>
    <w:rsid w:val="00E108C8"/>
    <w:rsid w:val="00E10F7C"/>
    <w:rsid w:val="00E130AB"/>
    <w:rsid w:val="00E14309"/>
    <w:rsid w:val="00E16CF4"/>
    <w:rsid w:val="00E200B9"/>
    <w:rsid w:val="00E24CC0"/>
    <w:rsid w:val="00E26913"/>
    <w:rsid w:val="00E322DE"/>
    <w:rsid w:val="00E329E0"/>
    <w:rsid w:val="00E33E37"/>
    <w:rsid w:val="00E33F8C"/>
    <w:rsid w:val="00E369CA"/>
    <w:rsid w:val="00E405EE"/>
    <w:rsid w:val="00E4125F"/>
    <w:rsid w:val="00E41B04"/>
    <w:rsid w:val="00E42928"/>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26C0"/>
    <w:rsid w:val="00E828B8"/>
    <w:rsid w:val="00E82C26"/>
    <w:rsid w:val="00E85856"/>
    <w:rsid w:val="00E85ED4"/>
    <w:rsid w:val="00E87921"/>
    <w:rsid w:val="00E87EC4"/>
    <w:rsid w:val="00E9006B"/>
    <w:rsid w:val="00E903D0"/>
    <w:rsid w:val="00E91DE2"/>
    <w:rsid w:val="00E934F9"/>
    <w:rsid w:val="00E96630"/>
    <w:rsid w:val="00E96D11"/>
    <w:rsid w:val="00E97278"/>
    <w:rsid w:val="00E97F8A"/>
    <w:rsid w:val="00EA0243"/>
    <w:rsid w:val="00EA0F7B"/>
    <w:rsid w:val="00EA264E"/>
    <w:rsid w:val="00EA2D43"/>
    <w:rsid w:val="00EA3A41"/>
    <w:rsid w:val="00EA4029"/>
    <w:rsid w:val="00EA4CA3"/>
    <w:rsid w:val="00EA5316"/>
    <w:rsid w:val="00EA634C"/>
    <w:rsid w:val="00EA677C"/>
    <w:rsid w:val="00EA7F49"/>
    <w:rsid w:val="00EB132F"/>
    <w:rsid w:val="00EB1FE7"/>
    <w:rsid w:val="00EB3339"/>
    <w:rsid w:val="00EB430E"/>
    <w:rsid w:val="00EB5C99"/>
    <w:rsid w:val="00EC066A"/>
    <w:rsid w:val="00EC2105"/>
    <w:rsid w:val="00EC232F"/>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5F3D"/>
    <w:rsid w:val="00F17440"/>
    <w:rsid w:val="00F2229D"/>
    <w:rsid w:val="00F22733"/>
    <w:rsid w:val="00F23051"/>
    <w:rsid w:val="00F244D5"/>
    <w:rsid w:val="00F244F1"/>
    <w:rsid w:val="00F26CE9"/>
    <w:rsid w:val="00F31D6C"/>
    <w:rsid w:val="00F32177"/>
    <w:rsid w:val="00F34768"/>
    <w:rsid w:val="00F359EF"/>
    <w:rsid w:val="00F36089"/>
    <w:rsid w:val="00F3643A"/>
    <w:rsid w:val="00F366BF"/>
    <w:rsid w:val="00F36C4A"/>
    <w:rsid w:val="00F377FC"/>
    <w:rsid w:val="00F429EB"/>
    <w:rsid w:val="00F44963"/>
    <w:rsid w:val="00F45C47"/>
    <w:rsid w:val="00F52A98"/>
    <w:rsid w:val="00F52B1B"/>
    <w:rsid w:val="00F53A2D"/>
    <w:rsid w:val="00F53EDA"/>
    <w:rsid w:val="00F55EC3"/>
    <w:rsid w:val="00F5718D"/>
    <w:rsid w:val="00F61158"/>
    <w:rsid w:val="00F618D8"/>
    <w:rsid w:val="00F65F0D"/>
    <w:rsid w:val="00F66BB0"/>
    <w:rsid w:val="00F70182"/>
    <w:rsid w:val="00F70533"/>
    <w:rsid w:val="00F707E4"/>
    <w:rsid w:val="00F70F95"/>
    <w:rsid w:val="00F73A93"/>
    <w:rsid w:val="00F75508"/>
    <w:rsid w:val="00F7753D"/>
    <w:rsid w:val="00F800CA"/>
    <w:rsid w:val="00F809B6"/>
    <w:rsid w:val="00F811D5"/>
    <w:rsid w:val="00F822D3"/>
    <w:rsid w:val="00F82767"/>
    <w:rsid w:val="00F8280A"/>
    <w:rsid w:val="00F82B74"/>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48D5"/>
    <w:rsid w:val="00FB5541"/>
    <w:rsid w:val="00FB583B"/>
    <w:rsid w:val="00FB6CD1"/>
    <w:rsid w:val="00FC2EF5"/>
    <w:rsid w:val="00FC3D2E"/>
    <w:rsid w:val="00FC4669"/>
    <w:rsid w:val="00FC4F4B"/>
    <w:rsid w:val="00FC68B7"/>
    <w:rsid w:val="00FC68E5"/>
    <w:rsid w:val="00FC6DE3"/>
    <w:rsid w:val="00FD02AA"/>
    <w:rsid w:val="00FD0419"/>
    <w:rsid w:val="00FD4F7E"/>
    <w:rsid w:val="00FD7BF6"/>
    <w:rsid w:val="00FE57F9"/>
    <w:rsid w:val="00FE5818"/>
    <w:rsid w:val="00FE6FC6"/>
    <w:rsid w:val="00FE7DCB"/>
    <w:rsid w:val="00FF0A40"/>
    <w:rsid w:val="00FF2267"/>
    <w:rsid w:val="00FF2BB3"/>
    <w:rsid w:val="00FF3AE6"/>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aliases w:val="Dow 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 w:type="character" w:customStyle="1" w:styleId="Heading3Char">
    <w:name w:val="Heading 3 Char"/>
    <w:aliases w:val="Dow Heading 3 Char"/>
    <w:basedOn w:val="DefaultParagraphFont"/>
    <w:link w:val="Heading3"/>
    <w:rsid w:val="00642B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Users/Demare/Downloads/E_CN.2_CONF.5_57-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nl/registration-dossier/-/registered-dossier/27608/7/4/2/?documentUUID=65c68a58-38bb-4524-9497-30d2925959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2.xml><?xml version="1.0" encoding="utf-8"?>
<ds:datastoreItem xmlns:ds="http://schemas.openxmlformats.org/officeDocument/2006/customXml" ds:itemID="{91188ADC-5711-499C-BF24-F6D6EFB9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40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4895</CharactersWithSpaces>
  <SharedDoc>false</SharedDoc>
  <HLinks>
    <vt:vector size="12" baseType="variant">
      <vt:variant>
        <vt:i4>6094932</vt:i4>
      </vt:variant>
      <vt:variant>
        <vt:i4>3</vt:i4>
      </vt:variant>
      <vt:variant>
        <vt:i4>0</vt:i4>
      </vt:variant>
      <vt:variant>
        <vt:i4>5</vt:i4>
      </vt:variant>
      <vt:variant>
        <vt:lpwstr>https://www.bsu-bund.de/SharedDocs/pdf/EN/Investigation_Report/2014/Investigation_Report_255_12.pdf?__blob=publicationFile</vt:lpwstr>
      </vt:variant>
      <vt:variant>
        <vt:lpwstr/>
      </vt:variant>
      <vt:variant>
        <vt:i4>6094932</vt:i4>
      </vt:variant>
      <vt:variant>
        <vt:i4>0</vt:i4>
      </vt:variant>
      <vt:variant>
        <vt:i4>0</vt:i4>
      </vt:variant>
      <vt:variant>
        <vt:i4>5</vt:i4>
      </vt:variant>
      <vt:variant>
        <vt:lpwstr>https://www.bsu-bund.de/SharedDocs/pdf/EN/Investigation_Report/2014/Investigation_Report_255_12.pdf?__blob=publicationFile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Romain Hubert</cp:lastModifiedBy>
  <cp:revision>43</cp:revision>
  <cp:lastPrinted>2019-06-28T15:05:00Z</cp:lastPrinted>
  <dcterms:created xsi:type="dcterms:W3CDTF">2023-06-15T10:15:00Z</dcterms:created>
  <dcterms:modified xsi:type="dcterms:W3CDTF">2023-06-15T14:36:00Z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