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38338E" w14:paraId="733BC40E" w14:textId="77777777" w:rsidTr="00FA63B2">
        <w:trPr>
          <w:cantSplit/>
          <w:trHeight w:hRule="exact" w:val="851"/>
        </w:trPr>
        <w:tc>
          <w:tcPr>
            <w:tcW w:w="9072" w:type="dxa"/>
            <w:tcBorders>
              <w:bottom w:val="single" w:sz="4" w:space="0" w:color="auto"/>
            </w:tcBorders>
            <w:vAlign w:val="bottom"/>
          </w:tcPr>
          <w:p w14:paraId="30457239" w14:textId="29F20903" w:rsidR="00717408" w:rsidRPr="0038338E" w:rsidRDefault="00FA63B2" w:rsidP="00D660CB">
            <w:pPr>
              <w:jc w:val="right"/>
              <w:rPr>
                <w:b/>
                <w:sz w:val="40"/>
                <w:szCs w:val="40"/>
              </w:rPr>
            </w:pPr>
            <w:r w:rsidRPr="0038338E">
              <w:rPr>
                <w:b/>
                <w:sz w:val="40"/>
                <w:szCs w:val="40"/>
              </w:rPr>
              <w:t>UN/SCEGHS/</w:t>
            </w:r>
            <w:r w:rsidR="00260117" w:rsidRPr="0038338E">
              <w:rPr>
                <w:b/>
                <w:sz w:val="40"/>
                <w:szCs w:val="40"/>
              </w:rPr>
              <w:t>4</w:t>
            </w:r>
            <w:r w:rsidR="000249C0" w:rsidRPr="0038338E">
              <w:rPr>
                <w:b/>
                <w:sz w:val="40"/>
                <w:szCs w:val="40"/>
              </w:rPr>
              <w:t>4</w:t>
            </w:r>
            <w:r w:rsidRPr="0038338E">
              <w:rPr>
                <w:b/>
                <w:sz w:val="40"/>
                <w:szCs w:val="40"/>
              </w:rPr>
              <w:t>/INF.</w:t>
            </w:r>
            <w:r w:rsidR="0038338E" w:rsidRPr="0038338E">
              <w:rPr>
                <w:b/>
                <w:sz w:val="40"/>
                <w:szCs w:val="40"/>
              </w:rPr>
              <w:t>6</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041F1C04"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DE759C" w:rsidRPr="00DE759C">
              <w:rPr>
                <w:b/>
                <w:bCs/>
              </w:rPr>
              <w:t xml:space="preserve">12 June </w:t>
            </w:r>
            <w:r w:rsidR="009B11B2" w:rsidRPr="00DE759C">
              <w:rPr>
                <w:b/>
                <w:bCs/>
              </w:rPr>
              <w:t>202</w:t>
            </w:r>
            <w:r w:rsidR="000249C0" w:rsidRPr="00DE759C">
              <w:rPr>
                <w:b/>
                <w:bCs/>
              </w:rPr>
              <w:t>3</w:t>
            </w:r>
          </w:p>
          <w:p w14:paraId="0333227A" w14:textId="315ACA95" w:rsidR="00101999" w:rsidRDefault="00101999" w:rsidP="00101999">
            <w:pPr>
              <w:spacing w:before="120"/>
              <w:rPr>
                <w:b/>
              </w:rPr>
            </w:pPr>
            <w:r>
              <w:rPr>
                <w:b/>
              </w:rPr>
              <w:t>Forty-</w:t>
            </w:r>
            <w:r w:rsidR="000249C0">
              <w:rPr>
                <w:b/>
              </w:rPr>
              <w:t>fourth</w:t>
            </w:r>
            <w:r>
              <w:rPr>
                <w:b/>
              </w:rPr>
              <w:t xml:space="preserve"> session</w:t>
            </w:r>
          </w:p>
          <w:p w14:paraId="5BBE5CB0" w14:textId="2F9C4827" w:rsidR="00101999" w:rsidRDefault="00101999" w:rsidP="00101999">
            <w:r w:rsidRPr="009B4D10">
              <w:t xml:space="preserve">Geneva, </w:t>
            </w:r>
            <w:r w:rsidR="00F5189B">
              <w:t>10</w:t>
            </w:r>
            <w:r w:rsidRPr="009B4D10">
              <w:t>-</w:t>
            </w:r>
            <w:r w:rsidR="00F5189B">
              <w:t>12</w:t>
            </w:r>
            <w:r w:rsidRPr="009B4D10">
              <w:t xml:space="preserve"> </w:t>
            </w:r>
            <w:r w:rsidR="00F5189B">
              <w:t>July 2023</w:t>
            </w:r>
          </w:p>
          <w:p w14:paraId="0786CC9F" w14:textId="77777777" w:rsidR="003528F9" w:rsidRPr="00655BD4" w:rsidRDefault="003528F9" w:rsidP="003528F9">
            <w:r w:rsidRPr="00655BD4">
              <w:t xml:space="preserve">Item </w:t>
            </w:r>
            <w:r>
              <w:t>2</w:t>
            </w:r>
            <w:r w:rsidRPr="00EC5117">
              <w:t xml:space="preserve"> (</w:t>
            </w:r>
            <w:proofErr w:type="spellStart"/>
            <w:r>
              <w:t>i</w:t>
            </w:r>
            <w:proofErr w:type="spellEnd"/>
            <w:r w:rsidRPr="00EC5117">
              <w:t xml:space="preserve">) </w:t>
            </w:r>
            <w:r w:rsidRPr="00655BD4">
              <w:t>of the provisional agenda</w:t>
            </w:r>
          </w:p>
          <w:p w14:paraId="7F67E7DF" w14:textId="5964B61E" w:rsidR="00717408" w:rsidRDefault="003528F9" w:rsidP="003528F9">
            <w:pPr>
              <w:spacing w:line="240" w:lineRule="exact"/>
            </w:pPr>
            <w:r w:rsidRPr="00EC5117">
              <w:rPr>
                <w:b/>
                <w:bCs/>
              </w:rPr>
              <w:t xml:space="preserve">Work on the Globally Harmonized System of Classification and </w:t>
            </w:r>
            <w:r w:rsidRPr="00EC5117">
              <w:rPr>
                <w:b/>
                <w:bCs/>
              </w:rPr>
              <w:br/>
              <w:t xml:space="preserve">Labelling of Chemicals: </w:t>
            </w:r>
            <w:r w:rsidRPr="00680A00">
              <w:rPr>
                <w:b/>
                <w:bCs/>
              </w:rPr>
              <w:t xml:space="preserve">Improvement of annexes 1 to 3 and </w:t>
            </w:r>
            <w:r w:rsidRPr="00680A00">
              <w:rPr>
                <w:b/>
                <w:bCs/>
              </w:rPr>
              <w:br/>
              <w:t>further rationalization of precautionary statements</w:t>
            </w:r>
          </w:p>
        </w:tc>
      </w:tr>
    </w:tbl>
    <w:p w14:paraId="68ACFC22" w14:textId="77777777" w:rsidR="00152EDC" w:rsidRPr="000E74B2" w:rsidRDefault="00760F29" w:rsidP="00152EDC">
      <w:pPr>
        <w:pStyle w:val="HChG"/>
        <w:ind w:right="521"/>
        <w:jc w:val="both"/>
      </w:pPr>
      <w:r w:rsidRPr="009E7ABD">
        <w:rPr>
          <w:rFonts w:eastAsia="MS Mincho"/>
          <w:lang w:val="en-US" w:eastAsia="ja-JP"/>
        </w:rPr>
        <w:tab/>
      </w:r>
      <w:r w:rsidR="00E97BCE" w:rsidRPr="009103F3">
        <w:rPr>
          <w:rFonts w:eastAsia="MS Mincho"/>
          <w:lang w:eastAsia="ja-JP"/>
        </w:rPr>
        <w:tab/>
      </w:r>
      <w:r w:rsidR="00152EDC">
        <w:rPr>
          <w:rFonts w:eastAsia="MS Mincho"/>
          <w:lang w:eastAsia="ja-JP"/>
        </w:rPr>
        <w:t>P</w:t>
      </w:r>
      <w:r w:rsidR="00152EDC" w:rsidRPr="000E74B2">
        <w:t xml:space="preserve">recautionary statement </w:t>
      </w:r>
      <w:r w:rsidR="00152EDC">
        <w:rPr>
          <w:rFonts w:eastAsia="MS Mincho"/>
          <w:lang w:eastAsia="ja-JP"/>
        </w:rPr>
        <w:t>i</w:t>
      </w:r>
      <w:r w:rsidR="00152EDC">
        <w:t>ssues related</w:t>
      </w:r>
      <w:r w:rsidR="00152EDC" w:rsidRPr="000E74B2">
        <w:t xml:space="preserve"> to </w:t>
      </w:r>
      <w:r w:rsidR="00152EDC">
        <w:t>hazard category 5 for</w:t>
      </w:r>
      <w:r w:rsidR="00152EDC" w:rsidRPr="000E74B2">
        <w:t xml:space="preserve"> </w:t>
      </w:r>
      <w:r w:rsidR="00152EDC">
        <w:t>the acute toxicity</w:t>
      </w:r>
      <w:r w:rsidR="00152EDC" w:rsidRPr="000E74B2">
        <w:t xml:space="preserve"> hazard class</w:t>
      </w:r>
      <w:r w:rsidR="00152EDC">
        <w:t>es</w:t>
      </w:r>
      <w:r w:rsidR="00152EDC" w:rsidRPr="00B37415">
        <w:t xml:space="preserve"> </w:t>
      </w:r>
    </w:p>
    <w:p w14:paraId="4F51A3CE" w14:textId="77777777" w:rsidR="00152EDC" w:rsidRDefault="00152EDC" w:rsidP="00152EDC">
      <w:pPr>
        <w:pStyle w:val="H1G"/>
        <w:ind w:right="521" w:firstLine="0"/>
        <w:jc w:val="both"/>
      </w:pPr>
      <w:r>
        <w:t>Transmitted by the expert from the United Kingdom on behalf of the informal working group on improving annexes 1, 2 and 3 of the GHS</w:t>
      </w:r>
    </w:p>
    <w:p w14:paraId="0A05EE8E" w14:textId="77777777" w:rsidR="00152EDC" w:rsidRPr="00127BA7" w:rsidRDefault="00152EDC" w:rsidP="00152EDC">
      <w:pPr>
        <w:pStyle w:val="HChG"/>
      </w:pPr>
      <w:r>
        <w:tab/>
      </w:r>
      <w:r w:rsidRPr="00E51D98">
        <w:t>I.</w:t>
      </w:r>
      <w:r w:rsidRPr="00E51D98">
        <w:tab/>
      </w:r>
      <w:r w:rsidRPr="00127BA7">
        <w:t>Background</w:t>
      </w:r>
    </w:p>
    <w:p w14:paraId="209D7376" w14:textId="77777777" w:rsidR="00152EDC" w:rsidRPr="00A260DD" w:rsidRDefault="00152EDC" w:rsidP="00BB50BA">
      <w:pPr>
        <w:pStyle w:val="SingleTxtG"/>
      </w:pPr>
      <w:r w:rsidRPr="00A260DD">
        <w:t>1.</w:t>
      </w:r>
      <w:r w:rsidRPr="00A260DD">
        <w:tab/>
        <w:t xml:space="preserve">In line with its mandate for the 2023-2024 biennium the informal working group has taken forward work under its focus area (a): “to develop proposals to rationalise and improve the comprehensibility of hazard and precautionary statements for users, while taking into account usability for labelling practitioners.” </w:t>
      </w:r>
    </w:p>
    <w:p w14:paraId="53634058" w14:textId="77777777" w:rsidR="00152EDC" w:rsidRPr="00A260DD" w:rsidRDefault="00152EDC" w:rsidP="00BB50BA">
      <w:pPr>
        <w:pStyle w:val="SingleTxtG"/>
      </w:pPr>
      <w:r w:rsidRPr="00A260DD">
        <w:t>2.</w:t>
      </w:r>
      <w:r w:rsidRPr="00A260DD">
        <w:tab/>
        <w:t>The informal working group has undertaken work under item 2 in the group’s workplan for the 2023-2024 biennium</w:t>
      </w:r>
      <w:r w:rsidRPr="00A260DD">
        <w:rPr>
          <w:rStyle w:val="FootnoteReference"/>
        </w:rPr>
        <w:footnoteReference w:id="1"/>
      </w:r>
      <w:r w:rsidRPr="00A260DD">
        <w:t xml:space="preserve"> to review the precautionary statements in the tables of annex 3 in relation to acute toxicity hazard categories and identify where improvements could be made. The informal working group has agreed on a number of proposed changes and intends to present these to the Sub-Committee for the consideration at the December 2023 session.</w:t>
      </w:r>
    </w:p>
    <w:p w14:paraId="21A85EF1" w14:textId="77777777" w:rsidR="00152EDC" w:rsidRPr="00A260DD" w:rsidRDefault="00152EDC" w:rsidP="00BB50BA">
      <w:pPr>
        <w:pStyle w:val="SingleTxtG"/>
      </w:pPr>
      <w:r w:rsidRPr="00A260DD">
        <w:t>3.</w:t>
      </w:r>
      <w:r w:rsidRPr="00A260DD">
        <w:tab/>
        <w:t xml:space="preserve">The informal working group also identified a number of potential issues in relation to acute toxicity hazard Category 5, as detailed in paragraphs 4 to 14 below. The group is seeking advice about those potential issues from the Sub-Committee, particularly from those delegations that are not members of the group but who implement acute toxicity Category 5 in their jurisdictions. </w:t>
      </w:r>
    </w:p>
    <w:p w14:paraId="534EF766" w14:textId="77777777" w:rsidR="00152EDC" w:rsidRPr="00127BA7" w:rsidRDefault="00152EDC" w:rsidP="00152EDC">
      <w:pPr>
        <w:pStyle w:val="HChG"/>
      </w:pPr>
      <w:r>
        <w:tab/>
      </w:r>
      <w:r w:rsidRPr="00E51D98">
        <w:t>I</w:t>
      </w:r>
      <w:r>
        <w:t>I</w:t>
      </w:r>
      <w:r w:rsidRPr="00E51D98">
        <w:t>.</w:t>
      </w:r>
      <w:r w:rsidRPr="00E51D98">
        <w:tab/>
      </w:r>
      <w:r>
        <w:t>Discussion</w:t>
      </w:r>
    </w:p>
    <w:p w14:paraId="1775F892" w14:textId="77777777" w:rsidR="00152EDC" w:rsidRDefault="00152EDC" w:rsidP="00BB50BA">
      <w:pPr>
        <w:pStyle w:val="SingleTxtG"/>
      </w:pPr>
      <w:r>
        <w:t>4</w:t>
      </w:r>
      <w:r w:rsidRPr="00680A00">
        <w:t>.</w:t>
      </w:r>
      <w:r w:rsidRPr="00680A00">
        <w:tab/>
      </w:r>
      <w:r w:rsidRPr="000275FC">
        <w:t xml:space="preserve"> </w:t>
      </w:r>
      <w:r>
        <w:t>Currently, acute toxicity Category 5 is listed beneath the following precautionary statements in Section 2, Annex 3, of the GHS:</w:t>
      </w:r>
    </w:p>
    <w:tbl>
      <w:tblPr>
        <w:tblW w:w="78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712"/>
        <w:gridCol w:w="2838"/>
        <w:gridCol w:w="2976"/>
        <w:gridCol w:w="1276"/>
      </w:tblGrid>
      <w:tr w:rsidR="00152EDC" w:rsidRPr="00A260DD" w14:paraId="494998B4" w14:textId="77777777" w:rsidTr="00A260DD">
        <w:trPr>
          <w:cantSplit/>
          <w:trHeight w:val="20"/>
          <w:tblHeader/>
          <w:jc w:val="center"/>
        </w:trPr>
        <w:tc>
          <w:tcPr>
            <w:tcW w:w="712" w:type="dxa"/>
          </w:tcPr>
          <w:p w14:paraId="23CDBDD3" w14:textId="77777777" w:rsidR="00152EDC" w:rsidRPr="00A260DD" w:rsidRDefault="00152EDC" w:rsidP="003B6536">
            <w:pPr>
              <w:keepLines/>
              <w:spacing w:before="20" w:after="20"/>
              <w:jc w:val="center"/>
              <w:rPr>
                <w:b/>
                <w:bCs/>
                <w:sz w:val="18"/>
                <w:szCs w:val="18"/>
              </w:rPr>
            </w:pPr>
            <w:r w:rsidRPr="00A260DD">
              <w:rPr>
                <w:b/>
                <w:bCs/>
                <w:sz w:val="18"/>
                <w:szCs w:val="18"/>
              </w:rPr>
              <w:t>Code</w:t>
            </w:r>
          </w:p>
        </w:tc>
        <w:tc>
          <w:tcPr>
            <w:tcW w:w="2838" w:type="dxa"/>
          </w:tcPr>
          <w:p w14:paraId="26F817C1" w14:textId="77777777" w:rsidR="00152EDC" w:rsidRPr="00A260DD" w:rsidRDefault="00152EDC" w:rsidP="003B6536">
            <w:pPr>
              <w:keepLines/>
              <w:spacing w:before="20" w:after="20"/>
              <w:jc w:val="center"/>
              <w:rPr>
                <w:rStyle w:val="StyleBold"/>
                <w:sz w:val="18"/>
                <w:szCs w:val="18"/>
              </w:rPr>
            </w:pPr>
            <w:r w:rsidRPr="00A260DD">
              <w:rPr>
                <w:rStyle w:val="StyleBold"/>
                <w:sz w:val="18"/>
                <w:szCs w:val="18"/>
              </w:rPr>
              <w:t>Precautionary statement</w:t>
            </w:r>
          </w:p>
        </w:tc>
        <w:tc>
          <w:tcPr>
            <w:tcW w:w="2976" w:type="dxa"/>
          </w:tcPr>
          <w:p w14:paraId="16B40143" w14:textId="77777777" w:rsidR="00152EDC" w:rsidRPr="00A260DD" w:rsidRDefault="00152EDC" w:rsidP="003B6536">
            <w:pPr>
              <w:keepLines/>
              <w:spacing w:before="20" w:after="20"/>
              <w:jc w:val="center"/>
              <w:rPr>
                <w:b/>
                <w:bCs/>
                <w:sz w:val="18"/>
                <w:szCs w:val="18"/>
              </w:rPr>
            </w:pPr>
            <w:r w:rsidRPr="00A260DD">
              <w:rPr>
                <w:b/>
                <w:bCs/>
                <w:sz w:val="18"/>
                <w:szCs w:val="18"/>
              </w:rPr>
              <w:t>Hazard class</w:t>
            </w:r>
          </w:p>
        </w:tc>
        <w:tc>
          <w:tcPr>
            <w:tcW w:w="1276" w:type="dxa"/>
          </w:tcPr>
          <w:p w14:paraId="12A11905" w14:textId="77777777" w:rsidR="00152EDC" w:rsidRPr="00A260DD" w:rsidRDefault="00152EDC" w:rsidP="003B6536">
            <w:pPr>
              <w:keepLines/>
              <w:spacing w:before="20" w:after="20"/>
              <w:jc w:val="center"/>
              <w:rPr>
                <w:b/>
                <w:bCs/>
                <w:sz w:val="18"/>
                <w:szCs w:val="18"/>
              </w:rPr>
            </w:pPr>
            <w:r w:rsidRPr="00A260DD">
              <w:rPr>
                <w:b/>
                <w:bCs/>
                <w:sz w:val="18"/>
                <w:szCs w:val="18"/>
              </w:rPr>
              <w:t>Hazard category</w:t>
            </w:r>
          </w:p>
        </w:tc>
      </w:tr>
      <w:tr w:rsidR="00152EDC" w:rsidRPr="00A260DD" w14:paraId="53FB72F3" w14:textId="77777777" w:rsidTr="003B6536">
        <w:trPr>
          <w:cantSplit/>
          <w:trHeight w:val="20"/>
          <w:jc w:val="center"/>
        </w:trPr>
        <w:tc>
          <w:tcPr>
            <w:tcW w:w="712" w:type="dxa"/>
          </w:tcPr>
          <w:p w14:paraId="2773FA99" w14:textId="77777777" w:rsidR="00152EDC" w:rsidRPr="00A260DD" w:rsidRDefault="00152EDC" w:rsidP="003B6536">
            <w:pPr>
              <w:keepLines/>
              <w:spacing w:before="20" w:after="20"/>
              <w:jc w:val="center"/>
              <w:rPr>
                <w:sz w:val="18"/>
                <w:szCs w:val="18"/>
              </w:rPr>
            </w:pPr>
            <w:r w:rsidRPr="00A260DD">
              <w:rPr>
                <w:sz w:val="18"/>
                <w:szCs w:val="18"/>
              </w:rPr>
              <w:t>P301</w:t>
            </w:r>
          </w:p>
        </w:tc>
        <w:tc>
          <w:tcPr>
            <w:tcW w:w="2838" w:type="dxa"/>
          </w:tcPr>
          <w:p w14:paraId="276184D1" w14:textId="77777777" w:rsidR="00152EDC" w:rsidRPr="00A260DD" w:rsidRDefault="00152EDC" w:rsidP="003B6536">
            <w:pPr>
              <w:keepLines/>
              <w:spacing w:before="20" w:after="20"/>
              <w:rPr>
                <w:rStyle w:val="StyleBold"/>
                <w:sz w:val="18"/>
                <w:szCs w:val="18"/>
              </w:rPr>
            </w:pPr>
            <w:r w:rsidRPr="00A260DD">
              <w:rPr>
                <w:rStyle w:val="StyleBold"/>
                <w:sz w:val="18"/>
                <w:szCs w:val="18"/>
              </w:rPr>
              <w:t>IF SWALLOWED:</w:t>
            </w:r>
          </w:p>
        </w:tc>
        <w:tc>
          <w:tcPr>
            <w:tcW w:w="2976" w:type="dxa"/>
          </w:tcPr>
          <w:p w14:paraId="63311978" w14:textId="77777777" w:rsidR="00152EDC" w:rsidRPr="00A260DD" w:rsidRDefault="00152EDC" w:rsidP="003B6536">
            <w:pPr>
              <w:keepLines/>
              <w:spacing w:before="20" w:after="20"/>
              <w:rPr>
                <w:sz w:val="18"/>
                <w:szCs w:val="18"/>
              </w:rPr>
            </w:pPr>
            <w:r w:rsidRPr="00A260DD">
              <w:rPr>
                <w:sz w:val="18"/>
                <w:szCs w:val="18"/>
              </w:rPr>
              <w:t>Acute toxicity, oral (chapter 3.1)</w:t>
            </w:r>
          </w:p>
        </w:tc>
        <w:tc>
          <w:tcPr>
            <w:tcW w:w="1276" w:type="dxa"/>
          </w:tcPr>
          <w:p w14:paraId="6DAAFEBC" w14:textId="77777777" w:rsidR="00152EDC" w:rsidRPr="00A260DD" w:rsidRDefault="00152EDC" w:rsidP="003B6536">
            <w:pPr>
              <w:keepLines/>
              <w:spacing w:before="20" w:after="20"/>
              <w:jc w:val="center"/>
              <w:rPr>
                <w:sz w:val="18"/>
                <w:szCs w:val="18"/>
              </w:rPr>
            </w:pPr>
            <w:r w:rsidRPr="00A260DD">
              <w:rPr>
                <w:sz w:val="18"/>
                <w:szCs w:val="18"/>
              </w:rPr>
              <w:t>1, 2, 3, 4, 5</w:t>
            </w:r>
          </w:p>
        </w:tc>
      </w:tr>
      <w:tr w:rsidR="00152EDC" w:rsidRPr="00A260DD" w14:paraId="51443E2F" w14:textId="77777777" w:rsidTr="003B6536">
        <w:trPr>
          <w:cantSplit/>
          <w:trHeight w:val="20"/>
          <w:jc w:val="center"/>
        </w:trPr>
        <w:tc>
          <w:tcPr>
            <w:tcW w:w="712" w:type="dxa"/>
          </w:tcPr>
          <w:p w14:paraId="7075A978" w14:textId="77777777" w:rsidR="00152EDC" w:rsidRPr="00A260DD" w:rsidRDefault="00152EDC" w:rsidP="003B6536">
            <w:pPr>
              <w:keepLines/>
              <w:spacing w:before="20" w:after="20"/>
              <w:jc w:val="center"/>
              <w:rPr>
                <w:sz w:val="18"/>
                <w:szCs w:val="18"/>
              </w:rPr>
            </w:pPr>
            <w:r w:rsidRPr="00A260DD">
              <w:rPr>
                <w:sz w:val="18"/>
                <w:szCs w:val="18"/>
              </w:rPr>
              <w:t>P302</w:t>
            </w:r>
          </w:p>
        </w:tc>
        <w:tc>
          <w:tcPr>
            <w:tcW w:w="2838" w:type="dxa"/>
          </w:tcPr>
          <w:p w14:paraId="6CF34E96" w14:textId="77777777" w:rsidR="00152EDC" w:rsidRPr="00A260DD" w:rsidRDefault="00152EDC" w:rsidP="003B6536">
            <w:pPr>
              <w:keepLines/>
              <w:spacing w:before="20" w:after="20"/>
              <w:rPr>
                <w:rStyle w:val="StyleBold"/>
                <w:sz w:val="18"/>
                <w:szCs w:val="18"/>
              </w:rPr>
            </w:pPr>
            <w:r w:rsidRPr="00A260DD">
              <w:rPr>
                <w:rStyle w:val="StyleBold"/>
                <w:sz w:val="18"/>
                <w:szCs w:val="18"/>
              </w:rPr>
              <w:t>IF ON SKIN:</w:t>
            </w:r>
          </w:p>
        </w:tc>
        <w:tc>
          <w:tcPr>
            <w:tcW w:w="2976" w:type="dxa"/>
          </w:tcPr>
          <w:p w14:paraId="4D1AC335" w14:textId="77777777" w:rsidR="00152EDC" w:rsidRPr="00A260DD" w:rsidRDefault="00152EDC" w:rsidP="003B6536">
            <w:pPr>
              <w:keepLines/>
              <w:spacing w:before="20" w:after="20"/>
              <w:rPr>
                <w:sz w:val="18"/>
                <w:szCs w:val="18"/>
              </w:rPr>
            </w:pPr>
            <w:r w:rsidRPr="00A260DD">
              <w:rPr>
                <w:sz w:val="18"/>
                <w:szCs w:val="18"/>
              </w:rPr>
              <w:t>Acute toxicity, dermal (chapter 3.1)</w:t>
            </w:r>
          </w:p>
        </w:tc>
        <w:tc>
          <w:tcPr>
            <w:tcW w:w="1276" w:type="dxa"/>
          </w:tcPr>
          <w:p w14:paraId="16BFA5B1" w14:textId="77777777" w:rsidR="00152EDC" w:rsidRPr="00A260DD" w:rsidRDefault="00152EDC" w:rsidP="003B6536">
            <w:pPr>
              <w:keepLines/>
              <w:spacing w:before="20" w:after="20"/>
              <w:jc w:val="center"/>
              <w:rPr>
                <w:sz w:val="18"/>
                <w:szCs w:val="18"/>
              </w:rPr>
            </w:pPr>
            <w:r w:rsidRPr="00A260DD">
              <w:rPr>
                <w:sz w:val="18"/>
                <w:szCs w:val="18"/>
              </w:rPr>
              <w:t>1, 2, 3, 4, 5</w:t>
            </w:r>
          </w:p>
        </w:tc>
      </w:tr>
      <w:tr w:rsidR="00152EDC" w:rsidRPr="00A260DD" w14:paraId="02996402" w14:textId="77777777" w:rsidTr="003B6536">
        <w:trPr>
          <w:cantSplit/>
          <w:trHeight w:val="20"/>
          <w:jc w:val="center"/>
        </w:trPr>
        <w:tc>
          <w:tcPr>
            <w:tcW w:w="712" w:type="dxa"/>
          </w:tcPr>
          <w:p w14:paraId="42126478" w14:textId="77777777" w:rsidR="00152EDC" w:rsidRPr="00A260DD" w:rsidRDefault="00152EDC" w:rsidP="003B6536">
            <w:pPr>
              <w:keepLines/>
              <w:spacing w:before="20" w:after="20"/>
              <w:jc w:val="center"/>
              <w:rPr>
                <w:sz w:val="18"/>
                <w:szCs w:val="18"/>
              </w:rPr>
            </w:pPr>
            <w:r w:rsidRPr="00A260DD">
              <w:rPr>
                <w:sz w:val="18"/>
                <w:szCs w:val="18"/>
              </w:rPr>
              <w:t>P304</w:t>
            </w:r>
          </w:p>
        </w:tc>
        <w:tc>
          <w:tcPr>
            <w:tcW w:w="2838" w:type="dxa"/>
          </w:tcPr>
          <w:p w14:paraId="56A52FCD" w14:textId="77777777" w:rsidR="00152EDC" w:rsidRPr="00A260DD" w:rsidRDefault="00152EDC" w:rsidP="003B6536">
            <w:pPr>
              <w:keepLines/>
              <w:spacing w:before="20" w:after="20"/>
              <w:rPr>
                <w:rStyle w:val="StyleBold"/>
                <w:sz w:val="18"/>
                <w:szCs w:val="18"/>
              </w:rPr>
            </w:pPr>
            <w:r w:rsidRPr="00A260DD">
              <w:rPr>
                <w:rStyle w:val="StyleBold"/>
                <w:sz w:val="18"/>
                <w:szCs w:val="18"/>
              </w:rPr>
              <w:t>IF INHALED:</w:t>
            </w:r>
          </w:p>
        </w:tc>
        <w:tc>
          <w:tcPr>
            <w:tcW w:w="2976" w:type="dxa"/>
          </w:tcPr>
          <w:p w14:paraId="1A27AE02" w14:textId="77777777" w:rsidR="00152EDC" w:rsidRPr="00A260DD" w:rsidRDefault="00152EDC" w:rsidP="003B6536">
            <w:pPr>
              <w:keepLines/>
              <w:spacing w:before="20" w:after="20"/>
              <w:rPr>
                <w:sz w:val="18"/>
                <w:szCs w:val="18"/>
              </w:rPr>
            </w:pPr>
            <w:r w:rsidRPr="00A260DD">
              <w:rPr>
                <w:sz w:val="18"/>
                <w:szCs w:val="18"/>
              </w:rPr>
              <w:t>Acute toxicity, inhalation (chapter 3.1)</w:t>
            </w:r>
          </w:p>
        </w:tc>
        <w:tc>
          <w:tcPr>
            <w:tcW w:w="1276" w:type="dxa"/>
          </w:tcPr>
          <w:p w14:paraId="7F4B30BB" w14:textId="77777777" w:rsidR="00152EDC" w:rsidRPr="00A260DD" w:rsidRDefault="00152EDC" w:rsidP="003B6536">
            <w:pPr>
              <w:keepLines/>
              <w:spacing w:before="20" w:after="20"/>
              <w:jc w:val="center"/>
              <w:rPr>
                <w:sz w:val="18"/>
                <w:szCs w:val="18"/>
              </w:rPr>
            </w:pPr>
            <w:r w:rsidRPr="00A260DD">
              <w:rPr>
                <w:sz w:val="18"/>
                <w:szCs w:val="18"/>
              </w:rPr>
              <w:t>1, 2, 3, 4, 5</w:t>
            </w:r>
          </w:p>
        </w:tc>
      </w:tr>
      <w:tr w:rsidR="00152EDC" w:rsidRPr="00A260DD" w14:paraId="7B609BD9" w14:textId="77777777" w:rsidTr="003B6536">
        <w:trPr>
          <w:cantSplit/>
          <w:trHeight w:val="20"/>
          <w:jc w:val="center"/>
        </w:trPr>
        <w:tc>
          <w:tcPr>
            <w:tcW w:w="712" w:type="dxa"/>
            <w:vMerge w:val="restart"/>
          </w:tcPr>
          <w:p w14:paraId="519E4DC2" w14:textId="77777777" w:rsidR="00152EDC" w:rsidRPr="00A260DD" w:rsidRDefault="00152EDC" w:rsidP="003B6536">
            <w:pPr>
              <w:keepLines/>
              <w:spacing w:before="20" w:after="20"/>
              <w:jc w:val="center"/>
              <w:rPr>
                <w:sz w:val="18"/>
                <w:szCs w:val="18"/>
              </w:rPr>
            </w:pPr>
            <w:r w:rsidRPr="00A260DD">
              <w:rPr>
                <w:sz w:val="18"/>
                <w:szCs w:val="18"/>
              </w:rPr>
              <w:t>P317</w:t>
            </w:r>
          </w:p>
        </w:tc>
        <w:tc>
          <w:tcPr>
            <w:tcW w:w="2838" w:type="dxa"/>
            <w:vMerge w:val="restart"/>
          </w:tcPr>
          <w:p w14:paraId="4119EBB0" w14:textId="77777777" w:rsidR="00152EDC" w:rsidRPr="00A260DD" w:rsidRDefault="00152EDC" w:rsidP="003B6536">
            <w:pPr>
              <w:keepLines/>
              <w:spacing w:before="20" w:after="20"/>
              <w:rPr>
                <w:rStyle w:val="StyleBold"/>
                <w:sz w:val="18"/>
                <w:szCs w:val="18"/>
              </w:rPr>
            </w:pPr>
            <w:r w:rsidRPr="00A260DD">
              <w:rPr>
                <w:b/>
                <w:sz w:val="18"/>
                <w:szCs w:val="18"/>
              </w:rPr>
              <w:t>Get medical help.</w:t>
            </w:r>
          </w:p>
        </w:tc>
        <w:tc>
          <w:tcPr>
            <w:tcW w:w="2976" w:type="dxa"/>
          </w:tcPr>
          <w:p w14:paraId="1A73921C" w14:textId="77777777" w:rsidR="00152EDC" w:rsidRPr="00A260DD" w:rsidRDefault="00152EDC" w:rsidP="003B6536">
            <w:pPr>
              <w:keepLines/>
              <w:spacing w:before="20" w:after="20"/>
              <w:rPr>
                <w:b/>
                <w:sz w:val="18"/>
                <w:szCs w:val="18"/>
              </w:rPr>
            </w:pPr>
            <w:r w:rsidRPr="00A260DD">
              <w:rPr>
                <w:sz w:val="18"/>
                <w:szCs w:val="18"/>
              </w:rPr>
              <w:t>Acute toxicity, oral (chapter 3.1)</w:t>
            </w:r>
          </w:p>
        </w:tc>
        <w:tc>
          <w:tcPr>
            <w:tcW w:w="1276" w:type="dxa"/>
          </w:tcPr>
          <w:p w14:paraId="5EB90779" w14:textId="77777777" w:rsidR="00152EDC" w:rsidRPr="00A260DD" w:rsidRDefault="00152EDC" w:rsidP="003B6536">
            <w:pPr>
              <w:keepLines/>
              <w:spacing w:before="20" w:after="20"/>
              <w:jc w:val="center"/>
              <w:rPr>
                <w:sz w:val="18"/>
                <w:szCs w:val="18"/>
              </w:rPr>
            </w:pPr>
            <w:r w:rsidRPr="00A260DD">
              <w:rPr>
                <w:sz w:val="18"/>
                <w:szCs w:val="18"/>
              </w:rPr>
              <w:t>4, 5</w:t>
            </w:r>
          </w:p>
        </w:tc>
      </w:tr>
      <w:tr w:rsidR="00152EDC" w:rsidRPr="00A260DD" w14:paraId="5EEA50DA" w14:textId="77777777" w:rsidTr="003B6536">
        <w:trPr>
          <w:cantSplit/>
          <w:trHeight w:val="20"/>
          <w:jc w:val="center"/>
        </w:trPr>
        <w:tc>
          <w:tcPr>
            <w:tcW w:w="712" w:type="dxa"/>
            <w:vMerge/>
          </w:tcPr>
          <w:p w14:paraId="4447CD71" w14:textId="77777777" w:rsidR="00152EDC" w:rsidRPr="00A260DD" w:rsidRDefault="00152EDC" w:rsidP="003B6536">
            <w:pPr>
              <w:keepLines/>
              <w:spacing w:before="20" w:after="20"/>
              <w:jc w:val="center"/>
              <w:rPr>
                <w:sz w:val="18"/>
                <w:szCs w:val="18"/>
              </w:rPr>
            </w:pPr>
          </w:p>
        </w:tc>
        <w:tc>
          <w:tcPr>
            <w:tcW w:w="2838" w:type="dxa"/>
            <w:vMerge/>
          </w:tcPr>
          <w:p w14:paraId="11A13A66" w14:textId="77777777" w:rsidR="00152EDC" w:rsidRPr="00A260DD" w:rsidRDefault="00152EDC" w:rsidP="003B6536">
            <w:pPr>
              <w:keepLines/>
              <w:spacing w:before="20" w:after="20"/>
              <w:rPr>
                <w:b/>
                <w:sz w:val="18"/>
                <w:szCs w:val="18"/>
              </w:rPr>
            </w:pPr>
          </w:p>
        </w:tc>
        <w:tc>
          <w:tcPr>
            <w:tcW w:w="2976" w:type="dxa"/>
          </w:tcPr>
          <w:p w14:paraId="714A266E" w14:textId="77777777" w:rsidR="00152EDC" w:rsidRPr="00A260DD" w:rsidRDefault="00152EDC" w:rsidP="003B6536">
            <w:pPr>
              <w:keepLines/>
              <w:spacing w:before="20" w:after="20"/>
              <w:rPr>
                <w:b/>
                <w:sz w:val="18"/>
                <w:szCs w:val="18"/>
              </w:rPr>
            </w:pPr>
            <w:r w:rsidRPr="00A260DD">
              <w:rPr>
                <w:sz w:val="18"/>
                <w:szCs w:val="18"/>
              </w:rPr>
              <w:t>Acute toxicity, dermal (chapter 3.1)</w:t>
            </w:r>
          </w:p>
        </w:tc>
        <w:tc>
          <w:tcPr>
            <w:tcW w:w="1276" w:type="dxa"/>
          </w:tcPr>
          <w:p w14:paraId="44B13FD3" w14:textId="77777777" w:rsidR="00152EDC" w:rsidRPr="00A260DD" w:rsidRDefault="00152EDC" w:rsidP="003B6536">
            <w:pPr>
              <w:keepLines/>
              <w:spacing w:before="20" w:after="20"/>
              <w:jc w:val="center"/>
              <w:rPr>
                <w:sz w:val="18"/>
                <w:szCs w:val="18"/>
              </w:rPr>
            </w:pPr>
            <w:r w:rsidRPr="00A260DD">
              <w:rPr>
                <w:sz w:val="18"/>
                <w:szCs w:val="18"/>
              </w:rPr>
              <w:t>4, 5</w:t>
            </w:r>
          </w:p>
        </w:tc>
      </w:tr>
      <w:tr w:rsidR="00152EDC" w:rsidRPr="00A260DD" w14:paraId="5C73D3AE" w14:textId="77777777" w:rsidTr="003B6536">
        <w:trPr>
          <w:cantSplit/>
          <w:trHeight w:val="20"/>
          <w:jc w:val="center"/>
        </w:trPr>
        <w:tc>
          <w:tcPr>
            <w:tcW w:w="712" w:type="dxa"/>
            <w:vMerge/>
          </w:tcPr>
          <w:p w14:paraId="5E2C94CF" w14:textId="77777777" w:rsidR="00152EDC" w:rsidRPr="00A260DD" w:rsidRDefault="00152EDC" w:rsidP="003B6536">
            <w:pPr>
              <w:keepLines/>
              <w:spacing w:before="20" w:after="20"/>
              <w:jc w:val="center"/>
              <w:rPr>
                <w:sz w:val="18"/>
                <w:szCs w:val="18"/>
              </w:rPr>
            </w:pPr>
          </w:p>
        </w:tc>
        <w:tc>
          <w:tcPr>
            <w:tcW w:w="2838" w:type="dxa"/>
            <w:vMerge/>
          </w:tcPr>
          <w:p w14:paraId="6F55AC54" w14:textId="77777777" w:rsidR="00152EDC" w:rsidRPr="00A260DD" w:rsidRDefault="00152EDC" w:rsidP="003B6536">
            <w:pPr>
              <w:keepLines/>
              <w:spacing w:before="20" w:after="20"/>
              <w:rPr>
                <w:b/>
                <w:sz w:val="18"/>
                <w:szCs w:val="18"/>
              </w:rPr>
            </w:pPr>
          </w:p>
        </w:tc>
        <w:tc>
          <w:tcPr>
            <w:tcW w:w="2976" w:type="dxa"/>
          </w:tcPr>
          <w:p w14:paraId="44C0F845" w14:textId="77777777" w:rsidR="00152EDC" w:rsidRPr="00A260DD" w:rsidRDefault="00152EDC" w:rsidP="003B6536">
            <w:pPr>
              <w:keepLines/>
              <w:spacing w:before="20" w:after="20"/>
              <w:rPr>
                <w:b/>
                <w:sz w:val="18"/>
                <w:szCs w:val="18"/>
              </w:rPr>
            </w:pPr>
            <w:r w:rsidRPr="00A260DD">
              <w:rPr>
                <w:sz w:val="18"/>
                <w:szCs w:val="18"/>
              </w:rPr>
              <w:t>Acute toxicity, inhalation (chapter 3.1)</w:t>
            </w:r>
          </w:p>
        </w:tc>
        <w:tc>
          <w:tcPr>
            <w:tcW w:w="1276" w:type="dxa"/>
          </w:tcPr>
          <w:p w14:paraId="3A013C51" w14:textId="77777777" w:rsidR="00152EDC" w:rsidRPr="00A260DD" w:rsidRDefault="00152EDC" w:rsidP="003B6536">
            <w:pPr>
              <w:keepLines/>
              <w:spacing w:before="20" w:after="20"/>
              <w:jc w:val="center"/>
              <w:rPr>
                <w:sz w:val="18"/>
                <w:szCs w:val="18"/>
              </w:rPr>
            </w:pPr>
            <w:r w:rsidRPr="00A260DD">
              <w:rPr>
                <w:sz w:val="18"/>
                <w:szCs w:val="18"/>
              </w:rPr>
              <w:t>4, 5</w:t>
            </w:r>
          </w:p>
        </w:tc>
      </w:tr>
      <w:tr w:rsidR="00152EDC" w:rsidRPr="00A260DD" w14:paraId="5C198D1A" w14:textId="77777777" w:rsidTr="003B6536">
        <w:trPr>
          <w:cantSplit/>
          <w:trHeight w:val="20"/>
          <w:jc w:val="center"/>
        </w:trPr>
        <w:tc>
          <w:tcPr>
            <w:tcW w:w="712" w:type="dxa"/>
          </w:tcPr>
          <w:p w14:paraId="628C9566" w14:textId="77777777" w:rsidR="00152EDC" w:rsidRPr="00A260DD" w:rsidRDefault="00152EDC" w:rsidP="003B6536">
            <w:pPr>
              <w:keepLines/>
              <w:spacing w:before="20" w:after="20"/>
              <w:jc w:val="center"/>
              <w:rPr>
                <w:sz w:val="18"/>
                <w:szCs w:val="18"/>
              </w:rPr>
            </w:pPr>
            <w:r w:rsidRPr="00A260DD">
              <w:rPr>
                <w:sz w:val="18"/>
                <w:szCs w:val="18"/>
              </w:rPr>
              <w:lastRenderedPageBreak/>
              <w:t>P301</w:t>
            </w:r>
            <w:r w:rsidRPr="00A260DD">
              <w:rPr>
                <w:sz w:val="18"/>
                <w:szCs w:val="18"/>
              </w:rPr>
              <w:br/>
              <w:t>+</w:t>
            </w:r>
            <w:r w:rsidRPr="00A260DD">
              <w:rPr>
                <w:sz w:val="18"/>
                <w:szCs w:val="18"/>
              </w:rPr>
              <w:br/>
              <w:t>P317</w:t>
            </w:r>
          </w:p>
        </w:tc>
        <w:tc>
          <w:tcPr>
            <w:tcW w:w="2838" w:type="dxa"/>
          </w:tcPr>
          <w:p w14:paraId="464C4611" w14:textId="77777777" w:rsidR="00152EDC" w:rsidRPr="00A260DD" w:rsidRDefault="00152EDC" w:rsidP="003B6536">
            <w:pPr>
              <w:keepLines/>
              <w:spacing w:before="20" w:after="20"/>
              <w:rPr>
                <w:b/>
                <w:sz w:val="18"/>
                <w:szCs w:val="18"/>
              </w:rPr>
            </w:pPr>
            <w:r w:rsidRPr="00A260DD">
              <w:rPr>
                <w:rStyle w:val="StyleBold"/>
                <w:sz w:val="18"/>
                <w:szCs w:val="18"/>
              </w:rPr>
              <w:t xml:space="preserve">IF SWALLOWED: </w:t>
            </w:r>
            <w:r w:rsidRPr="00A260DD">
              <w:rPr>
                <w:b/>
                <w:sz w:val="18"/>
                <w:szCs w:val="18"/>
              </w:rPr>
              <w:t>Get medical help.</w:t>
            </w:r>
          </w:p>
        </w:tc>
        <w:tc>
          <w:tcPr>
            <w:tcW w:w="2976" w:type="dxa"/>
          </w:tcPr>
          <w:p w14:paraId="7728D61C" w14:textId="77777777" w:rsidR="00152EDC" w:rsidRPr="00A260DD" w:rsidRDefault="00152EDC" w:rsidP="003B6536">
            <w:pPr>
              <w:keepLines/>
              <w:spacing w:before="20" w:after="20"/>
              <w:rPr>
                <w:b/>
                <w:sz w:val="18"/>
                <w:szCs w:val="18"/>
              </w:rPr>
            </w:pPr>
            <w:r w:rsidRPr="00A260DD">
              <w:rPr>
                <w:sz w:val="18"/>
                <w:szCs w:val="18"/>
              </w:rPr>
              <w:t>Acute toxicity, oral (chapter 3.1)</w:t>
            </w:r>
          </w:p>
        </w:tc>
        <w:tc>
          <w:tcPr>
            <w:tcW w:w="1276" w:type="dxa"/>
          </w:tcPr>
          <w:p w14:paraId="74AAEB80" w14:textId="77777777" w:rsidR="00152EDC" w:rsidRPr="00A260DD" w:rsidRDefault="00152EDC" w:rsidP="003B6536">
            <w:pPr>
              <w:keepLines/>
              <w:spacing w:before="20" w:after="20"/>
              <w:jc w:val="center"/>
              <w:rPr>
                <w:sz w:val="18"/>
                <w:szCs w:val="18"/>
              </w:rPr>
            </w:pPr>
            <w:r w:rsidRPr="00A260DD">
              <w:rPr>
                <w:sz w:val="18"/>
                <w:szCs w:val="18"/>
              </w:rPr>
              <w:t>4, 5</w:t>
            </w:r>
          </w:p>
        </w:tc>
      </w:tr>
      <w:tr w:rsidR="00152EDC" w:rsidRPr="00A260DD" w14:paraId="2CDB14C4" w14:textId="77777777" w:rsidTr="003B6536">
        <w:trPr>
          <w:cantSplit/>
          <w:trHeight w:val="65"/>
          <w:jc w:val="center"/>
        </w:trPr>
        <w:tc>
          <w:tcPr>
            <w:tcW w:w="712" w:type="dxa"/>
          </w:tcPr>
          <w:p w14:paraId="5B47052C" w14:textId="77777777" w:rsidR="00152EDC" w:rsidRPr="00A260DD" w:rsidRDefault="00152EDC" w:rsidP="003B6536">
            <w:pPr>
              <w:keepLines/>
              <w:spacing w:before="20" w:after="20"/>
              <w:jc w:val="center"/>
              <w:rPr>
                <w:sz w:val="18"/>
                <w:szCs w:val="18"/>
              </w:rPr>
            </w:pPr>
            <w:r w:rsidRPr="00A260DD">
              <w:rPr>
                <w:sz w:val="18"/>
                <w:szCs w:val="18"/>
              </w:rPr>
              <w:t>P302</w:t>
            </w:r>
            <w:r w:rsidRPr="00A260DD">
              <w:rPr>
                <w:sz w:val="18"/>
                <w:szCs w:val="18"/>
              </w:rPr>
              <w:br/>
              <w:t>+</w:t>
            </w:r>
            <w:r w:rsidRPr="00A260DD">
              <w:rPr>
                <w:sz w:val="18"/>
                <w:szCs w:val="18"/>
              </w:rPr>
              <w:br/>
              <w:t>P317</w:t>
            </w:r>
          </w:p>
        </w:tc>
        <w:tc>
          <w:tcPr>
            <w:tcW w:w="2838" w:type="dxa"/>
          </w:tcPr>
          <w:p w14:paraId="4E9E43F2" w14:textId="77777777" w:rsidR="00152EDC" w:rsidRPr="00A260DD" w:rsidRDefault="00152EDC" w:rsidP="003B6536">
            <w:pPr>
              <w:keepLines/>
              <w:tabs>
                <w:tab w:val="left" w:pos="3555"/>
              </w:tabs>
              <w:spacing w:before="20" w:after="20"/>
              <w:rPr>
                <w:rStyle w:val="StyleBoldStrikethrough"/>
                <w:bCs w:val="0"/>
                <w:strike w:val="0"/>
                <w:sz w:val="18"/>
                <w:szCs w:val="18"/>
              </w:rPr>
            </w:pPr>
            <w:r w:rsidRPr="00A260DD">
              <w:rPr>
                <w:rStyle w:val="StyleBold"/>
                <w:sz w:val="18"/>
                <w:szCs w:val="18"/>
              </w:rPr>
              <w:t>IF ON SKIN: Get medical help.</w:t>
            </w:r>
          </w:p>
        </w:tc>
        <w:tc>
          <w:tcPr>
            <w:tcW w:w="2976" w:type="dxa"/>
          </w:tcPr>
          <w:p w14:paraId="28A18863" w14:textId="77777777" w:rsidR="00152EDC" w:rsidRPr="00A260DD" w:rsidRDefault="00152EDC" w:rsidP="003B6536">
            <w:pPr>
              <w:keepLines/>
              <w:spacing w:before="20" w:after="20"/>
              <w:rPr>
                <w:sz w:val="18"/>
                <w:szCs w:val="18"/>
              </w:rPr>
            </w:pPr>
            <w:r w:rsidRPr="00A260DD">
              <w:rPr>
                <w:sz w:val="18"/>
                <w:szCs w:val="18"/>
              </w:rPr>
              <w:t>Acute toxicity, dermal (chapter 3.1)</w:t>
            </w:r>
          </w:p>
        </w:tc>
        <w:tc>
          <w:tcPr>
            <w:tcW w:w="1276" w:type="dxa"/>
          </w:tcPr>
          <w:p w14:paraId="57F9FFE7" w14:textId="77777777" w:rsidR="00152EDC" w:rsidRPr="00A260DD" w:rsidRDefault="00152EDC" w:rsidP="003B6536">
            <w:pPr>
              <w:keepLines/>
              <w:spacing w:before="20" w:after="20"/>
              <w:jc w:val="center"/>
              <w:rPr>
                <w:sz w:val="18"/>
                <w:szCs w:val="18"/>
              </w:rPr>
            </w:pPr>
            <w:r w:rsidRPr="00A260DD">
              <w:rPr>
                <w:sz w:val="18"/>
                <w:szCs w:val="18"/>
              </w:rPr>
              <w:t>5</w:t>
            </w:r>
          </w:p>
        </w:tc>
      </w:tr>
      <w:tr w:rsidR="00152EDC" w:rsidRPr="00A260DD" w14:paraId="0C07B3FC" w14:textId="77777777" w:rsidTr="003B6536">
        <w:trPr>
          <w:cantSplit/>
          <w:trHeight w:val="65"/>
          <w:jc w:val="center"/>
        </w:trPr>
        <w:tc>
          <w:tcPr>
            <w:tcW w:w="712" w:type="dxa"/>
          </w:tcPr>
          <w:p w14:paraId="6BB8607E" w14:textId="77777777" w:rsidR="00152EDC" w:rsidRPr="00A260DD" w:rsidRDefault="00152EDC" w:rsidP="003B6536">
            <w:pPr>
              <w:keepLines/>
              <w:spacing w:before="20" w:after="20"/>
              <w:jc w:val="center"/>
              <w:rPr>
                <w:sz w:val="18"/>
                <w:szCs w:val="18"/>
              </w:rPr>
            </w:pPr>
            <w:r w:rsidRPr="00A260DD">
              <w:rPr>
                <w:sz w:val="18"/>
                <w:szCs w:val="18"/>
              </w:rPr>
              <w:t xml:space="preserve">P304 </w:t>
            </w:r>
            <w:r w:rsidRPr="00A260DD">
              <w:rPr>
                <w:sz w:val="18"/>
                <w:szCs w:val="18"/>
              </w:rPr>
              <w:br/>
              <w:t xml:space="preserve">+ </w:t>
            </w:r>
            <w:r w:rsidRPr="00A260DD">
              <w:rPr>
                <w:sz w:val="18"/>
                <w:szCs w:val="18"/>
              </w:rPr>
              <w:br/>
              <w:t>P317</w:t>
            </w:r>
          </w:p>
        </w:tc>
        <w:tc>
          <w:tcPr>
            <w:tcW w:w="2838" w:type="dxa"/>
          </w:tcPr>
          <w:p w14:paraId="1B5AB1F2" w14:textId="77777777" w:rsidR="00152EDC" w:rsidRPr="00A260DD" w:rsidRDefault="00152EDC" w:rsidP="003B6536">
            <w:pPr>
              <w:keepLines/>
              <w:spacing w:before="20" w:after="20"/>
              <w:rPr>
                <w:rStyle w:val="StyleBold"/>
                <w:sz w:val="18"/>
                <w:szCs w:val="18"/>
              </w:rPr>
            </w:pPr>
            <w:r w:rsidRPr="00A260DD">
              <w:rPr>
                <w:rStyle w:val="StyleBold"/>
                <w:sz w:val="18"/>
                <w:szCs w:val="18"/>
              </w:rPr>
              <w:t xml:space="preserve">IF INHALED: </w:t>
            </w:r>
            <w:r w:rsidRPr="00A260DD">
              <w:rPr>
                <w:b/>
                <w:sz w:val="18"/>
                <w:szCs w:val="18"/>
              </w:rPr>
              <w:t>Get medical help.</w:t>
            </w:r>
          </w:p>
        </w:tc>
        <w:tc>
          <w:tcPr>
            <w:tcW w:w="2976" w:type="dxa"/>
          </w:tcPr>
          <w:p w14:paraId="0169413F" w14:textId="77777777" w:rsidR="00152EDC" w:rsidRPr="00A260DD" w:rsidRDefault="00152EDC" w:rsidP="003B6536">
            <w:pPr>
              <w:keepLines/>
              <w:spacing w:before="20" w:after="20"/>
              <w:rPr>
                <w:sz w:val="18"/>
                <w:szCs w:val="18"/>
              </w:rPr>
            </w:pPr>
            <w:r w:rsidRPr="00A260DD">
              <w:rPr>
                <w:sz w:val="18"/>
                <w:szCs w:val="18"/>
              </w:rPr>
              <w:t>Acute toxicity, inhalation (chapter 3.1)</w:t>
            </w:r>
          </w:p>
        </w:tc>
        <w:tc>
          <w:tcPr>
            <w:tcW w:w="1276" w:type="dxa"/>
          </w:tcPr>
          <w:p w14:paraId="3DF8C76F" w14:textId="77777777" w:rsidR="00152EDC" w:rsidRPr="00A260DD" w:rsidRDefault="00152EDC" w:rsidP="003B6536">
            <w:pPr>
              <w:keepLines/>
              <w:spacing w:before="20" w:after="20"/>
              <w:jc w:val="center"/>
              <w:rPr>
                <w:sz w:val="18"/>
                <w:szCs w:val="18"/>
              </w:rPr>
            </w:pPr>
            <w:r w:rsidRPr="00A260DD">
              <w:rPr>
                <w:sz w:val="18"/>
                <w:szCs w:val="18"/>
              </w:rPr>
              <w:t>5</w:t>
            </w:r>
          </w:p>
        </w:tc>
      </w:tr>
    </w:tbl>
    <w:p w14:paraId="2B9DD70E" w14:textId="77777777" w:rsidR="00152EDC" w:rsidRDefault="00152EDC" w:rsidP="00BB50BA">
      <w:pPr>
        <w:pStyle w:val="SingleTxtG"/>
        <w:spacing w:before="240"/>
      </w:pPr>
      <w:r>
        <w:t>5.</w:t>
      </w:r>
      <w:r>
        <w:tab/>
      </w:r>
      <w:r w:rsidRPr="00BB50BA">
        <w:t>A</w:t>
      </w:r>
      <w:r w:rsidRPr="000275FC">
        <w:t xml:space="preserve">cute toxicity, oral, dermal and inhalation, categories 4 and 5 are all considered to present </w:t>
      </w:r>
      <w:r>
        <w:t>varying</w:t>
      </w:r>
      <w:r w:rsidRPr="000275FC">
        <w:t xml:space="preserve"> degree</w:t>
      </w:r>
      <w:r>
        <w:t>s</w:t>
      </w:r>
      <w:r w:rsidRPr="000275FC">
        <w:t xml:space="preserve"> of hazard</w:t>
      </w:r>
      <w:r>
        <w:t>s</w:t>
      </w:r>
      <w:r w:rsidRPr="000275FC">
        <w:t xml:space="preserve">, </w:t>
      </w:r>
      <w:r>
        <w:t xml:space="preserve">but are all considered to be of low </w:t>
      </w:r>
      <w:r w:rsidRPr="000275FC">
        <w:t xml:space="preserve">seriousness and </w:t>
      </w:r>
      <w:r>
        <w:t xml:space="preserve">high </w:t>
      </w:r>
      <w:r w:rsidRPr="000275FC">
        <w:t>urgency for obtaining medical treatment and as such normally receive s</w:t>
      </w:r>
      <w:r>
        <w:t>imilar</w:t>
      </w:r>
      <w:r w:rsidRPr="000275FC">
        <w:t xml:space="preserve"> precautionary statements</w:t>
      </w:r>
      <w:r>
        <w:t xml:space="preserve"> </w:t>
      </w:r>
      <w:r w:rsidRPr="00BB50BA">
        <w:rPr>
          <w:vertAlign w:val="superscript"/>
        </w:rPr>
        <w:footnoteReference w:id="2"/>
      </w:r>
      <w:r>
        <w:t xml:space="preserve">. </w:t>
      </w:r>
    </w:p>
    <w:p w14:paraId="615004C8" w14:textId="77777777" w:rsidR="00152EDC" w:rsidRDefault="00152EDC" w:rsidP="00BB50BA">
      <w:pPr>
        <w:pStyle w:val="SingleTxtG"/>
      </w:pPr>
      <w:r>
        <w:t>6.</w:t>
      </w:r>
      <w:r>
        <w:tab/>
        <w:t>T</w:t>
      </w:r>
      <w:r w:rsidRPr="000275FC">
        <w:t xml:space="preserve">he review identified </w:t>
      </w:r>
      <w:r>
        <w:t>a number of</w:t>
      </w:r>
      <w:r w:rsidRPr="000275FC">
        <w:t xml:space="preserve"> preventative</w:t>
      </w:r>
      <w:r>
        <w:t xml:space="preserve">, response and disposal </w:t>
      </w:r>
      <w:r w:rsidRPr="000275FC">
        <w:t xml:space="preserve">precautionary statements to which acute </w:t>
      </w:r>
      <w:r w:rsidRPr="003E6E23">
        <w:t>toxicity, oral, dermal and inhalation, Category 4 ha</w:t>
      </w:r>
      <w:r>
        <w:t>s</w:t>
      </w:r>
      <w:r w:rsidRPr="003E6E23">
        <w:t xml:space="preserve"> been allocated, but not acute toxicity Category 5 for these hazard classes. These precautionary statements are</w:t>
      </w:r>
      <w:r>
        <w:t xml:space="preserve"> as follows</w:t>
      </w:r>
      <w:r w:rsidRPr="003E6E23">
        <w:t xml:space="preserve">: </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50"/>
        <w:gridCol w:w="4250"/>
        <w:gridCol w:w="2979"/>
        <w:gridCol w:w="993"/>
      </w:tblGrid>
      <w:tr w:rsidR="00152EDC" w:rsidRPr="00B81ADE" w14:paraId="620D02D4" w14:textId="77777777" w:rsidTr="003B6536">
        <w:trPr>
          <w:cantSplit/>
          <w:trHeight w:val="20"/>
          <w:jc w:val="center"/>
        </w:trPr>
        <w:tc>
          <w:tcPr>
            <w:tcW w:w="850" w:type="dxa"/>
          </w:tcPr>
          <w:p w14:paraId="55D45E8C"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b/>
                <w:bCs/>
                <w:sz w:val="18"/>
                <w:szCs w:val="18"/>
              </w:rPr>
              <w:t>Code</w:t>
            </w:r>
          </w:p>
        </w:tc>
        <w:tc>
          <w:tcPr>
            <w:tcW w:w="4250" w:type="dxa"/>
          </w:tcPr>
          <w:p w14:paraId="4F3BFE4B" w14:textId="77777777" w:rsidR="00152EDC" w:rsidRPr="00EB260F" w:rsidRDefault="00152EDC" w:rsidP="003B6536">
            <w:pPr>
              <w:keepLines/>
              <w:spacing w:before="20" w:after="20"/>
              <w:jc w:val="center"/>
              <w:rPr>
                <w:rStyle w:val="StyleBold"/>
                <w:rFonts w:asciiTheme="majorBidi" w:hAnsiTheme="majorBidi" w:cstheme="majorBidi"/>
                <w:sz w:val="18"/>
                <w:szCs w:val="18"/>
              </w:rPr>
            </w:pPr>
            <w:r w:rsidRPr="00EB260F">
              <w:rPr>
                <w:rStyle w:val="StyleBold"/>
                <w:rFonts w:asciiTheme="majorBidi" w:hAnsiTheme="majorBidi" w:cstheme="majorBidi"/>
                <w:sz w:val="18"/>
                <w:szCs w:val="18"/>
              </w:rPr>
              <w:t>Precautionary statement</w:t>
            </w:r>
          </w:p>
        </w:tc>
        <w:tc>
          <w:tcPr>
            <w:tcW w:w="2979" w:type="dxa"/>
          </w:tcPr>
          <w:p w14:paraId="4B97707E"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b/>
                <w:bCs/>
                <w:sz w:val="18"/>
                <w:szCs w:val="18"/>
              </w:rPr>
              <w:t>Hazard class</w:t>
            </w:r>
          </w:p>
        </w:tc>
        <w:tc>
          <w:tcPr>
            <w:tcW w:w="993" w:type="dxa"/>
          </w:tcPr>
          <w:p w14:paraId="0BC3652C"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b/>
                <w:bCs/>
                <w:sz w:val="18"/>
                <w:szCs w:val="18"/>
              </w:rPr>
              <w:t>Hazard category</w:t>
            </w:r>
          </w:p>
        </w:tc>
      </w:tr>
      <w:tr w:rsidR="00152EDC" w:rsidRPr="00EB260F" w14:paraId="44F08D4B" w14:textId="77777777" w:rsidTr="003B6536">
        <w:trPr>
          <w:cantSplit/>
          <w:trHeight w:val="20"/>
          <w:jc w:val="center"/>
        </w:trPr>
        <w:tc>
          <w:tcPr>
            <w:tcW w:w="850" w:type="dxa"/>
          </w:tcPr>
          <w:p w14:paraId="2832618C"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P261</w:t>
            </w:r>
          </w:p>
        </w:tc>
        <w:tc>
          <w:tcPr>
            <w:tcW w:w="4250" w:type="dxa"/>
          </w:tcPr>
          <w:p w14:paraId="2FD50C3B"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Fonts w:asciiTheme="majorBidi" w:hAnsiTheme="majorBidi" w:cstheme="majorBidi"/>
                <w:b/>
                <w:sz w:val="18"/>
                <w:szCs w:val="18"/>
              </w:rPr>
              <w:t xml:space="preserve">Avoid breathing </w:t>
            </w:r>
            <w:r w:rsidRPr="00EB260F">
              <w:rPr>
                <w:rFonts w:asciiTheme="majorBidi" w:hAnsiTheme="majorBidi" w:cstheme="majorBidi"/>
                <w:b/>
                <w:bCs/>
                <w:sz w:val="18"/>
                <w:szCs w:val="18"/>
              </w:rPr>
              <w:t>dust/fume/gas/mist/vapours/spray.</w:t>
            </w:r>
          </w:p>
        </w:tc>
        <w:tc>
          <w:tcPr>
            <w:tcW w:w="2979" w:type="dxa"/>
          </w:tcPr>
          <w:p w14:paraId="1B42FB24"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inhalation (chapter 3.1)</w:t>
            </w:r>
          </w:p>
        </w:tc>
        <w:tc>
          <w:tcPr>
            <w:tcW w:w="993" w:type="dxa"/>
          </w:tcPr>
          <w:p w14:paraId="73A96765" w14:textId="77777777" w:rsidR="00152EDC" w:rsidRPr="00EB260F" w:rsidRDefault="00152EDC" w:rsidP="003B6536">
            <w:pPr>
              <w:keepLines/>
              <w:spacing w:before="20" w:after="20"/>
              <w:jc w:val="center"/>
              <w:rPr>
                <w:rFonts w:asciiTheme="majorBidi" w:hAnsiTheme="majorBidi" w:cstheme="majorBidi"/>
                <w:sz w:val="18"/>
                <w:szCs w:val="18"/>
              </w:rPr>
            </w:pPr>
            <w:r w:rsidRPr="002F7E6C">
              <w:rPr>
                <w:rFonts w:asciiTheme="majorBidi" w:hAnsiTheme="majorBidi" w:cstheme="majorBidi"/>
                <w:sz w:val="18"/>
                <w:szCs w:val="18"/>
              </w:rPr>
              <w:t>3, 4</w:t>
            </w:r>
          </w:p>
        </w:tc>
      </w:tr>
      <w:tr w:rsidR="00152EDC" w:rsidRPr="00EB260F" w14:paraId="325B1DFF" w14:textId="77777777" w:rsidTr="003B6536">
        <w:trPr>
          <w:cantSplit/>
          <w:trHeight w:val="20"/>
          <w:jc w:val="center"/>
        </w:trPr>
        <w:tc>
          <w:tcPr>
            <w:tcW w:w="850" w:type="dxa"/>
          </w:tcPr>
          <w:p w14:paraId="5B695CF9"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P264</w:t>
            </w:r>
          </w:p>
        </w:tc>
        <w:tc>
          <w:tcPr>
            <w:tcW w:w="4250" w:type="dxa"/>
          </w:tcPr>
          <w:p w14:paraId="7420976B"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 xml:space="preserve">Wash hands [and </w:t>
            </w:r>
            <w:r w:rsidRPr="00EB260F">
              <w:rPr>
                <w:rFonts w:asciiTheme="majorBidi" w:hAnsiTheme="majorBidi" w:cstheme="majorBidi"/>
                <w:b/>
                <w:sz w:val="18"/>
                <w:szCs w:val="18"/>
              </w:rPr>
              <w:t>...]</w:t>
            </w:r>
            <w:r w:rsidRPr="00EB260F">
              <w:rPr>
                <w:rStyle w:val="StyleBold"/>
                <w:rFonts w:asciiTheme="majorBidi" w:hAnsiTheme="majorBidi" w:cstheme="majorBidi"/>
                <w:sz w:val="18"/>
                <w:szCs w:val="18"/>
              </w:rPr>
              <w:t xml:space="preserve"> thoroughly after handling.</w:t>
            </w:r>
          </w:p>
        </w:tc>
        <w:tc>
          <w:tcPr>
            <w:tcW w:w="2979" w:type="dxa"/>
          </w:tcPr>
          <w:p w14:paraId="215DD158"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oral (chapter 3.1)</w:t>
            </w:r>
          </w:p>
        </w:tc>
        <w:tc>
          <w:tcPr>
            <w:tcW w:w="993" w:type="dxa"/>
          </w:tcPr>
          <w:p w14:paraId="2734DEFB"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2ED88C21" w14:textId="77777777" w:rsidTr="003B6536">
        <w:trPr>
          <w:cantSplit/>
          <w:trHeight w:val="20"/>
          <w:jc w:val="center"/>
        </w:trPr>
        <w:tc>
          <w:tcPr>
            <w:tcW w:w="850" w:type="dxa"/>
          </w:tcPr>
          <w:p w14:paraId="6C9A9F2B"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P270</w:t>
            </w:r>
          </w:p>
        </w:tc>
        <w:tc>
          <w:tcPr>
            <w:tcW w:w="4250" w:type="dxa"/>
          </w:tcPr>
          <w:p w14:paraId="02D9252B"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Do not eat, drink or smoke when using this product.</w:t>
            </w:r>
          </w:p>
        </w:tc>
        <w:tc>
          <w:tcPr>
            <w:tcW w:w="2979" w:type="dxa"/>
          </w:tcPr>
          <w:p w14:paraId="5F738F80"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oral (chapter 3.1)</w:t>
            </w:r>
          </w:p>
        </w:tc>
        <w:tc>
          <w:tcPr>
            <w:tcW w:w="993" w:type="dxa"/>
          </w:tcPr>
          <w:p w14:paraId="6F551A22"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6C7BFF80" w14:textId="77777777" w:rsidTr="003B6536">
        <w:trPr>
          <w:cantSplit/>
          <w:trHeight w:val="20"/>
          <w:jc w:val="center"/>
        </w:trPr>
        <w:tc>
          <w:tcPr>
            <w:tcW w:w="850" w:type="dxa"/>
          </w:tcPr>
          <w:p w14:paraId="4484988B"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P271</w:t>
            </w:r>
          </w:p>
        </w:tc>
        <w:tc>
          <w:tcPr>
            <w:tcW w:w="4250" w:type="dxa"/>
          </w:tcPr>
          <w:p w14:paraId="2DDCDC12"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Use only outdoors or with adequate ventilation.</w:t>
            </w:r>
          </w:p>
        </w:tc>
        <w:tc>
          <w:tcPr>
            <w:tcW w:w="2979" w:type="dxa"/>
          </w:tcPr>
          <w:p w14:paraId="0CF374A3"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inhalation (chapter 3.1)</w:t>
            </w:r>
          </w:p>
        </w:tc>
        <w:tc>
          <w:tcPr>
            <w:tcW w:w="993" w:type="dxa"/>
          </w:tcPr>
          <w:p w14:paraId="72CE3960"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14B2C7AC" w14:textId="77777777" w:rsidTr="003B6536">
        <w:trPr>
          <w:cantSplit/>
          <w:trHeight w:val="20"/>
          <w:jc w:val="center"/>
        </w:trPr>
        <w:tc>
          <w:tcPr>
            <w:tcW w:w="850" w:type="dxa"/>
          </w:tcPr>
          <w:p w14:paraId="6C05B36E"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P280</w:t>
            </w:r>
          </w:p>
        </w:tc>
        <w:tc>
          <w:tcPr>
            <w:tcW w:w="4250" w:type="dxa"/>
          </w:tcPr>
          <w:p w14:paraId="31C16C63"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Fonts w:asciiTheme="majorBidi" w:hAnsiTheme="majorBidi" w:cstheme="majorBidi"/>
                <w:b/>
                <w:sz w:val="18"/>
                <w:szCs w:val="18"/>
              </w:rPr>
              <w:t>Wear protective gloves/protective clothing/eye protection/face protection/hearing protection/...</w:t>
            </w:r>
          </w:p>
        </w:tc>
        <w:tc>
          <w:tcPr>
            <w:tcW w:w="2979" w:type="dxa"/>
          </w:tcPr>
          <w:p w14:paraId="6467DB51"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dermal (chapter 3.1)</w:t>
            </w:r>
          </w:p>
        </w:tc>
        <w:tc>
          <w:tcPr>
            <w:tcW w:w="993" w:type="dxa"/>
          </w:tcPr>
          <w:p w14:paraId="7F55ABF5"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046E5E" w14:paraId="126353BE" w14:textId="77777777" w:rsidTr="003B6536">
        <w:trPr>
          <w:cantSplit/>
          <w:trHeight w:val="20"/>
          <w:jc w:val="center"/>
        </w:trPr>
        <w:tc>
          <w:tcPr>
            <w:tcW w:w="850" w:type="dxa"/>
          </w:tcPr>
          <w:p w14:paraId="29A2DA17" w14:textId="77777777" w:rsidR="00152EDC" w:rsidRPr="00046E5E" w:rsidRDefault="00152EDC" w:rsidP="003B6536">
            <w:pPr>
              <w:keepLines/>
              <w:spacing w:before="20" w:after="20" w:line="240" w:lineRule="auto"/>
              <w:jc w:val="center"/>
              <w:rPr>
                <w:rFonts w:asciiTheme="majorBidi" w:hAnsiTheme="majorBidi" w:cstheme="majorBidi"/>
                <w:sz w:val="10"/>
                <w:szCs w:val="10"/>
              </w:rPr>
            </w:pPr>
          </w:p>
        </w:tc>
        <w:tc>
          <w:tcPr>
            <w:tcW w:w="4250" w:type="dxa"/>
          </w:tcPr>
          <w:p w14:paraId="67957E91" w14:textId="77777777" w:rsidR="00152EDC" w:rsidRPr="00046E5E" w:rsidRDefault="00152EDC" w:rsidP="003B6536">
            <w:pPr>
              <w:keepLines/>
              <w:spacing w:before="20" w:after="20" w:line="240" w:lineRule="auto"/>
              <w:rPr>
                <w:rFonts w:asciiTheme="majorBidi" w:hAnsiTheme="majorBidi" w:cstheme="majorBidi"/>
                <w:b/>
                <w:sz w:val="10"/>
                <w:szCs w:val="10"/>
              </w:rPr>
            </w:pPr>
          </w:p>
        </w:tc>
        <w:tc>
          <w:tcPr>
            <w:tcW w:w="2979" w:type="dxa"/>
          </w:tcPr>
          <w:p w14:paraId="6D257530" w14:textId="77777777" w:rsidR="00152EDC" w:rsidRPr="00046E5E" w:rsidRDefault="00152EDC" w:rsidP="003B6536">
            <w:pPr>
              <w:keepLines/>
              <w:spacing w:before="20" w:after="20" w:line="240" w:lineRule="auto"/>
              <w:rPr>
                <w:rFonts w:asciiTheme="majorBidi" w:hAnsiTheme="majorBidi" w:cstheme="majorBidi"/>
                <w:sz w:val="10"/>
                <w:szCs w:val="10"/>
              </w:rPr>
            </w:pPr>
          </w:p>
        </w:tc>
        <w:tc>
          <w:tcPr>
            <w:tcW w:w="993" w:type="dxa"/>
          </w:tcPr>
          <w:p w14:paraId="510D9D96" w14:textId="77777777" w:rsidR="00152EDC" w:rsidRPr="00046E5E" w:rsidRDefault="00152EDC" w:rsidP="003B6536">
            <w:pPr>
              <w:keepLines/>
              <w:spacing w:before="20" w:after="20" w:line="240" w:lineRule="auto"/>
              <w:jc w:val="center"/>
              <w:rPr>
                <w:rFonts w:asciiTheme="majorBidi" w:hAnsiTheme="majorBidi" w:cstheme="majorBidi"/>
                <w:sz w:val="10"/>
                <w:szCs w:val="10"/>
              </w:rPr>
            </w:pPr>
          </w:p>
        </w:tc>
      </w:tr>
      <w:tr w:rsidR="00152EDC" w:rsidRPr="00EB260F" w14:paraId="2D8854AC" w14:textId="77777777" w:rsidTr="003B6536">
        <w:trPr>
          <w:cantSplit/>
          <w:trHeight w:val="20"/>
          <w:jc w:val="center"/>
        </w:trPr>
        <w:tc>
          <w:tcPr>
            <w:tcW w:w="850" w:type="dxa"/>
          </w:tcPr>
          <w:p w14:paraId="0790681C"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P321</w:t>
            </w:r>
          </w:p>
        </w:tc>
        <w:tc>
          <w:tcPr>
            <w:tcW w:w="4250" w:type="dxa"/>
          </w:tcPr>
          <w:p w14:paraId="49F6A39B"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Specific treatment (see ... on this label).</w:t>
            </w:r>
          </w:p>
        </w:tc>
        <w:tc>
          <w:tcPr>
            <w:tcW w:w="2979" w:type="dxa"/>
          </w:tcPr>
          <w:p w14:paraId="15EF5C4F"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 xml:space="preserve">Acute toxicity, </w:t>
            </w:r>
            <w:r w:rsidRPr="004C3C26">
              <w:rPr>
                <w:rFonts w:asciiTheme="majorBidi" w:hAnsiTheme="majorBidi" w:cstheme="majorBidi"/>
                <w:sz w:val="18"/>
                <w:szCs w:val="18"/>
              </w:rPr>
              <w:t>dermal</w:t>
            </w:r>
            <w:r w:rsidRPr="00EB260F">
              <w:rPr>
                <w:rFonts w:asciiTheme="majorBidi" w:hAnsiTheme="majorBidi" w:cstheme="majorBidi"/>
                <w:sz w:val="18"/>
                <w:szCs w:val="18"/>
              </w:rPr>
              <w:t xml:space="preserve"> (chapter 3.1)</w:t>
            </w:r>
          </w:p>
        </w:tc>
        <w:tc>
          <w:tcPr>
            <w:tcW w:w="993" w:type="dxa"/>
          </w:tcPr>
          <w:p w14:paraId="1AB504DD"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4CC7C0EA" w14:textId="77777777" w:rsidTr="003B6536">
        <w:trPr>
          <w:cantSplit/>
          <w:trHeight w:val="20"/>
          <w:jc w:val="center"/>
        </w:trPr>
        <w:tc>
          <w:tcPr>
            <w:tcW w:w="850" w:type="dxa"/>
          </w:tcPr>
          <w:p w14:paraId="622521C6"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P330</w:t>
            </w:r>
          </w:p>
        </w:tc>
        <w:tc>
          <w:tcPr>
            <w:tcW w:w="4250" w:type="dxa"/>
          </w:tcPr>
          <w:p w14:paraId="458D9A39"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Rinse mouth.</w:t>
            </w:r>
          </w:p>
        </w:tc>
        <w:tc>
          <w:tcPr>
            <w:tcW w:w="2979" w:type="dxa"/>
          </w:tcPr>
          <w:p w14:paraId="646248C2"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oral (chapter 3.1)</w:t>
            </w:r>
          </w:p>
        </w:tc>
        <w:tc>
          <w:tcPr>
            <w:tcW w:w="993" w:type="dxa"/>
          </w:tcPr>
          <w:p w14:paraId="298E2254"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2D72310A" w14:textId="77777777" w:rsidTr="003B6536">
        <w:trPr>
          <w:cantSplit/>
          <w:trHeight w:val="20"/>
          <w:jc w:val="center"/>
        </w:trPr>
        <w:tc>
          <w:tcPr>
            <w:tcW w:w="850" w:type="dxa"/>
          </w:tcPr>
          <w:p w14:paraId="2640A707"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P340</w:t>
            </w:r>
          </w:p>
        </w:tc>
        <w:tc>
          <w:tcPr>
            <w:tcW w:w="4250" w:type="dxa"/>
          </w:tcPr>
          <w:p w14:paraId="19547F1A"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Fonts w:asciiTheme="majorBidi" w:hAnsiTheme="majorBidi" w:cstheme="majorBidi"/>
                <w:b/>
                <w:sz w:val="18"/>
                <w:szCs w:val="18"/>
              </w:rPr>
              <w:t>Remove person to fresh air and keep comfortable for breathing.</w:t>
            </w:r>
          </w:p>
        </w:tc>
        <w:tc>
          <w:tcPr>
            <w:tcW w:w="2979" w:type="dxa"/>
          </w:tcPr>
          <w:p w14:paraId="599CCDD4"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inhalation (chapter 3.1)</w:t>
            </w:r>
          </w:p>
        </w:tc>
        <w:tc>
          <w:tcPr>
            <w:tcW w:w="993" w:type="dxa"/>
          </w:tcPr>
          <w:p w14:paraId="6F911F7F"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676BDC63" w14:textId="77777777" w:rsidTr="003B6536">
        <w:trPr>
          <w:cantSplit/>
          <w:trHeight w:val="20"/>
          <w:jc w:val="center"/>
        </w:trPr>
        <w:tc>
          <w:tcPr>
            <w:tcW w:w="850" w:type="dxa"/>
          </w:tcPr>
          <w:p w14:paraId="10D027AD"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P352</w:t>
            </w:r>
          </w:p>
        </w:tc>
        <w:tc>
          <w:tcPr>
            <w:tcW w:w="4250" w:type="dxa"/>
          </w:tcPr>
          <w:p w14:paraId="1C8EBF90"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Wash with plenty of water/...</w:t>
            </w:r>
          </w:p>
        </w:tc>
        <w:tc>
          <w:tcPr>
            <w:tcW w:w="2979" w:type="dxa"/>
          </w:tcPr>
          <w:p w14:paraId="2B57B521" w14:textId="77777777" w:rsidR="00152EDC" w:rsidRPr="00EB260F" w:rsidRDefault="00152EDC" w:rsidP="003B6536">
            <w:pPr>
              <w:keepLines/>
              <w:spacing w:before="20" w:after="20"/>
              <w:rPr>
                <w:rFonts w:asciiTheme="majorBidi" w:hAnsiTheme="majorBidi" w:cstheme="majorBidi"/>
                <w:b/>
                <w:sz w:val="18"/>
                <w:szCs w:val="18"/>
              </w:rPr>
            </w:pPr>
            <w:r w:rsidRPr="00EB260F">
              <w:rPr>
                <w:rFonts w:asciiTheme="majorBidi" w:hAnsiTheme="majorBidi" w:cstheme="majorBidi"/>
                <w:sz w:val="18"/>
                <w:szCs w:val="18"/>
              </w:rPr>
              <w:t>Acute toxicity, dermal (chapter 3.1)</w:t>
            </w:r>
          </w:p>
        </w:tc>
        <w:tc>
          <w:tcPr>
            <w:tcW w:w="993" w:type="dxa"/>
          </w:tcPr>
          <w:p w14:paraId="5ECC8735"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2B48BD5E" w14:textId="77777777" w:rsidTr="003B6536">
        <w:trPr>
          <w:cantSplit/>
          <w:trHeight w:val="65"/>
          <w:jc w:val="center"/>
        </w:trPr>
        <w:tc>
          <w:tcPr>
            <w:tcW w:w="850" w:type="dxa"/>
          </w:tcPr>
          <w:p w14:paraId="2FF29D87"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P362</w:t>
            </w:r>
          </w:p>
        </w:tc>
        <w:tc>
          <w:tcPr>
            <w:tcW w:w="4250" w:type="dxa"/>
          </w:tcPr>
          <w:p w14:paraId="09921C89" w14:textId="77777777" w:rsidR="00152EDC" w:rsidRPr="00EB260F" w:rsidRDefault="00152EDC" w:rsidP="003B6536">
            <w:pPr>
              <w:keepLines/>
              <w:spacing w:before="20" w:after="20"/>
              <w:rPr>
                <w:rStyle w:val="StyleBoldStrikethrough"/>
                <w:rFonts w:asciiTheme="majorBidi" w:hAnsiTheme="majorBidi" w:cstheme="majorBidi"/>
                <w:bCs w:val="0"/>
                <w:strike w:val="0"/>
                <w:sz w:val="18"/>
                <w:szCs w:val="18"/>
              </w:rPr>
            </w:pPr>
            <w:r w:rsidRPr="00EB260F">
              <w:rPr>
                <w:rFonts w:asciiTheme="majorBidi" w:hAnsiTheme="majorBidi" w:cstheme="majorBidi"/>
                <w:b/>
                <w:sz w:val="18"/>
                <w:szCs w:val="18"/>
              </w:rPr>
              <w:t>Take off contaminated clothing.</w:t>
            </w:r>
          </w:p>
        </w:tc>
        <w:tc>
          <w:tcPr>
            <w:tcW w:w="2979" w:type="dxa"/>
          </w:tcPr>
          <w:p w14:paraId="455D7B1A"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dermal (chapter 3.1)</w:t>
            </w:r>
          </w:p>
        </w:tc>
        <w:tc>
          <w:tcPr>
            <w:tcW w:w="993" w:type="dxa"/>
          </w:tcPr>
          <w:p w14:paraId="2E486B4A"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4</w:t>
            </w:r>
          </w:p>
        </w:tc>
      </w:tr>
      <w:tr w:rsidR="00152EDC" w:rsidRPr="00EB260F" w14:paraId="47301732" w14:textId="77777777" w:rsidTr="003B6536">
        <w:trPr>
          <w:cantSplit/>
          <w:trHeight w:val="65"/>
          <w:jc w:val="center"/>
        </w:trPr>
        <w:tc>
          <w:tcPr>
            <w:tcW w:w="850" w:type="dxa"/>
          </w:tcPr>
          <w:p w14:paraId="20957D91"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P364</w:t>
            </w:r>
          </w:p>
        </w:tc>
        <w:tc>
          <w:tcPr>
            <w:tcW w:w="4250" w:type="dxa"/>
          </w:tcPr>
          <w:p w14:paraId="21FEE2EB" w14:textId="77777777" w:rsidR="00152EDC" w:rsidRPr="00EB260F" w:rsidRDefault="00152EDC" w:rsidP="003B6536">
            <w:pPr>
              <w:keepLines/>
              <w:spacing w:before="20" w:after="20"/>
              <w:rPr>
                <w:rFonts w:asciiTheme="majorBidi" w:hAnsiTheme="majorBidi" w:cstheme="majorBidi"/>
                <w:b/>
                <w:sz w:val="18"/>
                <w:szCs w:val="18"/>
              </w:rPr>
            </w:pPr>
            <w:r w:rsidRPr="00EB260F">
              <w:rPr>
                <w:rStyle w:val="StyleBold"/>
                <w:rFonts w:asciiTheme="majorBidi" w:hAnsiTheme="majorBidi" w:cstheme="majorBidi"/>
                <w:sz w:val="18"/>
                <w:szCs w:val="18"/>
              </w:rPr>
              <w:t>And wash it before reuse.</w:t>
            </w:r>
          </w:p>
        </w:tc>
        <w:tc>
          <w:tcPr>
            <w:tcW w:w="2979" w:type="dxa"/>
          </w:tcPr>
          <w:p w14:paraId="4A541089"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dermal (chapter 3.1)</w:t>
            </w:r>
          </w:p>
        </w:tc>
        <w:tc>
          <w:tcPr>
            <w:tcW w:w="993" w:type="dxa"/>
          </w:tcPr>
          <w:p w14:paraId="160B3655"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046E5E" w14:paraId="4B60EA36" w14:textId="77777777" w:rsidTr="003B6536">
        <w:trPr>
          <w:cantSplit/>
          <w:trHeight w:val="65"/>
          <w:jc w:val="center"/>
        </w:trPr>
        <w:tc>
          <w:tcPr>
            <w:tcW w:w="850" w:type="dxa"/>
          </w:tcPr>
          <w:p w14:paraId="1AF6BB79" w14:textId="77777777" w:rsidR="00152EDC" w:rsidRPr="00046E5E" w:rsidRDefault="00152EDC" w:rsidP="003B6536">
            <w:pPr>
              <w:keepLines/>
              <w:spacing w:before="20" w:after="20" w:line="240" w:lineRule="auto"/>
              <w:jc w:val="center"/>
              <w:rPr>
                <w:rFonts w:asciiTheme="majorBidi" w:hAnsiTheme="majorBidi" w:cstheme="majorBidi"/>
                <w:sz w:val="10"/>
                <w:szCs w:val="10"/>
              </w:rPr>
            </w:pPr>
          </w:p>
        </w:tc>
        <w:tc>
          <w:tcPr>
            <w:tcW w:w="4250" w:type="dxa"/>
          </w:tcPr>
          <w:p w14:paraId="0682D06D" w14:textId="77777777" w:rsidR="00152EDC" w:rsidRPr="00046E5E" w:rsidRDefault="00152EDC" w:rsidP="003B6536">
            <w:pPr>
              <w:keepLines/>
              <w:spacing w:before="20" w:after="20" w:line="240" w:lineRule="auto"/>
              <w:rPr>
                <w:rStyle w:val="StyleBold"/>
                <w:rFonts w:asciiTheme="majorBidi" w:hAnsiTheme="majorBidi" w:cstheme="majorBidi"/>
                <w:sz w:val="10"/>
                <w:szCs w:val="10"/>
              </w:rPr>
            </w:pPr>
          </w:p>
        </w:tc>
        <w:tc>
          <w:tcPr>
            <w:tcW w:w="2979" w:type="dxa"/>
          </w:tcPr>
          <w:p w14:paraId="6382934D" w14:textId="77777777" w:rsidR="00152EDC" w:rsidRPr="00046E5E" w:rsidRDefault="00152EDC" w:rsidP="003B6536">
            <w:pPr>
              <w:keepLines/>
              <w:spacing w:before="20" w:after="20" w:line="240" w:lineRule="auto"/>
              <w:rPr>
                <w:rFonts w:asciiTheme="majorBidi" w:hAnsiTheme="majorBidi" w:cstheme="majorBidi"/>
                <w:sz w:val="10"/>
                <w:szCs w:val="10"/>
              </w:rPr>
            </w:pPr>
          </w:p>
        </w:tc>
        <w:tc>
          <w:tcPr>
            <w:tcW w:w="993" w:type="dxa"/>
          </w:tcPr>
          <w:p w14:paraId="2359E989" w14:textId="77777777" w:rsidR="00152EDC" w:rsidRPr="00046E5E" w:rsidRDefault="00152EDC" w:rsidP="003B6536">
            <w:pPr>
              <w:keepLines/>
              <w:spacing w:before="20" w:after="20" w:line="240" w:lineRule="auto"/>
              <w:jc w:val="center"/>
              <w:rPr>
                <w:rFonts w:asciiTheme="majorBidi" w:hAnsiTheme="majorBidi" w:cstheme="majorBidi"/>
                <w:sz w:val="10"/>
                <w:szCs w:val="10"/>
              </w:rPr>
            </w:pPr>
          </w:p>
        </w:tc>
      </w:tr>
      <w:tr w:rsidR="00152EDC" w:rsidRPr="00EB260F" w14:paraId="51AC95E2" w14:textId="77777777" w:rsidTr="003B6536">
        <w:trPr>
          <w:cantSplit/>
          <w:trHeight w:val="65"/>
          <w:jc w:val="center"/>
        </w:trPr>
        <w:tc>
          <w:tcPr>
            <w:tcW w:w="850" w:type="dxa"/>
          </w:tcPr>
          <w:p w14:paraId="6005F15B"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 xml:space="preserve">P302 </w:t>
            </w:r>
            <w:r w:rsidRPr="00EB260F">
              <w:rPr>
                <w:rFonts w:asciiTheme="majorBidi" w:hAnsiTheme="majorBidi" w:cstheme="majorBidi"/>
                <w:sz w:val="18"/>
                <w:szCs w:val="18"/>
              </w:rPr>
              <w:br/>
              <w:t xml:space="preserve">+ </w:t>
            </w:r>
            <w:r w:rsidRPr="00EB260F">
              <w:rPr>
                <w:rFonts w:asciiTheme="majorBidi" w:hAnsiTheme="majorBidi" w:cstheme="majorBidi"/>
                <w:sz w:val="18"/>
                <w:szCs w:val="18"/>
              </w:rPr>
              <w:br/>
              <w:t>P352</w:t>
            </w:r>
          </w:p>
        </w:tc>
        <w:tc>
          <w:tcPr>
            <w:tcW w:w="4250" w:type="dxa"/>
          </w:tcPr>
          <w:p w14:paraId="5F0924CC"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IF ON SKIN:  Wash with plenty of water/...</w:t>
            </w:r>
          </w:p>
        </w:tc>
        <w:tc>
          <w:tcPr>
            <w:tcW w:w="2979" w:type="dxa"/>
          </w:tcPr>
          <w:p w14:paraId="7CD57FCC"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dermal (chapter 3.1)</w:t>
            </w:r>
          </w:p>
        </w:tc>
        <w:tc>
          <w:tcPr>
            <w:tcW w:w="993" w:type="dxa"/>
          </w:tcPr>
          <w:p w14:paraId="25949F36"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48504F7E" w14:textId="77777777" w:rsidTr="003B6536">
        <w:trPr>
          <w:cantSplit/>
          <w:trHeight w:val="65"/>
          <w:jc w:val="center"/>
        </w:trPr>
        <w:tc>
          <w:tcPr>
            <w:tcW w:w="850" w:type="dxa"/>
          </w:tcPr>
          <w:p w14:paraId="64FEF2F0"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 xml:space="preserve">P304 </w:t>
            </w:r>
            <w:r w:rsidRPr="00EB260F">
              <w:rPr>
                <w:rFonts w:asciiTheme="majorBidi" w:hAnsiTheme="majorBidi" w:cstheme="majorBidi"/>
                <w:sz w:val="18"/>
                <w:szCs w:val="18"/>
              </w:rPr>
              <w:br/>
              <w:t xml:space="preserve">+ </w:t>
            </w:r>
            <w:r w:rsidRPr="00EB260F">
              <w:rPr>
                <w:rFonts w:asciiTheme="majorBidi" w:hAnsiTheme="majorBidi" w:cstheme="majorBidi"/>
                <w:sz w:val="18"/>
                <w:szCs w:val="18"/>
              </w:rPr>
              <w:br/>
              <w:t>P340</w:t>
            </w:r>
          </w:p>
        </w:tc>
        <w:tc>
          <w:tcPr>
            <w:tcW w:w="4250" w:type="dxa"/>
          </w:tcPr>
          <w:p w14:paraId="23BADA59"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 xml:space="preserve">IF INHALED:  </w:t>
            </w:r>
            <w:r w:rsidRPr="00EB260F">
              <w:rPr>
                <w:rFonts w:asciiTheme="majorBidi" w:hAnsiTheme="majorBidi" w:cstheme="majorBidi"/>
                <w:b/>
                <w:sz w:val="18"/>
                <w:szCs w:val="18"/>
              </w:rPr>
              <w:t>Remove person to fresh air and keep comfortable for breathing.</w:t>
            </w:r>
          </w:p>
        </w:tc>
        <w:tc>
          <w:tcPr>
            <w:tcW w:w="2979" w:type="dxa"/>
          </w:tcPr>
          <w:p w14:paraId="52575728"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inhalation (chapter 3.1)</w:t>
            </w:r>
          </w:p>
        </w:tc>
        <w:tc>
          <w:tcPr>
            <w:tcW w:w="993" w:type="dxa"/>
          </w:tcPr>
          <w:p w14:paraId="7BB776AA"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27A8320F" w14:textId="77777777" w:rsidTr="003B6536">
        <w:trPr>
          <w:cantSplit/>
          <w:trHeight w:val="65"/>
          <w:jc w:val="center"/>
        </w:trPr>
        <w:tc>
          <w:tcPr>
            <w:tcW w:w="850" w:type="dxa"/>
          </w:tcPr>
          <w:p w14:paraId="4C0678CD"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 xml:space="preserve">P362 </w:t>
            </w:r>
            <w:r w:rsidRPr="00EB260F">
              <w:rPr>
                <w:rFonts w:asciiTheme="majorBidi" w:hAnsiTheme="majorBidi" w:cstheme="majorBidi"/>
                <w:sz w:val="18"/>
                <w:szCs w:val="18"/>
              </w:rPr>
              <w:br/>
              <w:t xml:space="preserve">+ </w:t>
            </w:r>
            <w:r w:rsidRPr="00EB260F">
              <w:rPr>
                <w:rFonts w:asciiTheme="majorBidi" w:hAnsiTheme="majorBidi" w:cstheme="majorBidi"/>
                <w:sz w:val="18"/>
                <w:szCs w:val="18"/>
              </w:rPr>
              <w:br/>
              <w:t>P364</w:t>
            </w:r>
          </w:p>
        </w:tc>
        <w:tc>
          <w:tcPr>
            <w:tcW w:w="4250" w:type="dxa"/>
          </w:tcPr>
          <w:p w14:paraId="2F553D1F"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Take off contaminated clothing and wash it before reuse.</w:t>
            </w:r>
          </w:p>
        </w:tc>
        <w:tc>
          <w:tcPr>
            <w:tcW w:w="2979" w:type="dxa"/>
          </w:tcPr>
          <w:p w14:paraId="74169045"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dermal (chapter 3.1)</w:t>
            </w:r>
          </w:p>
        </w:tc>
        <w:tc>
          <w:tcPr>
            <w:tcW w:w="993" w:type="dxa"/>
          </w:tcPr>
          <w:p w14:paraId="20A9A83F"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4</w:t>
            </w:r>
          </w:p>
        </w:tc>
      </w:tr>
      <w:tr w:rsidR="00152EDC" w:rsidRPr="00046E5E" w14:paraId="457999E2" w14:textId="77777777" w:rsidTr="003B6536">
        <w:trPr>
          <w:cantSplit/>
          <w:trHeight w:val="65"/>
          <w:jc w:val="center"/>
        </w:trPr>
        <w:tc>
          <w:tcPr>
            <w:tcW w:w="850" w:type="dxa"/>
          </w:tcPr>
          <w:p w14:paraId="7A9533A0" w14:textId="77777777" w:rsidR="00152EDC" w:rsidRPr="00046E5E" w:rsidRDefault="00152EDC" w:rsidP="003B6536">
            <w:pPr>
              <w:keepLines/>
              <w:spacing w:before="20" w:after="20" w:line="240" w:lineRule="auto"/>
              <w:jc w:val="center"/>
              <w:rPr>
                <w:rFonts w:asciiTheme="majorBidi" w:hAnsiTheme="majorBidi" w:cstheme="majorBidi"/>
                <w:sz w:val="10"/>
                <w:szCs w:val="10"/>
              </w:rPr>
            </w:pPr>
          </w:p>
        </w:tc>
        <w:tc>
          <w:tcPr>
            <w:tcW w:w="4250" w:type="dxa"/>
          </w:tcPr>
          <w:p w14:paraId="48EA7A95" w14:textId="77777777" w:rsidR="00152EDC" w:rsidRPr="00046E5E" w:rsidRDefault="00152EDC" w:rsidP="003B6536">
            <w:pPr>
              <w:keepLines/>
              <w:spacing w:before="20" w:after="20" w:line="240" w:lineRule="auto"/>
              <w:rPr>
                <w:rStyle w:val="StyleBold"/>
                <w:rFonts w:asciiTheme="majorBidi" w:hAnsiTheme="majorBidi" w:cstheme="majorBidi"/>
                <w:sz w:val="10"/>
                <w:szCs w:val="10"/>
              </w:rPr>
            </w:pPr>
          </w:p>
        </w:tc>
        <w:tc>
          <w:tcPr>
            <w:tcW w:w="2979" w:type="dxa"/>
          </w:tcPr>
          <w:p w14:paraId="666D90E6" w14:textId="77777777" w:rsidR="00152EDC" w:rsidRPr="00046E5E" w:rsidRDefault="00152EDC" w:rsidP="003B6536">
            <w:pPr>
              <w:keepLines/>
              <w:spacing w:before="20" w:after="20" w:line="240" w:lineRule="auto"/>
              <w:rPr>
                <w:rFonts w:asciiTheme="majorBidi" w:hAnsiTheme="majorBidi" w:cstheme="majorBidi"/>
                <w:sz w:val="10"/>
                <w:szCs w:val="10"/>
              </w:rPr>
            </w:pPr>
          </w:p>
        </w:tc>
        <w:tc>
          <w:tcPr>
            <w:tcW w:w="993" w:type="dxa"/>
          </w:tcPr>
          <w:p w14:paraId="145CC18A" w14:textId="77777777" w:rsidR="00152EDC" w:rsidRPr="00046E5E" w:rsidRDefault="00152EDC" w:rsidP="003B6536">
            <w:pPr>
              <w:keepLines/>
              <w:spacing w:before="20" w:after="20" w:line="240" w:lineRule="auto"/>
              <w:jc w:val="center"/>
              <w:rPr>
                <w:rFonts w:asciiTheme="majorBidi" w:hAnsiTheme="majorBidi" w:cstheme="majorBidi"/>
                <w:sz w:val="10"/>
                <w:szCs w:val="10"/>
              </w:rPr>
            </w:pPr>
          </w:p>
        </w:tc>
      </w:tr>
      <w:tr w:rsidR="00152EDC" w:rsidRPr="00EB260F" w14:paraId="033FDD73" w14:textId="77777777" w:rsidTr="003B6536">
        <w:trPr>
          <w:cantSplit/>
          <w:trHeight w:val="65"/>
          <w:jc w:val="center"/>
        </w:trPr>
        <w:tc>
          <w:tcPr>
            <w:tcW w:w="850" w:type="dxa"/>
            <w:vMerge w:val="restart"/>
          </w:tcPr>
          <w:p w14:paraId="65114944"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P501</w:t>
            </w:r>
          </w:p>
        </w:tc>
        <w:tc>
          <w:tcPr>
            <w:tcW w:w="4250" w:type="dxa"/>
            <w:vMerge w:val="restart"/>
          </w:tcPr>
          <w:p w14:paraId="6334B18F" w14:textId="77777777" w:rsidR="00152EDC" w:rsidRPr="00EB260F" w:rsidRDefault="00152EDC" w:rsidP="003B6536">
            <w:pPr>
              <w:keepLines/>
              <w:spacing w:before="20" w:after="20"/>
              <w:rPr>
                <w:rStyle w:val="StyleBold"/>
                <w:rFonts w:asciiTheme="majorBidi" w:hAnsiTheme="majorBidi" w:cstheme="majorBidi"/>
                <w:sz w:val="18"/>
                <w:szCs w:val="18"/>
              </w:rPr>
            </w:pPr>
            <w:r w:rsidRPr="00EB260F">
              <w:rPr>
                <w:rStyle w:val="StyleBold"/>
                <w:rFonts w:asciiTheme="majorBidi" w:hAnsiTheme="majorBidi" w:cstheme="majorBidi"/>
                <w:sz w:val="18"/>
                <w:szCs w:val="18"/>
              </w:rPr>
              <w:t>Dispose of contents/container to ...</w:t>
            </w:r>
          </w:p>
        </w:tc>
        <w:tc>
          <w:tcPr>
            <w:tcW w:w="2979" w:type="dxa"/>
          </w:tcPr>
          <w:p w14:paraId="778C9E73"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oral (chapter 3.1)</w:t>
            </w:r>
          </w:p>
        </w:tc>
        <w:tc>
          <w:tcPr>
            <w:tcW w:w="993" w:type="dxa"/>
          </w:tcPr>
          <w:p w14:paraId="68A7AA5F"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r w:rsidR="00152EDC" w:rsidRPr="00EB260F" w14:paraId="2322FA45" w14:textId="77777777" w:rsidTr="003B6536">
        <w:trPr>
          <w:cantSplit/>
          <w:trHeight w:val="65"/>
          <w:jc w:val="center"/>
        </w:trPr>
        <w:tc>
          <w:tcPr>
            <w:tcW w:w="850" w:type="dxa"/>
            <w:vMerge/>
          </w:tcPr>
          <w:p w14:paraId="441F3D93" w14:textId="77777777" w:rsidR="00152EDC" w:rsidRPr="00EB260F" w:rsidRDefault="00152EDC" w:rsidP="003B6536">
            <w:pPr>
              <w:keepLines/>
              <w:spacing w:before="20" w:after="20"/>
              <w:jc w:val="center"/>
              <w:rPr>
                <w:rFonts w:asciiTheme="majorBidi" w:hAnsiTheme="majorBidi" w:cstheme="majorBidi"/>
                <w:sz w:val="18"/>
                <w:szCs w:val="18"/>
              </w:rPr>
            </w:pPr>
          </w:p>
        </w:tc>
        <w:tc>
          <w:tcPr>
            <w:tcW w:w="4250" w:type="dxa"/>
            <w:vMerge/>
          </w:tcPr>
          <w:p w14:paraId="7D89FE1A" w14:textId="77777777" w:rsidR="00152EDC" w:rsidRPr="00EB260F" w:rsidRDefault="00152EDC" w:rsidP="003B6536">
            <w:pPr>
              <w:keepLines/>
              <w:spacing w:before="20" w:after="20"/>
              <w:rPr>
                <w:rStyle w:val="StyleBold"/>
                <w:rFonts w:asciiTheme="majorBidi" w:hAnsiTheme="majorBidi" w:cstheme="majorBidi"/>
                <w:sz w:val="18"/>
                <w:szCs w:val="18"/>
              </w:rPr>
            </w:pPr>
          </w:p>
        </w:tc>
        <w:tc>
          <w:tcPr>
            <w:tcW w:w="2979" w:type="dxa"/>
          </w:tcPr>
          <w:p w14:paraId="31E62A26" w14:textId="77777777" w:rsidR="00152EDC" w:rsidRPr="00EB260F" w:rsidRDefault="00152EDC" w:rsidP="003B6536">
            <w:pPr>
              <w:keepLines/>
              <w:spacing w:before="20" w:after="20"/>
              <w:rPr>
                <w:rFonts w:asciiTheme="majorBidi" w:hAnsiTheme="majorBidi" w:cstheme="majorBidi"/>
                <w:sz w:val="18"/>
                <w:szCs w:val="18"/>
              </w:rPr>
            </w:pPr>
            <w:r w:rsidRPr="00EB260F">
              <w:rPr>
                <w:rFonts w:asciiTheme="majorBidi" w:hAnsiTheme="majorBidi" w:cstheme="majorBidi"/>
                <w:sz w:val="18"/>
                <w:szCs w:val="18"/>
              </w:rPr>
              <w:t>Acute toxicity, dermal (chapter 3.1)</w:t>
            </w:r>
          </w:p>
        </w:tc>
        <w:tc>
          <w:tcPr>
            <w:tcW w:w="993" w:type="dxa"/>
          </w:tcPr>
          <w:p w14:paraId="65EBD3A3" w14:textId="77777777" w:rsidR="00152EDC" w:rsidRPr="00EB260F" w:rsidRDefault="00152EDC" w:rsidP="003B6536">
            <w:pPr>
              <w:keepLines/>
              <w:spacing w:before="20" w:after="20"/>
              <w:jc w:val="center"/>
              <w:rPr>
                <w:rFonts w:asciiTheme="majorBidi" w:hAnsiTheme="majorBidi" w:cstheme="majorBidi"/>
                <w:sz w:val="18"/>
                <w:szCs w:val="18"/>
              </w:rPr>
            </w:pPr>
            <w:r w:rsidRPr="00EB260F">
              <w:rPr>
                <w:rFonts w:asciiTheme="majorBidi" w:hAnsiTheme="majorBidi" w:cstheme="majorBidi"/>
                <w:sz w:val="18"/>
                <w:szCs w:val="18"/>
              </w:rPr>
              <w:t>1, 2, 3, 4</w:t>
            </w:r>
          </w:p>
        </w:tc>
      </w:tr>
    </w:tbl>
    <w:p w14:paraId="4F49380B" w14:textId="77777777" w:rsidR="00152EDC" w:rsidRDefault="00152EDC" w:rsidP="00BB50BA">
      <w:pPr>
        <w:pStyle w:val="SingleTxtG"/>
        <w:keepNext/>
        <w:keepLines/>
        <w:tabs>
          <w:tab w:val="left" w:pos="1701"/>
        </w:tabs>
        <w:spacing w:before="240"/>
      </w:pPr>
      <w:r>
        <w:t>7.</w:t>
      </w:r>
      <w:r>
        <w:tab/>
        <w:t xml:space="preserve">The purpose of this paper is to try to ascertain, particularly from those delegations from jurisdictions that do implement acute toxicity Category 5, if they have had any significant issues that have resulted from having fewer </w:t>
      </w:r>
      <w:r w:rsidRPr="00CE0C37">
        <w:t xml:space="preserve">precautionary statements </w:t>
      </w:r>
      <w:r>
        <w:t xml:space="preserve">available for this hazard class and category. </w:t>
      </w:r>
      <w:bookmarkStart w:id="0" w:name="_Hlk137404242"/>
      <w:r>
        <w:t xml:space="preserve">This paper will also try to ascertain if those delegations have positions on whether these issues need to be addressed in Annex 3 and how. </w:t>
      </w:r>
      <w:bookmarkEnd w:id="0"/>
      <w:r>
        <w:t>For example, under which (if any) precautionary statements should Category 5 be placed?  Should Category 5 be placed under all or some of those precautionary statements that currently have acute toxicity Category 4 listed beneath them?</w:t>
      </w:r>
    </w:p>
    <w:p w14:paraId="46F7E2ED" w14:textId="77777777" w:rsidR="00152EDC" w:rsidRDefault="00152EDC" w:rsidP="00152EDC">
      <w:pPr>
        <w:pStyle w:val="SingleTxtG"/>
        <w:tabs>
          <w:tab w:val="left" w:pos="1701"/>
        </w:tabs>
      </w:pPr>
      <w:r>
        <w:t>8.</w:t>
      </w:r>
      <w:r>
        <w:tab/>
        <w:t>The group also noted that since many jurisdictions do not implement acute toxicity Category 5 they would not be directly impacted through any potential new placement of this category under additional precautionary statements in the GHS. However, those in their industry who export to jurisdictions that do implement acute toxicity Category 5 could be affected by any such changes.</w:t>
      </w:r>
    </w:p>
    <w:p w14:paraId="2EC96B46" w14:textId="77777777" w:rsidR="00152EDC" w:rsidRDefault="00152EDC" w:rsidP="00152EDC">
      <w:pPr>
        <w:pStyle w:val="SingleTxtG"/>
        <w:tabs>
          <w:tab w:val="left" w:pos="1701"/>
        </w:tabs>
      </w:pPr>
      <w:r>
        <w:t>9.</w:t>
      </w:r>
      <w:r>
        <w:tab/>
        <w:t xml:space="preserve">In addition, the group noted that the response combination precautionary statements for both acute toxicity dermal and inhalation Category 5 may require further consideration. Respectively these are: </w:t>
      </w:r>
    </w:p>
    <w:p w14:paraId="002539B8" w14:textId="77777777" w:rsidR="00152EDC" w:rsidRDefault="00152EDC" w:rsidP="00152EDC">
      <w:pPr>
        <w:spacing w:after="120"/>
        <w:ind w:left="1440" w:right="1134"/>
        <w:jc w:val="both"/>
      </w:pPr>
      <w:r w:rsidRPr="00422E2E">
        <w:rPr>
          <w:rStyle w:val="StyleBold"/>
          <w:sz w:val="18"/>
          <w:szCs w:val="18"/>
        </w:rPr>
        <w:t>P304+P317</w:t>
      </w:r>
      <w:r>
        <w:rPr>
          <w:rStyle w:val="StyleBold"/>
          <w:sz w:val="18"/>
          <w:szCs w:val="18"/>
        </w:rPr>
        <w:tab/>
        <w:t>“</w:t>
      </w:r>
      <w:r w:rsidRPr="00402D4B">
        <w:rPr>
          <w:rStyle w:val="StyleBold"/>
          <w:sz w:val="18"/>
          <w:szCs w:val="18"/>
        </w:rPr>
        <w:t xml:space="preserve">IF INHALED: </w:t>
      </w:r>
      <w:r w:rsidRPr="00402D4B">
        <w:rPr>
          <w:b/>
          <w:sz w:val="18"/>
          <w:szCs w:val="18"/>
        </w:rPr>
        <w:t>Get medical help.</w:t>
      </w:r>
      <w:r>
        <w:rPr>
          <w:b/>
          <w:sz w:val="18"/>
          <w:szCs w:val="18"/>
        </w:rPr>
        <w:t>”</w:t>
      </w:r>
    </w:p>
    <w:p w14:paraId="2F2400CA" w14:textId="77777777" w:rsidR="00152EDC" w:rsidRDefault="00152EDC" w:rsidP="00152EDC">
      <w:pPr>
        <w:spacing w:after="120"/>
        <w:ind w:left="1440" w:right="1134"/>
        <w:jc w:val="both"/>
        <w:rPr>
          <w:rStyle w:val="StyleBold"/>
          <w:sz w:val="18"/>
          <w:szCs w:val="18"/>
        </w:rPr>
      </w:pPr>
      <w:r w:rsidRPr="00422E2E">
        <w:rPr>
          <w:rStyle w:val="StyleBold"/>
          <w:sz w:val="18"/>
          <w:szCs w:val="18"/>
        </w:rPr>
        <w:t>P302+ P317</w:t>
      </w:r>
      <w:r>
        <w:rPr>
          <w:rStyle w:val="StyleBold"/>
          <w:sz w:val="18"/>
          <w:szCs w:val="18"/>
        </w:rPr>
        <w:tab/>
        <w:t>“</w:t>
      </w:r>
      <w:r w:rsidRPr="00402D4B">
        <w:rPr>
          <w:rStyle w:val="StyleBold"/>
          <w:sz w:val="18"/>
          <w:szCs w:val="18"/>
        </w:rPr>
        <w:t>IF ON SKIN: Get medical help.</w:t>
      </w:r>
      <w:r>
        <w:rPr>
          <w:rStyle w:val="StyleBold"/>
          <w:sz w:val="18"/>
          <w:szCs w:val="18"/>
        </w:rPr>
        <w:t>”</w:t>
      </w:r>
    </w:p>
    <w:p w14:paraId="133F2106" w14:textId="77777777" w:rsidR="00152EDC" w:rsidRDefault="00152EDC" w:rsidP="00152EDC">
      <w:pPr>
        <w:pStyle w:val="SingleTxtG"/>
        <w:tabs>
          <w:tab w:val="left" w:pos="1701"/>
        </w:tabs>
      </w:pPr>
      <w:r>
        <w:t>10.</w:t>
      </w:r>
      <w:r>
        <w:tab/>
        <w:t>Currently, the only response precautionary statement for someone who has inhaled a chemical classified as acute toxicity inhalation Category 5 is to “Get medical help”.</w:t>
      </w:r>
    </w:p>
    <w:p w14:paraId="77E2AAA8" w14:textId="77777777" w:rsidR="00152EDC" w:rsidRDefault="00152EDC" w:rsidP="00152EDC">
      <w:pPr>
        <w:pStyle w:val="SingleTxtG"/>
        <w:tabs>
          <w:tab w:val="left" w:pos="1701"/>
        </w:tabs>
      </w:pPr>
      <w:r>
        <w:t>11.</w:t>
      </w:r>
      <w:r>
        <w:tab/>
        <w:t>However, a question has been raised regarding what the initial action should be to help a person exposed to a chemical classified as acute toxicity inhalation Category 5: Should medical help be sought for them or should they first be removed to fresh/clean air (and then get medical help)? If the latter is the case then perhaps this hazard class and category should be placed under P340, and the combination statement changed to: P304+P340 (“</w:t>
      </w:r>
      <w:r w:rsidRPr="00EB260F">
        <w:rPr>
          <w:rStyle w:val="StyleBold"/>
          <w:rFonts w:asciiTheme="majorBidi" w:hAnsiTheme="majorBidi" w:cstheme="majorBidi"/>
          <w:sz w:val="18"/>
          <w:szCs w:val="18"/>
        </w:rPr>
        <w:t xml:space="preserve">IF INHALED:  </w:t>
      </w:r>
      <w:r w:rsidRPr="00EB260F">
        <w:rPr>
          <w:rFonts w:asciiTheme="majorBidi" w:hAnsiTheme="majorBidi" w:cstheme="majorBidi"/>
          <w:b/>
          <w:sz w:val="18"/>
          <w:szCs w:val="18"/>
        </w:rPr>
        <w:t>Remove person to fresh air and keep comfortable for breathing.</w:t>
      </w:r>
      <w:r>
        <w:t>”) from the current statement: P304+P317 (</w:t>
      </w:r>
      <w:r w:rsidRPr="00644132">
        <w:rPr>
          <w:b/>
          <w:bCs/>
        </w:rPr>
        <w:t>“IF INHALED: Get medical help.”</w:t>
      </w:r>
      <w:r w:rsidRPr="00644132">
        <w:t>)</w:t>
      </w:r>
      <w:r>
        <w:t>.</w:t>
      </w:r>
    </w:p>
    <w:p w14:paraId="4DB9FA2C" w14:textId="77777777" w:rsidR="00152EDC" w:rsidRDefault="00152EDC" w:rsidP="00152EDC">
      <w:pPr>
        <w:pStyle w:val="SingleTxtG"/>
        <w:tabs>
          <w:tab w:val="left" w:pos="1701"/>
        </w:tabs>
      </w:pPr>
      <w:r>
        <w:t>12.</w:t>
      </w:r>
      <w:r>
        <w:tab/>
        <w:t>Similarly, what should the initial action be to help a person exposed to a chemical classified as acute toxicity dermal Category 5 – should medical help be sought for them or, if it is on the skin, should it first be washed off with plenty of water (and then get medical help)? If the latter is the case then consideration is needed regarding potentially placing this hazard class and category under P352, together with a change to the combination statement to: P302+P352 (“</w:t>
      </w:r>
      <w:r w:rsidRPr="00EB260F">
        <w:rPr>
          <w:rStyle w:val="StyleBold"/>
          <w:rFonts w:asciiTheme="majorBidi" w:hAnsiTheme="majorBidi" w:cstheme="majorBidi"/>
          <w:sz w:val="18"/>
          <w:szCs w:val="18"/>
        </w:rPr>
        <w:t>IF ON SKIN:  Wash with plenty of water/...</w:t>
      </w:r>
      <w:r>
        <w:t>”) rather than the current statement: P302+P317 (</w:t>
      </w:r>
      <w:r w:rsidRPr="00644132">
        <w:rPr>
          <w:b/>
          <w:bCs/>
        </w:rPr>
        <w:t>“IF ON SKIN: Get medical help.”</w:t>
      </w:r>
      <w:r w:rsidRPr="00644132">
        <w:t>)</w:t>
      </w:r>
      <w:r>
        <w:t>.</w:t>
      </w:r>
    </w:p>
    <w:p w14:paraId="72BF4FA9" w14:textId="77777777" w:rsidR="00152EDC" w:rsidRPr="00B95F56" w:rsidRDefault="00152EDC" w:rsidP="00152EDC">
      <w:pPr>
        <w:pStyle w:val="SingleTxtG"/>
        <w:tabs>
          <w:tab w:val="left" w:pos="1701"/>
        </w:tabs>
      </w:pPr>
      <w:r>
        <w:t>13.</w:t>
      </w:r>
      <w:r>
        <w:tab/>
        <w:t>In addition, unlike acute toxicity dermal Category 4, neither P362 (“</w:t>
      </w:r>
      <w:r w:rsidRPr="00EB260F">
        <w:rPr>
          <w:rFonts w:asciiTheme="majorBidi" w:hAnsiTheme="majorBidi" w:cstheme="majorBidi"/>
          <w:b/>
          <w:sz w:val="18"/>
          <w:szCs w:val="18"/>
        </w:rPr>
        <w:t>Take off contaminated clothing.</w:t>
      </w:r>
      <w:r>
        <w:t>”) or P364 (“</w:t>
      </w:r>
      <w:r w:rsidRPr="00EB260F">
        <w:rPr>
          <w:rStyle w:val="StyleBold"/>
          <w:rFonts w:asciiTheme="majorBidi" w:hAnsiTheme="majorBidi" w:cstheme="majorBidi"/>
          <w:sz w:val="18"/>
          <w:szCs w:val="18"/>
        </w:rPr>
        <w:t>And wash it before reuse.</w:t>
      </w:r>
      <w:r>
        <w:t xml:space="preserve">”) are applied to acute toxicity dermal Category 5, Therefore, if a chemical with this classification of Category 5 also contaminates clothing, then there is currently no precautionary statement instruction to either remove or wash such clothing before it is reused. Hence, the precautionary statements do not guard against contaminated clothing continuing to be worn by a user, though for workers there may be on-site rules to prevent such occurrences. Thus, consideration is also required regarding potentially placing this hazard class and category under P362 and P364, together with the combination: </w:t>
      </w:r>
      <w:r w:rsidRPr="00B95F56">
        <w:t>P362+P364</w:t>
      </w:r>
      <w:r>
        <w:t xml:space="preserve"> (</w:t>
      </w:r>
      <w:r w:rsidRPr="00B95F56">
        <w:t>“</w:t>
      </w:r>
      <w:r w:rsidRPr="00B95F56">
        <w:rPr>
          <w:rStyle w:val="Heading1Char"/>
          <w:rFonts w:asciiTheme="majorBidi" w:hAnsiTheme="majorBidi" w:cstheme="majorBidi"/>
          <w:sz w:val="18"/>
          <w:szCs w:val="18"/>
        </w:rPr>
        <w:t xml:space="preserve"> </w:t>
      </w:r>
      <w:r w:rsidRPr="00EB260F">
        <w:rPr>
          <w:rStyle w:val="StyleBold"/>
          <w:rFonts w:asciiTheme="majorBidi" w:hAnsiTheme="majorBidi" w:cstheme="majorBidi"/>
          <w:sz w:val="18"/>
          <w:szCs w:val="18"/>
        </w:rPr>
        <w:t>Take off contaminated clothing and wash it before reuse.</w:t>
      </w:r>
      <w:r w:rsidRPr="00B41D8F">
        <w:rPr>
          <w:rStyle w:val="StyleBold"/>
          <w:rFonts w:asciiTheme="majorBidi" w:hAnsiTheme="majorBidi" w:cstheme="majorBidi"/>
          <w:sz w:val="18"/>
          <w:szCs w:val="18"/>
        </w:rPr>
        <w:t>”)</w:t>
      </w:r>
      <w:r>
        <w:rPr>
          <w:rStyle w:val="StyleBold"/>
          <w:rFonts w:asciiTheme="majorBidi" w:hAnsiTheme="majorBidi" w:cstheme="majorBidi"/>
          <w:sz w:val="18"/>
          <w:szCs w:val="18"/>
        </w:rPr>
        <w:t>.</w:t>
      </w:r>
    </w:p>
    <w:p w14:paraId="305FF2E4" w14:textId="77777777" w:rsidR="00152EDC" w:rsidRDefault="00152EDC" w:rsidP="00152EDC">
      <w:pPr>
        <w:pStyle w:val="SingleTxtG"/>
        <w:tabs>
          <w:tab w:val="left" w:pos="1701"/>
        </w:tabs>
      </w:pPr>
      <w:r>
        <w:t>14.</w:t>
      </w:r>
      <w:r>
        <w:tab/>
        <w:t xml:space="preserve">The Sub-Committee may also like to note that some (though not all) of the groups draft proposals on acute toxicity precautionary statements that are intended to be submitted for consideration at the December session may also be of interest when considering the Category 5 issues presented in this paper. Thus, the group has provided these proposals below for informational purposes. The group considers that the following draft proposals </w:t>
      </w:r>
      <w:r w:rsidRPr="008B3257">
        <w:rPr>
          <w:bCs/>
        </w:rPr>
        <w:t xml:space="preserve">would </w:t>
      </w:r>
      <w:r>
        <w:rPr>
          <w:bCs/>
        </w:rPr>
        <w:t xml:space="preserve">each </w:t>
      </w:r>
      <w:r w:rsidRPr="008B3257">
        <w:rPr>
          <w:bCs/>
        </w:rPr>
        <w:t>provide stronger preventative messag</w:t>
      </w:r>
      <w:r>
        <w:rPr>
          <w:bCs/>
        </w:rPr>
        <w:t xml:space="preserve">ing </w:t>
      </w:r>
      <w:r w:rsidRPr="008B3257">
        <w:rPr>
          <w:bCs/>
        </w:rPr>
        <w:t>on label</w:t>
      </w:r>
      <w:r>
        <w:rPr>
          <w:bCs/>
        </w:rPr>
        <w:t>s</w:t>
      </w:r>
      <w:r w:rsidRPr="008B3257">
        <w:rPr>
          <w:bCs/>
        </w:rPr>
        <w:t xml:space="preserve"> to help improve</w:t>
      </w:r>
      <w:r>
        <w:rPr>
          <w:bCs/>
        </w:rPr>
        <w:t xml:space="preserve"> the</w:t>
      </w:r>
      <w:r w:rsidRPr="008B3257">
        <w:rPr>
          <w:bCs/>
        </w:rPr>
        <w:t xml:space="preserve"> protection to the user</w:t>
      </w:r>
      <w:r>
        <w:rPr>
          <w:bCs/>
        </w:rPr>
        <w:t>, these</w:t>
      </w:r>
      <w:r>
        <w:t xml:space="preserve"> include:</w:t>
      </w:r>
    </w:p>
    <w:p w14:paraId="6BF5EF44" w14:textId="4D57AED5" w:rsidR="00152EDC" w:rsidRPr="009120EB" w:rsidRDefault="00152EDC" w:rsidP="00152EDC">
      <w:pPr>
        <w:pStyle w:val="SingleTxtG"/>
        <w:ind w:left="1701" w:hanging="567"/>
      </w:pPr>
      <w:r w:rsidRPr="009120EB">
        <w:t>(a)</w:t>
      </w:r>
      <w:r w:rsidRPr="009120EB">
        <w:tab/>
      </w:r>
      <w:r w:rsidRPr="009120EB">
        <w:t>To move</w:t>
      </w:r>
      <w:r w:rsidRPr="00974F87">
        <w:t xml:space="preserve"> acute toxicity, inhalation Category 3 from P261 and place it under P260 (“</w:t>
      </w:r>
      <w:r w:rsidRPr="009120EB">
        <w:rPr>
          <w:b/>
        </w:rPr>
        <w:t>Do not breathe dust/fume/gas/mist/vapours/spray.</w:t>
      </w:r>
      <w:r w:rsidRPr="009120EB">
        <w:rPr>
          <w:bCs/>
        </w:rPr>
        <w:t>”)</w:t>
      </w:r>
      <w:r>
        <w:rPr>
          <w:bCs/>
        </w:rPr>
        <w:t>;</w:t>
      </w:r>
    </w:p>
    <w:p w14:paraId="54E8E6C2" w14:textId="541F3C43" w:rsidR="00152EDC" w:rsidRPr="009120EB" w:rsidRDefault="00152EDC" w:rsidP="00152EDC">
      <w:pPr>
        <w:pStyle w:val="SingleTxtG"/>
        <w:ind w:left="1701" w:hanging="567"/>
      </w:pPr>
      <w:r w:rsidRPr="009120EB">
        <w:t>(b)</w:t>
      </w:r>
      <w:r w:rsidRPr="009120EB">
        <w:tab/>
      </w:r>
      <w:r w:rsidRPr="009120EB">
        <w:t>To move acute toxicity, inhalation Category 3 from P321 to</w:t>
      </w:r>
      <w:r>
        <w:t xml:space="preserve"> and place it under</w:t>
      </w:r>
      <w:r w:rsidRPr="009120EB">
        <w:t xml:space="preserve"> P320 (“</w:t>
      </w:r>
      <w:r w:rsidRPr="009120EB">
        <w:rPr>
          <w:b/>
        </w:rPr>
        <w:t>Specific treatment is urgent (see ... on this label).</w:t>
      </w:r>
      <w:r w:rsidRPr="009120EB">
        <w:t xml:space="preserve">”) alongside </w:t>
      </w:r>
      <w:r>
        <w:t>c</w:t>
      </w:r>
      <w:r w:rsidRPr="009120EB">
        <w:t>ategories 1 and 2 of this hazard class</w:t>
      </w:r>
      <w:r>
        <w:t>;</w:t>
      </w:r>
    </w:p>
    <w:p w14:paraId="05E97F6A" w14:textId="02641250" w:rsidR="00152EDC" w:rsidRPr="009120EB" w:rsidRDefault="00152EDC" w:rsidP="00152EDC">
      <w:pPr>
        <w:pStyle w:val="SingleTxtG"/>
        <w:ind w:left="1701" w:hanging="567"/>
      </w:pPr>
      <w:r w:rsidRPr="009120EB">
        <w:t>(c)</w:t>
      </w:r>
      <w:r w:rsidRPr="009120EB">
        <w:tab/>
      </w:r>
      <w:r w:rsidRPr="009120EB">
        <w:t>To move acute toxicity, oral and dermal categories 1, 2 and 3 from P321 to under P320</w:t>
      </w:r>
      <w:r>
        <w:t>;</w:t>
      </w:r>
      <w:r w:rsidRPr="009120EB">
        <w:t xml:space="preserve"> </w:t>
      </w:r>
    </w:p>
    <w:p w14:paraId="69C9BE4D" w14:textId="5D50DE11" w:rsidR="00152EDC" w:rsidRPr="009120EB" w:rsidRDefault="00152EDC" w:rsidP="0051484F">
      <w:pPr>
        <w:pStyle w:val="SingleTxtG"/>
        <w:ind w:left="1701" w:hanging="567"/>
      </w:pPr>
      <w:r w:rsidRPr="009120EB">
        <w:t>(d)</w:t>
      </w:r>
      <w:r w:rsidRPr="009120EB">
        <w:tab/>
      </w:r>
      <w:r w:rsidRPr="009120EB">
        <w:t>To add acute toxicity, oral and inhalation Category 4 to under P321</w:t>
      </w:r>
      <w:r>
        <w:t>.</w:t>
      </w:r>
    </w:p>
    <w:p w14:paraId="7B968409" w14:textId="40791C58" w:rsidR="00152EDC" w:rsidRPr="00127BA7" w:rsidRDefault="00152EDC" w:rsidP="00152EDC">
      <w:pPr>
        <w:pStyle w:val="HChG"/>
      </w:pPr>
      <w:r>
        <w:tab/>
      </w:r>
      <w:r w:rsidR="0061094A">
        <w:t>I</w:t>
      </w:r>
      <w:r>
        <w:t>I</w:t>
      </w:r>
      <w:r>
        <w:t>I</w:t>
      </w:r>
      <w:r w:rsidRPr="00E51D98">
        <w:t>.</w:t>
      </w:r>
      <w:r>
        <w:tab/>
        <w:t>Action requested</w:t>
      </w:r>
    </w:p>
    <w:p w14:paraId="585434F8" w14:textId="77777777" w:rsidR="00152EDC" w:rsidRDefault="00152EDC" w:rsidP="00152EDC">
      <w:pPr>
        <w:pStyle w:val="SingleTxtG"/>
      </w:pPr>
      <w:r>
        <w:t>15</w:t>
      </w:r>
      <w:r w:rsidRPr="00A969B9">
        <w:t>.</w:t>
      </w:r>
      <w:r w:rsidRPr="00A969B9">
        <w:tab/>
        <w:t xml:space="preserve"> </w:t>
      </w:r>
      <w:r w:rsidRPr="00BA3224">
        <w:t xml:space="preserve">The Sub-Committee is invited to </w:t>
      </w:r>
      <w:r>
        <w:t>consider the acute toxicity Category 5 issues and provide</w:t>
      </w:r>
      <w:r w:rsidRPr="00BA3224">
        <w:t xml:space="preserve"> </w:t>
      </w:r>
      <w:r>
        <w:t>views on the potential inclusion of acute toxicity Category 5 under the various precautionary statements alongside the respective acute toxicity Category 4 listings (as detailed in the table under paragraph 7 above).</w:t>
      </w:r>
    </w:p>
    <w:p w14:paraId="3180F6EB" w14:textId="77777777" w:rsidR="00152EDC" w:rsidRDefault="00152EDC" w:rsidP="00152EDC">
      <w:pPr>
        <w:pStyle w:val="SingleTxtG"/>
      </w:pPr>
      <w:r>
        <w:t>16.</w:t>
      </w:r>
      <w:r>
        <w:tab/>
      </w:r>
      <w:r w:rsidRPr="00432C4B">
        <w:t xml:space="preserve">The Sub-Committee is </w:t>
      </w:r>
      <w:r>
        <w:t xml:space="preserve">also </w:t>
      </w:r>
      <w:r w:rsidRPr="00432C4B">
        <w:t>invited to provide their views on which, if any, of the precautionary statements (as provided in the tables under paragraph 7) that acute toxicity Category 5 hazard classes should be listed beneath.</w:t>
      </w:r>
      <w:r>
        <w:t xml:space="preserve"> In particular, t</w:t>
      </w:r>
      <w:r w:rsidRPr="00432C4B">
        <w:t>he Sub-Committee is invited to provide their views on</w:t>
      </w:r>
      <w:r>
        <w:t xml:space="preserve"> w</w:t>
      </w:r>
      <w:r w:rsidRPr="00852B0A">
        <w:t xml:space="preserve">hat </w:t>
      </w:r>
      <w:r>
        <w:t>they consider</w:t>
      </w:r>
      <w:r w:rsidRPr="00852B0A">
        <w:t xml:space="preserve"> the initial action </w:t>
      </w:r>
      <w:r>
        <w:t xml:space="preserve">should be following exposure to chemicals that are classified as either: </w:t>
      </w:r>
    </w:p>
    <w:p w14:paraId="3B8D73A2" w14:textId="042724A3" w:rsidR="00152EDC" w:rsidRPr="00D97C24" w:rsidRDefault="00152EDC" w:rsidP="00152EDC">
      <w:pPr>
        <w:pStyle w:val="SingleTxtG"/>
        <w:ind w:left="1701" w:hanging="567"/>
      </w:pPr>
      <w:r w:rsidRPr="00152EDC">
        <w:t>(a)</w:t>
      </w:r>
      <w:r>
        <w:rPr>
          <w:b/>
          <w:bCs/>
        </w:rPr>
        <w:tab/>
      </w:r>
      <w:r w:rsidRPr="0003597B">
        <w:rPr>
          <w:b/>
          <w:bCs/>
        </w:rPr>
        <w:t>Acute toxicity inhalation Category 5</w:t>
      </w:r>
      <w:r w:rsidRPr="00D97C24">
        <w:t xml:space="preserve"> </w:t>
      </w:r>
      <w:r>
        <w:t>-</w:t>
      </w:r>
      <w:r w:rsidRPr="00D97C24">
        <w:t xml:space="preserve"> </w:t>
      </w:r>
      <w:r>
        <w:t xml:space="preserve">should the first action be to get </w:t>
      </w:r>
      <w:r w:rsidRPr="00D97C24">
        <w:t xml:space="preserve">medical help or </w:t>
      </w:r>
      <w:r>
        <w:t xml:space="preserve">to </w:t>
      </w:r>
      <w:r w:rsidRPr="00D97C24">
        <w:t xml:space="preserve">remove </w:t>
      </w:r>
      <w:r>
        <w:t xml:space="preserve">the exposed person </w:t>
      </w:r>
      <w:r w:rsidRPr="00D97C24">
        <w:t>to fresh/clean air</w:t>
      </w:r>
      <w:r>
        <w:t xml:space="preserve"> (and then get medical help)</w:t>
      </w:r>
      <w:r w:rsidRPr="00D97C24">
        <w:t>?</w:t>
      </w:r>
    </w:p>
    <w:p w14:paraId="3C99D4A9" w14:textId="61E011AD" w:rsidR="00152EDC" w:rsidRDefault="00152EDC" w:rsidP="000031A1">
      <w:pPr>
        <w:pStyle w:val="SingleTxtG"/>
        <w:ind w:left="1701" w:hanging="567"/>
      </w:pPr>
      <w:r w:rsidRPr="00152EDC">
        <w:t>(b)</w:t>
      </w:r>
      <w:r>
        <w:rPr>
          <w:b/>
          <w:bCs/>
        </w:rPr>
        <w:tab/>
      </w:r>
      <w:r w:rsidRPr="0003597B">
        <w:rPr>
          <w:b/>
          <w:bCs/>
        </w:rPr>
        <w:t>Acute toxicity dermal Category 5</w:t>
      </w:r>
      <w:r w:rsidRPr="0003597B">
        <w:t xml:space="preserve"> </w:t>
      </w:r>
      <w:r>
        <w:t xml:space="preserve">- should the first action be to </w:t>
      </w:r>
      <w:r w:rsidRPr="0003597B">
        <w:t>get medical help or should the exposed skin be first washed with plenty of water (and then get medical help)?</w:t>
      </w:r>
    </w:p>
    <w:p w14:paraId="439A4690" w14:textId="1091D988" w:rsidR="000031A1" w:rsidRPr="000031A1" w:rsidRDefault="000031A1" w:rsidP="000031A1">
      <w:pPr>
        <w:spacing w:before="240"/>
        <w:jc w:val="center"/>
        <w:rPr>
          <w:u w:val="single"/>
        </w:rPr>
      </w:pPr>
      <w:r>
        <w:rPr>
          <w:u w:val="single"/>
        </w:rPr>
        <w:tab/>
      </w:r>
      <w:r>
        <w:rPr>
          <w:u w:val="single"/>
        </w:rPr>
        <w:tab/>
      </w:r>
      <w:r>
        <w:rPr>
          <w:u w:val="single"/>
        </w:rPr>
        <w:tab/>
      </w:r>
    </w:p>
    <w:sectPr w:rsidR="000031A1" w:rsidRPr="000031A1" w:rsidSect="00D576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0440" w14:textId="77777777" w:rsidR="004F2E7E" w:rsidRDefault="004F2E7E" w:rsidP="00760F29">
      <w:pPr>
        <w:spacing w:line="240" w:lineRule="auto"/>
      </w:pPr>
      <w:r>
        <w:separator/>
      </w:r>
    </w:p>
  </w:endnote>
  <w:endnote w:type="continuationSeparator" w:id="0">
    <w:p w14:paraId="3F73761E" w14:textId="77777777" w:rsidR="004F2E7E" w:rsidRDefault="004F2E7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rsidP="00A260DD">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67EC" w14:textId="006AC49F" w:rsidR="00A260DD" w:rsidRPr="00186835" w:rsidRDefault="00186835" w:rsidP="00186835">
    <w:pPr>
      <w:pStyle w:val="Footer"/>
      <w:jc w:val="right"/>
      <w:rPr>
        <w:b/>
        <w:noProof/>
        <w:sz w:val="18"/>
      </w:rPr>
    </w:pPr>
    <w:r w:rsidRPr="00186835">
      <w:rPr>
        <w:b/>
        <w:noProof/>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1C39" w14:textId="77777777" w:rsidR="004F2E7E" w:rsidRDefault="004F2E7E" w:rsidP="00760F29">
      <w:pPr>
        <w:spacing w:line="240" w:lineRule="auto"/>
      </w:pPr>
      <w:r>
        <w:separator/>
      </w:r>
    </w:p>
  </w:footnote>
  <w:footnote w:type="continuationSeparator" w:id="0">
    <w:p w14:paraId="575FA459" w14:textId="77777777" w:rsidR="004F2E7E" w:rsidRDefault="004F2E7E" w:rsidP="00760F29">
      <w:pPr>
        <w:spacing w:line="240" w:lineRule="auto"/>
      </w:pPr>
      <w:r>
        <w:continuationSeparator/>
      </w:r>
    </w:p>
  </w:footnote>
  <w:footnote w:id="1">
    <w:p w14:paraId="72EB139E" w14:textId="77777777" w:rsidR="00152EDC" w:rsidRDefault="00152EDC" w:rsidP="00152EDC">
      <w:pPr>
        <w:pStyle w:val="FootnoteText"/>
        <w:tabs>
          <w:tab w:val="clear" w:pos="1021"/>
          <w:tab w:val="left" w:pos="1560"/>
        </w:tabs>
        <w:ind w:left="1276" w:hanging="142"/>
      </w:pPr>
      <w:r>
        <w:rPr>
          <w:rStyle w:val="FootnoteReference"/>
        </w:rPr>
        <w:footnoteRef/>
      </w:r>
      <w:r>
        <w:t xml:space="preserve"> </w:t>
      </w:r>
      <w:r>
        <w:tab/>
      </w:r>
      <w:r>
        <w:tab/>
        <w:t xml:space="preserve">See </w:t>
      </w:r>
      <w:r w:rsidRPr="001C5466">
        <w:t>informal document INF.</w:t>
      </w:r>
      <w:r>
        <w:t>17</w:t>
      </w:r>
      <w:r w:rsidRPr="001C5466">
        <w:t xml:space="preserve">, </w:t>
      </w:r>
      <w:r>
        <w:t>forty-third</w:t>
      </w:r>
      <w:r w:rsidRPr="001C5466">
        <w:t xml:space="preserve"> session</w:t>
      </w:r>
      <w:r>
        <w:t xml:space="preserve">. </w:t>
      </w:r>
    </w:p>
  </w:footnote>
  <w:footnote w:id="2">
    <w:p w14:paraId="3F5C76A1" w14:textId="4D157826" w:rsidR="00152EDC" w:rsidRDefault="00A260DD" w:rsidP="00A260DD">
      <w:pPr>
        <w:pStyle w:val="FootnoteText"/>
      </w:pPr>
      <w:r>
        <w:tab/>
      </w:r>
      <w:r w:rsidR="00152EDC">
        <w:rPr>
          <w:rStyle w:val="FootnoteReference"/>
        </w:rPr>
        <w:footnoteRef/>
      </w:r>
      <w:r w:rsidR="00152EDC">
        <w:t xml:space="preserve"> </w:t>
      </w:r>
      <w:r w:rsidR="00152EDC">
        <w:tab/>
        <w:t xml:space="preserve">See </w:t>
      </w:r>
      <w:r>
        <w:t>f</w:t>
      </w:r>
      <w:r w:rsidR="00152EDC">
        <w:t xml:space="preserve">igure 1 </w:t>
      </w:r>
      <w:r w:rsidR="00152EDC">
        <w:t>in</w:t>
      </w:r>
      <w:r w:rsidR="00152EDC" w:rsidRPr="001C5466">
        <w:t xml:space="preserve"> document </w:t>
      </w:r>
      <w:r w:rsidR="00152EDC">
        <w:t>ST/SG/AC.10/2018/30</w:t>
      </w:r>
      <w:r w:rsidR="00152EDC" w:rsidRPr="001C5466">
        <w:t xml:space="preserve">, </w:t>
      </w:r>
      <w:r w:rsidR="00152EDC">
        <w:t>thirty-sixth</w:t>
      </w:r>
      <w:r w:rsidR="00152EDC" w:rsidRPr="001C5466">
        <w:t xml:space="preserve"> session</w:t>
      </w:r>
      <w:r w:rsidR="00152E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9B4" w14:textId="6491C115" w:rsidR="00C030CA" w:rsidRDefault="00574027" w:rsidP="00A260DD">
    <w:pPr>
      <w:pStyle w:val="Header"/>
    </w:pPr>
    <w:r w:rsidRPr="00A260DD">
      <w:rPr>
        <w:szCs w:val="18"/>
      </w:rPr>
      <w:t>UN/SCE</w:t>
    </w:r>
    <w:r w:rsidR="00F47212" w:rsidRPr="00A260DD">
      <w:rPr>
        <w:szCs w:val="18"/>
      </w:rPr>
      <w:t>GHS</w:t>
    </w:r>
    <w:r w:rsidRPr="00A260DD">
      <w:rPr>
        <w:szCs w:val="18"/>
      </w:rPr>
      <w:t>/4</w:t>
    </w:r>
    <w:r w:rsidR="00A260DD" w:rsidRPr="00A260DD">
      <w:rPr>
        <w:szCs w:val="18"/>
      </w:rPr>
      <w:t>4</w:t>
    </w:r>
    <w:r w:rsidR="00101999" w:rsidRPr="00A260DD">
      <w:rPr>
        <w:szCs w:val="18"/>
      </w:rPr>
      <w:t>/</w:t>
    </w:r>
    <w:r w:rsidRPr="00A260DD">
      <w:rPr>
        <w:szCs w:val="18"/>
      </w:rPr>
      <w:t>INF.</w:t>
    </w:r>
    <w:r w:rsidRPr="00A260DD">
      <w:rPr>
        <w:noProof/>
        <w:lang w:eastAsia="en-GB"/>
      </w:rPr>
      <mc:AlternateContent>
        <mc:Choice Requires="wps">
          <w:drawing>
            <wp:anchor distT="0" distB="0" distL="114300" distR="114300" simplePos="0" relativeHeight="251669504"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r w:rsidR="00A260DD" w:rsidRPr="00A260DD">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8A43" w14:textId="138A1A65" w:rsidR="00C030CA" w:rsidRDefault="00574027" w:rsidP="00A260DD">
    <w:pPr>
      <w:pStyle w:val="Header"/>
      <w:jc w:val="right"/>
    </w:pPr>
    <w:r w:rsidRPr="00CE031D">
      <w:rPr>
        <w:szCs w:val="18"/>
      </w:rPr>
      <w:t>UN/SCE</w:t>
    </w:r>
    <w:r w:rsidR="00D660CB">
      <w:rPr>
        <w:szCs w:val="18"/>
      </w:rPr>
      <w:t>GHS</w:t>
    </w:r>
    <w:r w:rsidRPr="00CE031D">
      <w:rPr>
        <w:szCs w:val="18"/>
      </w:rPr>
      <w:t>/</w:t>
    </w:r>
    <w:r w:rsidR="00A260DD">
      <w:rPr>
        <w:szCs w:val="18"/>
      </w:rPr>
      <w:t>44</w:t>
    </w:r>
    <w:r w:rsidRPr="00CE031D">
      <w:rPr>
        <w:szCs w:val="18"/>
      </w:rPr>
      <w:t>/INF.</w:t>
    </w:r>
    <w:r>
      <w:rPr>
        <w:noProof/>
        <w:lang w:eastAsia="en-GB"/>
      </w:rPr>
      <mc:AlternateContent>
        <mc:Choice Requires="wps">
          <w:drawing>
            <wp:anchor distT="0" distB="0" distL="114300" distR="114300" simplePos="0" relativeHeight="251657216"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left:0;text-align:left;margin-left:766pt;margin-top:5.1pt;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r w:rsidR="00A260DD">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A1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A3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60C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C0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BA3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92F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8DF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C5F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26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5C9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3EB2A0D"/>
    <w:multiLevelType w:val="hybridMultilevel"/>
    <w:tmpl w:val="7D7A2D44"/>
    <w:lvl w:ilvl="0" w:tplc="003EA824">
      <w:start w:val="1"/>
      <w:numFmt w:val="lowerLetter"/>
      <w:lvlText w:val="(%1)"/>
      <w:lvlJc w:val="left"/>
      <w:pPr>
        <w:ind w:left="7023" w:hanging="360"/>
      </w:pPr>
      <w:rPr>
        <w:rFonts w:hint="default"/>
        <w:sz w:val="20"/>
        <w:szCs w:val="20"/>
      </w:rPr>
    </w:lvl>
    <w:lvl w:ilvl="1" w:tplc="08090019">
      <w:start w:val="1"/>
      <w:numFmt w:val="lowerLetter"/>
      <w:lvlText w:val="%2."/>
      <w:lvlJc w:val="left"/>
      <w:pPr>
        <w:ind w:left="7743" w:hanging="360"/>
      </w:pPr>
    </w:lvl>
    <w:lvl w:ilvl="2" w:tplc="0809001B" w:tentative="1">
      <w:start w:val="1"/>
      <w:numFmt w:val="lowerRoman"/>
      <w:lvlText w:val="%3."/>
      <w:lvlJc w:val="right"/>
      <w:pPr>
        <w:ind w:left="8463" w:hanging="180"/>
      </w:pPr>
    </w:lvl>
    <w:lvl w:ilvl="3" w:tplc="0809000F" w:tentative="1">
      <w:start w:val="1"/>
      <w:numFmt w:val="decimal"/>
      <w:lvlText w:val="%4."/>
      <w:lvlJc w:val="left"/>
      <w:pPr>
        <w:ind w:left="9183" w:hanging="360"/>
      </w:pPr>
    </w:lvl>
    <w:lvl w:ilvl="4" w:tplc="08090019" w:tentative="1">
      <w:start w:val="1"/>
      <w:numFmt w:val="lowerLetter"/>
      <w:lvlText w:val="%5."/>
      <w:lvlJc w:val="left"/>
      <w:pPr>
        <w:ind w:left="9903" w:hanging="360"/>
      </w:pPr>
    </w:lvl>
    <w:lvl w:ilvl="5" w:tplc="0809001B" w:tentative="1">
      <w:start w:val="1"/>
      <w:numFmt w:val="lowerRoman"/>
      <w:lvlText w:val="%6."/>
      <w:lvlJc w:val="right"/>
      <w:pPr>
        <w:ind w:left="10623" w:hanging="180"/>
      </w:pPr>
    </w:lvl>
    <w:lvl w:ilvl="6" w:tplc="0809000F" w:tentative="1">
      <w:start w:val="1"/>
      <w:numFmt w:val="decimal"/>
      <w:lvlText w:val="%7."/>
      <w:lvlJc w:val="left"/>
      <w:pPr>
        <w:ind w:left="11343" w:hanging="360"/>
      </w:pPr>
    </w:lvl>
    <w:lvl w:ilvl="7" w:tplc="08090019" w:tentative="1">
      <w:start w:val="1"/>
      <w:numFmt w:val="lowerLetter"/>
      <w:lvlText w:val="%8."/>
      <w:lvlJc w:val="left"/>
      <w:pPr>
        <w:ind w:left="12063" w:hanging="360"/>
      </w:pPr>
    </w:lvl>
    <w:lvl w:ilvl="8" w:tplc="0809001B" w:tentative="1">
      <w:start w:val="1"/>
      <w:numFmt w:val="lowerRoman"/>
      <w:lvlText w:val="%9."/>
      <w:lvlJc w:val="right"/>
      <w:pPr>
        <w:ind w:left="12783"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64F0F"/>
    <w:multiLevelType w:val="hybridMultilevel"/>
    <w:tmpl w:val="935A63AE"/>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383867107">
    <w:abstractNumId w:val="16"/>
  </w:num>
  <w:num w:numId="2" w16cid:durableId="1838686835">
    <w:abstractNumId w:val="19"/>
  </w:num>
  <w:num w:numId="3" w16cid:durableId="844979474">
    <w:abstractNumId w:val="10"/>
  </w:num>
  <w:num w:numId="4" w16cid:durableId="1362122833">
    <w:abstractNumId w:val="18"/>
  </w:num>
  <w:num w:numId="5" w16cid:durableId="1004169838">
    <w:abstractNumId w:val="14"/>
  </w:num>
  <w:num w:numId="6" w16cid:durableId="394010598">
    <w:abstractNumId w:val="13"/>
  </w:num>
  <w:num w:numId="7" w16cid:durableId="1791624752">
    <w:abstractNumId w:val="11"/>
  </w:num>
  <w:num w:numId="8" w16cid:durableId="186676716">
    <w:abstractNumId w:val="17"/>
  </w:num>
  <w:num w:numId="9" w16cid:durableId="1775781694">
    <w:abstractNumId w:val="12"/>
  </w:num>
  <w:num w:numId="10" w16cid:durableId="1064913895">
    <w:abstractNumId w:val="16"/>
  </w:num>
  <w:num w:numId="11" w16cid:durableId="637691769">
    <w:abstractNumId w:val="16"/>
  </w:num>
  <w:num w:numId="12" w16cid:durableId="1383555002">
    <w:abstractNumId w:val="16"/>
  </w:num>
  <w:num w:numId="13" w16cid:durableId="1425612137">
    <w:abstractNumId w:val="16"/>
  </w:num>
  <w:num w:numId="14" w16cid:durableId="687490813">
    <w:abstractNumId w:val="15"/>
  </w:num>
  <w:num w:numId="15" w16cid:durableId="242878440">
    <w:abstractNumId w:val="20"/>
  </w:num>
  <w:num w:numId="16" w16cid:durableId="330065791">
    <w:abstractNumId w:val="9"/>
  </w:num>
  <w:num w:numId="17" w16cid:durableId="1888027506">
    <w:abstractNumId w:val="7"/>
  </w:num>
  <w:num w:numId="18" w16cid:durableId="173224021">
    <w:abstractNumId w:val="6"/>
  </w:num>
  <w:num w:numId="19" w16cid:durableId="793140053">
    <w:abstractNumId w:val="5"/>
  </w:num>
  <w:num w:numId="20" w16cid:durableId="512303769">
    <w:abstractNumId w:val="4"/>
  </w:num>
  <w:num w:numId="21" w16cid:durableId="488375260">
    <w:abstractNumId w:val="8"/>
  </w:num>
  <w:num w:numId="22" w16cid:durableId="1202019187">
    <w:abstractNumId w:val="3"/>
  </w:num>
  <w:num w:numId="23" w16cid:durableId="2018312329">
    <w:abstractNumId w:val="2"/>
  </w:num>
  <w:num w:numId="24" w16cid:durableId="536508114">
    <w:abstractNumId w:val="1"/>
  </w:num>
  <w:num w:numId="25" w16cid:durableId="65491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031A1"/>
    <w:rsid w:val="000214BC"/>
    <w:rsid w:val="000249C0"/>
    <w:rsid w:val="0003079A"/>
    <w:rsid w:val="0006039D"/>
    <w:rsid w:val="000B6ACF"/>
    <w:rsid w:val="000E2E88"/>
    <w:rsid w:val="000F5997"/>
    <w:rsid w:val="00101999"/>
    <w:rsid w:val="00152EDC"/>
    <w:rsid w:val="00186835"/>
    <w:rsid w:val="001B057F"/>
    <w:rsid w:val="001C5FE4"/>
    <w:rsid w:val="00223F9F"/>
    <w:rsid w:val="00225747"/>
    <w:rsid w:val="00226CEA"/>
    <w:rsid w:val="00236385"/>
    <w:rsid w:val="00244E9C"/>
    <w:rsid w:val="00260117"/>
    <w:rsid w:val="0028150B"/>
    <w:rsid w:val="003528F9"/>
    <w:rsid w:val="00371089"/>
    <w:rsid w:val="0038338E"/>
    <w:rsid w:val="003A2A96"/>
    <w:rsid w:val="003A3245"/>
    <w:rsid w:val="003B2653"/>
    <w:rsid w:val="003C10B9"/>
    <w:rsid w:val="003C425A"/>
    <w:rsid w:val="003D74EA"/>
    <w:rsid w:val="003E64B9"/>
    <w:rsid w:val="00406A6B"/>
    <w:rsid w:val="004108A7"/>
    <w:rsid w:val="004B5A77"/>
    <w:rsid w:val="004E7435"/>
    <w:rsid w:val="004F2E7E"/>
    <w:rsid w:val="00512E3F"/>
    <w:rsid w:val="0051484F"/>
    <w:rsid w:val="005214E7"/>
    <w:rsid w:val="00522D72"/>
    <w:rsid w:val="00570F56"/>
    <w:rsid w:val="00574027"/>
    <w:rsid w:val="00592369"/>
    <w:rsid w:val="005C0B65"/>
    <w:rsid w:val="005E79BB"/>
    <w:rsid w:val="005F7AE9"/>
    <w:rsid w:val="0061094A"/>
    <w:rsid w:val="0062617C"/>
    <w:rsid w:val="00630265"/>
    <w:rsid w:val="00633F54"/>
    <w:rsid w:val="00647244"/>
    <w:rsid w:val="00686B73"/>
    <w:rsid w:val="006A2C7D"/>
    <w:rsid w:val="006D3E76"/>
    <w:rsid w:val="00717408"/>
    <w:rsid w:val="00760F29"/>
    <w:rsid w:val="007A5031"/>
    <w:rsid w:val="007C1E4D"/>
    <w:rsid w:val="007C61DB"/>
    <w:rsid w:val="007D47BB"/>
    <w:rsid w:val="007E0B86"/>
    <w:rsid w:val="007F1D3F"/>
    <w:rsid w:val="00822F3B"/>
    <w:rsid w:val="008D54D0"/>
    <w:rsid w:val="00930F93"/>
    <w:rsid w:val="0094551F"/>
    <w:rsid w:val="009855D0"/>
    <w:rsid w:val="009B11B2"/>
    <w:rsid w:val="009E1F11"/>
    <w:rsid w:val="009E245E"/>
    <w:rsid w:val="009E42E4"/>
    <w:rsid w:val="009F552B"/>
    <w:rsid w:val="00A25B3D"/>
    <w:rsid w:val="00A260DD"/>
    <w:rsid w:val="00A55BFD"/>
    <w:rsid w:val="00A57ACB"/>
    <w:rsid w:val="00A83A4A"/>
    <w:rsid w:val="00A91B52"/>
    <w:rsid w:val="00AA3D2B"/>
    <w:rsid w:val="00AA6BD9"/>
    <w:rsid w:val="00AD6475"/>
    <w:rsid w:val="00B64854"/>
    <w:rsid w:val="00B77E3D"/>
    <w:rsid w:val="00B85035"/>
    <w:rsid w:val="00BB50BA"/>
    <w:rsid w:val="00BF0E50"/>
    <w:rsid w:val="00C030CA"/>
    <w:rsid w:val="00C13576"/>
    <w:rsid w:val="00C13F89"/>
    <w:rsid w:val="00C21DFE"/>
    <w:rsid w:val="00C60AE5"/>
    <w:rsid w:val="00C64CCA"/>
    <w:rsid w:val="00C65283"/>
    <w:rsid w:val="00C97ECF"/>
    <w:rsid w:val="00CA28D8"/>
    <w:rsid w:val="00CA3BB9"/>
    <w:rsid w:val="00CA5128"/>
    <w:rsid w:val="00CE031D"/>
    <w:rsid w:val="00D57610"/>
    <w:rsid w:val="00D660CB"/>
    <w:rsid w:val="00D841B8"/>
    <w:rsid w:val="00DB521F"/>
    <w:rsid w:val="00DD396E"/>
    <w:rsid w:val="00DE759C"/>
    <w:rsid w:val="00E15AE8"/>
    <w:rsid w:val="00E1727E"/>
    <w:rsid w:val="00E7454A"/>
    <w:rsid w:val="00E97BCE"/>
    <w:rsid w:val="00EA3F81"/>
    <w:rsid w:val="00EA5B52"/>
    <w:rsid w:val="00F22714"/>
    <w:rsid w:val="00F27F2C"/>
    <w:rsid w:val="00F41B6B"/>
    <w:rsid w:val="00F47212"/>
    <w:rsid w:val="00F5189B"/>
    <w:rsid w:val="00F84D75"/>
    <w:rsid w:val="00F970C4"/>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styleId="ListParagraph">
    <w:name w:val="List Paragraph"/>
    <w:basedOn w:val="Normal"/>
    <w:link w:val="ListParagraphChar"/>
    <w:uiPriority w:val="34"/>
    <w:qFormat/>
    <w:rsid w:val="00152EDC"/>
    <w:pPr>
      <w:suppressAutoHyphens w:val="0"/>
      <w:spacing w:line="240" w:lineRule="auto"/>
      <w:ind w:left="720"/>
      <w:jc w:val="both"/>
    </w:pPr>
    <w:rPr>
      <w:sz w:val="24"/>
      <w:szCs w:val="24"/>
      <w:lang w:val="en-US"/>
    </w:rPr>
  </w:style>
  <w:style w:type="character" w:customStyle="1" w:styleId="ListParagraphChar">
    <w:name w:val="List Paragraph Char"/>
    <w:basedOn w:val="DefaultParagraphFont"/>
    <w:link w:val="ListParagraph"/>
    <w:uiPriority w:val="34"/>
    <w:locked/>
    <w:rsid w:val="00152EDC"/>
    <w:rPr>
      <w:rFonts w:eastAsia="Times New Roman"/>
      <w:sz w:val="24"/>
      <w:szCs w:val="24"/>
      <w:lang w:val="en-US" w:eastAsia="en-US"/>
    </w:rPr>
  </w:style>
  <w:style w:type="character" w:customStyle="1" w:styleId="StyleBold">
    <w:name w:val="Style Bold"/>
    <w:rsid w:val="00152EDC"/>
    <w:rPr>
      <w:rFonts w:ascii="Times New Roman" w:hAnsi="Times New Roman"/>
      <w:b/>
      <w:bCs/>
    </w:rPr>
  </w:style>
  <w:style w:type="character" w:customStyle="1" w:styleId="StyleBoldStrikethrough">
    <w:name w:val="Style Bold Strikethrough"/>
    <w:semiHidden/>
    <w:rsid w:val="00152EDC"/>
    <w:rPr>
      <w:rFonts w:ascii="Times New Roman" w:hAnsi="Times New Roman"/>
      <w:b/>
      <w:bCs/>
      <w:strike/>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F0188-9521-49B4-AB94-2FF027327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4</cp:revision>
  <dcterms:created xsi:type="dcterms:W3CDTF">2023-06-12T14:29:00Z</dcterms:created>
  <dcterms:modified xsi:type="dcterms:W3CDTF">2023-06-12T14:30:00Z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