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015940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DE0F98" w14:textId="77777777" w:rsidR="00F35BAF" w:rsidRPr="00DB58B5" w:rsidRDefault="00F35BAF" w:rsidP="005A2AB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09152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7E732F" w14:textId="7B0E1709" w:rsidR="00F35BAF" w:rsidRPr="00DB58B5" w:rsidRDefault="005A2AB0" w:rsidP="005A2AB0">
            <w:pPr>
              <w:jc w:val="right"/>
            </w:pPr>
            <w:r w:rsidRPr="005A2AB0">
              <w:rPr>
                <w:sz w:val="40"/>
              </w:rPr>
              <w:t>ECE</w:t>
            </w:r>
            <w:r>
              <w:t>/TRANS/WP.29/2022/126/Rev.1</w:t>
            </w:r>
          </w:p>
        </w:tc>
      </w:tr>
      <w:tr w:rsidR="00F35BAF" w:rsidRPr="00DB58B5" w14:paraId="3A04700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6DC0AE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7D52755" wp14:editId="3752B08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9C567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85E8E96" w14:textId="77777777" w:rsidR="00F35BAF" w:rsidRDefault="005A2AB0" w:rsidP="00C97039">
            <w:pPr>
              <w:spacing w:before="240"/>
            </w:pPr>
            <w:r>
              <w:t>Distr. générale</w:t>
            </w:r>
          </w:p>
          <w:p w14:paraId="089B20FF" w14:textId="77777777" w:rsidR="005A2AB0" w:rsidRDefault="005A2AB0" w:rsidP="005A2AB0">
            <w:pPr>
              <w:spacing w:line="240" w:lineRule="exact"/>
            </w:pPr>
            <w:r>
              <w:t>14 octobre 2022</w:t>
            </w:r>
          </w:p>
          <w:p w14:paraId="10D85083" w14:textId="77777777" w:rsidR="005A2AB0" w:rsidRDefault="005A2AB0" w:rsidP="005A2AB0">
            <w:pPr>
              <w:spacing w:line="240" w:lineRule="exact"/>
            </w:pPr>
            <w:r>
              <w:t>Français</w:t>
            </w:r>
          </w:p>
          <w:p w14:paraId="42AE767D" w14:textId="5E111D55" w:rsidR="005A2AB0" w:rsidRPr="00DB58B5" w:rsidRDefault="005A2AB0" w:rsidP="005A2AB0">
            <w:pPr>
              <w:spacing w:line="240" w:lineRule="exact"/>
            </w:pPr>
            <w:r>
              <w:t>Original : anglais</w:t>
            </w:r>
          </w:p>
        </w:tc>
      </w:tr>
    </w:tbl>
    <w:p w14:paraId="574AAC7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6C7F91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EDE4DF2" w14:textId="77777777" w:rsidR="005A2AB0" w:rsidRDefault="005A2AB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B5C0D99" w14:textId="77777777" w:rsidR="005A2AB0" w:rsidRDefault="005A2AB0" w:rsidP="005A2AB0">
      <w:pPr>
        <w:spacing w:before="120" w:line="240" w:lineRule="exact"/>
        <w:rPr>
          <w:b/>
        </w:rPr>
      </w:pPr>
      <w:r w:rsidRPr="00D96FC9">
        <w:rPr>
          <w:b/>
          <w:bCs/>
          <w:lang w:val="fr-FR"/>
        </w:rPr>
        <w:t>188</w:t>
      </w:r>
      <w:r w:rsidRPr="00D96FC9">
        <w:rPr>
          <w:b/>
          <w:bCs/>
          <w:vertAlign w:val="superscript"/>
          <w:lang w:val="fr-FR"/>
        </w:rPr>
        <w:t>e</w:t>
      </w:r>
      <w:r w:rsidRPr="00B2102C">
        <w:rPr>
          <w:b/>
          <w:bCs/>
          <w:lang w:val="fr-FR"/>
        </w:rPr>
        <w:t> </w:t>
      </w:r>
      <w:r>
        <w:rPr>
          <w:b/>
        </w:rPr>
        <w:t>session</w:t>
      </w:r>
    </w:p>
    <w:p w14:paraId="75827D1F" w14:textId="77777777" w:rsidR="005A2AB0" w:rsidRDefault="005A2AB0" w:rsidP="005A2AB0">
      <w:pPr>
        <w:spacing w:line="240" w:lineRule="exact"/>
      </w:pPr>
      <w:r>
        <w:t xml:space="preserve">Genève, </w:t>
      </w:r>
      <w:r w:rsidRPr="00D96FC9">
        <w:rPr>
          <w:lang w:val="fr-FR"/>
        </w:rPr>
        <w:t>14-16 novembre 2022</w:t>
      </w:r>
    </w:p>
    <w:p w14:paraId="2A070699" w14:textId="77777777" w:rsidR="005A2AB0" w:rsidRDefault="005A2AB0" w:rsidP="005A2AB0">
      <w:pPr>
        <w:spacing w:line="240" w:lineRule="exact"/>
      </w:pPr>
      <w:r>
        <w:t xml:space="preserve">Point </w:t>
      </w:r>
      <w:r w:rsidRPr="00D96FC9">
        <w:rPr>
          <w:lang w:val="fr-FR"/>
        </w:rPr>
        <w:t xml:space="preserve">4.7.11 </w:t>
      </w:r>
      <w:r>
        <w:t>de l’ordre du jour provisoire</w:t>
      </w:r>
    </w:p>
    <w:p w14:paraId="6A94EAA1" w14:textId="77777777" w:rsidR="005A2AB0" w:rsidRPr="00D96FC9" w:rsidRDefault="005A2AB0" w:rsidP="005A2AB0">
      <w:pPr>
        <w:rPr>
          <w:b/>
          <w:bCs/>
          <w:lang w:val="fr-FR"/>
        </w:rPr>
      </w:pPr>
      <w:r w:rsidRPr="00D96FC9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D96FC9">
        <w:rPr>
          <w:b/>
          <w:bCs/>
          <w:lang w:val="fr-FR"/>
        </w:rPr>
        <w:t xml:space="preserve">: </w:t>
      </w:r>
    </w:p>
    <w:p w14:paraId="6DFA1487" w14:textId="77777777" w:rsidR="005A2AB0" w:rsidRPr="00D96FC9" w:rsidRDefault="005A2AB0" w:rsidP="005A2AB0">
      <w:pPr>
        <w:rPr>
          <w:b/>
          <w:bCs/>
          <w:lang w:val="fr-FR"/>
        </w:rPr>
      </w:pPr>
      <w:r w:rsidRPr="00D96FC9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D96FC9">
        <w:rPr>
          <w:b/>
          <w:bCs/>
          <w:lang w:val="fr-FR"/>
        </w:rPr>
        <w:t xml:space="preserve">amendements à des Règlements ONU existants, </w:t>
      </w:r>
      <w:r>
        <w:rPr>
          <w:b/>
          <w:bCs/>
          <w:lang w:val="fr-FR"/>
        </w:rPr>
        <w:br/>
      </w:r>
      <w:r w:rsidRPr="00D96FC9">
        <w:rPr>
          <w:b/>
          <w:bCs/>
          <w:lang w:val="fr-FR"/>
        </w:rPr>
        <w:t>soumis par le GRSG</w:t>
      </w:r>
    </w:p>
    <w:p w14:paraId="2DF26A6B" w14:textId="77777777" w:rsidR="005A2AB0" w:rsidRDefault="005A2AB0" w:rsidP="005A2AB0">
      <w:pPr>
        <w:pStyle w:val="HChG"/>
        <w:rPr>
          <w:lang w:val="fr-FR"/>
        </w:rPr>
      </w:pPr>
      <w:r w:rsidRPr="00D96FC9">
        <w:rPr>
          <w:lang w:val="fr-FR"/>
        </w:rPr>
        <w:tab/>
      </w:r>
      <w:r w:rsidRPr="00D96FC9">
        <w:rPr>
          <w:lang w:val="fr-FR"/>
        </w:rPr>
        <w:tab/>
      </w:r>
      <w:r w:rsidRPr="00D96FC9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D96FC9">
        <w:rPr>
          <w:lang w:val="fr-FR"/>
        </w:rPr>
        <w:t>4 à la version originale du Règlement ONU n</w:t>
      </w:r>
      <w:r w:rsidRPr="00D96FC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96FC9">
        <w:rPr>
          <w:lang w:val="fr-FR"/>
        </w:rPr>
        <w:t>162 (Dispositifs d</w:t>
      </w:r>
      <w:r>
        <w:rPr>
          <w:lang w:val="fr-FR"/>
        </w:rPr>
        <w:t>’</w:t>
      </w:r>
      <w:r w:rsidRPr="00D96FC9">
        <w:rPr>
          <w:lang w:val="fr-FR"/>
        </w:rPr>
        <w:t>immobilisation)</w:t>
      </w:r>
    </w:p>
    <w:p w14:paraId="47E94996" w14:textId="77777777" w:rsidR="005A2AB0" w:rsidRPr="003A7D6A" w:rsidRDefault="005A2AB0" w:rsidP="005A2AB0">
      <w:pPr>
        <w:pStyle w:val="H23G"/>
        <w:rPr>
          <w:lang w:val="fr-FR"/>
        </w:rPr>
      </w:pPr>
      <w:r>
        <w:tab/>
      </w:r>
      <w:r>
        <w:tab/>
        <w:t>Révision</w:t>
      </w:r>
    </w:p>
    <w:p w14:paraId="5BB8DA9B" w14:textId="77777777" w:rsidR="005A2AB0" w:rsidRPr="00D96FC9" w:rsidRDefault="005A2AB0" w:rsidP="005A2AB0">
      <w:pPr>
        <w:pStyle w:val="H1G"/>
        <w:rPr>
          <w:lang w:val="fr-FR"/>
        </w:rPr>
      </w:pPr>
      <w:r w:rsidRPr="00D96FC9">
        <w:rPr>
          <w:lang w:val="fr-FR"/>
        </w:rPr>
        <w:tab/>
      </w:r>
      <w:r w:rsidRPr="00D96FC9">
        <w:rPr>
          <w:lang w:val="fr-FR"/>
        </w:rPr>
        <w:tab/>
        <w:t>Communication du Groupe de travail des dispositions générales de</w:t>
      </w:r>
      <w:r>
        <w:rPr>
          <w:lang w:val="fr-FR"/>
        </w:rPr>
        <w:t> </w:t>
      </w:r>
      <w:r w:rsidRPr="00D96FC9">
        <w:rPr>
          <w:lang w:val="fr-FR"/>
        </w:rPr>
        <w:t>sécurité</w:t>
      </w:r>
      <w:r w:rsidRPr="00B2102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DA7415A" w14:textId="5B03FDBB" w:rsidR="005A2AB0" w:rsidRDefault="005A2AB0" w:rsidP="005A2AB0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96FC9">
        <w:rPr>
          <w:lang w:val="fr-FR"/>
        </w:rPr>
        <w:t>Le texte ci-après a été adopté par le Groupe de travail des dispositions générales de sécurité (GRSG) à sa 123</w:t>
      </w:r>
      <w:r w:rsidRPr="00D96FC9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D96FC9">
        <w:rPr>
          <w:lang w:val="fr-FR"/>
        </w:rPr>
        <w:t>session (ECE/TRANS/WP.29/GRSG/102, par.</w:t>
      </w:r>
      <w:r>
        <w:rPr>
          <w:lang w:val="fr-FR"/>
        </w:rPr>
        <w:t> </w:t>
      </w:r>
      <w:r w:rsidRPr="00D96FC9">
        <w:rPr>
          <w:lang w:val="fr-FR"/>
        </w:rPr>
        <w:t>46). Il est fondé sur le</w:t>
      </w:r>
      <w:r>
        <w:rPr>
          <w:lang w:val="fr-FR"/>
        </w:rPr>
        <w:t>s</w:t>
      </w:r>
      <w:r w:rsidRPr="00D96FC9">
        <w:rPr>
          <w:lang w:val="fr-FR"/>
        </w:rPr>
        <w:t xml:space="preserve"> document</w:t>
      </w:r>
      <w:r>
        <w:rPr>
          <w:lang w:val="fr-FR"/>
        </w:rPr>
        <w:t>s</w:t>
      </w:r>
      <w:r w:rsidRPr="00D96FC9">
        <w:rPr>
          <w:lang w:val="fr-FR"/>
        </w:rPr>
        <w:t xml:space="preserve"> ECE/TRANS/WP.29/GRSG/2022/15, non modifié</w:t>
      </w:r>
      <w:r>
        <w:rPr>
          <w:lang w:val="fr-FR"/>
        </w:rPr>
        <w:t xml:space="preserve">, et </w:t>
      </w:r>
      <w:r>
        <w:t>GRSG-124-22</w:t>
      </w:r>
      <w:r w:rsidRPr="00D96FC9">
        <w:rPr>
          <w:lang w:val="fr-FR"/>
        </w:rPr>
        <w:t>. Il est soumis au Forum mondial de l</w:t>
      </w:r>
      <w:r>
        <w:rPr>
          <w:lang w:val="fr-FR"/>
        </w:rPr>
        <w:t>’</w:t>
      </w:r>
      <w:r w:rsidRPr="00D96FC9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D96FC9">
        <w:rPr>
          <w:lang w:val="fr-FR"/>
        </w:rPr>
        <w:t>administration de l</w:t>
      </w:r>
      <w:r>
        <w:rPr>
          <w:lang w:val="fr-FR"/>
        </w:rPr>
        <w:t>’</w:t>
      </w:r>
      <w:r w:rsidRPr="00D96FC9">
        <w:rPr>
          <w:lang w:val="fr-FR"/>
        </w:rPr>
        <w:t>Accord de 1958 (AC.1) pour examen à leurs sessions de novembre</w:t>
      </w:r>
      <w:r>
        <w:rPr>
          <w:lang w:val="fr-FR"/>
        </w:rPr>
        <w:t> </w:t>
      </w:r>
      <w:r w:rsidRPr="00D96FC9">
        <w:rPr>
          <w:lang w:val="fr-FR"/>
        </w:rPr>
        <w:t>2022.</w:t>
      </w:r>
    </w:p>
    <w:p w14:paraId="7482F9C0" w14:textId="77777777" w:rsidR="005A2AB0" w:rsidRDefault="005A2AB0" w:rsidP="005A2AB0">
      <w:pPr>
        <w:rPr>
          <w:lang w:val="fr-FR"/>
        </w:rPr>
      </w:pPr>
      <w:r>
        <w:rPr>
          <w:lang w:val="fr-FR"/>
        </w:rPr>
        <w:br w:type="page"/>
      </w:r>
    </w:p>
    <w:p w14:paraId="5FB435B5" w14:textId="4329D85C" w:rsidR="005A2AB0" w:rsidRPr="00AC2878" w:rsidRDefault="005A2AB0" w:rsidP="005A2AB0">
      <w:pPr>
        <w:pStyle w:val="HChG"/>
        <w:tabs>
          <w:tab w:val="left" w:pos="6134"/>
        </w:tabs>
        <w:ind w:left="2268"/>
        <w:rPr>
          <w:lang w:val="fr-FR"/>
        </w:rPr>
      </w:pPr>
      <w:r w:rsidRPr="00B2102C">
        <w:rPr>
          <w:b w:val="0"/>
          <w:bCs/>
          <w:sz w:val="20"/>
          <w:lang w:val="fr-FR"/>
        </w:rPr>
        <w:lastRenderedPageBreak/>
        <w:t>« </w:t>
      </w:r>
      <w:r w:rsidRPr="00AC2878">
        <w:rPr>
          <w:lang w:val="fr-FR"/>
        </w:rPr>
        <w:t>1.</w:t>
      </w:r>
      <w:r w:rsidRPr="00AC2878">
        <w:rPr>
          <w:lang w:val="fr-FR"/>
        </w:rPr>
        <w:tab/>
        <w:t>Champ d</w:t>
      </w:r>
      <w:r>
        <w:rPr>
          <w:lang w:val="fr-FR"/>
        </w:rPr>
        <w:t>’</w:t>
      </w:r>
      <w:r w:rsidRPr="00AC2878">
        <w:rPr>
          <w:lang w:val="fr-FR"/>
        </w:rPr>
        <w:t>application</w:t>
      </w:r>
    </w:p>
    <w:p w14:paraId="1F7D3D71" w14:textId="77777777" w:rsidR="005A2AB0" w:rsidRPr="00AC2878" w:rsidRDefault="005A2AB0" w:rsidP="005A2AB0">
      <w:pPr>
        <w:pStyle w:val="SingleTxtG"/>
        <w:ind w:left="2268"/>
        <w:rPr>
          <w:lang w:val="fr-FR"/>
        </w:rPr>
      </w:pPr>
      <w:r w:rsidRPr="00AC2878">
        <w:rPr>
          <w:lang w:val="fr-FR"/>
        </w:rPr>
        <w:t xml:space="preserve">Le présent Règlement </w:t>
      </w:r>
      <w:r>
        <w:rPr>
          <w:lang w:val="fr-FR"/>
        </w:rPr>
        <w:t xml:space="preserve">ONU </w:t>
      </w:r>
      <w:r w:rsidRPr="00AC2878">
        <w:rPr>
          <w:lang w:val="fr-FR"/>
        </w:rPr>
        <w:t>s</w:t>
      </w:r>
      <w:r>
        <w:rPr>
          <w:lang w:val="fr-FR"/>
        </w:rPr>
        <w:t>’</w:t>
      </w:r>
      <w:r w:rsidRPr="00AC2878">
        <w:rPr>
          <w:lang w:val="fr-FR"/>
        </w:rPr>
        <w:t>applique :</w:t>
      </w:r>
    </w:p>
    <w:p w14:paraId="22AAE5FA" w14:textId="77777777" w:rsidR="005A2AB0" w:rsidRPr="00AC2878" w:rsidRDefault="005A2AB0" w:rsidP="005A2AB0">
      <w:pPr>
        <w:pStyle w:val="SingleTxtG"/>
        <w:ind w:left="2268" w:hanging="1134"/>
        <w:rPr>
          <w:lang w:val="fr-FR"/>
        </w:rPr>
      </w:pPr>
      <w:r w:rsidRPr="00AC2878">
        <w:rPr>
          <w:lang w:val="fr-FR"/>
        </w:rPr>
        <w:t>1.1</w:t>
      </w:r>
      <w:r w:rsidRPr="00AC2878">
        <w:rPr>
          <w:lang w:val="fr-FR"/>
        </w:rPr>
        <w:tab/>
        <w:t>À l</w:t>
      </w:r>
      <w:r>
        <w:rPr>
          <w:lang w:val="fr-FR"/>
        </w:rPr>
        <w:t>’</w:t>
      </w:r>
      <w:r w:rsidRPr="00AC2878">
        <w:rPr>
          <w:lang w:val="fr-FR"/>
        </w:rPr>
        <w:t>homologation des dispositifs d</w:t>
      </w:r>
      <w:r>
        <w:rPr>
          <w:lang w:val="fr-FR"/>
        </w:rPr>
        <w:t>’</w:t>
      </w:r>
      <w:r w:rsidRPr="00AC2878">
        <w:rPr>
          <w:lang w:val="fr-FR"/>
        </w:rPr>
        <w:t>immobilisation destinés à équiper de façon permanente les véhicules de toutes catégories</w:t>
      </w:r>
      <w:r w:rsidRPr="00AC2878">
        <w:rPr>
          <w:sz w:val="18"/>
          <w:szCs w:val="18"/>
          <w:vertAlign w:val="superscript"/>
          <w:lang w:val="fr-FR"/>
        </w:rPr>
        <w:t>1, 2</w:t>
      </w:r>
      <w:r w:rsidRPr="00D96FC9">
        <w:rPr>
          <w:sz w:val="18"/>
          <w:szCs w:val="18"/>
          <w:lang w:val="fr-FR"/>
        </w:rPr>
        <w:t>.</w:t>
      </w:r>
    </w:p>
    <w:p w14:paraId="11457E11" w14:textId="77777777" w:rsidR="005A2AB0" w:rsidRPr="00D96FC9" w:rsidRDefault="005A2AB0" w:rsidP="005A2AB0">
      <w:pPr>
        <w:pStyle w:val="SingleTxtG"/>
        <w:ind w:left="2268" w:hanging="1134"/>
        <w:rPr>
          <w:lang w:val="fr-FR"/>
        </w:rPr>
      </w:pPr>
      <w:r w:rsidRPr="00AC2878">
        <w:rPr>
          <w:rFonts w:eastAsia="Calibri"/>
          <w:lang w:val="fr-FR"/>
        </w:rPr>
        <w:t>1.2</w:t>
      </w:r>
      <w:r w:rsidRPr="00AC2878">
        <w:rPr>
          <w:rFonts w:eastAsia="Calibri"/>
          <w:lang w:val="fr-FR"/>
        </w:rPr>
        <w:tab/>
        <w:t>À l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 xml:space="preserve">homologation des véhicules </w:t>
      </w:r>
      <w:r w:rsidRPr="00B2102C">
        <w:rPr>
          <w:lang w:val="fr-FR"/>
        </w:rPr>
        <w:t>de</w:t>
      </w:r>
      <w:r w:rsidRPr="00AC2878">
        <w:rPr>
          <w:rFonts w:eastAsia="Calibri"/>
          <w:lang w:val="fr-FR"/>
        </w:rPr>
        <w:t xml:space="preserve"> la catégorie M</w:t>
      </w:r>
      <w:r w:rsidRPr="00AC2878">
        <w:rPr>
          <w:rFonts w:eastAsia="Calibri"/>
          <w:vertAlign w:val="subscript"/>
          <w:lang w:val="fr-FR"/>
        </w:rPr>
        <w:t>1</w:t>
      </w:r>
      <w:r w:rsidRPr="00AC2878">
        <w:rPr>
          <w:rFonts w:eastAsia="Calibri"/>
          <w:lang w:val="fr-FR"/>
        </w:rPr>
        <w:t xml:space="preserve"> et des véhicules de la catégorie N</w:t>
      </w:r>
      <w:r w:rsidRPr="00AC2878">
        <w:rPr>
          <w:rFonts w:eastAsia="Calibri"/>
          <w:vertAlign w:val="subscript"/>
          <w:lang w:val="fr-FR"/>
        </w:rPr>
        <w:t>1</w:t>
      </w:r>
      <w:r w:rsidRPr="00AC2878">
        <w:rPr>
          <w:rFonts w:eastAsia="Calibri"/>
          <w:lang w:val="fr-FR"/>
        </w:rPr>
        <w:t xml:space="preserve"> dont la masse maximale ne dépasse pas 2 t, en ce qui concerne leurs dispositifs d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immobilisation</w:t>
      </w:r>
      <w:r w:rsidRPr="00AC2878">
        <w:rPr>
          <w:rFonts w:eastAsia="Calibri"/>
          <w:sz w:val="18"/>
          <w:szCs w:val="18"/>
          <w:vertAlign w:val="superscript"/>
          <w:lang w:val="fr-FR"/>
        </w:rPr>
        <w:t>2</w:t>
      </w:r>
      <w:r w:rsidRPr="00AC2878">
        <w:rPr>
          <w:rFonts w:eastAsia="Calibri"/>
          <w:lang w:val="fr-FR"/>
        </w:rPr>
        <w:t>.</w:t>
      </w:r>
    </w:p>
    <w:p w14:paraId="32020846" w14:textId="77777777" w:rsidR="005A2AB0" w:rsidRPr="00AC2878" w:rsidRDefault="005A2AB0" w:rsidP="005A2AB0">
      <w:pPr>
        <w:pStyle w:val="SingleTxtG"/>
        <w:ind w:left="2268" w:hanging="1134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1.3</w:t>
      </w:r>
      <w:r w:rsidRPr="00AC2878">
        <w:rPr>
          <w:rFonts w:eastAsia="Calibri"/>
          <w:lang w:val="fr-FR"/>
        </w:rPr>
        <w:tab/>
        <w:t xml:space="preserve">À la demande du constructeur, les Parties </w:t>
      </w:r>
      <w:r w:rsidRPr="00B2102C">
        <w:rPr>
          <w:lang w:val="fr-FR"/>
        </w:rPr>
        <w:t>contractantes</w:t>
      </w:r>
      <w:r w:rsidRPr="00AC2878">
        <w:rPr>
          <w:rFonts w:eastAsia="Calibri"/>
          <w:lang w:val="fr-FR"/>
        </w:rPr>
        <w:t xml:space="preserve"> peuvent délivrer des homologations à des véhicules d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autres catégories en ce qui concerne leurs dispositifs d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immobilisation.</w:t>
      </w:r>
    </w:p>
    <w:p w14:paraId="130444D1" w14:textId="77777777" w:rsidR="005A2AB0" w:rsidRPr="00AC2878" w:rsidRDefault="005A2AB0" w:rsidP="005A2AB0">
      <w:pPr>
        <w:pStyle w:val="SingleTxtG"/>
        <w:ind w:left="2268" w:hanging="1134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1.4</w:t>
      </w:r>
      <w:r w:rsidRPr="00AC2878">
        <w:rPr>
          <w:rFonts w:eastAsia="Calibri"/>
          <w:lang w:val="fr-FR"/>
        </w:rPr>
        <w:tab/>
      </w:r>
      <w:r w:rsidRPr="00AC2878">
        <w:rPr>
          <w:rFonts w:eastAsia="Calibri"/>
          <w:lang w:val="fr-FR"/>
        </w:rPr>
        <w:tab/>
        <w:t xml:space="preserve">Le présent Règlement </w:t>
      </w:r>
      <w:r w:rsidRPr="00D96FC9">
        <w:rPr>
          <w:rFonts w:eastAsia="Calibri"/>
          <w:lang w:val="fr-FR"/>
        </w:rPr>
        <w:t xml:space="preserve">ONU </w:t>
      </w:r>
      <w:r w:rsidRPr="00AC2878">
        <w:rPr>
          <w:rFonts w:eastAsia="Calibri"/>
          <w:lang w:val="fr-FR"/>
        </w:rPr>
        <w:t xml:space="preserve">ne </w:t>
      </w:r>
      <w:r w:rsidRPr="00B2102C">
        <w:rPr>
          <w:lang w:val="fr-FR"/>
        </w:rPr>
        <w:t>s</w:t>
      </w:r>
      <w:r>
        <w:rPr>
          <w:lang w:val="fr-FR"/>
        </w:rPr>
        <w:t>’</w:t>
      </w:r>
      <w:r w:rsidRPr="00B2102C">
        <w:rPr>
          <w:lang w:val="fr-FR"/>
        </w:rPr>
        <w:t>applique</w:t>
      </w:r>
      <w:r w:rsidRPr="00AC2878">
        <w:rPr>
          <w:rFonts w:eastAsia="Calibri"/>
          <w:lang w:val="fr-FR"/>
        </w:rPr>
        <w:t xml:space="preserve"> pas aux fréquences de transmission radio, qu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elles soient ou non liées à la protection des véhicules automobiles contre une utilisation non autorisée. ».</w:t>
      </w:r>
    </w:p>
    <w:p w14:paraId="25D0C22C" w14:textId="77777777" w:rsidR="005A2AB0" w:rsidRPr="00AC2878" w:rsidRDefault="005A2AB0" w:rsidP="005A2AB0">
      <w:pPr>
        <w:pStyle w:val="SingleTxtG"/>
        <w:rPr>
          <w:lang w:val="fr-FR"/>
        </w:rPr>
      </w:pPr>
      <w:r w:rsidRPr="00B2102C">
        <w:rPr>
          <w:i/>
          <w:iCs/>
          <w:lang w:val="fr-FR"/>
        </w:rPr>
        <w:t>Annexe 6, paragraphe 1</w:t>
      </w:r>
      <w:r w:rsidRPr="00AC2878">
        <w:rPr>
          <w:lang w:val="fr-FR"/>
        </w:rPr>
        <w:t>, lire :</w:t>
      </w:r>
    </w:p>
    <w:p w14:paraId="54B5C6F5" w14:textId="77777777" w:rsidR="005A2AB0" w:rsidRPr="00AC2878" w:rsidRDefault="005A2AB0" w:rsidP="005A2AB0">
      <w:pPr>
        <w:pStyle w:val="SingleTxtG"/>
        <w:ind w:left="2268" w:hanging="1134"/>
        <w:rPr>
          <w:rFonts w:eastAsia="Calibri"/>
          <w:bCs/>
          <w:lang w:val="fr-FR"/>
        </w:rPr>
      </w:pPr>
      <w:r w:rsidRPr="00AC2878">
        <w:rPr>
          <w:rFonts w:eastAsia="Calibri"/>
          <w:lang w:val="fr-FR"/>
        </w:rPr>
        <w:t>« 1.</w:t>
      </w:r>
      <w:r w:rsidRPr="00AC2878">
        <w:rPr>
          <w:rFonts w:eastAsia="Calibri"/>
          <w:lang w:val="fr-FR"/>
        </w:rPr>
        <w:tab/>
        <w:t xml:space="preserve">Paramètres de </w:t>
      </w:r>
      <w:r w:rsidRPr="00B2102C">
        <w:rPr>
          <w:lang w:val="fr-FR"/>
        </w:rPr>
        <w:t>fonctionnement</w:t>
      </w:r>
    </w:p>
    <w:p w14:paraId="5C9E8EF3" w14:textId="77777777" w:rsidR="005A2AB0" w:rsidRPr="00AC2878" w:rsidRDefault="005A2AB0" w:rsidP="005A2AB0">
      <w:pPr>
        <w:pStyle w:val="SingleTxtG"/>
        <w:ind w:left="2268"/>
        <w:rPr>
          <w:rFonts w:eastAsia="Calibri"/>
          <w:bCs/>
          <w:lang w:val="fr-FR"/>
        </w:rPr>
      </w:pPr>
      <w:r w:rsidRPr="00D96FC9">
        <w:rPr>
          <w:rFonts w:eastAsia="Calibri"/>
          <w:lang w:val="fr-FR"/>
        </w:rPr>
        <w:t>L</w:t>
      </w:r>
      <w:r w:rsidRPr="00AC2878">
        <w:rPr>
          <w:rFonts w:eastAsia="Calibri"/>
          <w:lang w:val="fr-FR"/>
        </w:rPr>
        <w:t xml:space="preserve">es prescriptions </w:t>
      </w:r>
      <w:r w:rsidRPr="00D96FC9">
        <w:rPr>
          <w:rFonts w:eastAsia="Calibri"/>
          <w:lang w:val="fr-FR"/>
        </w:rPr>
        <w:t xml:space="preserve">ci-après </w:t>
      </w:r>
      <w:r w:rsidRPr="00AC2878">
        <w:rPr>
          <w:rFonts w:eastAsia="Calibri"/>
          <w:lang w:val="fr-FR"/>
        </w:rPr>
        <w:t>ne s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 xml:space="preserve">appliquent </w:t>
      </w:r>
      <w:r w:rsidRPr="00B2102C">
        <w:rPr>
          <w:lang w:val="fr-FR"/>
        </w:rPr>
        <w:t>pas</w:t>
      </w:r>
      <w:r w:rsidRPr="00AC2878">
        <w:rPr>
          <w:rFonts w:eastAsia="Calibri"/>
          <w:lang w:val="fr-FR"/>
        </w:rPr>
        <w:t> :</w:t>
      </w:r>
    </w:p>
    <w:p w14:paraId="49DEFA56" w14:textId="77777777" w:rsidR="005A2AB0" w:rsidRPr="00D96FC9" w:rsidRDefault="005A2AB0" w:rsidP="005A2AB0">
      <w:pPr>
        <w:pStyle w:val="SingleTxtG"/>
        <w:ind w:left="2835" w:hanging="567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a)</w:t>
      </w:r>
      <w:r w:rsidRPr="00AC2878">
        <w:rPr>
          <w:rFonts w:eastAsia="Calibri"/>
          <w:lang w:val="fr-FR"/>
        </w:rPr>
        <w:tab/>
      </w:r>
      <w:r w:rsidRPr="000B194C">
        <w:rPr>
          <w:rFonts w:eastAsia="Calibri"/>
          <w:spacing w:val="-2"/>
          <w:lang w:val="fr-FR"/>
        </w:rPr>
        <w:t>Aux éléments montés et mis à l</w:t>
      </w:r>
      <w:r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essai en tant qu</w:t>
      </w:r>
      <w:r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éléments du véhicule, que ce véhicule soit pourvu ou non d</w:t>
      </w:r>
      <w:r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un dispositif d</w:t>
      </w:r>
      <w:r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immobilisation (par exemple, lampes, système d</w:t>
      </w:r>
      <w:r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alarme ou dispositif d</w:t>
      </w:r>
      <w:r>
        <w:rPr>
          <w:rFonts w:eastAsia="Calibri"/>
          <w:spacing w:val="-2"/>
          <w:lang w:val="fr-FR"/>
        </w:rPr>
        <w:t>’</w:t>
      </w:r>
      <w:r w:rsidRPr="000B194C">
        <w:rPr>
          <w:rFonts w:eastAsia="Calibri"/>
          <w:spacing w:val="-2"/>
          <w:lang w:val="fr-FR"/>
        </w:rPr>
        <w:t>immobilisation) ;</w:t>
      </w:r>
    </w:p>
    <w:p w14:paraId="0A368AF7" w14:textId="77777777" w:rsidR="005A2AB0" w:rsidRPr="00AC2878" w:rsidRDefault="005A2AB0" w:rsidP="005A2AB0">
      <w:pPr>
        <w:pStyle w:val="SingleTxtG"/>
        <w:ind w:left="2835" w:hanging="567"/>
        <w:rPr>
          <w:rFonts w:eastAsia="Calibri"/>
          <w:b/>
          <w:lang w:val="fr-FR"/>
        </w:rPr>
      </w:pPr>
      <w:r w:rsidRPr="00AC2878">
        <w:rPr>
          <w:rFonts w:eastAsia="Calibri"/>
          <w:lang w:val="fr-FR"/>
        </w:rPr>
        <w:t>b)</w:t>
      </w:r>
      <w:r w:rsidRPr="00AC2878">
        <w:rPr>
          <w:rFonts w:eastAsia="Calibri"/>
          <w:lang w:val="fr-FR"/>
        </w:rPr>
        <w:tab/>
        <w:t xml:space="preserve">Aux éléments </w:t>
      </w:r>
      <w:r w:rsidRPr="00D96FC9">
        <w:rPr>
          <w:rFonts w:eastAsia="Calibri"/>
          <w:lang w:val="fr-FR"/>
        </w:rPr>
        <w:t>mis à l</w:t>
      </w:r>
      <w:r>
        <w:rPr>
          <w:rFonts w:eastAsia="Calibri"/>
          <w:lang w:val="fr-FR"/>
        </w:rPr>
        <w:t>’</w:t>
      </w:r>
      <w:r w:rsidRPr="00D96FC9">
        <w:rPr>
          <w:rFonts w:eastAsia="Calibri"/>
          <w:lang w:val="fr-FR"/>
        </w:rPr>
        <w:t>essai</w:t>
      </w:r>
      <w:r w:rsidRPr="00AC2878">
        <w:rPr>
          <w:rFonts w:eastAsia="Calibri"/>
          <w:lang w:val="fr-FR"/>
        </w:rPr>
        <w:t xml:space="preserve"> précédemment en tant qu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éléments du véhicule et pour lesquels des pièces justificatives ont été fournies ;</w:t>
      </w:r>
      <w:r>
        <w:rPr>
          <w:rFonts w:eastAsia="Calibri"/>
          <w:lang w:val="fr-FR"/>
        </w:rPr>
        <w:t xml:space="preserve"> ou</w:t>
      </w:r>
    </w:p>
    <w:p w14:paraId="697DD169" w14:textId="77777777" w:rsidR="005A2AB0" w:rsidRPr="00D96FC9" w:rsidRDefault="005A2AB0" w:rsidP="005A2AB0">
      <w:pPr>
        <w:pStyle w:val="SingleTxtG"/>
        <w:ind w:left="2835" w:hanging="567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c)</w:t>
      </w:r>
      <w:r w:rsidRPr="00AC2878">
        <w:rPr>
          <w:rFonts w:eastAsia="Calibri"/>
          <w:lang w:val="fr-FR"/>
        </w:rPr>
        <w:tab/>
        <w:t>Aux éléments qui ne font pas partie intégrante d</w:t>
      </w:r>
      <w:r>
        <w:rPr>
          <w:rFonts w:eastAsia="Calibri"/>
          <w:lang w:val="fr-FR"/>
        </w:rPr>
        <w:t>u</w:t>
      </w:r>
      <w:r w:rsidRPr="00AC2878">
        <w:rPr>
          <w:rFonts w:eastAsia="Calibri"/>
          <w:lang w:val="fr-FR"/>
        </w:rPr>
        <w:t xml:space="preserve"> véhicule, tels que les clefs.</w:t>
      </w:r>
    </w:p>
    <w:p w14:paraId="1AD7A561" w14:textId="77777777" w:rsidR="005A2AB0" w:rsidRDefault="005A2AB0" w:rsidP="005A2AB0">
      <w:pPr>
        <w:pStyle w:val="SingleTxtG"/>
        <w:ind w:left="2268"/>
        <w:rPr>
          <w:rFonts w:eastAsia="Calibri"/>
          <w:lang w:val="fr-FR"/>
        </w:rPr>
      </w:pPr>
      <w:r w:rsidRPr="00AC2878">
        <w:rPr>
          <w:rFonts w:eastAsia="Calibri"/>
          <w:lang w:val="fr-FR"/>
        </w:rPr>
        <w:t>Tous les éléments du dispositif d</w:t>
      </w:r>
      <w:r>
        <w:rPr>
          <w:rFonts w:eastAsia="Calibri"/>
          <w:lang w:val="fr-FR"/>
        </w:rPr>
        <w:t>’</w:t>
      </w:r>
      <w:r w:rsidRPr="00AC2878">
        <w:rPr>
          <w:rFonts w:eastAsia="Calibri"/>
          <w:lang w:val="fr-FR"/>
        </w:rPr>
        <w:t>immobilisation doivent fonctionner sans aucune défaillance dans les conditions suivantes : ».</w:t>
      </w:r>
    </w:p>
    <w:p w14:paraId="65576E17" w14:textId="375E0AB4" w:rsidR="00F9573C" w:rsidRPr="005A2AB0" w:rsidRDefault="005A2AB0" w:rsidP="005A2A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5A2AB0" w:rsidSect="005A2A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0A0F" w14:textId="77777777" w:rsidR="00FF1CB8" w:rsidRDefault="00FF1CB8" w:rsidP="00F95C08">
      <w:pPr>
        <w:spacing w:line="240" w:lineRule="auto"/>
      </w:pPr>
    </w:p>
  </w:endnote>
  <w:endnote w:type="continuationSeparator" w:id="0">
    <w:p w14:paraId="476BDC9D" w14:textId="77777777" w:rsidR="00FF1CB8" w:rsidRPr="00AC3823" w:rsidRDefault="00FF1CB8" w:rsidP="00AC3823">
      <w:pPr>
        <w:pStyle w:val="Pieddepage"/>
      </w:pPr>
    </w:p>
  </w:endnote>
  <w:endnote w:type="continuationNotice" w:id="1">
    <w:p w14:paraId="38C667C5" w14:textId="77777777" w:rsidR="00FF1CB8" w:rsidRDefault="00FF1C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93E5" w14:textId="40014206" w:rsidR="005A2AB0" w:rsidRPr="005A2AB0" w:rsidRDefault="005A2AB0" w:rsidP="005A2AB0">
    <w:pPr>
      <w:pStyle w:val="Pieddepage"/>
      <w:tabs>
        <w:tab w:val="right" w:pos="9638"/>
      </w:tabs>
    </w:pPr>
    <w:r w:rsidRPr="005A2AB0">
      <w:rPr>
        <w:b/>
        <w:sz w:val="18"/>
      </w:rPr>
      <w:fldChar w:fldCharType="begin"/>
    </w:r>
    <w:r w:rsidRPr="005A2AB0">
      <w:rPr>
        <w:b/>
        <w:sz w:val="18"/>
      </w:rPr>
      <w:instrText xml:space="preserve"> PAGE  \* MERGEFORMAT </w:instrText>
    </w:r>
    <w:r w:rsidRPr="005A2AB0">
      <w:rPr>
        <w:b/>
        <w:sz w:val="18"/>
      </w:rPr>
      <w:fldChar w:fldCharType="separate"/>
    </w:r>
    <w:r w:rsidRPr="005A2AB0">
      <w:rPr>
        <w:b/>
        <w:noProof/>
        <w:sz w:val="18"/>
      </w:rPr>
      <w:t>2</w:t>
    </w:r>
    <w:r w:rsidRPr="005A2AB0">
      <w:rPr>
        <w:b/>
        <w:sz w:val="18"/>
      </w:rPr>
      <w:fldChar w:fldCharType="end"/>
    </w:r>
    <w:r>
      <w:rPr>
        <w:b/>
        <w:sz w:val="18"/>
      </w:rPr>
      <w:tab/>
    </w:r>
    <w:r>
      <w:t>GE.22-16785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23C4" w14:textId="2FBC7FAA" w:rsidR="005A2AB0" w:rsidRPr="005A2AB0" w:rsidRDefault="005A2AB0" w:rsidP="005A2AB0">
    <w:pPr>
      <w:pStyle w:val="Pieddepage"/>
      <w:tabs>
        <w:tab w:val="right" w:pos="9638"/>
      </w:tabs>
      <w:rPr>
        <w:b/>
        <w:sz w:val="18"/>
      </w:rPr>
    </w:pPr>
    <w:r>
      <w:t>GE.22-16785</w:t>
    </w:r>
    <w:r>
      <w:tab/>
    </w:r>
    <w:r w:rsidRPr="005A2AB0">
      <w:rPr>
        <w:b/>
        <w:sz w:val="18"/>
      </w:rPr>
      <w:fldChar w:fldCharType="begin"/>
    </w:r>
    <w:r w:rsidRPr="005A2AB0">
      <w:rPr>
        <w:b/>
        <w:sz w:val="18"/>
      </w:rPr>
      <w:instrText xml:space="preserve"> PAGE  \* MERGEFORMAT </w:instrText>
    </w:r>
    <w:r w:rsidRPr="005A2AB0">
      <w:rPr>
        <w:b/>
        <w:sz w:val="18"/>
      </w:rPr>
      <w:fldChar w:fldCharType="separate"/>
    </w:r>
    <w:r w:rsidRPr="005A2AB0">
      <w:rPr>
        <w:b/>
        <w:noProof/>
        <w:sz w:val="18"/>
      </w:rPr>
      <w:t>3</w:t>
    </w:r>
    <w:r w:rsidRPr="005A2A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207A" w14:textId="2D913AB5" w:rsidR="007F20FA" w:rsidRPr="005A2AB0" w:rsidRDefault="005A2AB0" w:rsidP="005A2AB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4CAA612" wp14:editId="6A61D10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22-16785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F9BB6A0" wp14:editId="02035C0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281122    281122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3F21" w14:textId="77777777" w:rsidR="00FF1CB8" w:rsidRPr="00AC3823" w:rsidRDefault="00FF1C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8705C2" w14:textId="77777777" w:rsidR="00FF1CB8" w:rsidRPr="00AC3823" w:rsidRDefault="00FF1CB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D292C5" w14:textId="77777777" w:rsidR="00FF1CB8" w:rsidRPr="00AC3823" w:rsidRDefault="00FF1CB8">
      <w:pPr>
        <w:spacing w:line="240" w:lineRule="auto"/>
        <w:rPr>
          <w:sz w:val="2"/>
          <w:szCs w:val="2"/>
        </w:rPr>
      </w:pPr>
    </w:p>
  </w:footnote>
  <w:footnote w:id="2">
    <w:p w14:paraId="63024C8C" w14:textId="77777777" w:rsidR="005A2AB0" w:rsidRPr="00B2102C" w:rsidRDefault="005A2AB0" w:rsidP="005A2AB0">
      <w:pPr>
        <w:pStyle w:val="Notedebasdepage"/>
      </w:pPr>
      <w:r>
        <w:rPr>
          <w:rStyle w:val="Appelnotedebasdep"/>
        </w:rPr>
        <w:tab/>
      </w:r>
      <w:r w:rsidRPr="00B2102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56E2" w14:textId="24FD8D2D" w:rsidR="005A2AB0" w:rsidRPr="005A2AB0" w:rsidRDefault="005A2AB0">
    <w:pPr>
      <w:pStyle w:val="En-tte"/>
    </w:pPr>
    <w:fldSimple w:instr=" TITLE  \* MERGEFORMAT ">
      <w:r>
        <w:t>ECE/TRANS/WP.29/2022/126/Rev.1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1513" w14:textId="0293AC2D" w:rsidR="005A2AB0" w:rsidRPr="005A2AB0" w:rsidRDefault="005A2AB0" w:rsidP="005A2AB0">
    <w:pPr>
      <w:pStyle w:val="En-tte"/>
      <w:jc w:val="right"/>
    </w:pPr>
    <w:fldSimple w:instr=" TITLE  \* MERGEFORMAT ">
      <w:r>
        <w:t>ECE/TRANS/WP.29/2022/126/Rev.1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A2AB0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570E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C4408"/>
  <w15:docId w15:val="{1BAC3A06-FDCE-42B5-BA24-FB92BCE2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02067-A4BD-406C-87D0-B6E3EB116980}"/>
</file>

<file path=customXml/itemProps2.xml><?xml version="1.0" encoding="utf-8"?>
<ds:datastoreItem xmlns:ds="http://schemas.openxmlformats.org/officeDocument/2006/customXml" ds:itemID="{8A78ADEF-C3C6-4039-8E69-2A4F16114CFB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321</Words>
  <Characters>2249</Characters>
  <Application>Microsoft Office Word</Application>
  <DocSecurity>0</DocSecurity>
  <Lines>187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ECE/TRANS/WP.29/2022/126/Rev.1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2022-11-28T11:07:00Z</dcterms:created>
  <dcterms:modified xsi:type="dcterms:W3CDTF">2022-11-28T11:07:00Z</dcterms:modified>
</cp:coreProperties>
</file>