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C29A667" w14:textId="77777777" w:rsidTr="00387CD4">
        <w:trPr>
          <w:trHeight w:hRule="exact" w:val="851"/>
        </w:trPr>
        <w:tc>
          <w:tcPr>
            <w:tcW w:w="142" w:type="dxa"/>
            <w:tcBorders>
              <w:bottom w:val="single" w:sz="4" w:space="0" w:color="auto"/>
            </w:tcBorders>
          </w:tcPr>
          <w:p w14:paraId="55BCFD96" w14:textId="77777777" w:rsidR="002D5AAC" w:rsidRDefault="002D5AAC" w:rsidP="00F43A67">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E595575"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4304DE8" w14:textId="48CFDD14" w:rsidR="002D5AAC" w:rsidRDefault="00F43A67" w:rsidP="00F43A67">
            <w:pPr>
              <w:jc w:val="right"/>
            </w:pPr>
            <w:r w:rsidRPr="00F43A67">
              <w:rPr>
                <w:sz w:val="40"/>
              </w:rPr>
              <w:t>ECE</w:t>
            </w:r>
            <w:r>
              <w:t>/TRANS/WP.15/AC.2/2023/26</w:t>
            </w:r>
          </w:p>
        </w:tc>
      </w:tr>
      <w:tr w:rsidR="002D5AAC" w14:paraId="3DA1C748" w14:textId="77777777" w:rsidTr="00387CD4">
        <w:trPr>
          <w:trHeight w:hRule="exact" w:val="2835"/>
        </w:trPr>
        <w:tc>
          <w:tcPr>
            <w:tcW w:w="1280" w:type="dxa"/>
            <w:gridSpan w:val="2"/>
            <w:tcBorders>
              <w:top w:val="single" w:sz="4" w:space="0" w:color="auto"/>
              <w:bottom w:val="single" w:sz="12" w:space="0" w:color="auto"/>
            </w:tcBorders>
          </w:tcPr>
          <w:p w14:paraId="44E1B78D" w14:textId="77777777" w:rsidR="002D5AAC" w:rsidRDefault="002E5067" w:rsidP="00387CD4">
            <w:pPr>
              <w:spacing w:before="120"/>
              <w:jc w:val="center"/>
            </w:pPr>
            <w:r>
              <w:rPr>
                <w:noProof/>
                <w:lang w:val="fr-CH" w:eastAsia="fr-CH"/>
              </w:rPr>
              <w:drawing>
                <wp:inline distT="0" distB="0" distL="0" distR="0" wp14:anchorId="15F9F044" wp14:editId="30832CA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24B78E9"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831415A" w14:textId="77777777" w:rsidR="002D5AAC" w:rsidRDefault="00F43A67" w:rsidP="00387CD4">
            <w:pPr>
              <w:spacing w:before="240"/>
              <w:rPr>
                <w:lang w:val="en-US"/>
              </w:rPr>
            </w:pPr>
            <w:r>
              <w:rPr>
                <w:lang w:val="en-US"/>
              </w:rPr>
              <w:t>Distr.: General</w:t>
            </w:r>
          </w:p>
          <w:p w14:paraId="53F1033A" w14:textId="77777777" w:rsidR="00F43A67" w:rsidRDefault="00F43A67" w:rsidP="00F43A67">
            <w:pPr>
              <w:spacing w:line="240" w:lineRule="exact"/>
              <w:rPr>
                <w:lang w:val="en-US"/>
              </w:rPr>
            </w:pPr>
            <w:r>
              <w:rPr>
                <w:lang w:val="en-US"/>
              </w:rPr>
              <w:t>17 May 2023</w:t>
            </w:r>
          </w:p>
          <w:p w14:paraId="7BB06C00" w14:textId="77777777" w:rsidR="00F43A67" w:rsidRDefault="00F43A67" w:rsidP="00F43A67">
            <w:pPr>
              <w:spacing w:line="240" w:lineRule="exact"/>
              <w:rPr>
                <w:lang w:val="en-US"/>
              </w:rPr>
            </w:pPr>
            <w:r>
              <w:rPr>
                <w:lang w:val="en-US"/>
              </w:rPr>
              <w:t>Russian</w:t>
            </w:r>
          </w:p>
          <w:p w14:paraId="446A5092" w14:textId="4B31698A" w:rsidR="00F43A67" w:rsidRPr="008D53B6" w:rsidRDefault="00F43A67" w:rsidP="00F43A67">
            <w:pPr>
              <w:spacing w:line="240" w:lineRule="exact"/>
              <w:rPr>
                <w:lang w:val="en-US"/>
              </w:rPr>
            </w:pPr>
            <w:r>
              <w:rPr>
                <w:lang w:val="en-US"/>
              </w:rPr>
              <w:t>Original: French</w:t>
            </w:r>
          </w:p>
        </w:tc>
      </w:tr>
    </w:tbl>
    <w:p w14:paraId="0266F19F"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2B724110" w14:textId="77777777" w:rsidR="00F43A67" w:rsidRPr="00F43A67" w:rsidRDefault="00F43A67" w:rsidP="00F43A67">
      <w:pPr>
        <w:spacing w:before="120"/>
        <w:rPr>
          <w:sz w:val="28"/>
          <w:szCs w:val="28"/>
        </w:rPr>
      </w:pPr>
      <w:r w:rsidRPr="00F43A67">
        <w:rPr>
          <w:sz w:val="28"/>
          <w:szCs w:val="28"/>
        </w:rPr>
        <w:t>Комитет по внутреннему транспорту</w:t>
      </w:r>
    </w:p>
    <w:p w14:paraId="5936BEAE" w14:textId="77777777" w:rsidR="00F43A67" w:rsidRPr="00F43A67" w:rsidRDefault="00F43A67" w:rsidP="00F43A67">
      <w:pPr>
        <w:spacing w:before="120"/>
        <w:rPr>
          <w:b/>
          <w:sz w:val="24"/>
          <w:szCs w:val="24"/>
        </w:rPr>
      </w:pPr>
      <w:r w:rsidRPr="00F43A67">
        <w:rPr>
          <w:b/>
          <w:bCs/>
          <w:sz w:val="24"/>
          <w:szCs w:val="24"/>
        </w:rPr>
        <w:t>Рабочая группа по перевозкам опасных грузов</w:t>
      </w:r>
    </w:p>
    <w:p w14:paraId="243DF812" w14:textId="789ACBFB" w:rsidR="00F43A67" w:rsidRPr="004812F5" w:rsidRDefault="00F43A67" w:rsidP="00F43A67">
      <w:pPr>
        <w:spacing w:before="120"/>
        <w:rPr>
          <w:b/>
        </w:rPr>
      </w:pPr>
      <w:r>
        <w:rPr>
          <w:b/>
          <w:bCs/>
        </w:rPr>
        <w:t xml:space="preserve">Совместное совещание экспертов по Правилам, </w:t>
      </w:r>
      <w:r>
        <w:rPr>
          <w:b/>
          <w:bCs/>
        </w:rPr>
        <w:br/>
      </w:r>
      <w:r>
        <w:rPr>
          <w:b/>
          <w:bCs/>
        </w:rPr>
        <w:t xml:space="preserve">прилагаемым к Европейскому соглашению </w:t>
      </w:r>
      <w:r>
        <w:rPr>
          <w:b/>
          <w:bCs/>
        </w:rPr>
        <w:br/>
      </w:r>
      <w:r>
        <w:rPr>
          <w:b/>
          <w:bCs/>
        </w:rPr>
        <w:t xml:space="preserve">о международной перевозке опасных грузов </w:t>
      </w:r>
      <w:r>
        <w:rPr>
          <w:b/>
          <w:bCs/>
        </w:rPr>
        <w:br/>
      </w:r>
      <w:r>
        <w:rPr>
          <w:b/>
          <w:bCs/>
        </w:rPr>
        <w:t xml:space="preserve">по внутренним водным путям (ВОПОГ) </w:t>
      </w:r>
      <w:r>
        <w:rPr>
          <w:b/>
          <w:bCs/>
        </w:rPr>
        <w:br/>
      </w:r>
      <w:r>
        <w:rPr>
          <w:b/>
          <w:bCs/>
        </w:rPr>
        <w:t>(Комитет по вопросам безопасности ВОПОГ)</w:t>
      </w:r>
    </w:p>
    <w:p w14:paraId="7862A2BA" w14:textId="77777777" w:rsidR="00F43A67" w:rsidRPr="007D74FC" w:rsidRDefault="00F43A67" w:rsidP="00F43A67">
      <w:pPr>
        <w:spacing w:before="120"/>
        <w:rPr>
          <w:b/>
        </w:rPr>
      </w:pPr>
      <w:r>
        <w:rPr>
          <w:b/>
          <w:bCs/>
        </w:rPr>
        <w:t>Сорок вторая сессия</w:t>
      </w:r>
    </w:p>
    <w:p w14:paraId="7B09B1C1" w14:textId="35AF0719" w:rsidR="00F43A67" w:rsidRPr="007D74FC" w:rsidRDefault="00F43A67" w:rsidP="00F43A67">
      <w:r>
        <w:t>Женева, 21</w:t>
      </w:r>
      <w:r w:rsidR="00383F7D">
        <w:rPr>
          <w:lang w:val="en-US"/>
        </w:rPr>
        <w:t>–</w:t>
      </w:r>
      <w:r>
        <w:t>25 августа 2023 года</w:t>
      </w:r>
    </w:p>
    <w:p w14:paraId="3DF52071" w14:textId="77777777" w:rsidR="00F43A67" w:rsidRPr="007D74FC" w:rsidRDefault="00F43A67" w:rsidP="00F43A67">
      <w:r>
        <w:t>Пункт 4 b) предварительной повестки дня</w:t>
      </w:r>
    </w:p>
    <w:p w14:paraId="5BCFE6A4" w14:textId="1B5F8F1D" w:rsidR="00F43A67" w:rsidRPr="007D74FC" w:rsidRDefault="00F43A67" w:rsidP="00F43A67">
      <w:pPr>
        <w:rPr>
          <w:b/>
          <w:bCs/>
        </w:rPr>
      </w:pPr>
      <w:r>
        <w:rPr>
          <w:b/>
          <w:bCs/>
        </w:rPr>
        <w:t xml:space="preserve">Предложения о внесении поправок </w:t>
      </w:r>
      <w:r w:rsidR="00383F7D">
        <w:rPr>
          <w:b/>
          <w:bCs/>
        </w:rPr>
        <w:br/>
      </w:r>
      <w:r>
        <w:rPr>
          <w:b/>
          <w:bCs/>
        </w:rPr>
        <w:t>в Правила, прилагаемые к ВОПОГ:</w:t>
      </w:r>
      <w:r w:rsidR="00383F7D" w:rsidRPr="00383F7D">
        <w:rPr>
          <w:b/>
          <w:bCs/>
        </w:rPr>
        <w:t xml:space="preserve"> </w:t>
      </w:r>
      <w:r w:rsidR="00383F7D">
        <w:rPr>
          <w:b/>
          <w:bCs/>
        </w:rPr>
        <w:br/>
      </w:r>
      <w:r>
        <w:rPr>
          <w:b/>
          <w:bCs/>
        </w:rPr>
        <w:t>другие предложения</w:t>
      </w:r>
    </w:p>
    <w:p w14:paraId="51D008E7" w14:textId="5102A1E9" w:rsidR="00F43A67" w:rsidRPr="007D74FC" w:rsidRDefault="00383F7D" w:rsidP="00F43A67">
      <w:pPr>
        <w:pStyle w:val="HChG"/>
      </w:pPr>
      <w:r>
        <w:rPr>
          <w:bCs/>
        </w:rPr>
        <w:tab/>
      </w:r>
      <w:r>
        <w:rPr>
          <w:bCs/>
        </w:rPr>
        <w:tab/>
      </w:r>
      <w:r w:rsidR="00F43A67">
        <w:rPr>
          <w:bCs/>
        </w:rPr>
        <w:t>Пункт 8.1.6.2</w:t>
      </w:r>
      <w:r w:rsidR="00F43A67">
        <w:t xml:space="preserve"> </w:t>
      </w:r>
      <w:r w:rsidR="00F43A67">
        <w:rPr>
          <w:bCs/>
        </w:rPr>
        <w:t>ВОПОГ: проверка и осмотр оборудования</w:t>
      </w:r>
      <w:r>
        <w:rPr>
          <w:bCs/>
          <w:lang w:val="en-US"/>
        </w:rPr>
        <w:t> </w:t>
      </w:r>
      <w:r w:rsidRPr="00383F7D">
        <w:rPr>
          <w:bCs/>
        </w:rPr>
        <w:t>—</w:t>
      </w:r>
      <w:r>
        <w:rPr>
          <w:bCs/>
          <w:lang w:val="en-US"/>
        </w:rPr>
        <w:t> </w:t>
      </w:r>
      <w:r w:rsidR="00F43A67">
        <w:rPr>
          <w:bCs/>
        </w:rPr>
        <w:t>шланги в сборе</w:t>
      </w:r>
    </w:p>
    <w:p w14:paraId="34F27244" w14:textId="7671DDC6" w:rsidR="00F43A67" w:rsidRPr="007D74FC" w:rsidRDefault="00F43A67" w:rsidP="00F43A67">
      <w:pPr>
        <w:pStyle w:val="H1G"/>
        <w:rPr>
          <w:rFonts w:eastAsia="Calibri"/>
        </w:rPr>
      </w:pPr>
      <w:r>
        <w:tab/>
      </w:r>
      <w:r>
        <w:tab/>
      </w:r>
      <w:r>
        <w:rPr>
          <w:bCs/>
        </w:rPr>
        <w:t>Передано правительством Германии</w:t>
      </w:r>
      <w:r w:rsidRPr="00E209CB">
        <w:rPr>
          <w:rFonts w:eastAsia="Calibri"/>
          <w:b w:val="0"/>
          <w:bCs/>
          <w:sz w:val="20"/>
        </w:rPr>
        <w:footnoteReference w:customMarkFollows="1" w:id="1"/>
        <w:t>*</w:t>
      </w:r>
      <w:r w:rsidR="00E209CB">
        <w:rPr>
          <w:b w:val="0"/>
          <w:bCs/>
          <w:sz w:val="20"/>
          <w:vertAlign w:val="superscript"/>
          <w:lang w:val="en-US"/>
        </w:rPr>
        <w:t xml:space="preserve"> </w:t>
      </w:r>
      <w:r w:rsidRPr="00E209CB">
        <w:rPr>
          <w:rFonts w:eastAsia="Calibri"/>
          <w:b w:val="0"/>
          <w:bCs/>
          <w:sz w:val="20"/>
        </w:rPr>
        <w:footnoteReference w:customMarkFollows="1" w:id="2"/>
        <w:t>**</w:t>
      </w:r>
      <w:r w:rsidRPr="00E209CB">
        <w:rPr>
          <w:b w:val="0"/>
          <w:bCs/>
          <w:sz w:val="20"/>
        </w:rPr>
        <w:t xml:space="preserve"> </w:t>
      </w:r>
    </w:p>
    <w:p w14:paraId="54166734" w14:textId="77777777" w:rsidR="00F43A67" w:rsidRPr="007D74FC" w:rsidRDefault="00F43A67" w:rsidP="00F43A67">
      <w:pPr>
        <w:pStyle w:val="HChG"/>
        <w:rPr>
          <w:snapToGrid w:val="0"/>
        </w:rPr>
      </w:pPr>
      <w:r>
        <w:tab/>
      </w:r>
      <w:r>
        <w:tab/>
      </w:r>
      <w:r>
        <w:rPr>
          <w:bCs/>
        </w:rPr>
        <w:t>Введение</w:t>
      </w:r>
    </w:p>
    <w:p w14:paraId="7A82212F" w14:textId="69B40D0C" w:rsidR="00F43A67" w:rsidRPr="007D74FC" w:rsidRDefault="00F43A67" w:rsidP="00F43A67">
      <w:pPr>
        <w:pStyle w:val="SingleTxtG"/>
        <w:rPr>
          <w:snapToGrid w:val="0"/>
        </w:rPr>
      </w:pPr>
      <w:r>
        <w:t>1.</w:t>
      </w:r>
      <w:r>
        <w:tab/>
        <w:t>В пункте 8.1.6.2 с 1 января 2023 года в первом предложении упоминается, в</w:t>
      </w:r>
      <w:r w:rsidR="0031677B">
        <w:t> </w:t>
      </w:r>
      <w:r>
        <w:t>частности, стандарт ISO 13765:2018:</w:t>
      </w:r>
    </w:p>
    <w:p w14:paraId="6D400C78" w14:textId="57B6E75D" w:rsidR="00F43A67" w:rsidRPr="005E6F5C" w:rsidRDefault="0085065F" w:rsidP="00F43A67">
      <w:pPr>
        <w:pStyle w:val="SingleTxtG"/>
        <w:ind w:left="1701"/>
        <w:rPr>
          <w:snapToGrid w:val="0"/>
        </w:rPr>
      </w:pPr>
      <w:r>
        <w:t>«</w:t>
      </w:r>
      <w:r w:rsidR="00F43A67">
        <w:t>[...] ISO 13765:2018 (Термопластические многослойные (</w:t>
      </w:r>
      <w:proofErr w:type="spellStart"/>
      <w:r w:rsidR="00F43A67">
        <w:t>невулканизированные</w:t>
      </w:r>
      <w:proofErr w:type="spellEnd"/>
      <w:r w:rsidR="00F43A67">
        <w:t>) шланги и шланги в сборе) [...]</w:t>
      </w:r>
      <w:r>
        <w:t>»</w:t>
      </w:r>
      <w:r w:rsidR="00F43A67">
        <w:t>.</w:t>
      </w:r>
    </w:p>
    <w:p w14:paraId="4D2B564C" w14:textId="77777777" w:rsidR="00F43A67" w:rsidRPr="007D74FC" w:rsidRDefault="00F43A67" w:rsidP="00F43A67">
      <w:pPr>
        <w:pStyle w:val="SingleTxtG"/>
        <w:rPr>
          <w:snapToGrid w:val="0"/>
        </w:rPr>
      </w:pPr>
      <w:r>
        <w:t>2.</w:t>
      </w:r>
      <w:r>
        <w:tab/>
        <w:t>Однако во втором предложении содержится ссылка на стандарт EN с тем же номером.</w:t>
      </w:r>
    </w:p>
    <w:p w14:paraId="129A8172" w14:textId="1ED6B839" w:rsidR="00F43A67" w:rsidRPr="007D74FC" w:rsidRDefault="00F43A67" w:rsidP="00F43A67">
      <w:pPr>
        <w:pStyle w:val="SingleTxtG"/>
        <w:rPr>
          <w:snapToGrid w:val="0"/>
        </w:rPr>
      </w:pPr>
      <w:r>
        <w:t>3.</w:t>
      </w:r>
      <w:r>
        <w:tab/>
        <w:t>Первое предложение содержит редакционную ошибку, которая была привнесена с поправкой, предложенной делегацией Германии (документ ECE/TRANS/WP.15/AC.2/2022/4 от 10 ноября 2021 года, пункт 103). Упомянутый в нем стандарт ISO 13765 касается огнеупорных мертелей и не имеет отношения к ВОПОГ, тогда как стандарт EN 13765 распространяется на термопластические шланги и шланги в сборе.</w:t>
      </w:r>
    </w:p>
    <w:p w14:paraId="4C64B21A" w14:textId="369B82A7" w:rsidR="00F43A67" w:rsidRPr="007D74FC" w:rsidRDefault="00F43A67" w:rsidP="00F43A67">
      <w:pPr>
        <w:pStyle w:val="SingleTxtG"/>
        <w:rPr>
          <w:snapToGrid w:val="0"/>
        </w:rPr>
      </w:pPr>
      <w:r>
        <w:lastRenderedPageBreak/>
        <w:t>4.</w:t>
      </w:r>
      <w:r>
        <w:tab/>
        <w:t xml:space="preserve">В пункте 1.6.7.2.2.2 в соответствующем переходном положении для 8.1.6.2 указано </w:t>
      </w:r>
      <w:r w:rsidR="00230808">
        <w:t>«</w:t>
      </w:r>
      <w:r>
        <w:t>EN ISO 13765:2018</w:t>
      </w:r>
      <w:r w:rsidR="00230808">
        <w:t>»</w:t>
      </w:r>
      <w:r>
        <w:t>. Стандартов EN и ISO 13765 с аналогичным содержанием не существует.</w:t>
      </w:r>
    </w:p>
    <w:p w14:paraId="4E11786B" w14:textId="77777777" w:rsidR="00F43A67" w:rsidRPr="007D74FC" w:rsidRDefault="00F43A67" w:rsidP="00F43A67">
      <w:pPr>
        <w:pStyle w:val="HChG"/>
        <w:rPr>
          <w:snapToGrid w:val="0"/>
        </w:rPr>
      </w:pPr>
      <w:r>
        <w:tab/>
      </w:r>
      <w:r>
        <w:tab/>
      </w:r>
      <w:r>
        <w:rPr>
          <w:bCs/>
        </w:rPr>
        <w:t>Предложение о поправке</w:t>
      </w:r>
    </w:p>
    <w:p w14:paraId="0F458D12" w14:textId="20DE52D4" w:rsidR="00F43A67" w:rsidRPr="007D74FC" w:rsidRDefault="00F43A67" w:rsidP="00F43A67">
      <w:pPr>
        <w:pStyle w:val="SingleTxtG"/>
      </w:pPr>
      <w:r>
        <w:t>5.</w:t>
      </w:r>
      <w:r>
        <w:tab/>
        <w:t xml:space="preserve">В пункте 8.1.6.2, первое предложение, заменить </w:t>
      </w:r>
      <w:r w:rsidR="008D06BD">
        <w:t>«</w:t>
      </w:r>
      <w:r>
        <w:t>ISO</w:t>
      </w:r>
      <w:r w:rsidR="00725C2C">
        <w:t> </w:t>
      </w:r>
      <w:r>
        <w:t>13765:2018</w:t>
      </w:r>
      <w:r w:rsidR="008D06BD">
        <w:t>»</w:t>
      </w:r>
      <w:r>
        <w:t xml:space="preserve"> на </w:t>
      </w:r>
      <w:r w:rsidR="002723E6">
        <w:t>«</w:t>
      </w:r>
      <w:r>
        <w:t>EN</w:t>
      </w:r>
      <w:r w:rsidR="002723E6">
        <w:t> </w:t>
      </w:r>
      <w:r>
        <w:t>13765:2018</w:t>
      </w:r>
      <w:r w:rsidR="002723E6">
        <w:t>»</w:t>
      </w:r>
      <w:r>
        <w:t>.</w:t>
      </w:r>
    </w:p>
    <w:p w14:paraId="7A41AA1A" w14:textId="02585B8B" w:rsidR="00F43A67" w:rsidRPr="007D74FC" w:rsidRDefault="00F43A67" w:rsidP="00F43A67">
      <w:pPr>
        <w:pStyle w:val="SingleTxtG"/>
      </w:pPr>
      <w:r>
        <w:t>6.</w:t>
      </w:r>
      <w:r>
        <w:tab/>
        <w:t xml:space="preserve">В пункте 1.6.7.2.2.2 в строке для 8.1.6.2, второй столбец, заменить </w:t>
      </w:r>
      <w:r w:rsidR="005B43E6">
        <w:br/>
      </w:r>
      <w:r w:rsidR="002723E6">
        <w:t>«</w:t>
      </w:r>
      <w:r>
        <w:t>EN ISO 13765:2018</w:t>
      </w:r>
      <w:r w:rsidR="002723E6">
        <w:t>»</w:t>
      </w:r>
      <w:r>
        <w:t xml:space="preserve"> на </w:t>
      </w:r>
      <w:r w:rsidR="002723E6">
        <w:t>«</w:t>
      </w:r>
      <w:r>
        <w:t>EN 13765:2018</w:t>
      </w:r>
      <w:r w:rsidR="002723E6">
        <w:t>»</w:t>
      </w:r>
      <w:r>
        <w:t>.</w:t>
      </w:r>
    </w:p>
    <w:p w14:paraId="44279AFC" w14:textId="77777777" w:rsidR="00F43A67" w:rsidRPr="007D74FC" w:rsidRDefault="00F43A67" w:rsidP="00F43A67">
      <w:pPr>
        <w:spacing w:before="240"/>
        <w:jc w:val="center"/>
        <w:rPr>
          <w:u w:val="single"/>
        </w:rPr>
      </w:pPr>
      <w:r w:rsidRPr="007D74FC">
        <w:rPr>
          <w:u w:val="single"/>
        </w:rPr>
        <w:tab/>
      </w:r>
      <w:r w:rsidRPr="007D74FC">
        <w:rPr>
          <w:u w:val="single"/>
        </w:rPr>
        <w:tab/>
      </w:r>
      <w:r w:rsidRPr="007D74FC">
        <w:rPr>
          <w:u w:val="single"/>
        </w:rPr>
        <w:tab/>
      </w:r>
    </w:p>
    <w:sectPr w:rsidR="00F43A67" w:rsidRPr="007D74FC" w:rsidSect="00F43A6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AF8FF" w14:textId="77777777" w:rsidR="003D66B1" w:rsidRPr="00A312BC" w:rsidRDefault="003D66B1" w:rsidP="00A312BC"/>
  </w:endnote>
  <w:endnote w:type="continuationSeparator" w:id="0">
    <w:p w14:paraId="5C61E577" w14:textId="77777777" w:rsidR="003D66B1" w:rsidRPr="00A312BC" w:rsidRDefault="003D66B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AA3A" w14:textId="72D1C1C4" w:rsidR="00F43A67" w:rsidRPr="00F43A67" w:rsidRDefault="00F43A67">
    <w:pPr>
      <w:pStyle w:val="a8"/>
    </w:pPr>
    <w:r w:rsidRPr="00F43A67">
      <w:rPr>
        <w:b/>
        <w:sz w:val="18"/>
      </w:rPr>
      <w:fldChar w:fldCharType="begin"/>
    </w:r>
    <w:r w:rsidRPr="00F43A67">
      <w:rPr>
        <w:b/>
        <w:sz w:val="18"/>
      </w:rPr>
      <w:instrText xml:space="preserve"> PAGE  \* MERGEFORMAT </w:instrText>
    </w:r>
    <w:r w:rsidRPr="00F43A67">
      <w:rPr>
        <w:b/>
        <w:sz w:val="18"/>
      </w:rPr>
      <w:fldChar w:fldCharType="separate"/>
    </w:r>
    <w:r w:rsidRPr="00F43A67">
      <w:rPr>
        <w:b/>
        <w:noProof/>
        <w:sz w:val="18"/>
      </w:rPr>
      <w:t>2</w:t>
    </w:r>
    <w:r w:rsidRPr="00F43A67">
      <w:rPr>
        <w:b/>
        <w:sz w:val="18"/>
      </w:rPr>
      <w:fldChar w:fldCharType="end"/>
    </w:r>
    <w:r>
      <w:rPr>
        <w:b/>
        <w:sz w:val="18"/>
      </w:rPr>
      <w:tab/>
    </w:r>
    <w:r>
      <w:t>GE.23-09425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A7AB" w14:textId="78991199" w:rsidR="00F43A67" w:rsidRPr="00F43A67" w:rsidRDefault="00F43A67" w:rsidP="00F43A67">
    <w:pPr>
      <w:pStyle w:val="a8"/>
      <w:tabs>
        <w:tab w:val="clear" w:pos="9639"/>
        <w:tab w:val="right" w:pos="9638"/>
      </w:tabs>
      <w:rPr>
        <w:b/>
        <w:sz w:val="18"/>
      </w:rPr>
    </w:pPr>
    <w:r>
      <w:t>GE.23-09425</w:t>
    </w:r>
    <w:r>
      <w:tab/>
    </w:r>
    <w:r w:rsidRPr="00F43A67">
      <w:rPr>
        <w:b/>
        <w:sz w:val="18"/>
      </w:rPr>
      <w:fldChar w:fldCharType="begin"/>
    </w:r>
    <w:r w:rsidRPr="00F43A67">
      <w:rPr>
        <w:b/>
        <w:sz w:val="18"/>
      </w:rPr>
      <w:instrText xml:space="preserve"> PAGE  \* MERGEFORMAT </w:instrText>
    </w:r>
    <w:r w:rsidRPr="00F43A67">
      <w:rPr>
        <w:b/>
        <w:sz w:val="18"/>
      </w:rPr>
      <w:fldChar w:fldCharType="separate"/>
    </w:r>
    <w:r w:rsidRPr="00F43A67">
      <w:rPr>
        <w:b/>
        <w:noProof/>
        <w:sz w:val="18"/>
      </w:rPr>
      <w:t>3</w:t>
    </w:r>
    <w:r w:rsidRPr="00F43A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F4E1" w14:textId="6DBDF398" w:rsidR="00042B72" w:rsidRPr="00F43A67" w:rsidRDefault="00F43A67" w:rsidP="00F43A67">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2D26498" wp14:editId="645ED81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w:t>
    </w:r>
    <w:proofErr w:type="gramStart"/>
    <w:r>
      <w:t>09425  (</w:t>
    </w:r>
    <w:proofErr w:type="gramEnd"/>
    <w:r>
      <w:t>R)</w:t>
    </w:r>
    <w:r>
      <w:rPr>
        <w:noProof/>
      </w:rPr>
      <w:drawing>
        <wp:anchor distT="0" distB="0" distL="114300" distR="114300" simplePos="0" relativeHeight="251659264" behindDoc="0" locked="0" layoutInCell="1" allowOverlap="1" wp14:anchorId="28EAACFA" wp14:editId="18BE8701">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060623  090623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5F018" w14:textId="77777777" w:rsidR="003D66B1" w:rsidRPr="001075E9" w:rsidRDefault="003D66B1" w:rsidP="001075E9">
      <w:pPr>
        <w:tabs>
          <w:tab w:val="right" w:pos="2155"/>
        </w:tabs>
        <w:spacing w:after="80" w:line="240" w:lineRule="auto"/>
        <w:ind w:left="680"/>
        <w:rPr>
          <w:u w:val="single"/>
        </w:rPr>
      </w:pPr>
      <w:r>
        <w:rPr>
          <w:u w:val="single"/>
        </w:rPr>
        <w:tab/>
      </w:r>
    </w:p>
  </w:footnote>
  <w:footnote w:type="continuationSeparator" w:id="0">
    <w:p w14:paraId="30E502CE" w14:textId="77777777" w:rsidR="003D66B1" w:rsidRDefault="003D66B1" w:rsidP="00407B78">
      <w:pPr>
        <w:tabs>
          <w:tab w:val="right" w:pos="2155"/>
        </w:tabs>
        <w:spacing w:after="80"/>
        <w:ind w:left="680"/>
        <w:rPr>
          <w:u w:val="single"/>
        </w:rPr>
      </w:pPr>
      <w:r>
        <w:rPr>
          <w:u w:val="single"/>
        </w:rPr>
        <w:tab/>
      </w:r>
    </w:p>
  </w:footnote>
  <w:footnote w:id="1">
    <w:p w14:paraId="3E7192FC" w14:textId="2271B62D" w:rsidR="00F43A67" w:rsidRPr="007D74FC" w:rsidRDefault="00F43A67" w:rsidP="00F43A67">
      <w:pPr>
        <w:pStyle w:val="ad"/>
      </w:pPr>
      <w:r>
        <w:tab/>
      </w:r>
      <w:r w:rsidRPr="0085065F">
        <w:rPr>
          <w:sz w:val="20"/>
        </w:rPr>
        <w:t>*</w:t>
      </w:r>
      <w:r>
        <w:tab/>
        <w:t>Распространено на немецком языке Центральной комиссией судоходства по Рейну под</w:t>
      </w:r>
      <w:r w:rsidR="00725C2C">
        <w:t> </w:t>
      </w:r>
      <w:r>
        <w:t>условным обозначением CCNR-ZKR/ADN/WP.15/AC.2/2023/26.</w:t>
      </w:r>
    </w:p>
  </w:footnote>
  <w:footnote w:id="2">
    <w:p w14:paraId="2620946E" w14:textId="77777777" w:rsidR="00F43A67" w:rsidRPr="006E6078" w:rsidRDefault="00F43A67" w:rsidP="00F43A67">
      <w:pPr>
        <w:pStyle w:val="ad"/>
        <w:rPr>
          <w:sz w:val="16"/>
        </w:rPr>
      </w:pPr>
      <w:r>
        <w:tab/>
      </w:r>
      <w:r w:rsidRPr="0085065F">
        <w:rPr>
          <w:sz w:val="20"/>
        </w:rPr>
        <w:t>**</w:t>
      </w:r>
      <w:r>
        <w:tab/>
        <w:t>A/77/6 (разд. 20), таблица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11E2" w14:textId="5C1EC04C" w:rsidR="00F43A67" w:rsidRPr="00F43A67" w:rsidRDefault="00F43A67">
    <w:pPr>
      <w:pStyle w:val="a5"/>
    </w:pPr>
    <w:fldSimple w:instr=" TITLE  \* MERGEFORMAT ">
      <w:r w:rsidR="006821F0">
        <w:t>ECE/TRANS/WP.15/AC.2/2023/26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9198" w14:textId="55436669" w:rsidR="00F43A67" w:rsidRPr="00F43A67" w:rsidRDefault="00F43A67" w:rsidP="00F43A67">
    <w:pPr>
      <w:pStyle w:val="a5"/>
      <w:jc w:val="right"/>
    </w:pPr>
    <w:fldSimple w:instr=" TITLE  \* MERGEFORMAT ">
      <w:r w:rsidR="006821F0">
        <w:t>ECE/TRANS/WP.15/AC.2/2023/26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E4A9" w14:textId="77777777" w:rsidR="00F43A67" w:rsidRDefault="00F43A67" w:rsidP="00F43A67">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60287520">
    <w:abstractNumId w:val="16"/>
  </w:num>
  <w:num w:numId="2" w16cid:durableId="338001493">
    <w:abstractNumId w:val="11"/>
  </w:num>
  <w:num w:numId="3" w16cid:durableId="205602048">
    <w:abstractNumId w:val="10"/>
  </w:num>
  <w:num w:numId="4" w16cid:durableId="607271155">
    <w:abstractNumId w:val="17"/>
  </w:num>
  <w:num w:numId="5" w16cid:durableId="1117213953">
    <w:abstractNumId w:val="13"/>
  </w:num>
  <w:num w:numId="6" w16cid:durableId="1090586831">
    <w:abstractNumId w:val="8"/>
  </w:num>
  <w:num w:numId="7" w16cid:durableId="1348210976">
    <w:abstractNumId w:val="3"/>
  </w:num>
  <w:num w:numId="8" w16cid:durableId="1437142063">
    <w:abstractNumId w:val="2"/>
  </w:num>
  <w:num w:numId="9" w16cid:durableId="1875078647">
    <w:abstractNumId w:val="1"/>
  </w:num>
  <w:num w:numId="10" w16cid:durableId="677661208">
    <w:abstractNumId w:val="0"/>
  </w:num>
  <w:num w:numId="11" w16cid:durableId="1391611749">
    <w:abstractNumId w:val="9"/>
  </w:num>
  <w:num w:numId="12" w16cid:durableId="19817689">
    <w:abstractNumId w:val="7"/>
  </w:num>
  <w:num w:numId="13" w16cid:durableId="883753262">
    <w:abstractNumId w:val="6"/>
  </w:num>
  <w:num w:numId="14" w16cid:durableId="476656071">
    <w:abstractNumId w:val="5"/>
  </w:num>
  <w:num w:numId="15" w16cid:durableId="1936984996">
    <w:abstractNumId w:val="4"/>
  </w:num>
  <w:num w:numId="16" w16cid:durableId="2038307924">
    <w:abstractNumId w:val="15"/>
  </w:num>
  <w:num w:numId="17" w16cid:durableId="571237650">
    <w:abstractNumId w:val="12"/>
  </w:num>
  <w:num w:numId="18" w16cid:durableId="23216143">
    <w:abstractNumId w:val="14"/>
  </w:num>
  <w:num w:numId="19" w16cid:durableId="1162043073">
    <w:abstractNumId w:val="15"/>
  </w:num>
  <w:num w:numId="20" w16cid:durableId="1395539976">
    <w:abstractNumId w:val="12"/>
  </w:num>
  <w:num w:numId="21" w16cid:durableId="57161955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comment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6B1"/>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30808"/>
    <w:rsid w:val="00255343"/>
    <w:rsid w:val="0027151D"/>
    <w:rsid w:val="002723E6"/>
    <w:rsid w:val="002A2EFC"/>
    <w:rsid w:val="002B0106"/>
    <w:rsid w:val="002B74B1"/>
    <w:rsid w:val="002C0E18"/>
    <w:rsid w:val="002D5AAC"/>
    <w:rsid w:val="002E5067"/>
    <w:rsid w:val="002F405F"/>
    <w:rsid w:val="002F7EEC"/>
    <w:rsid w:val="00301299"/>
    <w:rsid w:val="00305C08"/>
    <w:rsid w:val="00307FB6"/>
    <w:rsid w:val="0031677B"/>
    <w:rsid w:val="00317339"/>
    <w:rsid w:val="00322004"/>
    <w:rsid w:val="003402C2"/>
    <w:rsid w:val="00381C24"/>
    <w:rsid w:val="00383F7D"/>
    <w:rsid w:val="00387CD4"/>
    <w:rsid w:val="003958D0"/>
    <w:rsid w:val="003A0D43"/>
    <w:rsid w:val="003A48CE"/>
    <w:rsid w:val="003B00E5"/>
    <w:rsid w:val="003D66B1"/>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B43E6"/>
    <w:rsid w:val="005D7914"/>
    <w:rsid w:val="005E2B41"/>
    <w:rsid w:val="005F0B42"/>
    <w:rsid w:val="00617A43"/>
    <w:rsid w:val="006345DB"/>
    <w:rsid w:val="00640F49"/>
    <w:rsid w:val="00680D03"/>
    <w:rsid w:val="00681A10"/>
    <w:rsid w:val="006821F0"/>
    <w:rsid w:val="006A1ED8"/>
    <w:rsid w:val="006C2031"/>
    <w:rsid w:val="006D461A"/>
    <w:rsid w:val="006F35EE"/>
    <w:rsid w:val="007021FF"/>
    <w:rsid w:val="00712895"/>
    <w:rsid w:val="00725C2C"/>
    <w:rsid w:val="00734ACB"/>
    <w:rsid w:val="00757357"/>
    <w:rsid w:val="00792497"/>
    <w:rsid w:val="00806737"/>
    <w:rsid w:val="00825F8D"/>
    <w:rsid w:val="00834B71"/>
    <w:rsid w:val="0085065F"/>
    <w:rsid w:val="0086445C"/>
    <w:rsid w:val="00894693"/>
    <w:rsid w:val="008A08D7"/>
    <w:rsid w:val="008A37C8"/>
    <w:rsid w:val="008B6909"/>
    <w:rsid w:val="008D06BD"/>
    <w:rsid w:val="008D53B6"/>
    <w:rsid w:val="008F7609"/>
    <w:rsid w:val="00906890"/>
    <w:rsid w:val="00911BE4"/>
    <w:rsid w:val="00951972"/>
    <w:rsid w:val="009608F3"/>
    <w:rsid w:val="009A24AC"/>
    <w:rsid w:val="009C59D7"/>
    <w:rsid w:val="009C6FE6"/>
    <w:rsid w:val="009D7E7D"/>
    <w:rsid w:val="00A14DA8"/>
    <w:rsid w:val="00A312BC"/>
    <w:rsid w:val="00A57A23"/>
    <w:rsid w:val="00A84021"/>
    <w:rsid w:val="00A84D35"/>
    <w:rsid w:val="00A917B3"/>
    <w:rsid w:val="00AB4B51"/>
    <w:rsid w:val="00AF0670"/>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209CB"/>
    <w:rsid w:val="00E73F76"/>
    <w:rsid w:val="00EA2C9F"/>
    <w:rsid w:val="00EA420E"/>
    <w:rsid w:val="00ED0BDA"/>
    <w:rsid w:val="00EE142A"/>
    <w:rsid w:val="00EF1360"/>
    <w:rsid w:val="00EF3220"/>
    <w:rsid w:val="00F2523A"/>
    <w:rsid w:val="00F43903"/>
    <w:rsid w:val="00F43A67"/>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5F725"/>
  <w15:docId w15:val="{A2BE5F68-9668-43F7-B57D-7A1E4C79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ußnotentext Zchn1 Zchn,Fußnotentext Zchn Zchn Zchn, Car Car Car Zchn Zchn Zchn, Car Car Car Car Car Car Car Car Car Zchn Zchn Zchn, Car Car Car Zchn1 Zchn, Car Car Car Car Car Car Car Car Car Zchn1 Zchn,5_GR,Fußnotentext Zchn"/>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ußnotentext Zchn1 Zchn Знак,Fußnotentext Zchn Zchn Zchn Знак, Car Car Car Zchn Zchn Zchn Знак, Car Car Car Car Car Car Car Car Car Zchn Zchn Zchn Знак, Car Car Car Zchn1 Zchn Знак,5_GR Знак,Fußnotentext Zchn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F43A67"/>
    <w:rPr>
      <w:lang w:val="ru-RU" w:eastAsia="en-US"/>
    </w:rPr>
  </w:style>
  <w:style w:type="character" w:customStyle="1" w:styleId="HChGChar">
    <w:name w:val="_ H _Ch_G Char"/>
    <w:link w:val="HChG"/>
    <w:rsid w:val="00F43A67"/>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2</Pages>
  <Words>245</Words>
  <Characters>1583</Characters>
  <Application>Microsoft Office Word</Application>
  <DocSecurity>0</DocSecurity>
  <Lines>49</Lines>
  <Paragraphs>26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ECE/TRANS/WP.15/AC.2/2023/26</dc:title>
  <dc:subject/>
  <dc:creator>Shuvalova NATALIA</dc:creator>
  <cp:keywords/>
  <cp:lastModifiedBy>Natalia Shuvalova</cp:lastModifiedBy>
  <cp:revision>2</cp:revision>
  <cp:lastPrinted>2008-01-15T07:58:00Z</cp:lastPrinted>
  <dcterms:created xsi:type="dcterms:W3CDTF">2023-06-09T07:37:00Z</dcterms:created>
  <dcterms:modified xsi:type="dcterms:W3CDTF">2023-06-09T07:37:00Z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