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F61001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23952FE" w14:textId="77777777" w:rsidR="002D5AAC" w:rsidRDefault="002D5AAC" w:rsidP="00FC03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C31A2A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739CC56" w14:textId="1D69B159" w:rsidR="002D5AAC" w:rsidRDefault="00FC03BF" w:rsidP="00FC03BF">
            <w:pPr>
              <w:jc w:val="right"/>
            </w:pPr>
            <w:r w:rsidRPr="00FC03BF">
              <w:rPr>
                <w:sz w:val="40"/>
              </w:rPr>
              <w:t>ECE</w:t>
            </w:r>
            <w:r>
              <w:t>/TRANS/WP.15/AC.2/2023/22</w:t>
            </w:r>
          </w:p>
        </w:tc>
      </w:tr>
      <w:tr w:rsidR="002D5AAC" w:rsidRPr="004B163E" w14:paraId="2679B4F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4E68E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2ACA6F9" wp14:editId="548E6F7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1C007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8C34C19" w14:textId="77777777" w:rsidR="002D5AAC" w:rsidRDefault="00FC03B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F690BC8" w14:textId="77777777" w:rsidR="00FC03BF" w:rsidRDefault="00FC03BF" w:rsidP="00FC03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May 2023</w:t>
            </w:r>
          </w:p>
          <w:p w14:paraId="53D75BAC" w14:textId="77777777" w:rsidR="00FC03BF" w:rsidRDefault="00FC03BF" w:rsidP="00FC03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B4AFA86" w14:textId="6D601238" w:rsidR="00FC03BF" w:rsidRPr="008D53B6" w:rsidRDefault="00FC03BF" w:rsidP="00FC03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620D3E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D97AB8D" w14:textId="77777777" w:rsidR="00FC03BF" w:rsidRPr="00573626" w:rsidRDefault="00FC03BF" w:rsidP="00FC03BF">
      <w:pPr>
        <w:spacing w:before="120"/>
        <w:rPr>
          <w:sz w:val="28"/>
          <w:szCs w:val="28"/>
        </w:rPr>
      </w:pPr>
      <w:r w:rsidRPr="00573626">
        <w:rPr>
          <w:sz w:val="28"/>
          <w:szCs w:val="28"/>
        </w:rPr>
        <w:t>Комитет по внутреннему транспорту</w:t>
      </w:r>
    </w:p>
    <w:p w14:paraId="0E9CE5EA" w14:textId="77777777" w:rsidR="00FC03BF" w:rsidRPr="00573626" w:rsidRDefault="00FC03BF" w:rsidP="00FC03BF">
      <w:pPr>
        <w:spacing w:before="120"/>
        <w:rPr>
          <w:b/>
          <w:sz w:val="24"/>
          <w:szCs w:val="24"/>
        </w:rPr>
      </w:pPr>
      <w:r w:rsidRPr="00573626">
        <w:rPr>
          <w:b/>
          <w:bCs/>
          <w:sz w:val="24"/>
          <w:szCs w:val="24"/>
        </w:rPr>
        <w:t>Рабочая группа по перевозкам опасных грузов</w:t>
      </w:r>
    </w:p>
    <w:p w14:paraId="342D037F" w14:textId="3A39EC6B" w:rsidR="00FC03BF" w:rsidRPr="000E7A84" w:rsidRDefault="00FC03BF" w:rsidP="00FC03BF">
      <w:pPr>
        <w:spacing w:before="120"/>
        <w:rPr>
          <w:b/>
        </w:rPr>
      </w:pPr>
      <w:r w:rsidRPr="000E7A84">
        <w:rPr>
          <w:b/>
          <w:bCs/>
        </w:rPr>
        <w:t xml:space="preserve">Совместное совещание экспертов по Правилам, прилагаемым </w:t>
      </w:r>
      <w:r w:rsidR="00573626">
        <w:rPr>
          <w:b/>
          <w:bCs/>
        </w:rPr>
        <w:br/>
      </w:r>
      <w:r w:rsidRPr="000E7A84">
        <w:rPr>
          <w:b/>
          <w:bCs/>
        </w:rPr>
        <w:t xml:space="preserve">к Европейскому соглашению о международной перевозке </w:t>
      </w:r>
      <w:r w:rsidR="00573626">
        <w:rPr>
          <w:b/>
          <w:bCs/>
        </w:rPr>
        <w:br/>
      </w:r>
      <w:r w:rsidRPr="000E7A84">
        <w:rPr>
          <w:b/>
          <w:bCs/>
        </w:rPr>
        <w:t xml:space="preserve">опасных грузов по внутренним водным путям (ВОПОГ) </w:t>
      </w:r>
      <w:r w:rsidR="00573626">
        <w:rPr>
          <w:b/>
          <w:bCs/>
        </w:rPr>
        <w:br/>
      </w:r>
      <w:r w:rsidRPr="000E7A84">
        <w:rPr>
          <w:b/>
          <w:bCs/>
        </w:rPr>
        <w:t>(Комитет по вопросам безопасности ВОПОГ)</w:t>
      </w:r>
    </w:p>
    <w:p w14:paraId="3DEBEF89" w14:textId="77777777" w:rsidR="00FC03BF" w:rsidRPr="000E7A84" w:rsidRDefault="00FC03BF" w:rsidP="00FC03BF">
      <w:pPr>
        <w:spacing w:before="120"/>
        <w:rPr>
          <w:b/>
        </w:rPr>
      </w:pPr>
      <w:r w:rsidRPr="000E7A84">
        <w:rPr>
          <w:b/>
          <w:bCs/>
        </w:rPr>
        <w:t>Сорок вторая сессия</w:t>
      </w:r>
    </w:p>
    <w:p w14:paraId="1F5130CA" w14:textId="4B788E58" w:rsidR="00FC03BF" w:rsidRPr="000E7A84" w:rsidRDefault="00FC03BF" w:rsidP="00FC03BF">
      <w:r w:rsidRPr="000E7A84">
        <w:t>Женева, 21</w:t>
      </w:r>
      <w:r w:rsidR="00573626" w:rsidRPr="004B163E">
        <w:t>–</w:t>
      </w:r>
      <w:r w:rsidRPr="000E7A84">
        <w:t>25 августа 2023 года</w:t>
      </w:r>
    </w:p>
    <w:p w14:paraId="08C97CF1" w14:textId="77777777" w:rsidR="00FC03BF" w:rsidRPr="000E7A84" w:rsidRDefault="00FC03BF" w:rsidP="00FC03BF">
      <w:r w:rsidRPr="000E7A84">
        <w:t>Пункт 5 предварительной повестки дня</w:t>
      </w:r>
    </w:p>
    <w:p w14:paraId="34CAEEEF" w14:textId="77777777" w:rsidR="00FC03BF" w:rsidRPr="000E7A84" w:rsidRDefault="00FC03BF" w:rsidP="00FC03BF">
      <w:pPr>
        <w:rPr>
          <w:b/>
          <w:bCs/>
        </w:rPr>
      </w:pPr>
      <w:r w:rsidRPr="000E7A84">
        <w:rPr>
          <w:b/>
          <w:bCs/>
        </w:rPr>
        <w:t>Доклады неофициальных рабочих групп</w:t>
      </w:r>
    </w:p>
    <w:p w14:paraId="683D284E" w14:textId="77777777" w:rsidR="00FC03BF" w:rsidRPr="000E7A84" w:rsidRDefault="00FC03BF" w:rsidP="00573626">
      <w:pPr>
        <w:pStyle w:val="HChG"/>
        <w:spacing w:before="480"/>
      </w:pPr>
      <w:r w:rsidRPr="000E7A84">
        <w:tab/>
      </w:r>
      <w:r w:rsidRPr="000E7A84">
        <w:tab/>
      </w:r>
      <w:r w:rsidRPr="000E7A84">
        <w:rPr>
          <w:bCs/>
        </w:rPr>
        <w:t>Отчет о работе двадцать пятого совещания Группы Рекомендованных классификационных обществ ВОПОГ</w:t>
      </w:r>
    </w:p>
    <w:p w14:paraId="0D401E3E" w14:textId="03F36B34" w:rsidR="00FC03BF" w:rsidRPr="000E7A84" w:rsidRDefault="00FC03BF" w:rsidP="00FC03BF">
      <w:pPr>
        <w:pStyle w:val="H1G"/>
      </w:pPr>
      <w:r w:rsidRPr="000E7A84">
        <w:tab/>
      </w:r>
      <w:r w:rsidRPr="000E7A84">
        <w:tab/>
      </w:r>
      <w:r w:rsidRPr="000E7A84">
        <w:rPr>
          <w:bCs/>
        </w:rPr>
        <w:t>Передано Рекомендованными классификационными обществами ВОПОГ</w:t>
      </w:r>
      <w:r w:rsidRPr="00573626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573626" w:rsidRPr="00573626">
        <w:rPr>
          <w:b w:val="0"/>
          <w:bCs/>
        </w:rPr>
        <w:t xml:space="preserve"> </w:t>
      </w:r>
      <w:r w:rsidRPr="00573626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6FD4E532" w14:textId="77777777" w:rsidR="00FC03BF" w:rsidRPr="000E7A84" w:rsidRDefault="00FC03BF" w:rsidP="00FC03BF">
      <w:pPr>
        <w:pStyle w:val="SingleTxtG"/>
      </w:pPr>
      <w:r w:rsidRPr="000E7A84">
        <w:t>Дата проведения: 22 марта 2023 года, 09 ч 30 мин — 12 ч 30 мин</w:t>
      </w:r>
    </w:p>
    <w:p w14:paraId="5569A39A" w14:textId="77777777" w:rsidR="00FC03BF" w:rsidRPr="000E7A84" w:rsidRDefault="00FC03BF" w:rsidP="00FC03BF">
      <w:pPr>
        <w:pStyle w:val="SingleTxtG"/>
      </w:pPr>
      <w:r w:rsidRPr="000E7A84">
        <w:t>Место проведения: онлайн</w:t>
      </w:r>
    </w:p>
    <w:p w14:paraId="50B62F46" w14:textId="77777777" w:rsidR="00FC03BF" w:rsidRPr="000E7A84" w:rsidRDefault="00FC03BF" w:rsidP="00FC03BF">
      <w:pPr>
        <w:pStyle w:val="SingleTxtG"/>
      </w:pPr>
      <w:r w:rsidRPr="000E7A84">
        <w:t>Участники:</w:t>
      </w:r>
    </w:p>
    <w:p w14:paraId="78407295" w14:textId="77777777" w:rsidR="00FC03BF" w:rsidRPr="000E7A84" w:rsidRDefault="00FC03BF" w:rsidP="00FC03BF">
      <w:pPr>
        <w:pStyle w:val="Bullet1G"/>
        <w:numPr>
          <w:ilvl w:val="0"/>
          <w:numId w:val="22"/>
        </w:numPr>
      </w:pPr>
      <w:r w:rsidRPr="000E7A84">
        <w:t xml:space="preserve">«Бюро Веритас» (BV): г-н Гай Джейкобс </w:t>
      </w:r>
    </w:p>
    <w:p w14:paraId="5B78BC62" w14:textId="77777777" w:rsidR="00FC03BF" w:rsidRPr="000E7A84" w:rsidRDefault="00FC03BF" w:rsidP="00FC03BF">
      <w:pPr>
        <w:pStyle w:val="Bullet1G"/>
        <w:numPr>
          <w:ilvl w:val="0"/>
          <w:numId w:val="22"/>
        </w:numPr>
      </w:pPr>
      <w:r w:rsidRPr="000E7A84">
        <w:t>Хорватский регистр судоходства (CRS): г-н Иван Билич-Прчич</w:t>
      </w:r>
    </w:p>
    <w:p w14:paraId="41DFD7FD" w14:textId="77777777" w:rsidR="00FC03BF" w:rsidRPr="000E7A84" w:rsidRDefault="00FC03BF" w:rsidP="00FC03BF">
      <w:pPr>
        <w:pStyle w:val="Bullet1G"/>
        <w:numPr>
          <w:ilvl w:val="0"/>
          <w:numId w:val="22"/>
        </w:numPr>
      </w:pPr>
      <w:r w:rsidRPr="000E7A84">
        <w:t xml:space="preserve">«Дет норске веритас» (DNV): г-н Торстен Досдал </w:t>
      </w:r>
    </w:p>
    <w:p w14:paraId="436DDD53" w14:textId="77777777" w:rsidR="00FC03BF" w:rsidRPr="000E7A84" w:rsidRDefault="00FC03BF" w:rsidP="00FC03BF">
      <w:pPr>
        <w:pStyle w:val="Bullet1G"/>
        <w:numPr>
          <w:ilvl w:val="0"/>
          <w:numId w:val="22"/>
        </w:numPr>
      </w:pPr>
      <w:r w:rsidRPr="000E7A84">
        <w:t>Регистр Ллойда (LR): г-н Бас Йорманн (председатель)</w:t>
      </w:r>
    </w:p>
    <w:p w14:paraId="68D09FE0" w14:textId="77777777" w:rsidR="00FC03BF" w:rsidRPr="000E7A84" w:rsidRDefault="00FC03BF" w:rsidP="00FC03BF">
      <w:pPr>
        <w:pStyle w:val="Bullet1G"/>
        <w:numPr>
          <w:ilvl w:val="0"/>
          <w:numId w:val="22"/>
        </w:numPr>
      </w:pPr>
      <w:r w:rsidRPr="000E7A84">
        <w:t>Итальянский морской регистр (RINA): г-н Павлос Сафралис</w:t>
      </w:r>
    </w:p>
    <w:p w14:paraId="269255B4" w14:textId="77777777" w:rsidR="00FC03BF" w:rsidRPr="000E7A84" w:rsidRDefault="00FC03BF" w:rsidP="00FC03BF">
      <w:pPr>
        <w:pStyle w:val="Bullet1G"/>
        <w:numPr>
          <w:ilvl w:val="0"/>
          <w:numId w:val="22"/>
        </w:numPr>
      </w:pPr>
      <w:r w:rsidRPr="000E7A84">
        <w:t>Российский речной регистр (РКО): г-н Михаил Козин</w:t>
      </w:r>
    </w:p>
    <w:p w14:paraId="56EEA17F" w14:textId="77777777" w:rsidR="00FC03BF" w:rsidRPr="000E7A84" w:rsidRDefault="00FC03BF" w:rsidP="00FC03BF">
      <w:pPr>
        <w:pStyle w:val="Bullet1G"/>
        <w:numPr>
          <w:ilvl w:val="0"/>
          <w:numId w:val="22"/>
        </w:numPr>
      </w:pPr>
      <w:r w:rsidRPr="000E7A84">
        <w:t xml:space="preserve">Российский морской регистр судоходства (РС): г-н Сергей Легуша </w:t>
      </w:r>
    </w:p>
    <w:p w14:paraId="1BB66D70" w14:textId="77777777" w:rsidR="00FC03BF" w:rsidRPr="000E7A84" w:rsidRDefault="00FC03BF" w:rsidP="00FC03BF">
      <w:pPr>
        <w:pStyle w:val="Bullet1G"/>
        <w:numPr>
          <w:ilvl w:val="0"/>
          <w:numId w:val="22"/>
        </w:numPr>
      </w:pPr>
      <w:r w:rsidRPr="000E7A84">
        <w:t>Регистр судоходства Украины (РСУ): г-н Микола Сльозко</w:t>
      </w:r>
    </w:p>
    <w:p w14:paraId="40913588" w14:textId="77777777" w:rsidR="00FC03BF" w:rsidRPr="000E7A84" w:rsidRDefault="00FC03BF" w:rsidP="00573626">
      <w:pPr>
        <w:pStyle w:val="H23G"/>
        <w:pageBreakBefore/>
      </w:pPr>
      <w:r w:rsidRPr="000E7A84">
        <w:rPr>
          <w:bCs/>
        </w:rPr>
        <w:lastRenderedPageBreak/>
        <w:tab/>
        <w:t>1.</w:t>
      </w:r>
      <w:r w:rsidRPr="000E7A84">
        <w:tab/>
      </w:r>
      <w:r w:rsidRPr="000E7A84">
        <w:tab/>
      </w:r>
      <w:r w:rsidRPr="000E7A84">
        <w:rPr>
          <w:bCs/>
        </w:rPr>
        <w:t>Открытие</w:t>
      </w:r>
      <w:r w:rsidRPr="000E7A84">
        <w:t xml:space="preserve"> </w:t>
      </w:r>
    </w:p>
    <w:p w14:paraId="1DBF8610" w14:textId="77777777" w:rsidR="00FC03BF" w:rsidRPr="000E7A84" w:rsidRDefault="00FC03BF" w:rsidP="00FC03BF">
      <w:pPr>
        <w:pStyle w:val="SingleTxtG"/>
      </w:pPr>
      <w:r w:rsidRPr="000E7A84">
        <w:t>1.</w:t>
      </w:r>
      <w:r w:rsidRPr="000E7A84">
        <w:tab/>
        <w:t xml:space="preserve">Совещание приветственными словами в адрес участников открыл Председатель. </w:t>
      </w:r>
    </w:p>
    <w:p w14:paraId="5786DD9E" w14:textId="77777777" w:rsidR="00FC03BF" w:rsidRPr="000E7A84" w:rsidRDefault="00FC03BF" w:rsidP="00FC03BF">
      <w:pPr>
        <w:pStyle w:val="SingleTxtG"/>
      </w:pPr>
      <w:r w:rsidRPr="000E7A84">
        <w:t>2.</w:t>
      </w:r>
      <w:r w:rsidRPr="000E7A84">
        <w:tab/>
        <w:t>Повестка дня утверждена с добавлением вопросов по пунктам 2e, 4 и 5.</w:t>
      </w:r>
    </w:p>
    <w:p w14:paraId="6BF0CD03" w14:textId="77777777" w:rsidR="00FC03BF" w:rsidRPr="000E7A84" w:rsidRDefault="00FC03BF" w:rsidP="00FC03BF">
      <w:pPr>
        <w:pStyle w:val="H23G"/>
      </w:pPr>
      <w:r w:rsidRPr="000E7A84">
        <w:rPr>
          <w:bCs/>
        </w:rPr>
        <w:tab/>
        <w:t>2.</w:t>
      </w:r>
      <w:r w:rsidRPr="000E7A84">
        <w:tab/>
      </w:r>
      <w:r w:rsidRPr="000E7A84">
        <w:rPr>
          <w:bCs/>
        </w:rPr>
        <w:t>Отчет о работе двадцать четвертого совещания, ход работы над открытыми вопросами (документ 24.IG.10)</w:t>
      </w:r>
    </w:p>
    <w:p w14:paraId="0FF5EB65" w14:textId="77777777" w:rsidR="00FC03BF" w:rsidRPr="000E7A84" w:rsidRDefault="00FC03BF" w:rsidP="00FC03BF">
      <w:pPr>
        <w:pStyle w:val="H4G"/>
      </w:pPr>
      <w:r w:rsidRPr="000E7A84">
        <w:rPr>
          <w:iCs/>
        </w:rPr>
        <w:tab/>
        <w:t>a)</w:t>
      </w:r>
      <w:r w:rsidRPr="000E7A84">
        <w:tab/>
      </w:r>
      <w:r w:rsidRPr="000E7A84">
        <w:rPr>
          <w:iCs/>
        </w:rPr>
        <w:t>Пропилена оксид (</w:t>
      </w:r>
      <w:r w:rsidRPr="000E7A84">
        <w:rPr>
          <w:b/>
          <w:bCs/>
          <w:iCs/>
        </w:rPr>
        <w:t>ответственный участник: LR</w:t>
      </w:r>
      <w:r w:rsidRPr="000E7A84">
        <w:rPr>
          <w:iCs/>
        </w:rPr>
        <w:t>)</w:t>
      </w:r>
      <w:r w:rsidRPr="000E7A84">
        <w:t xml:space="preserve"> </w:t>
      </w:r>
    </w:p>
    <w:p w14:paraId="68544C8B" w14:textId="77777777" w:rsidR="00FC03BF" w:rsidRPr="000E7A84" w:rsidRDefault="00FC03BF" w:rsidP="00FC03BF">
      <w:pPr>
        <w:pStyle w:val="SingleTxtG"/>
      </w:pPr>
      <w:r w:rsidRPr="000E7A84">
        <w:t>3.</w:t>
      </w:r>
      <w:r w:rsidRPr="000E7A84">
        <w:tab/>
        <w:t>Работа по этому вопросу еще не завершена; ее планируется завершить в ближайшие месяцы.</w:t>
      </w:r>
    </w:p>
    <w:p w14:paraId="05095BF2" w14:textId="62BA7B00" w:rsidR="00FC03BF" w:rsidRPr="000E7A84" w:rsidRDefault="00FC03BF" w:rsidP="00FC03BF">
      <w:pPr>
        <w:pStyle w:val="H4G"/>
      </w:pPr>
      <w:r w:rsidRPr="000E7A84">
        <w:rPr>
          <w:iCs/>
        </w:rPr>
        <w:tab/>
        <w:t>b)</w:t>
      </w:r>
      <w:r w:rsidRPr="000E7A84">
        <w:tab/>
      </w:r>
      <w:r w:rsidRPr="000E7A84">
        <w:rPr>
          <w:iCs/>
        </w:rPr>
        <w:t>Оценка риска для быстродействующих выпускных клапанов типа High Jet (</w:t>
      </w:r>
      <w:r w:rsidRPr="000E7A84">
        <w:rPr>
          <w:b/>
          <w:bCs/>
          <w:iCs/>
        </w:rPr>
        <w:t>ответственный участник: RINA</w:t>
      </w:r>
      <w:r w:rsidRPr="000E7A84">
        <w:rPr>
          <w:iCs/>
        </w:rPr>
        <w:t>)</w:t>
      </w:r>
      <w:r w:rsidRPr="000E7A84">
        <w:t xml:space="preserve"> </w:t>
      </w:r>
    </w:p>
    <w:p w14:paraId="53191886" w14:textId="77777777" w:rsidR="00FC03BF" w:rsidRPr="000E7A84" w:rsidRDefault="00FC03BF" w:rsidP="00FC03BF">
      <w:pPr>
        <w:pStyle w:val="SingleTxtG"/>
      </w:pPr>
      <w:r w:rsidRPr="000E7A84">
        <w:t>4.</w:t>
      </w:r>
      <w:r w:rsidRPr="000E7A84">
        <w:tab/>
        <w:t>Проведение рабочего совещания запланировано на конец апреля 2023 года.</w:t>
      </w:r>
    </w:p>
    <w:p w14:paraId="04CE9CB5" w14:textId="77777777" w:rsidR="00FC03BF" w:rsidRPr="000E7A84" w:rsidRDefault="00FC03BF" w:rsidP="00FC03BF">
      <w:pPr>
        <w:pStyle w:val="H4G"/>
      </w:pPr>
      <w:r w:rsidRPr="000E7A84">
        <w:rPr>
          <w:iCs/>
        </w:rPr>
        <w:tab/>
        <w:t>c)</w:t>
      </w:r>
      <w:r w:rsidRPr="000E7A84">
        <w:tab/>
      </w:r>
      <w:r w:rsidRPr="000E7A84">
        <w:rPr>
          <w:iCs/>
        </w:rPr>
        <w:t>Перечень толкований (</w:t>
      </w:r>
      <w:r w:rsidRPr="000E7A84">
        <w:rPr>
          <w:b/>
          <w:bCs/>
          <w:iCs/>
        </w:rPr>
        <w:t>ответственные участники: CRS / LR / DNV / BV</w:t>
      </w:r>
      <w:r w:rsidRPr="000E7A84">
        <w:rPr>
          <w:iCs/>
        </w:rPr>
        <w:t>)</w:t>
      </w:r>
      <w:r w:rsidRPr="000E7A84">
        <w:t xml:space="preserve"> </w:t>
      </w:r>
    </w:p>
    <w:p w14:paraId="055E7EEF" w14:textId="77777777" w:rsidR="00FC03BF" w:rsidRPr="000E7A84" w:rsidRDefault="00FC03BF" w:rsidP="00FC03BF">
      <w:pPr>
        <w:pStyle w:val="SingleTxtG"/>
        <w:rPr>
          <w:b/>
          <w:bCs/>
        </w:rPr>
      </w:pPr>
      <w:r w:rsidRPr="000E7A84">
        <w:t>5.</w:t>
      </w:r>
      <w:r w:rsidRPr="000E7A84">
        <w:tab/>
        <w:t>Этот документ является предметом детального обсуждения. Г-н Билич-Прчич направит этот вариант группе для окончательного рассмотрения. После этого он будет представлен в секретариат ЕЭК ООН в качестве рабочего документа (</w:t>
      </w:r>
      <w:r w:rsidRPr="000E7A84">
        <w:rPr>
          <w:b/>
          <w:bCs/>
        </w:rPr>
        <w:t>ответственный участник: CRS).</w:t>
      </w:r>
    </w:p>
    <w:p w14:paraId="15384CA0" w14:textId="270D90EF" w:rsidR="00FC03BF" w:rsidRPr="000E7A84" w:rsidRDefault="00FC03BF" w:rsidP="00FC03BF">
      <w:pPr>
        <w:pStyle w:val="H4G"/>
      </w:pPr>
      <w:r w:rsidRPr="000E7A84">
        <w:rPr>
          <w:iCs/>
        </w:rPr>
        <w:tab/>
        <w:t>d)</w:t>
      </w:r>
      <w:r w:rsidRPr="000E7A84">
        <w:tab/>
      </w:r>
      <w:r w:rsidRPr="000E7A84">
        <w:rPr>
          <w:iCs/>
        </w:rPr>
        <w:t>Позиции таблицы С, в которых указано замечание 44 (</w:t>
      </w:r>
      <w:r w:rsidRPr="000E7A84">
        <w:rPr>
          <w:b/>
          <w:bCs/>
          <w:iCs/>
        </w:rPr>
        <w:t>ответственные участники: DNV / LR</w:t>
      </w:r>
      <w:r w:rsidRPr="000E7A84">
        <w:rPr>
          <w:iCs/>
        </w:rPr>
        <w:t>)</w:t>
      </w:r>
    </w:p>
    <w:p w14:paraId="2BE059A3" w14:textId="6074D3F2" w:rsidR="00FC03BF" w:rsidRPr="000E7A84" w:rsidRDefault="00FC03BF" w:rsidP="00FC03BF">
      <w:pPr>
        <w:pStyle w:val="SingleTxtG"/>
      </w:pPr>
      <w:r w:rsidRPr="000E7A84">
        <w:t>6.</w:t>
      </w:r>
      <w:r w:rsidRPr="000E7A84">
        <w:tab/>
        <w:t xml:space="preserve">Поскольку на последней сессии Комитета по вопросам безопасности ВОПОГ Рабочей группе по веществам было предложено продолжить обсуждение этой темы, было сочтено, что дальнейших действий со стороны группы не требуется. </w:t>
      </w:r>
      <w:r w:rsidR="00276C2E">
        <w:br/>
      </w:r>
      <w:r w:rsidRPr="000E7A84">
        <w:t>На следующем совещании LR продемонстрирует свое новое программное обеспечение для составления перечня грузов.</w:t>
      </w:r>
    </w:p>
    <w:p w14:paraId="58DB8EF1" w14:textId="77777777" w:rsidR="00FC03BF" w:rsidRPr="000E7A84" w:rsidRDefault="00FC03BF" w:rsidP="00FC03BF">
      <w:pPr>
        <w:pStyle w:val="SingleTxtG"/>
      </w:pPr>
      <w:r w:rsidRPr="000E7A84">
        <w:t>7.</w:t>
      </w:r>
      <w:r w:rsidRPr="000E7A84">
        <w:tab/>
        <w:t xml:space="preserve">Данный вопрос считается закрытым. </w:t>
      </w:r>
    </w:p>
    <w:p w14:paraId="7A078D63" w14:textId="4E7DE3CF" w:rsidR="00FC03BF" w:rsidRPr="000E7A84" w:rsidRDefault="00FC03BF" w:rsidP="00FC03BF">
      <w:pPr>
        <w:pStyle w:val="H4G"/>
      </w:pPr>
      <w:r w:rsidRPr="000E7A84">
        <w:rPr>
          <w:iCs/>
        </w:rPr>
        <w:tab/>
        <w:t>e)</w:t>
      </w:r>
      <w:r w:rsidRPr="000E7A84">
        <w:tab/>
      </w:r>
      <w:r w:rsidRPr="000E7A84">
        <w:rPr>
          <w:iCs/>
        </w:rPr>
        <w:t>Состояние обновления раздела 9.3.4 ВОПОГ (</w:t>
      </w:r>
      <w:r w:rsidRPr="000E7A84">
        <w:rPr>
          <w:b/>
          <w:bCs/>
          <w:iCs/>
        </w:rPr>
        <w:t>ответственный участник: LR</w:t>
      </w:r>
      <w:r w:rsidRPr="000E7A84">
        <w:rPr>
          <w:iCs/>
        </w:rPr>
        <w:t>)</w:t>
      </w:r>
    </w:p>
    <w:p w14:paraId="0EC80701" w14:textId="77777777" w:rsidR="00FC03BF" w:rsidRPr="000E7A84" w:rsidRDefault="00FC03BF" w:rsidP="00FC03BF">
      <w:pPr>
        <w:pStyle w:val="SingleTxtG"/>
      </w:pPr>
      <w:r w:rsidRPr="000E7A84">
        <w:t>8.</w:t>
      </w:r>
      <w:r w:rsidRPr="000E7A84">
        <w:tab/>
        <w:t xml:space="preserve">По этому вопросу представлена обновленная информация. Организация по прикладным научным исследованиям (ТНО) (Нидерланды) завершила исследование и представит в секретариат ЕЭК ООН предложение об изменении раздела 9.3.4 ВОПОГ. Изменения будут зависеть от имеющихся энергетических характеристик и используемых методов расчета. Изменение максимально допустимой вместимости танка не предусмотрено. ТНО будет предложено сначала представить свое предложение этой группе, а когда это будет сочтено целесообразным, можно будет запланировать совещание для его обсуждения. </w:t>
      </w:r>
    </w:p>
    <w:p w14:paraId="2AC1648A" w14:textId="77777777" w:rsidR="00FC03BF" w:rsidRPr="000E7A84" w:rsidRDefault="00FC03BF" w:rsidP="00FC03BF">
      <w:pPr>
        <w:pStyle w:val="H23G"/>
      </w:pPr>
      <w:r w:rsidRPr="000E7A84">
        <w:rPr>
          <w:bCs/>
        </w:rPr>
        <w:tab/>
        <w:t>3.</w:t>
      </w:r>
      <w:r w:rsidRPr="000E7A84">
        <w:tab/>
      </w:r>
      <w:r w:rsidRPr="000E7A84">
        <w:rPr>
          <w:bCs/>
        </w:rPr>
        <w:t>Обсуждение вопроса о признании (предложение Бельгии и Люксембурга)</w:t>
      </w:r>
    </w:p>
    <w:p w14:paraId="583ADE4B" w14:textId="77777777" w:rsidR="00FC03BF" w:rsidRPr="000E7A84" w:rsidRDefault="00FC03BF" w:rsidP="00FC03BF">
      <w:pPr>
        <w:pStyle w:val="SingleTxtG"/>
      </w:pPr>
      <w:r w:rsidRPr="000E7A84">
        <w:t>9.</w:t>
      </w:r>
      <w:r w:rsidRPr="000E7A84">
        <w:tab/>
        <w:t>Участникам напомнили об обсуждениях в Комитете по вопросам безопасности ВОПОГ и неофициальной встрече в Брюсселе 3 марта.</w:t>
      </w:r>
    </w:p>
    <w:p w14:paraId="656ECD1E" w14:textId="2F70EA8B" w:rsidR="00FC03BF" w:rsidRPr="000E7A84" w:rsidRDefault="00FC03BF" w:rsidP="00FC03BF">
      <w:pPr>
        <w:pStyle w:val="SingleTxtG"/>
        <w:rPr>
          <w:b/>
          <w:bCs/>
        </w:rPr>
      </w:pPr>
      <w:r w:rsidRPr="000E7A84">
        <w:t>10.</w:t>
      </w:r>
      <w:r w:rsidRPr="000E7A84">
        <w:tab/>
        <w:t xml:space="preserve">Остаются две задачи. Первая </w:t>
      </w:r>
      <w:r w:rsidR="00276C2E" w:rsidRPr="00276C2E">
        <w:t>—</w:t>
      </w:r>
      <w:r w:rsidRPr="000E7A84">
        <w:t xml:space="preserve"> дать письменное разъяснение порядка признания классификационных обществ и прохождения ими аудита (</w:t>
      </w:r>
      <w:r w:rsidRPr="000E7A84">
        <w:rPr>
          <w:b/>
          <w:bCs/>
        </w:rPr>
        <w:t>ответственные участники: BV / LR).</w:t>
      </w:r>
    </w:p>
    <w:p w14:paraId="66BFEAFC" w14:textId="28712678" w:rsidR="00FC03BF" w:rsidRPr="000E7A84" w:rsidRDefault="00FC03BF" w:rsidP="00FC03BF">
      <w:pPr>
        <w:pStyle w:val="SingleTxtG"/>
      </w:pPr>
      <w:r w:rsidRPr="000E7A84">
        <w:t>11.</w:t>
      </w:r>
      <w:r w:rsidRPr="000E7A84">
        <w:tab/>
        <w:t xml:space="preserve">Вторая </w:t>
      </w:r>
      <w:r w:rsidR="00276C2E" w:rsidRPr="00276C2E">
        <w:t>—</w:t>
      </w:r>
      <w:r w:rsidRPr="000E7A84">
        <w:t xml:space="preserve"> подготовить проект предложения по дальнейшим действиям для удовлетворения пожеланий делегаций Бельгии и Люксембурга, которые хотели бы иметь более четкое представление о деятельности классификационных обществ (</w:t>
      </w:r>
      <w:r w:rsidRPr="000E7A84">
        <w:rPr>
          <w:b/>
          <w:bCs/>
        </w:rPr>
        <w:t>ответственные участники: LR / BV</w:t>
      </w:r>
      <w:r w:rsidRPr="000E7A84">
        <w:t xml:space="preserve">). </w:t>
      </w:r>
    </w:p>
    <w:p w14:paraId="6BA6C5BF" w14:textId="77777777" w:rsidR="00FC03BF" w:rsidRPr="000E7A84" w:rsidRDefault="00FC03BF" w:rsidP="00FC03BF">
      <w:pPr>
        <w:pStyle w:val="SingleTxtG"/>
      </w:pPr>
      <w:r w:rsidRPr="000E7A84">
        <w:t>12.</w:t>
      </w:r>
      <w:r w:rsidRPr="000E7A84">
        <w:tab/>
        <w:t>Материалы по обеим задачам будут направлены группе для комментариев, прежде чем они будут переданы делегациям.</w:t>
      </w:r>
    </w:p>
    <w:p w14:paraId="77FD286B" w14:textId="77777777" w:rsidR="00FC03BF" w:rsidRPr="000E7A84" w:rsidRDefault="00FC03BF" w:rsidP="00FC03BF">
      <w:pPr>
        <w:pStyle w:val="H23G"/>
      </w:pPr>
      <w:r w:rsidRPr="000E7A84">
        <w:rPr>
          <w:bCs/>
        </w:rPr>
        <w:lastRenderedPageBreak/>
        <w:tab/>
        <w:t>4.</w:t>
      </w:r>
      <w:r w:rsidRPr="000E7A84">
        <w:tab/>
      </w:r>
      <w:r w:rsidRPr="000E7A84">
        <w:rPr>
          <w:bCs/>
        </w:rPr>
        <w:t>Технические вопросы</w:t>
      </w:r>
    </w:p>
    <w:p w14:paraId="460490C6" w14:textId="77777777" w:rsidR="00FC03BF" w:rsidRPr="000E7A84" w:rsidRDefault="00FC03BF" w:rsidP="00FC03BF">
      <w:pPr>
        <w:pStyle w:val="SingleTxtG"/>
      </w:pPr>
      <w:r w:rsidRPr="000E7A84">
        <w:t>13.</w:t>
      </w:r>
      <w:r w:rsidRPr="000E7A84">
        <w:tab/>
        <w:t>У LR возник вопрос по поводу необходимости постоянного хранения на борту закрытых устройств для взятия проб. Все участники согласились с тем, что если устройство для взятия проб указано в свидетельстве о допущении, оно должно находиться на борту.</w:t>
      </w:r>
    </w:p>
    <w:p w14:paraId="3832D82B" w14:textId="77777777" w:rsidR="00FC03BF" w:rsidRPr="000E7A84" w:rsidRDefault="00FC03BF" w:rsidP="00FC03BF">
      <w:pPr>
        <w:pStyle w:val="SingleTxtG"/>
      </w:pPr>
      <w:r w:rsidRPr="000E7A84">
        <w:t>14.</w:t>
      </w:r>
      <w:r w:rsidRPr="000E7A84">
        <w:tab/>
        <w:t>Представитель CRS поинтересовался, должна ли на сухогрузных судах всегда присутствовать вентиляция грузового трюма, даже в том случае, если перевозки груза, подпадающего под положения ВОПОГ, не осуществляется. Все участники согласны с тем, что в соответствии с пунктом 9.1.0.12.1 вентиляция должна обеспечиваться всегда. Однако речь может идти о съемной системе вентиляции.</w:t>
      </w:r>
    </w:p>
    <w:p w14:paraId="119BB41A" w14:textId="77777777" w:rsidR="00FC03BF" w:rsidRPr="000E7A84" w:rsidRDefault="00FC03BF" w:rsidP="00FC03BF">
      <w:pPr>
        <w:pStyle w:val="H23G"/>
      </w:pPr>
      <w:r w:rsidRPr="000E7A84">
        <w:rPr>
          <w:bCs/>
        </w:rPr>
        <w:tab/>
        <w:t>5.</w:t>
      </w:r>
      <w:r w:rsidRPr="000E7A84">
        <w:tab/>
      </w:r>
      <w:r w:rsidRPr="000E7A84">
        <w:rPr>
          <w:bCs/>
        </w:rPr>
        <w:t>Прочие вопросы</w:t>
      </w:r>
    </w:p>
    <w:p w14:paraId="1D59120E" w14:textId="28AC1AD9" w:rsidR="00FC03BF" w:rsidRPr="000E7A84" w:rsidRDefault="00FC03BF" w:rsidP="00FC03BF">
      <w:pPr>
        <w:pStyle w:val="H4G"/>
      </w:pPr>
      <w:r w:rsidRPr="000E7A84">
        <w:rPr>
          <w:iCs/>
        </w:rPr>
        <w:tab/>
        <w:t>a)</w:t>
      </w:r>
      <w:r w:rsidRPr="000E7A84">
        <w:tab/>
      </w:r>
      <w:r w:rsidRPr="000E7A84">
        <w:rPr>
          <w:iCs/>
        </w:rPr>
        <w:t xml:space="preserve">Документ 25.IG.02 </w:t>
      </w:r>
      <w:r w:rsidR="00276C2E" w:rsidRPr="00276C2E">
        <w:rPr>
          <w:iCs/>
        </w:rPr>
        <w:t>—</w:t>
      </w:r>
      <w:r w:rsidRPr="000E7A84">
        <w:rPr>
          <w:iCs/>
        </w:rPr>
        <w:t xml:space="preserve"> Предложение по исправлению пункта 7.2.2.19.3</w:t>
      </w:r>
    </w:p>
    <w:p w14:paraId="7D1656EF" w14:textId="77777777" w:rsidR="00FC03BF" w:rsidRPr="000E7A84" w:rsidRDefault="00FC03BF" w:rsidP="00FC03BF">
      <w:pPr>
        <w:pStyle w:val="SingleTxtG"/>
      </w:pPr>
      <w:r w:rsidRPr="000E7A84">
        <w:t>15.</w:t>
      </w:r>
      <w:r w:rsidRPr="000E7A84">
        <w:tab/>
        <w:t>После некоторого обсуждения было принято решение о включении в документ еще нескольких исправлений. Необходимо также принять во внимание переходные положения. DNV включит эти аспекты в документ, который будет доработан по электронной почте. Его планируется представить в секретариат ЕЭК ООН в качестве рабочего документа (</w:t>
      </w:r>
      <w:r w:rsidRPr="000E7A84">
        <w:rPr>
          <w:b/>
          <w:bCs/>
        </w:rPr>
        <w:t>ответственные участники: DNV / BV</w:t>
      </w:r>
      <w:r w:rsidRPr="000E7A84">
        <w:t>).</w:t>
      </w:r>
    </w:p>
    <w:p w14:paraId="5D120356" w14:textId="196139BF" w:rsidR="00FC03BF" w:rsidRPr="000E7A84" w:rsidRDefault="00FC03BF" w:rsidP="00FC03BF">
      <w:pPr>
        <w:pStyle w:val="H4G"/>
      </w:pPr>
      <w:r w:rsidRPr="000E7A84">
        <w:rPr>
          <w:iCs/>
        </w:rPr>
        <w:tab/>
        <w:t>b)</w:t>
      </w:r>
      <w:r w:rsidRPr="000E7A84">
        <w:tab/>
      </w:r>
      <w:r w:rsidRPr="000E7A84">
        <w:rPr>
          <w:iCs/>
        </w:rPr>
        <w:t xml:space="preserve">Документ 25.IG.03 </w:t>
      </w:r>
      <w:r w:rsidR="00276C2E" w:rsidRPr="00276C2E">
        <w:rPr>
          <w:iCs/>
        </w:rPr>
        <w:t>—</w:t>
      </w:r>
      <w:r w:rsidRPr="000E7A84">
        <w:rPr>
          <w:iCs/>
        </w:rPr>
        <w:t xml:space="preserve"> Pumproom / pump room / pump-room (насосное отделение)</w:t>
      </w:r>
    </w:p>
    <w:p w14:paraId="1716E578" w14:textId="77777777" w:rsidR="00FC03BF" w:rsidRPr="000E7A84" w:rsidRDefault="00FC03BF" w:rsidP="00FC03BF">
      <w:pPr>
        <w:pStyle w:val="SingleTxtG"/>
      </w:pPr>
      <w:r w:rsidRPr="000E7A84">
        <w:t>16.</w:t>
      </w:r>
      <w:r w:rsidRPr="000E7A84">
        <w:tab/>
        <w:t>В правилах классификации BV и LR также используются различные способы написания, а единого варианта нет. BV направит электронное письмо по этому вопросу в секретариат ЕЭК ООН с просьбой обратить внимание на последовательное написание этого термина (</w:t>
      </w:r>
      <w:r w:rsidRPr="000E7A84">
        <w:rPr>
          <w:b/>
          <w:bCs/>
        </w:rPr>
        <w:t>ответственный участник: BV</w:t>
      </w:r>
      <w:r w:rsidRPr="000E7A84">
        <w:t>).</w:t>
      </w:r>
    </w:p>
    <w:p w14:paraId="646DDD4C" w14:textId="5A3CD320" w:rsidR="00FC03BF" w:rsidRPr="000E7A84" w:rsidRDefault="00FC03BF" w:rsidP="00FC03BF">
      <w:pPr>
        <w:pStyle w:val="H4G"/>
      </w:pPr>
      <w:r w:rsidRPr="000E7A84">
        <w:rPr>
          <w:iCs/>
        </w:rPr>
        <w:tab/>
        <w:t>c)</w:t>
      </w:r>
      <w:r w:rsidRPr="000E7A84">
        <w:tab/>
      </w:r>
      <w:r w:rsidRPr="000E7A84">
        <w:rPr>
          <w:iCs/>
        </w:rPr>
        <w:t xml:space="preserve">Документ 25.IG.04 </w:t>
      </w:r>
      <w:r w:rsidR="00276C2E" w:rsidRPr="00276C2E">
        <w:rPr>
          <w:iCs/>
        </w:rPr>
        <w:t>—</w:t>
      </w:r>
      <w:r w:rsidRPr="000E7A84">
        <w:rPr>
          <w:iCs/>
        </w:rPr>
        <w:t xml:space="preserve"> Исправление к подпункту 9.3.2.51 c)</w:t>
      </w:r>
    </w:p>
    <w:p w14:paraId="65CF88FE" w14:textId="77777777" w:rsidR="00FC03BF" w:rsidRPr="000E7A84" w:rsidRDefault="00FC03BF" w:rsidP="00FC03BF">
      <w:pPr>
        <w:pStyle w:val="SingleTxtG"/>
      </w:pPr>
      <w:r w:rsidRPr="000E7A84">
        <w:t>17.</w:t>
      </w:r>
      <w:r w:rsidRPr="000E7A84">
        <w:tab/>
        <w:t>Участники едины во мнении. BV представит это предложение в секретариат ЕЭК ООН (</w:t>
      </w:r>
      <w:r w:rsidRPr="000E7A84">
        <w:rPr>
          <w:b/>
          <w:bCs/>
        </w:rPr>
        <w:t>ответственный участник: BV</w:t>
      </w:r>
      <w:r w:rsidRPr="000E7A84">
        <w:t>).</w:t>
      </w:r>
    </w:p>
    <w:p w14:paraId="65C7770D" w14:textId="0BE8C2C7" w:rsidR="00FC03BF" w:rsidRPr="000E7A84" w:rsidRDefault="00FC03BF" w:rsidP="00FC03BF">
      <w:pPr>
        <w:pStyle w:val="H4G"/>
      </w:pPr>
      <w:r w:rsidRPr="000E7A84">
        <w:rPr>
          <w:iCs/>
        </w:rPr>
        <w:tab/>
        <w:t>d)</w:t>
      </w:r>
      <w:r w:rsidRPr="000E7A84">
        <w:tab/>
      </w:r>
      <w:r w:rsidRPr="000E7A84">
        <w:rPr>
          <w:iCs/>
        </w:rPr>
        <w:t>Документ 25.IG.05</w:t>
      </w:r>
      <w:r w:rsidR="00276C2E" w:rsidRPr="00276C2E">
        <w:rPr>
          <w:iCs/>
        </w:rPr>
        <w:t xml:space="preserve"> —</w:t>
      </w:r>
      <w:r w:rsidRPr="000E7A84">
        <w:rPr>
          <w:iCs/>
        </w:rPr>
        <w:t xml:space="preserve"> Служебное помещение</w:t>
      </w:r>
    </w:p>
    <w:p w14:paraId="302F1473" w14:textId="1E3A88BE" w:rsidR="00FC03BF" w:rsidRPr="000E7A84" w:rsidRDefault="00FC03BF" w:rsidP="00FC03BF">
      <w:pPr>
        <w:pStyle w:val="SingleTxtG"/>
      </w:pPr>
      <w:r w:rsidRPr="000E7A84">
        <w:t>18.</w:t>
      </w:r>
      <w:r w:rsidRPr="000E7A84">
        <w:tab/>
        <w:t>Все участники согласны с тем, что машинное отделение можно рассматривать как служебное помещение. BV включит этот момент в перечень толкований, который обсуждается по пункту 2c (</w:t>
      </w:r>
      <w:r w:rsidRPr="000E7A84">
        <w:rPr>
          <w:b/>
          <w:bCs/>
        </w:rPr>
        <w:t>ответственный участник: BV</w:t>
      </w:r>
      <w:r w:rsidRPr="000E7A84">
        <w:t xml:space="preserve">). После некоторого обсуждения было решено также подготовить предложение о включении определения термина </w:t>
      </w:r>
      <w:r w:rsidR="00276C2E">
        <w:t>«</w:t>
      </w:r>
      <w:r w:rsidRPr="000E7A84">
        <w:t>Машинное отделение</w:t>
      </w:r>
      <w:r w:rsidR="00276C2E">
        <w:t>»</w:t>
      </w:r>
      <w:r w:rsidRPr="000E7A84">
        <w:t xml:space="preserve"> в ВОПОГ (</w:t>
      </w:r>
      <w:r w:rsidRPr="000E7A84">
        <w:rPr>
          <w:b/>
          <w:bCs/>
        </w:rPr>
        <w:t>ответственный участник: BV</w:t>
      </w:r>
      <w:r w:rsidRPr="000E7A84">
        <w:t>).</w:t>
      </w:r>
    </w:p>
    <w:p w14:paraId="19305ABE" w14:textId="77777777" w:rsidR="00FC03BF" w:rsidRPr="000E7A84" w:rsidRDefault="00FC03BF" w:rsidP="00FC03BF">
      <w:pPr>
        <w:pStyle w:val="H4G"/>
      </w:pPr>
      <w:r w:rsidRPr="000E7A84">
        <w:rPr>
          <w:iCs/>
        </w:rPr>
        <w:tab/>
        <w:t>e)</w:t>
      </w:r>
      <w:r w:rsidRPr="000E7A84">
        <w:tab/>
      </w:r>
      <w:r w:rsidRPr="000E7A84">
        <w:rPr>
          <w:iCs/>
        </w:rPr>
        <w:t>Представитель BV поинтересовался, каким образом следует применять новые требования ВОПОГ.</w:t>
      </w:r>
      <w:r w:rsidRPr="000E7A84">
        <w:t xml:space="preserve"> </w:t>
      </w:r>
    </w:p>
    <w:p w14:paraId="6F15F221" w14:textId="77777777" w:rsidR="00FC03BF" w:rsidRPr="000E7A84" w:rsidRDefault="00FC03BF" w:rsidP="00FC03BF">
      <w:pPr>
        <w:pStyle w:val="SingleTxtG"/>
      </w:pPr>
      <w:r w:rsidRPr="000E7A84">
        <w:t>19.</w:t>
      </w:r>
      <w:r w:rsidRPr="000E7A84">
        <w:tab/>
        <w:t xml:space="preserve">Согласно пункту 1.6.1.1 предыдущий вариант ВОПОГ может использоваться до 30 июня 2023 года. Это относится не только к перечню грузов, но и к технической части. </w:t>
      </w:r>
    </w:p>
    <w:p w14:paraId="37F6C44A" w14:textId="77777777" w:rsidR="00FC03BF" w:rsidRPr="000E7A84" w:rsidRDefault="00FC03BF" w:rsidP="00FC03BF">
      <w:pPr>
        <w:pStyle w:val="H23G"/>
      </w:pPr>
      <w:r w:rsidRPr="000E7A84">
        <w:rPr>
          <w:bCs/>
        </w:rPr>
        <w:tab/>
        <w:t>6.</w:t>
      </w:r>
      <w:r w:rsidRPr="000E7A84">
        <w:tab/>
      </w:r>
      <w:r w:rsidRPr="000E7A84">
        <w:rPr>
          <w:bCs/>
        </w:rPr>
        <w:t>Следующее совещание</w:t>
      </w:r>
    </w:p>
    <w:p w14:paraId="10D51EBB" w14:textId="77777777" w:rsidR="00FC03BF" w:rsidRPr="000E7A84" w:rsidRDefault="00FC03BF" w:rsidP="00FC03BF">
      <w:pPr>
        <w:pStyle w:val="SingleTxtG"/>
      </w:pPr>
      <w:r w:rsidRPr="000E7A84">
        <w:t>20.</w:t>
      </w:r>
      <w:r w:rsidRPr="000E7A84">
        <w:tab/>
        <w:t>Следующее совещание состоится в среду, 25 октября 2023 года. Формат следующего совещания (очный или онлайновый) будет определен в начале октября 2023 года.</w:t>
      </w:r>
    </w:p>
    <w:p w14:paraId="5B08A939" w14:textId="77777777" w:rsidR="00FC03BF" w:rsidRPr="000E7A84" w:rsidRDefault="00FC03BF" w:rsidP="00FC03BF">
      <w:pPr>
        <w:pStyle w:val="H23G"/>
      </w:pPr>
      <w:r w:rsidRPr="000E7A84">
        <w:rPr>
          <w:bCs/>
        </w:rPr>
        <w:tab/>
        <w:t>7.</w:t>
      </w:r>
      <w:r w:rsidRPr="000E7A84">
        <w:tab/>
      </w:r>
      <w:r w:rsidRPr="000E7A84">
        <w:rPr>
          <w:bCs/>
        </w:rPr>
        <w:t>Закрытие</w:t>
      </w:r>
    </w:p>
    <w:p w14:paraId="7650DFDF" w14:textId="77777777" w:rsidR="00FC03BF" w:rsidRPr="000E7A84" w:rsidRDefault="00FC03BF" w:rsidP="00FC03BF">
      <w:pPr>
        <w:pStyle w:val="SingleTxtG"/>
      </w:pPr>
      <w:r w:rsidRPr="000E7A84">
        <w:t>21.</w:t>
      </w:r>
      <w:r w:rsidRPr="000E7A84">
        <w:tab/>
        <w:t xml:space="preserve">Председатель поблагодарил всех участников за плодотворную работу. </w:t>
      </w:r>
    </w:p>
    <w:p w14:paraId="17A96AFF" w14:textId="77777777" w:rsidR="00FC03BF" w:rsidRPr="000E7A84" w:rsidRDefault="00FC03BF" w:rsidP="00FC03BF">
      <w:pPr>
        <w:spacing w:before="240"/>
        <w:jc w:val="center"/>
        <w:rPr>
          <w:u w:val="single"/>
        </w:rPr>
      </w:pPr>
      <w:r w:rsidRPr="000E7A84">
        <w:rPr>
          <w:u w:val="single"/>
        </w:rPr>
        <w:tab/>
      </w:r>
      <w:r w:rsidRPr="000E7A84">
        <w:rPr>
          <w:u w:val="single"/>
        </w:rPr>
        <w:tab/>
      </w:r>
      <w:r w:rsidRPr="000E7A84">
        <w:rPr>
          <w:u w:val="single"/>
        </w:rPr>
        <w:tab/>
      </w:r>
    </w:p>
    <w:p w14:paraId="4C15AA4F" w14:textId="77777777" w:rsidR="00E12C5F" w:rsidRPr="008D53B6" w:rsidRDefault="00E12C5F" w:rsidP="00D9145B"/>
    <w:sectPr w:rsidR="00E12C5F" w:rsidRPr="008D53B6" w:rsidSect="00FC03B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B671" w14:textId="77777777" w:rsidR="00FC2A1C" w:rsidRPr="00A312BC" w:rsidRDefault="00FC2A1C" w:rsidP="00A312BC"/>
  </w:endnote>
  <w:endnote w:type="continuationSeparator" w:id="0">
    <w:p w14:paraId="5CB375DD" w14:textId="77777777" w:rsidR="00FC2A1C" w:rsidRPr="00A312BC" w:rsidRDefault="00FC2A1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00AF" w14:textId="33AEADC2" w:rsidR="00FC03BF" w:rsidRPr="00FC03BF" w:rsidRDefault="00FC03BF">
    <w:pPr>
      <w:pStyle w:val="a8"/>
    </w:pPr>
    <w:r w:rsidRPr="00FC03BF">
      <w:rPr>
        <w:b/>
        <w:sz w:val="18"/>
      </w:rPr>
      <w:fldChar w:fldCharType="begin"/>
    </w:r>
    <w:r w:rsidRPr="00FC03BF">
      <w:rPr>
        <w:b/>
        <w:sz w:val="18"/>
      </w:rPr>
      <w:instrText xml:space="preserve"> PAGE  \* MERGEFORMAT </w:instrText>
    </w:r>
    <w:r w:rsidRPr="00FC03BF">
      <w:rPr>
        <w:b/>
        <w:sz w:val="18"/>
      </w:rPr>
      <w:fldChar w:fldCharType="separate"/>
    </w:r>
    <w:r w:rsidRPr="00FC03BF">
      <w:rPr>
        <w:b/>
        <w:noProof/>
        <w:sz w:val="18"/>
      </w:rPr>
      <w:t>2</w:t>
    </w:r>
    <w:r w:rsidRPr="00FC03BF">
      <w:rPr>
        <w:b/>
        <w:sz w:val="18"/>
      </w:rPr>
      <w:fldChar w:fldCharType="end"/>
    </w:r>
    <w:r>
      <w:rPr>
        <w:b/>
        <w:sz w:val="18"/>
      </w:rPr>
      <w:tab/>
    </w:r>
    <w:r>
      <w:t>GE.23-09183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3A7C" w14:textId="09CB15D0" w:rsidR="00FC03BF" w:rsidRPr="00FC03BF" w:rsidRDefault="00FC03BF" w:rsidP="00FC03BF">
    <w:pPr>
      <w:pStyle w:val="a8"/>
      <w:tabs>
        <w:tab w:val="clear" w:pos="9639"/>
        <w:tab w:val="right" w:pos="9638"/>
      </w:tabs>
      <w:rPr>
        <w:b/>
        <w:sz w:val="18"/>
      </w:rPr>
    </w:pPr>
    <w:r>
      <w:t>GE.23-09183</w:t>
    </w:r>
    <w:r>
      <w:tab/>
    </w:r>
    <w:r w:rsidRPr="00FC03BF">
      <w:rPr>
        <w:b/>
        <w:sz w:val="18"/>
      </w:rPr>
      <w:fldChar w:fldCharType="begin"/>
    </w:r>
    <w:r w:rsidRPr="00FC03BF">
      <w:rPr>
        <w:b/>
        <w:sz w:val="18"/>
      </w:rPr>
      <w:instrText xml:space="preserve"> PAGE  \* MERGEFORMAT </w:instrText>
    </w:r>
    <w:r w:rsidRPr="00FC03BF">
      <w:rPr>
        <w:b/>
        <w:sz w:val="18"/>
      </w:rPr>
      <w:fldChar w:fldCharType="separate"/>
    </w:r>
    <w:r w:rsidRPr="00FC03BF">
      <w:rPr>
        <w:b/>
        <w:noProof/>
        <w:sz w:val="18"/>
      </w:rPr>
      <w:t>3</w:t>
    </w:r>
    <w:r w:rsidRPr="00FC03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6094" w14:textId="224BBE8D" w:rsidR="00042B72" w:rsidRPr="00FC03BF" w:rsidRDefault="00FC03BF" w:rsidP="00FC03B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019BD45" wp14:editId="350F6C6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23-09183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4A01FF2" wp14:editId="3445D0B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160623  190623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9C8A" w14:textId="77777777" w:rsidR="00FC2A1C" w:rsidRPr="001075E9" w:rsidRDefault="00FC2A1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67FD3B" w14:textId="77777777" w:rsidR="00FC2A1C" w:rsidRDefault="00FC2A1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97A6B36" w14:textId="77777777" w:rsidR="00FC03BF" w:rsidRPr="000515FE" w:rsidRDefault="00FC03BF" w:rsidP="00FC03BF">
      <w:pPr>
        <w:pStyle w:val="ad"/>
      </w:pPr>
      <w:r>
        <w:tab/>
      </w:r>
      <w:r w:rsidRPr="00573626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CCNR-ZKR/ADN/WP.15/AC.2/2023/22.</w:t>
      </w:r>
    </w:p>
  </w:footnote>
  <w:footnote w:id="2">
    <w:p w14:paraId="486FE7C2" w14:textId="77777777" w:rsidR="00FC03BF" w:rsidRPr="004628AB" w:rsidRDefault="00FC03BF" w:rsidP="00FC03BF">
      <w:pPr>
        <w:pStyle w:val="ad"/>
      </w:pPr>
      <w:r>
        <w:tab/>
      </w:r>
      <w:r w:rsidRPr="00573626">
        <w:rPr>
          <w:sz w:val="20"/>
        </w:rPr>
        <w:t>**</w:t>
      </w:r>
      <w:r>
        <w:tab/>
        <w:t>A/77/6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3766" w14:textId="2EACFD80" w:rsidR="00FC03BF" w:rsidRPr="00FC03BF" w:rsidRDefault="00A919A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ECE/TRANS/WP.15/AC.2/2023/22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A569" w14:textId="551E3892" w:rsidR="00FC03BF" w:rsidRPr="00FC03BF" w:rsidRDefault="00A919A7" w:rsidP="00FC03B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ECE/TRANS/WP.15/AC.2/2023/22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61604848">
    <w:abstractNumId w:val="17"/>
  </w:num>
  <w:num w:numId="2" w16cid:durableId="1667050864">
    <w:abstractNumId w:val="11"/>
  </w:num>
  <w:num w:numId="3" w16cid:durableId="1689522380">
    <w:abstractNumId w:val="10"/>
  </w:num>
  <w:num w:numId="4" w16cid:durableId="1558008143">
    <w:abstractNumId w:val="18"/>
  </w:num>
  <w:num w:numId="5" w16cid:durableId="760176655">
    <w:abstractNumId w:val="13"/>
  </w:num>
  <w:num w:numId="6" w16cid:durableId="1656567228">
    <w:abstractNumId w:val="8"/>
  </w:num>
  <w:num w:numId="7" w16cid:durableId="91829395">
    <w:abstractNumId w:val="3"/>
  </w:num>
  <w:num w:numId="8" w16cid:durableId="1728994512">
    <w:abstractNumId w:val="2"/>
  </w:num>
  <w:num w:numId="9" w16cid:durableId="374892002">
    <w:abstractNumId w:val="1"/>
  </w:num>
  <w:num w:numId="10" w16cid:durableId="119736754">
    <w:abstractNumId w:val="0"/>
  </w:num>
  <w:num w:numId="11" w16cid:durableId="154415809">
    <w:abstractNumId w:val="9"/>
  </w:num>
  <w:num w:numId="12" w16cid:durableId="207647665">
    <w:abstractNumId w:val="7"/>
  </w:num>
  <w:num w:numId="13" w16cid:durableId="1276789677">
    <w:abstractNumId w:val="6"/>
  </w:num>
  <w:num w:numId="14" w16cid:durableId="1852720913">
    <w:abstractNumId w:val="5"/>
  </w:num>
  <w:num w:numId="15" w16cid:durableId="2091929725">
    <w:abstractNumId w:val="4"/>
  </w:num>
  <w:num w:numId="16" w16cid:durableId="1650094996">
    <w:abstractNumId w:val="16"/>
  </w:num>
  <w:num w:numId="17" w16cid:durableId="1411806148">
    <w:abstractNumId w:val="12"/>
  </w:num>
  <w:num w:numId="18" w16cid:durableId="2049524603">
    <w:abstractNumId w:val="14"/>
  </w:num>
  <w:num w:numId="19" w16cid:durableId="879973088">
    <w:abstractNumId w:val="16"/>
  </w:num>
  <w:num w:numId="20" w16cid:durableId="645548140">
    <w:abstractNumId w:val="12"/>
  </w:num>
  <w:num w:numId="21" w16cid:durableId="1098257341">
    <w:abstractNumId w:val="14"/>
  </w:num>
  <w:num w:numId="22" w16cid:durableId="159856038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1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7AC1"/>
    <w:rsid w:val="00255343"/>
    <w:rsid w:val="0027151D"/>
    <w:rsid w:val="00276C2E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B163E"/>
    <w:rsid w:val="004C7A16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73626"/>
    <w:rsid w:val="005961C8"/>
    <w:rsid w:val="005966F1"/>
    <w:rsid w:val="005D7914"/>
    <w:rsid w:val="005E2B23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919A7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0EC7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03BF"/>
    <w:rsid w:val="00FC2A1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5D81D"/>
  <w15:docId w15:val="{76F95D6B-986B-493A-AFC8-803CA707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FC03B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3</Pages>
  <Words>878</Words>
  <Characters>5736</Characters>
  <Application>Microsoft Office Word</Application>
  <DocSecurity>0</DocSecurity>
  <Lines>127</Lines>
  <Paragraphs>76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ECE/TRANS/WP.15/AC.2/2023/22</vt:lpstr>
      <vt:lpstr>A/</vt:lpstr>
      <vt:lpstr>A/</vt:lpstr>
    </vt:vector>
  </TitlesOfParts>
  <Company>DCM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ECE/TRANS/WP.15/AC.2/2023/22</dc:title>
  <dc:subject/>
  <dc:creator>No author</dc:creator>
  <cp:keywords/>
  <cp:lastModifiedBy>Tatiana Chvets</cp:lastModifiedBy>
  <cp:revision>3</cp:revision>
  <cp:lastPrinted>2023-06-19T18:40:00Z</cp:lastPrinted>
  <dcterms:created xsi:type="dcterms:W3CDTF">2023-06-19T18:39:00Z</dcterms:created>
  <dcterms:modified xsi:type="dcterms:W3CDTF">2023-06-19T18:41:00Z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