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3D263C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FCFA0E6" w14:textId="77777777" w:rsidR="00F35BAF" w:rsidRPr="00DB58B5" w:rsidRDefault="00F35BAF" w:rsidP="001A45A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B5C821A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6F80486" w14:textId="5E117A24" w:rsidR="00F35BAF" w:rsidRPr="00DB58B5" w:rsidRDefault="001A45AF" w:rsidP="001A45AF">
            <w:pPr>
              <w:jc w:val="right"/>
            </w:pPr>
            <w:r w:rsidRPr="001A45AF">
              <w:rPr>
                <w:sz w:val="40"/>
              </w:rPr>
              <w:t>ECE</w:t>
            </w:r>
            <w:r>
              <w:t>/TRANS/WP.15/AC.2/2023/22</w:t>
            </w:r>
          </w:p>
        </w:tc>
      </w:tr>
      <w:tr w:rsidR="00F35BAF" w:rsidRPr="00DB58B5" w14:paraId="30888D8E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94B37C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1E34BA3" wp14:editId="27D973F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A8207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9C947D8" w14:textId="77777777" w:rsidR="00F35BAF" w:rsidRDefault="001A45AF" w:rsidP="00C97039">
            <w:pPr>
              <w:spacing w:before="240"/>
            </w:pPr>
            <w:r>
              <w:t>Distr. générale</w:t>
            </w:r>
          </w:p>
          <w:p w14:paraId="2FF2837E" w14:textId="77777777" w:rsidR="001A45AF" w:rsidRDefault="001A45AF" w:rsidP="001A45AF">
            <w:pPr>
              <w:spacing w:line="240" w:lineRule="exact"/>
            </w:pPr>
            <w:r>
              <w:t>16 mai 2023</w:t>
            </w:r>
          </w:p>
          <w:p w14:paraId="79795324" w14:textId="77777777" w:rsidR="001A45AF" w:rsidRDefault="001A45AF" w:rsidP="001A45AF">
            <w:pPr>
              <w:spacing w:line="240" w:lineRule="exact"/>
            </w:pPr>
            <w:r>
              <w:t>Français</w:t>
            </w:r>
          </w:p>
          <w:p w14:paraId="7DF163A4" w14:textId="098FEBE1" w:rsidR="001A45AF" w:rsidRPr="00DB58B5" w:rsidRDefault="001A45AF" w:rsidP="001A45AF">
            <w:pPr>
              <w:spacing w:line="240" w:lineRule="exact"/>
            </w:pPr>
            <w:r>
              <w:t>Original : anglais</w:t>
            </w:r>
          </w:p>
        </w:tc>
      </w:tr>
    </w:tbl>
    <w:p w14:paraId="01AB478C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22E479D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84C3B12" w14:textId="77777777" w:rsidR="001A45AF" w:rsidRPr="00C16A88" w:rsidRDefault="001A45AF" w:rsidP="001A45AF">
      <w:pPr>
        <w:spacing w:before="120"/>
        <w:rPr>
          <w:b/>
          <w:sz w:val="32"/>
          <w:szCs w:val="32"/>
          <w:lang w:val="fr-FR"/>
        </w:rPr>
      </w:pPr>
      <w:r w:rsidRPr="00C16A88">
        <w:rPr>
          <w:b/>
          <w:bCs/>
          <w:sz w:val="24"/>
          <w:szCs w:val="24"/>
          <w:lang w:val="fr-FR"/>
        </w:rPr>
        <w:t>Groupe de travail des transports de marchandises dangereuses</w:t>
      </w:r>
    </w:p>
    <w:p w14:paraId="0F82F5D6" w14:textId="184FAC01" w:rsidR="001A45AF" w:rsidRPr="0035635E" w:rsidRDefault="001A45AF" w:rsidP="001A45AF">
      <w:pPr>
        <w:spacing w:before="120"/>
        <w:rPr>
          <w:b/>
          <w:lang w:val="fr-FR"/>
        </w:rPr>
      </w:pPr>
      <w:r w:rsidRPr="0035635E">
        <w:rPr>
          <w:b/>
          <w:bCs/>
          <w:lang w:val="fr-FR"/>
        </w:rPr>
        <w:t>Réunion commune d</w:t>
      </w:r>
      <w:r>
        <w:rPr>
          <w:b/>
          <w:bCs/>
          <w:lang w:val="fr-FR"/>
        </w:rPr>
        <w:t>’</w:t>
      </w:r>
      <w:r w:rsidRPr="0035635E">
        <w:rPr>
          <w:b/>
          <w:bCs/>
          <w:lang w:val="fr-FR"/>
        </w:rPr>
        <w:t>experts du Règlement annexé à l</w:t>
      </w:r>
      <w:r>
        <w:rPr>
          <w:b/>
          <w:bCs/>
          <w:lang w:val="fr-FR"/>
        </w:rPr>
        <w:t>’</w:t>
      </w:r>
      <w:r w:rsidRPr="0035635E">
        <w:rPr>
          <w:b/>
          <w:bCs/>
          <w:lang w:val="fr-FR"/>
        </w:rPr>
        <w:t xml:space="preserve">Accord européen </w:t>
      </w:r>
      <w:r w:rsidR="00C16A88">
        <w:rPr>
          <w:b/>
          <w:bCs/>
          <w:lang w:val="fr-FR"/>
        </w:rPr>
        <w:br/>
      </w:r>
      <w:r w:rsidRPr="0035635E">
        <w:rPr>
          <w:b/>
          <w:bCs/>
          <w:lang w:val="fr-FR"/>
        </w:rPr>
        <w:t xml:space="preserve">relatif au transport international des marchandises dangereuses </w:t>
      </w:r>
      <w:r w:rsidR="00C16A88">
        <w:rPr>
          <w:b/>
          <w:bCs/>
          <w:lang w:val="fr-FR"/>
        </w:rPr>
        <w:br/>
      </w:r>
      <w:r w:rsidRPr="0035635E">
        <w:rPr>
          <w:b/>
          <w:bCs/>
          <w:lang w:val="fr-FR"/>
        </w:rPr>
        <w:t xml:space="preserve">par voies de navigation intérieures (ADN) </w:t>
      </w:r>
      <w:r w:rsidR="00C16A88">
        <w:rPr>
          <w:b/>
          <w:bCs/>
          <w:lang w:val="fr-FR"/>
        </w:rPr>
        <w:br/>
      </w:r>
      <w:r w:rsidRPr="0035635E">
        <w:rPr>
          <w:b/>
          <w:bCs/>
          <w:lang w:val="fr-FR"/>
        </w:rPr>
        <w:t>(Comité de sécurité de l</w:t>
      </w:r>
      <w:r>
        <w:rPr>
          <w:b/>
          <w:bCs/>
          <w:lang w:val="fr-FR"/>
        </w:rPr>
        <w:t>’</w:t>
      </w:r>
      <w:r w:rsidRPr="0035635E">
        <w:rPr>
          <w:b/>
          <w:bCs/>
          <w:lang w:val="fr-FR"/>
        </w:rPr>
        <w:t>ADN)</w:t>
      </w:r>
    </w:p>
    <w:p w14:paraId="2E1DD37B" w14:textId="77777777" w:rsidR="001A45AF" w:rsidRPr="0035635E" w:rsidRDefault="001A45AF" w:rsidP="001A45AF">
      <w:pPr>
        <w:spacing w:before="120"/>
        <w:rPr>
          <w:b/>
          <w:lang w:val="fr-FR"/>
        </w:rPr>
      </w:pPr>
      <w:r w:rsidRPr="0035635E">
        <w:rPr>
          <w:b/>
          <w:bCs/>
          <w:lang w:val="fr-FR"/>
        </w:rPr>
        <w:t>Quarante-deuxième session</w:t>
      </w:r>
    </w:p>
    <w:p w14:paraId="4946ED20" w14:textId="77777777" w:rsidR="001A45AF" w:rsidRPr="0035635E" w:rsidRDefault="001A45AF" w:rsidP="001A45AF">
      <w:pPr>
        <w:rPr>
          <w:lang w:val="fr-FR"/>
        </w:rPr>
      </w:pPr>
      <w:r w:rsidRPr="0035635E">
        <w:rPr>
          <w:lang w:val="fr-FR"/>
        </w:rPr>
        <w:t>Genève, 21-25 août 2023</w:t>
      </w:r>
    </w:p>
    <w:p w14:paraId="4103BD7D" w14:textId="77777777" w:rsidR="001A45AF" w:rsidRPr="0035635E" w:rsidRDefault="001A45AF" w:rsidP="001A45AF">
      <w:pPr>
        <w:rPr>
          <w:lang w:val="fr-FR"/>
        </w:rPr>
      </w:pPr>
      <w:r w:rsidRPr="0035635E">
        <w:rPr>
          <w:lang w:val="fr-FR"/>
        </w:rPr>
        <w:t>Point 5 de l</w:t>
      </w:r>
      <w:r>
        <w:rPr>
          <w:lang w:val="fr-FR"/>
        </w:rPr>
        <w:t>’</w:t>
      </w:r>
      <w:r w:rsidRPr="0035635E">
        <w:rPr>
          <w:lang w:val="fr-FR"/>
        </w:rPr>
        <w:t>ordre du jour provisoire</w:t>
      </w:r>
    </w:p>
    <w:p w14:paraId="47894E95" w14:textId="77777777" w:rsidR="001A45AF" w:rsidRPr="0035635E" w:rsidRDefault="001A45AF" w:rsidP="001A45AF">
      <w:pPr>
        <w:rPr>
          <w:b/>
          <w:bCs/>
          <w:lang w:val="fr-FR"/>
        </w:rPr>
      </w:pPr>
      <w:r w:rsidRPr="0035635E">
        <w:rPr>
          <w:b/>
          <w:bCs/>
          <w:lang w:val="fr-FR"/>
        </w:rPr>
        <w:t>Rapports des groupes de travail informels</w:t>
      </w:r>
    </w:p>
    <w:p w14:paraId="799892BA" w14:textId="7ECEDA90" w:rsidR="001A45AF" w:rsidRPr="0035635E" w:rsidRDefault="001A45AF" w:rsidP="00C16A88">
      <w:pPr>
        <w:pStyle w:val="HChG"/>
        <w:rPr>
          <w:lang w:val="fr-FR"/>
        </w:rPr>
      </w:pPr>
      <w:r w:rsidRPr="0035635E">
        <w:rPr>
          <w:lang w:val="fr-FR"/>
        </w:rPr>
        <w:tab/>
      </w:r>
      <w:r w:rsidRPr="0035635E">
        <w:rPr>
          <w:lang w:val="fr-FR"/>
        </w:rPr>
        <w:tab/>
      </w:r>
      <w:r w:rsidRPr="00C16A88">
        <w:t>Rapport</w:t>
      </w:r>
      <w:r w:rsidRPr="0035635E">
        <w:rPr>
          <w:lang w:val="fr-FR"/>
        </w:rPr>
        <w:t xml:space="preserve"> du groupe de travail informel des sociétés </w:t>
      </w:r>
      <w:r w:rsidR="00C16A88">
        <w:rPr>
          <w:lang w:val="fr-FR"/>
        </w:rPr>
        <w:br/>
      </w:r>
      <w:r w:rsidRPr="0035635E">
        <w:rPr>
          <w:lang w:val="fr-FR"/>
        </w:rPr>
        <w:t xml:space="preserve">de classification ADN recommandées sur </w:t>
      </w:r>
      <w:r w:rsidR="00C16A88">
        <w:rPr>
          <w:lang w:val="fr-FR"/>
        </w:rPr>
        <w:br/>
      </w:r>
      <w:r w:rsidRPr="0035635E">
        <w:rPr>
          <w:lang w:val="fr-FR"/>
        </w:rPr>
        <w:t>sa vingt-cinquième réunion</w:t>
      </w:r>
    </w:p>
    <w:p w14:paraId="6D41D949" w14:textId="56C4B6ED" w:rsidR="001A45AF" w:rsidRPr="0035635E" w:rsidRDefault="001A45AF" w:rsidP="00C16A88">
      <w:pPr>
        <w:pStyle w:val="H1G"/>
        <w:rPr>
          <w:lang w:val="fr-FR"/>
        </w:rPr>
      </w:pPr>
      <w:r w:rsidRPr="0035635E">
        <w:rPr>
          <w:lang w:val="fr-FR"/>
        </w:rPr>
        <w:tab/>
      </w:r>
      <w:r w:rsidRPr="0035635E">
        <w:rPr>
          <w:lang w:val="fr-FR"/>
        </w:rPr>
        <w:tab/>
        <w:t>Communication des sociétés de classification ADN recommandées</w:t>
      </w:r>
      <w:r w:rsidRPr="00C16A88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C16A88">
        <w:rPr>
          <w:b w:val="0"/>
          <w:bCs/>
          <w:sz w:val="20"/>
          <w:vertAlign w:val="superscript"/>
          <w:lang w:val="fr-FR"/>
        </w:rPr>
        <w:t>,</w:t>
      </w:r>
      <w:r w:rsidR="00C16A88" w:rsidRPr="00C16A88">
        <w:rPr>
          <w:b w:val="0"/>
          <w:bCs/>
          <w:sz w:val="20"/>
          <w:vertAlign w:val="superscript"/>
          <w:lang w:val="fr-FR"/>
        </w:rPr>
        <w:t xml:space="preserve"> </w:t>
      </w:r>
      <w:r w:rsidRPr="00C16A88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</w:p>
    <w:p w14:paraId="1239BF22" w14:textId="77777777" w:rsidR="001A45AF" w:rsidRPr="0035635E" w:rsidRDefault="001A45AF" w:rsidP="001A45AF">
      <w:pPr>
        <w:pStyle w:val="SingleTxtG"/>
        <w:rPr>
          <w:lang w:val="fr-FR"/>
        </w:rPr>
      </w:pPr>
      <w:r w:rsidRPr="0035635E">
        <w:rPr>
          <w:lang w:val="fr-FR"/>
        </w:rPr>
        <w:t>Date : 22 mars 2023, de 9 h 30 à 12 h 30</w:t>
      </w:r>
    </w:p>
    <w:p w14:paraId="4C662756" w14:textId="77777777" w:rsidR="001A45AF" w:rsidRPr="0035635E" w:rsidRDefault="001A45AF" w:rsidP="001A45AF">
      <w:pPr>
        <w:pStyle w:val="SingleTxtG"/>
        <w:rPr>
          <w:lang w:val="fr-FR"/>
        </w:rPr>
      </w:pPr>
      <w:r w:rsidRPr="0035635E">
        <w:rPr>
          <w:lang w:val="fr-FR"/>
        </w:rPr>
        <w:t>Lieu : En ligne</w:t>
      </w:r>
    </w:p>
    <w:p w14:paraId="05FFD9A0" w14:textId="77777777" w:rsidR="001A45AF" w:rsidRPr="0035635E" w:rsidRDefault="001A45AF" w:rsidP="001A45AF">
      <w:pPr>
        <w:pStyle w:val="SingleTxtG"/>
        <w:rPr>
          <w:lang w:val="fr-FR"/>
        </w:rPr>
      </w:pPr>
      <w:r w:rsidRPr="0035635E">
        <w:rPr>
          <w:lang w:val="fr-FR"/>
        </w:rPr>
        <w:t>Participants</w:t>
      </w:r>
      <w:r>
        <w:rPr>
          <w:lang w:val="fr-FR"/>
        </w:rPr>
        <w:t> :</w:t>
      </w:r>
    </w:p>
    <w:p w14:paraId="434C7843" w14:textId="77777777" w:rsidR="001A45AF" w:rsidRPr="0035635E" w:rsidRDefault="001A45AF" w:rsidP="001A45AF">
      <w:pPr>
        <w:pStyle w:val="Bullet1G"/>
        <w:numPr>
          <w:ilvl w:val="0"/>
          <w:numId w:val="1"/>
        </w:numPr>
        <w:rPr>
          <w:lang w:val="fr-FR"/>
        </w:rPr>
      </w:pPr>
      <w:r w:rsidRPr="0035635E">
        <w:rPr>
          <w:lang w:val="fr-FR"/>
        </w:rPr>
        <w:t>Bureau Veritas (BV) : M. Guy Jacobs</w:t>
      </w:r>
      <w:r>
        <w:rPr>
          <w:lang w:val="fr-FR"/>
        </w:rPr>
        <w:t> ;</w:t>
      </w:r>
    </w:p>
    <w:p w14:paraId="67AE7176" w14:textId="77777777" w:rsidR="001A45AF" w:rsidRPr="0035635E" w:rsidRDefault="001A45AF" w:rsidP="001A45AF">
      <w:pPr>
        <w:pStyle w:val="Bullet1G"/>
        <w:numPr>
          <w:ilvl w:val="0"/>
          <w:numId w:val="1"/>
        </w:numPr>
        <w:rPr>
          <w:lang w:val="fr-FR"/>
        </w:rPr>
      </w:pPr>
      <w:r w:rsidRPr="0035635E">
        <w:rPr>
          <w:lang w:val="fr-FR"/>
        </w:rPr>
        <w:t>Registre de la navigation croate (CRS) : M. Ivan Bilić-Prci</w:t>
      </w:r>
      <w:r>
        <w:rPr>
          <w:lang w:val="fr-FR"/>
        </w:rPr>
        <w:t> ;</w:t>
      </w:r>
    </w:p>
    <w:p w14:paraId="2A43B4E1" w14:textId="77777777" w:rsidR="001A45AF" w:rsidRPr="00A556D3" w:rsidRDefault="001A45AF" w:rsidP="001A45AF">
      <w:pPr>
        <w:pStyle w:val="Bullet1G"/>
        <w:numPr>
          <w:ilvl w:val="0"/>
          <w:numId w:val="1"/>
        </w:numPr>
        <w:rPr>
          <w:lang w:val="en-US"/>
        </w:rPr>
      </w:pPr>
      <w:r w:rsidRPr="00A556D3">
        <w:rPr>
          <w:lang w:val="en-US"/>
        </w:rPr>
        <w:t>Det Norske Veritas (DNV) : M. Torsten Dosdahl ;</w:t>
      </w:r>
    </w:p>
    <w:p w14:paraId="027EDCA1" w14:textId="77777777" w:rsidR="001A45AF" w:rsidRPr="0035635E" w:rsidRDefault="001A45AF" w:rsidP="001A45AF">
      <w:pPr>
        <w:pStyle w:val="Bullet1G"/>
        <w:numPr>
          <w:ilvl w:val="0"/>
          <w:numId w:val="1"/>
        </w:numPr>
        <w:rPr>
          <w:lang w:val="fr-FR"/>
        </w:rPr>
      </w:pPr>
      <w:r w:rsidRPr="0035635E">
        <w:rPr>
          <w:lang w:val="fr-FR"/>
        </w:rPr>
        <w:t>Lloyds Register (LR) : M. Bas Joormann (Président) ;</w:t>
      </w:r>
    </w:p>
    <w:p w14:paraId="57E2CB80" w14:textId="77777777" w:rsidR="001A45AF" w:rsidRPr="00A556D3" w:rsidRDefault="001A45AF" w:rsidP="001A45AF">
      <w:pPr>
        <w:pStyle w:val="Bullet1G"/>
        <w:numPr>
          <w:ilvl w:val="0"/>
          <w:numId w:val="1"/>
        </w:numPr>
        <w:rPr>
          <w:lang w:val="es-ES"/>
        </w:rPr>
      </w:pPr>
      <w:r w:rsidRPr="00A556D3">
        <w:rPr>
          <w:lang w:val="es-ES"/>
        </w:rPr>
        <w:t>Registro Italiano Navale (RINA) : M. Pavlos Safralis ;</w:t>
      </w:r>
    </w:p>
    <w:p w14:paraId="32A5E47D" w14:textId="77777777" w:rsidR="001A45AF" w:rsidRPr="0035635E" w:rsidRDefault="001A45AF" w:rsidP="001A45AF">
      <w:pPr>
        <w:pStyle w:val="Bullet1G"/>
        <w:numPr>
          <w:ilvl w:val="0"/>
          <w:numId w:val="1"/>
        </w:numPr>
        <w:rPr>
          <w:lang w:val="fr-FR"/>
        </w:rPr>
      </w:pPr>
      <w:r w:rsidRPr="0035635E">
        <w:rPr>
          <w:lang w:val="fr-FR"/>
        </w:rPr>
        <w:t>Registre fluvial russe (RCS) : M. Michael Kozin</w:t>
      </w:r>
      <w:r>
        <w:rPr>
          <w:lang w:val="fr-FR"/>
        </w:rPr>
        <w:t> ;</w:t>
      </w:r>
    </w:p>
    <w:p w14:paraId="213B6AFA" w14:textId="77777777" w:rsidR="001A45AF" w:rsidRPr="0035635E" w:rsidRDefault="001A45AF" w:rsidP="001A45AF">
      <w:pPr>
        <w:pStyle w:val="Bullet1G"/>
        <w:numPr>
          <w:ilvl w:val="0"/>
          <w:numId w:val="1"/>
        </w:numPr>
        <w:rPr>
          <w:lang w:val="fr-FR"/>
        </w:rPr>
      </w:pPr>
      <w:r w:rsidRPr="0035635E">
        <w:rPr>
          <w:lang w:val="fr-FR"/>
        </w:rPr>
        <w:t xml:space="preserve">Registre maritime russe (RS) : M. Sergey Legusha ; </w:t>
      </w:r>
    </w:p>
    <w:p w14:paraId="7F83AAF2" w14:textId="77777777" w:rsidR="001A45AF" w:rsidRPr="0035635E" w:rsidRDefault="001A45AF" w:rsidP="001A45AF">
      <w:pPr>
        <w:pStyle w:val="Bullet1G"/>
        <w:numPr>
          <w:ilvl w:val="0"/>
          <w:numId w:val="1"/>
        </w:numPr>
        <w:rPr>
          <w:lang w:val="fr-FR"/>
        </w:rPr>
      </w:pPr>
      <w:r w:rsidRPr="0035635E">
        <w:rPr>
          <w:lang w:val="fr-FR"/>
        </w:rPr>
        <w:t>Registre ukrainien de la navigation (SRU) : M. Mykola Slozko.</w:t>
      </w:r>
    </w:p>
    <w:p w14:paraId="7941F39B" w14:textId="59EFB130" w:rsidR="001A45AF" w:rsidRPr="0035635E" w:rsidRDefault="00C16A88" w:rsidP="00C16A88">
      <w:pPr>
        <w:pStyle w:val="H23G"/>
        <w:rPr>
          <w:lang w:val="fr-FR"/>
        </w:rPr>
      </w:pPr>
      <w:r>
        <w:rPr>
          <w:lang w:val="fr-FR"/>
        </w:rPr>
        <w:tab/>
      </w:r>
      <w:r w:rsidR="001A45AF" w:rsidRPr="0035635E">
        <w:rPr>
          <w:lang w:val="fr-FR"/>
        </w:rPr>
        <w:t>1.</w:t>
      </w:r>
      <w:r w:rsidR="001A45AF" w:rsidRPr="0035635E">
        <w:rPr>
          <w:lang w:val="fr-FR"/>
        </w:rPr>
        <w:tab/>
      </w:r>
      <w:r w:rsidR="001A45AF" w:rsidRPr="0035635E">
        <w:rPr>
          <w:lang w:val="fr-FR"/>
        </w:rPr>
        <w:tab/>
        <w:t xml:space="preserve">Ouverture de la réunion </w:t>
      </w:r>
    </w:p>
    <w:p w14:paraId="722B7E83" w14:textId="77777777" w:rsidR="001A45AF" w:rsidRPr="0035635E" w:rsidRDefault="001A45AF" w:rsidP="001A45AF">
      <w:pPr>
        <w:pStyle w:val="SingleTxtG"/>
        <w:rPr>
          <w:lang w:val="fr-FR"/>
        </w:rPr>
      </w:pPr>
      <w:r w:rsidRPr="0035635E">
        <w:rPr>
          <w:lang w:val="fr-FR"/>
        </w:rPr>
        <w:t>1.</w:t>
      </w:r>
      <w:r w:rsidRPr="0035635E">
        <w:rPr>
          <w:lang w:val="fr-FR"/>
        </w:rPr>
        <w:tab/>
        <w:t xml:space="preserve">Le Président a ouvert la réunion et souhaité la bienvenue aux participants. </w:t>
      </w:r>
    </w:p>
    <w:p w14:paraId="09A15583" w14:textId="77777777" w:rsidR="001A45AF" w:rsidRPr="0035635E" w:rsidRDefault="001A45AF" w:rsidP="001A45AF">
      <w:pPr>
        <w:pStyle w:val="SingleTxtG"/>
        <w:rPr>
          <w:lang w:val="fr-FR"/>
        </w:rPr>
      </w:pPr>
      <w:r w:rsidRPr="0035635E">
        <w:rPr>
          <w:lang w:val="fr-FR"/>
        </w:rPr>
        <w:lastRenderedPageBreak/>
        <w:t>2.</w:t>
      </w:r>
      <w:r w:rsidRPr="0035635E">
        <w:rPr>
          <w:lang w:val="fr-FR"/>
        </w:rPr>
        <w:tab/>
        <w:t>L</w:t>
      </w:r>
      <w:r>
        <w:rPr>
          <w:lang w:val="fr-FR"/>
        </w:rPr>
        <w:t>’</w:t>
      </w:r>
      <w:r w:rsidRPr="0035635E">
        <w:rPr>
          <w:lang w:val="fr-FR"/>
        </w:rPr>
        <w:t>ordre du jour a été adopté après des ajouts aux points 2 e), 4 et 5.</w:t>
      </w:r>
    </w:p>
    <w:p w14:paraId="0D5A480D" w14:textId="77777777" w:rsidR="001A45AF" w:rsidRPr="0035635E" w:rsidRDefault="001A45AF" w:rsidP="001A45AF">
      <w:pPr>
        <w:pStyle w:val="H23G"/>
        <w:rPr>
          <w:lang w:val="fr-FR"/>
        </w:rPr>
      </w:pPr>
      <w:r>
        <w:rPr>
          <w:bCs/>
          <w:lang w:val="fr-FR"/>
        </w:rPr>
        <w:tab/>
      </w:r>
      <w:r w:rsidRPr="0035635E">
        <w:rPr>
          <w:bCs/>
          <w:lang w:val="fr-FR"/>
        </w:rPr>
        <w:t>2.</w:t>
      </w:r>
      <w:r w:rsidRPr="0035635E">
        <w:rPr>
          <w:lang w:val="fr-FR"/>
        </w:rPr>
        <w:tab/>
      </w:r>
      <w:r w:rsidRPr="0035635E">
        <w:rPr>
          <w:bCs/>
          <w:lang w:val="fr-FR"/>
        </w:rPr>
        <w:t xml:space="preserve">Rapport sur les travaux de la vingt-quatrième réunion, </w:t>
      </w:r>
      <w:r>
        <w:rPr>
          <w:bCs/>
          <w:lang w:val="fr-FR"/>
        </w:rPr>
        <w:t>état d’avancement des</w:t>
      </w:r>
      <w:r w:rsidRPr="0035635E">
        <w:rPr>
          <w:bCs/>
          <w:lang w:val="fr-FR"/>
        </w:rPr>
        <w:t xml:space="preserve"> tâches à entreprendre (document 24.IG.10)</w:t>
      </w:r>
    </w:p>
    <w:p w14:paraId="5B8ADCCF" w14:textId="77777777" w:rsidR="001A45AF" w:rsidRPr="0035635E" w:rsidRDefault="001A45AF" w:rsidP="001A45AF">
      <w:pPr>
        <w:pStyle w:val="H4G"/>
        <w:rPr>
          <w:lang w:val="fr-FR"/>
        </w:rPr>
      </w:pPr>
      <w:r>
        <w:rPr>
          <w:iCs/>
          <w:lang w:val="fr-FR"/>
        </w:rPr>
        <w:tab/>
      </w:r>
      <w:r w:rsidRPr="0035635E">
        <w:rPr>
          <w:iCs/>
          <w:lang w:val="fr-FR"/>
        </w:rPr>
        <w:t>a)</w:t>
      </w:r>
      <w:r w:rsidRPr="0035635E">
        <w:rPr>
          <w:lang w:val="fr-FR"/>
        </w:rPr>
        <w:tab/>
      </w:r>
      <w:r w:rsidRPr="0035635E">
        <w:rPr>
          <w:iCs/>
          <w:lang w:val="fr-FR"/>
        </w:rPr>
        <w:t>Oxyde de propylène (</w:t>
      </w:r>
      <w:r w:rsidRPr="0035635E">
        <w:rPr>
          <w:b/>
          <w:bCs/>
          <w:iCs/>
          <w:lang w:val="fr-FR"/>
        </w:rPr>
        <w:t>tâche : LR</w:t>
      </w:r>
      <w:r w:rsidRPr="0035635E">
        <w:rPr>
          <w:iCs/>
          <w:lang w:val="fr-FR"/>
        </w:rPr>
        <w:t>)</w:t>
      </w:r>
      <w:r w:rsidRPr="0035635E">
        <w:rPr>
          <w:lang w:val="fr-FR"/>
        </w:rPr>
        <w:t xml:space="preserve"> </w:t>
      </w:r>
    </w:p>
    <w:p w14:paraId="7945D2FA" w14:textId="77777777" w:rsidR="001A45AF" w:rsidRPr="0035635E" w:rsidRDefault="001A45AF" w:rsidP="001A45AF">
      <w:pPr>
        <w:pStyle w:val="SingleTxtG"/>
        <w:rPr>
          <w:lang w:val="fr-FR"/>
        </w:rPr>
      </w:pPr>
      <w:r w:rsidRPr="0035635E">
        <w:rPr>
          <w:lang w:val="fr-FR"/>
        </w:rPr>
        <w:t>3.</w:t>
      </w:r>
      <w:r w:rsidRPr="0035635E">
        <w:rPr>
          <w:lang w:val="fr-FR"/>
        </w:rPr>
        <w:tab/>
        <w:t>Ce sujet n</w:t>
      </w:r>
      <w:r>
        <w:rPr>
          <w:lang w:val="fr-FR"/>
        </w:rPr>
        <w:t>’</w:t>
      </w:r>
      <w:r w:rsidRPr="0035635E">
        <w:rPr>
          <w:lang w:val="fr-FR"/>
        </w:rPr>
        <w:t>était pas encore clos</w:t>
      </w:r>
      <w:r>
        <w:rPr>
          <w:lang w:val="fr-FR"/>
        </w:rPr>
        <w:t xml:space="preserve">, </w:t>
      </w:r>
      <w:r w:rsidRPr="0035635E">
        <w:rPr>
          <w:lang w:val="fr-FR"/>
        </w:rPr>
        <w:t xml:space="preserve">mais </w:t>
      </w:r>
      <w:r>
        <w:rPr>
          <w:lang w:val="fr-FR"/>
        </w:rPr>
        <w:t xml:space="preserve">il </w:t>
      </w:r>
      <w:r w:rsidRPr="0035635E">
        <w:rPr>
          <w:lang w:val="fr-FR"/>
        </w:rPr>
        <w:t>dev</w:t>
      </w:r>
      <w:r>
        <w:rPr>
          <w:lang w:val="fr-FR"/>
        </w:rPr>
        <w:t>r</w:t>
      </w:r>
      <w:r w:rsidRPr="0035635E">
        <w:rPr>
          <w:lang w:val="fr-FR"/>
        </w:rPr>
        <w:t>ait l</w:t>
      </w:r>
      <w:r>
        <w:rPr>
          <w:lang w:val="fr-FR"/>
        </w:rPr>
        <w:t>’</w:t>
      </w:r>
      <w:r w:rsidRPr="0035635E">
        <w:rPr>
          <w:lang w:val="fr-FR"/>
        </w:rPr>
        <w:t>être dans les mois à venir.</w:t>
      </w:r>
    </w:p>
    <w:p w14:paraId="06BBC29A" w14:textId="77777777" w:rsidR="001A45AF" w:rsidRPr="0035635E" w:rsidRDefault="001A45AF" w:rsidP="001A45AF">
      <w:pPr>
        <w:pStyle w:val="H4G"/>
        <w:rPr>
          <w:lang w:val="fr-FR"/>
        </w:rPr>
      </w:pPr>
      <w:r>
        <w:rPr>
          <w:iCs/>
          <w:lang w:val="fr-FR"/>
        </w:rPr>
        <w:tab/>
      </w:r>
      <w:r w:rsidRPr="0035635E">
        <w:rPr>
          <w:iCs/>
          <w:lang w:val="fr-FR"/>
        </w:rPr>
        <w:t>b)</w:t>
      </w:r>
      <w:r w:rsidRPr="0035635E">
        <w:rPr>
          <w:lang w:val="fr-FR"/>
        </w:rPr>
        <w:tab/>
      </w:r>
      <w:r w:rsidRPr="0035635E">
        <w:rPr>
          <w:iCs/>
          <w:lang w:val="fr-FR"/>
        </w:rPr>
        <w:t>Évaluation des risques pour les jets à haute pression (</w:t>
      </w:r>
      <w:r w:rsidRPr="0035635E">
        <w:rPr>
          <w:b/>
          <w:bCs/>
          <w:iCs/>
          <w:lang w:val="fr-FR"/>
        </w:rPr>
        <w:t>tâche : RINA</w:t>
      </w:r>
      <w:r w:rsidRPr="0035635E">
        <w:rPr>
          <w:iCs/>
          <w:lang w:val="fr-FR"/>
        </w:rPr>
        <w:t>)</w:t>
      </w:r>
    </w:p>
    <w:p w14:paraId="6C253222" w14:textId="77777777" w:rsidR="001A45AF" w:rsidRPr="0035635E" w:rsidRDefault="001A45AF" w:rsidP="001A45AF">
      <w:pPr>
        <w:pStyle w:val="SingleTxtG"/>
        <w:rPr>
          <w:lang w:val="fr-FR"/>
        </w:rPr>
      </w:pPr>
      <w:r w:rsidRPr="0035635E">
        <w:rPr>
          <w:lang w:val="fr-FR"/>
        </w:rPr>
        <w:t>4.</w:t>
      </w:r>
      <w:r w:rsidRPr="0035635E">
        <w:rPr>
          <w:lang w:val="fr-FR"/>
        </w:rPr>
        <w:tab/>
        <w:t>Un atelier était prévu pour la fin d</w:t>
      </w:r>
      <w:r>
        <w:rPr>
          <w:lang w:val="fr-FR"/>
        </w:rPr>
        <w:t>’</w:t>
      </w:r>
      <w:r w:rsidRPr="0035635E">
        <w:rPr>
          <w:lang w:val="fr-FR"/>
        </w:rPr>
        <w:t>octobre 2023.</w:t>
      </w:r>
    </w:p>
    <w:p w14:paraId="6A013849" w14:textId="21D4443E" w:rsidR="001A45AF" w:rsidRPr="0035635E" w:rsidRDefault="001A45AF" w:rsidP="001A45AF">
      <w:pPr>
        <w:pStyle w:val="H4G"/>
        <w:rPr>
          <w:lang w:val="fr-FR"/>
        </w:rPr>
      </w:pPr>
      <w:r>
        <w:rPr>
          <w:iCs/>
          <w:lang w:val="fr-FR"/>
        </w:rPr>
        <w:tab/>
      </w:r>
      <w:r w:rsidRPr="0035635E">
        <w:rPr>
          <w:iCs/>
          <w:lang w:val="fr-FR"/>
        </w:rPr>
        <w:t>c)</w:t>
      </w:r>
      <w:r w:rsidRPr="0035635E">
        <w:rPr>
          <w:lang w:val="fr-FR"/>
        </w:rPr>
        <w:tab/>
      </w:r>
      <w:r w:rsidRPr="0035635E">
        <w:rPr>
          <w:iCs/>
          <w:lang w:val="fr-FR"/>
        </w:rPr>
        <w:t>Liste des interprétations (</w:t>
      </w:r>
      <w:r w:rsidRPr="0035635E">
        <w:rPr>
          <w:b/>
          <w:bCs/>
          <w:iCs/>
          <w:lang w:val="fr-FR"/>
        </w:rPr>
        <w:t>tâche : CRS/LR/DNV/BV</w:t>
      </w:r>
      <w:r w:rsidRPr="0035635E">
        <w:rPr>
          <w:iCs/>
          <w:lang w:val="fr-FR"/>
        </w:rPr>
        <w:t>)</w:t>
      </w:r>
      <w:r w:rsidRPr="0035635E">
        <w:rPr>
          <w:lang w:val="fr-FR"/>
        </w:rPr>
        <w:t xml:space="preserve"> </w:t>
      </w:r>
    </w:p>
    <w:p w14:paraId="4BD94520" w14:textId="77777777" w:rsidR="001A45AF" w:rsidRPr="0035635E" w:rsidRDefault="001A45AF" w:rsidP="001A45AF">
      <w:pPr>
        <w:pStyle w:val="SingleTxtG"/>
        <w:rPr>
          <w:lang w:val="fr-FR"/>
        </w:rPr>
      </w:pPr>
      <w:r w:rsidRPr="0035635E">
        <w:rPr>
          <w:lang w:val="fr-FR"/>
        </w:rPr>
        <w:t>5.</w:t>
      </w:r>
      <w:r w:rsidRPr="0035635E">
        <w:rPr>
          <w:lang w:val="fr-FR"/>
        </w:rPr>
        <w:tab/>
        <w:t>Le document a été examiné en détail. M. Bilić-Prcić enverrait cette version au groupe pour examen final. Ladite version serait ensuite soumise au secrétariat de la Commission économique pour l</w:t>
      </w:r>
      <w:r>
        <w:rPr>
          <w:lang w:val="fr-FR"/>
        </w:rPr>
        <w:t>’</w:t>
      </w:r>
      <w:r w:rsidRPr="0035635E">
        <w:rPr>
          <w:lang w:val="fr-FR"/>
        </w:rPr>
        <w:t>Europe (CEE) en tant que document de travail (</w:t>
      </w:r>
      <w:r w:rsidRPr="0035635E">
        <w:rPr>
          <w:b/>
          <w:bCs/>
          <w:lang w:val="fr-FR"/>
        </w:rPr>
        <w:t>tâche : CRS</w:t>
      </w:r>
      <w:r w:rsidRPr="0035635E">
        <w:rPr>
          <w:lang w:val="fr-FR"/>
        </w:rPr>
        <w:t>).</w:t>
      </w:r>
    </w:p>
    <w:p w14:paraId="693DB916" w14:textId="37ACBAE6" w:rsidR="001A45AF" w:rsidRPr="0035635E" w:rsidRDefault="001A45AF" w:rsidP="001A45AF">
      <w:pPr>
        <w:pStyle w:val="H4G"/>
        <w:rPr>
          <w:lang w:val="fr-FR"/>
        </w:rPr>
      </w:pPr>
      <w:r>
        <w:rPr>
          <w:iCs/>
          <w:lang w:val="fr-FR"/>
        </w:rPr>
        <w:tab/>
      </w:r>
      <w:r w:rsidRPr="0035635E">
        <w:rPr>
          <w:iCs/>
          <w:lang w:val="fr-FR"/>
        </w:rPr>
        <w:t>d)</w:t>
      </w:r>
      <w:r w:rsidRPr="0035635E">
        <w:rPr>
          <w:lang w:val="fr-FR"/>
        </w:rPr>
        <w:tab/>
      </w:r>
      <w:r w:rsidRPr="0035635E">
        <w:rPr>
          <w:iCs/>
          <w:lang w:val="fr-FR"/>
        </w:rPr>
        <w:t>Rubriques du tableau C comportant l</w:t>
      </w:r>
      <w:r>
        <w:rPr>
          <w:iCs/>
          <w:lang w:val="fr-FR"/>
        </w:rPr>
        <w:t>’</w:t>
      </w:r>
      <w:r w:rsidRPr="0035635E">
        <w:rPr>
          <w:iCs/>
          <w:lang w:val="fr-FR"/>
        </w:rPr>
        <w:t>observation 44 (</w:t>
      </w:r>
      <w:r w:rsidRPr="0035635E">
        <w:rPr>
          <w:b/>
          <w:bCs/>
          <w:iCs/>
          <w:lang w:val="fr-FR"/>
        </w:rPr>
        <w:t>tâche : DNV/LR</w:t>
      </w:r>
      <w:r w:rsidRPr="0035635E">
        <w:rPr>
          <w:iCs/>
          <w:lang w:val="fr-FR"/>
        </w:rPr>
        <w:t>)</w:t>
      </w:r>
    </w:p>
    <w:p w14:paraId="7FF2605F" w14:textId="77777777" w:rsidR="001A45AF" w:rsidRPr="0035635E" w:rsidRDefault="001A45AF" w:rsidP="001A45AF">
      <w:pPr>
        <w:pStyle w:val="SingleTxtG"/>
        <w:rPr>
          <w:lang w:val="fr-FR"/>
        </w:rPr>
      </w:pPr>
      <w:r w:rsidRPr="0035635E">
        <w:rPr>
          <w:lang w:val="fr-FR"/>
        </w:rPr>
        <w:t>6.</w:t>
      </w:r>
      <w:r w:rsidRPr="0035635E">
        <w:rPr>
          <w:lang w:val="fr-FR"/>
        </w:rPr>
        <w:tab/>
        <w:t>Étant donné que, lors de la session précédente du Comité de sécurité de l</w:t>
      </w:r>
      <w:r>
        <w:rPr>
          <w:lang w:val="fr-FR"/>
        </w:rPr>
        <w:t>’</w:t>
      </w:r>
      <w:r w:rsidRPr="0035635E">
        <w:rPr>
          <w:lang w:val="fr-FR"/>
        </w:rPr>
        <w:t>ADN, le groupe de travail informel des matières avait été invité à poursuivre l</w:t>
      </w:r>
      <w:r>
        <w:rPr>
          <w:lang w:val="fr-FR"/>
        </w:rPr>
        <w:t>’</w:t>
      </w:r>
      <w:r w:rsidRPr="0035635E">
        <w:rPr>
          <w:lang w:val="fr-FR"/>
        </w:rPr>
        <w:t>examen de cette question, il a été considéré qu</w:t>
      </w:r>
      <w:r>
        <w:rPr>
          <w:lang w:val="fr-FR"/>
        </w:rPr>
        <w:t>’</w:t>
      </w:r>
      <w:r w:rsidRPr="0035635E">
        <w:rPr>
          <w:lang w:val="fr-FR"/>
        </w:rPr>
        <w:t>aucune autre activité du groupe n</w:t>
      </w:r>
      <w:r>
        <w:rPr>
          <w:lang w:val="fr-FR"/>
        </w:rPr>
        <w:t>’</w:t>
      </w:r>
      <w:r w:rsidRPr="0035635E">
        <w:rPr>
          <w:lang w:val="fr-FR"/>
        </w:rPr>
        <w:t>était nécessaire. À la réunion suivante, LR présenterait son nouveau logiciel de liste des marchandises.</w:t>
      </w:r>
    </w:p>
    <w:p w14:paraId="1068257C" w14:textId="77777777" w:rsidR="001A45AF" w:rsidRPr="0035635E" w:rsidRDefault="001A45AF" w:rsidP="001A45AF">
      <w:pPr>
        <w:pStyle w:val="SingleTxtG"/>
        <w:rPr>
          <w:lang w:val="fr-FR"/>
        </w:rPr>
      </w:pPr>
      <w:r w:rsidRPr="0035635E">
        <w:rPr>
          <w:lang w:val="fr-FR"/>
        </w:rPr>
        <w:t>7.</w:t>
      </w:r>
      <w:r w:rsidRPr="0035635E">
        <w:rPr>
          <w:lang w:val="fr-FR"/>
        </w:rPr>
        <w:tab/>
        <w:t xml:space="preserve">Le sujet </w:t>
      </w:r>
      <w:r>
        <w:rPr>
          <w:lang w:val="fr-FR"/>
        </w:rPr>
        <w:t>a été</w:t>
      </w:r>
      <w:r w:rsidRPr="0035635E">
        <w:rPr>
          <w:lang w:val="fr-FR"/>
        </w:rPr>
        <w:t xml:space="preserve"> considéré comme clos. </w:t>
      </w:r>
    </w:p>
    <w:p w14:paraId="0672BB06" w14:textId="77777777" w:rsidR="001A45AF" w:rsidRPr="0035635E" w:rsidRDefault="001A45AF" w:rsidP="001A45AF">
      <w:pPr>
        <w:pStyle w:val="H4G"/>
        <w:rPr>
          <w:lang w:val="fr-FR"/>
        </w:rPr>
      </w:pPr>
      <w:r>
        <w:rPr>
          <w:iCs/>
          <w:lang w:val="fr-FR"/>
        </w:rPr>
        <w:tab/>
      </w:r>
      <w:r w:rsidRPr="0035635E">
        <w:rPr>
          <w:iCs/>
          <w:lang w:val="fr-FR"/>
        </w:rPr>
        <w:t>e)</w:t>
      </w:r>
      <w:r w:rsidRPr="0035635E">
        <w:rPr>
          <w:lang w:val="fr-FR"/>
        </w:rPr>
        <w:tab/>
      </w:r>
      <w:r w:rsidRPr="0035635E">
        <w:rPr>
          <w:iCs/>
          <w:lang w:val="fr-FR"/>
        </w:rPr>
        <w:t>État de la mise à jour de la section 9.3.4 de l</w:t>
      </w:r>
      <w:r>
        <w:rPr>
          <w:iCs/>
          <w:lang w:val="fr-FR"/>
        </w:rPr>
        <w:t>’</w:t>
      </w:r>
      <w:r w:rsidRPr="0035635E">
        <w:rPr>
          <w:iCs/>
          <w:lang w:val="fr-FR"/>
        </w:rPr>
        <w:t>ADN (</w:t>
      </w:r>
      <w:r w:rsidRPr="0035635E">
        <w:rPr>
          <w:b/>
          <w:bCs/>
          <w:iCs/>
          <w:lang w:val="fr-FR"/>
        </w:rPr>
        <w:t>tâche : LR</w:t>
      </w:r>
      <w:r w:rsidRPr="0035635E">
        <w:rPr>
          <w:iCs/>
          <w:lang w:val="fr-FR"/>
        </w:rPr>
        <w:t>)</w:t>
      </w:r>
    </w:p>
    <w:p w14:paraId="7A7D98C3" w14:textId="77777777" w:rsidR="001A45AF" w:rsidRPr="0035635E" w:rsidRDefault="001A45AF" w:rsidP="001A45AF">
      <w:pPr>
        <w:pStyle w:val="SingleTxtG"/>
        <w:rPr>
          <w:lang w:val="fr-FR"/>
        </w:rPr>
      </w:pPr>
      <w:r w:rsidRPr="0035635E">
        <w:rPr>
          <w:lang w:val="fr-FR"/>
        </w:rPr>
        <w:t>8.</w:t>
      </w:r>
      <w:r w:rsidRPr="0035635E">
        <w:rPr>
          <w:lang w:val="fr-FR"/>
        </w:rPr>
        <w:tab/>
        <w:t>Des informations à jour ont été fournies à ce sujet. L</w:t>
      </w:r>
      <w:r>
        <w:rPr>
          <w:lang w:val="fr-FR"/>
        </w:rPr>
        <w:t>’</w:t>
      </w:r>
      <w:r w:rsidRPr="0035635E">
        <w:rPr>
          <w:lang w:val="fr-FR"/>
        </w:rPr>
        <w:t>Organisation néerlandaise pour la recherche scientifique appliquée (TNO) avait achevé l</w:t>
      </w:r>
      <w:r>
        <w:rPr>
          <w:lang w:val="fr-FR"/>
        </w:rPr>
        <w:t>’</w:t>
      </w:r>
      <w:r w:rsidRPr="0035635E">
        <w:rPr>
          <w:lang w:val="fr-FR"/>
        </w:rPr>
        <w:t>enquête et soumettrait au secrétariat de la CEE une proposition visant à modifier la section 9.3.4 de l</w:t>
      </w:r>
      <w:r>
        <w:rPr>
          <w:lang w:val="fr-FR"/>
        </w:rPr>
        <w:t>’</w:t>
      </w:r>
      <w:r w:rsidRPr="0035635E">
        <w:rPr>
          <w:lang w:val="fr-FR"/>
        </w:rPr>
        <w:t>ADN. Ces modifications porteraient sur les caractéristiques d</w:t>
      </w:r>
      <w:r>
        <w:rPr>
          <w:lang w:val="fr-FR"/>
        </w:rPr>
        <w:t>’</w:t>
      </w:r>
      <w:r w:rsidRPr="0035635E">
        <w:rPr>
          <w:lang w:val="fr-FR"/>
        </w:rPr>
        <w:t xml:space="preserve">énergie disponibles et les méthodes de calcul à utiliser. Aucune modification du volume maximal des citernes </w:t>
      </w:r>
      <w:r>
        <w:rPr>
          <w:lang w:val="fr-FR"/>
        </w:rPr>
        <w:t>n’était</w:t>
      </w:r>
      <w:r w:rsidRPr="0035635E">
        <w:rPr>
          <w:lang w:val="fr-FR"/>
        </w:rPr>
        <w:t xml:space="preserve"> prévue. La TNO serait invitée à soumettre sa proposition au groupe de travail et, si cela </w:t>
      </w:r>
      <w:r>
        <w:rPr>
          <w:lang w:val="fr-FR"/>
        </w:rPr>
        <w:t>était</w:t>
      </w:r>
      <w:r w:rsidRPr="0035635E">
        <w:rPr>
          <w:lang w:val="fr-FR"/>
        </w:rPr>
        <w:t xml:space="preserve"> jugé nécessaire, une réunion pourrait être organisée afin d</w:t>
      </w:r>
      <w:r>
        <w:rPr>
          <w:lang w:val="fr-FR"/>
        </w:rPr>
        <w:t>e l’</w:t>
      </w:r>
      <w:r w:rsidRPr="0035635E">
        <w:rPr>
          <w:lang w:val="fr-FR"/>
        </w:rPr>
        <w:t xml:space="preserve">examiner. </w:t>
      </w:r>
    </w:p>
    <w:p w14:paraId="3F5A6AE6" w14:textId="77777777" w:rsidR="001A45AF" w:rsidRPr="0035635E" w:rsidRDefault="001A45AF" w:rsidP="001A45AF">
      <w:pPr>
        <w:pStyle w:val="H23G"/>
        <w:rPr>
          <w:lang w:val="fr-FR"/>
        </w:rPr>
      </w:pPr>
      <w:r>
        <w:rPr>
          <w:bCs/>
          <w:lang w:val="fr-FR"/>
        </w:rPr>
        <w:tab/>
      </w:r>
      <w:r w:rsidRPr="0035635E">
        <w:rPr>
          <w:bCs/>
          <w:lang w:val="fr-FR"/>
        </w:rPr>
        <w:t>3.</w:t>
      </w:r>
      <w:r w:rsidRPr="0035635E">
        <w:rPr>
          <w:lang w:val="fr-FR"/>
        </w:rPr>
        <w:tab/>
      </w:r>
      <w:r w:rsidRPr="0035635E">
        <w:rPr>
          <w:bCs/>
          <w:lang w:val="fr-FR"/>
        </w:rPr>
        <w:t>Discussion sur la reconnaissance (proposition de la Belgique et du Luxembourg)</w:t>
      </w:r>
    </w:p>
    <w:p w14:paraId="0AC3CF5A" w14:textId="77777777" w:rsidR="001A45AF" w:rsidRPr="0035635E" w:rsidRDefault="001A45AF" w:rsidP="001A45AF">
      <w:pPr>
        <w:pStyle w:val="SingleTxtG"/>
        <w:rPr>
          <w:lang w:val="fr-FR"/>
        </w:rPr>
      </w:pPr>
      <w:r w:rsidRPr="0035635E">
        <w:rPr>
          <w:lang w:val="fr-FR"/>
        </w:rPr>
        <w:t>9.</w:t>
      </w:r>
      <w:r w:rsidRPr="0035635E">
        <w:rPr>
          <w:lang w:val="fr-FR"/>
        </w:rPr>
        <w:tab/>
        <w:t>Les débats qui avaient eu lieu au sein du Comité de sécurité de l</w:t>
      </w:r>
      <w:r>
        <w:rPr>
          <w:lang w:val="fr-FR"/>
        </w:rPr>
        <w:t>’</w:t>
      </w:r>
      <w:r w:rsidRPr="0035635E">
        <w:rPr>
          <w:lang w:val="fr-FR"/>
        </w:rPr>
        <w:t xml:space="preserve">ADN et </w:t>
      </w:r>
      <w:r>
        <w:rPr>
          <w:lang w:val="fr-FR"/>
        </w:rPr>
        <w:t>à</w:t>
      </w:r>
      <w:r w:rsidRPr="0035635E">
        <w:rPr>
          <w:lang w:val="fr-FR"/>
        </w:rPr>
        <w:t xml:space="preserve"> la réunion informelle tenue à Bruxelles le 3 mars ont été rappelés.</w:t>
      </w:r>
    </w:p>
    <w:p w14:paraId="14F6625A" w14:textId="7F7C96D0" w:rsidR="001A45AF" w:rsidRPr="0035635E" w:rsidRDefault="001A45AF" w:rsidP="001A45AF">
      <w:pPr>
        <w:pStyle w:val="SingleTxtG"/>
        <w:rPr>
          <w:lang w:val="fr-FR"/>
        </w:rPr>
      </w:pPr>
      <w:r w:rsidRPr="0035635E">
        <w:rPr>
          <w:lang w:val="fr-FR"/>
        </w:rPr>
        <w:t>10.</w:t>
      </w:r>
      <w:r w:rsidRPr="0035635E">
        <w:rPr>
          <w:lang w:val="fr-FR"/>
        </w:rPr>
        <w:tab/>
        <w:t>Les deux tâches demeuraient ouvertes. La première tâche consiste à fournir une explication écrite sur la reconnaissance des sociétés de classification et sur la manière dont elles sont contrôlées (</w:t>
      </w:r>
      <w:r w:rsidRPr="0035635E">
        <w:rPr>
          <w:b/>
          <w:bCs/>
          <w:lang w:val="fr-FR"/>
        </w:rPr>
        <w:t>tâche : BV/LR</w:t>
      </w:r>
      <w:r w:rsidRPr="0035635E">
        <w:rPr>
          <w:lang w:val="fr-FR"/>
        </w:rPr>
        <w:t>).</w:t>
      </w:r>
    </w:p>
    <w:p w14:paraId="4B27C214" w14:textId="06A61043" w:rsidR="001A45AF" w:rsidRPr="0035635E" w:rsidRDefault="001A45AF" w:rsidP="001A45AF">
      <w:pPr>
        <w:pStyle w:val="SingleTxtG"/>
        <w:rPr>
          <w:lang w:val="fr-FR"/>
        </w:rPr>
      </w:pPr>
      <w:r w:rsidRPr="0035635E">
        <w:rPr>
          <w:lang w:val="fr-FR"/>
        </w:rPr>
        <w:t>11.</w:t>
      </w:r>
      <w:r w:rsidRPr="0035635E">
        <w:rPr>
          <w:lang w:val="fr-FR"/>
        </w:rPr>
        <w:tab/>
        <w:t>La seconde tâche consiste à élaborer un projet de proposition concernant la voie à suivre pour répondre aux souhaits des délégations de la Belgique et du Luxembourg de mieux connaître les activités des sociétés de classification (</w:t>
      </w:r>
      <w:r w:rsidRPr="0035635E">
        <w:rPr>
          <w:b/>
          <w:bCs/>
          <w:lang w:val="fr-FR"/>
        </w:rPr>
        <w:t>tâche : LR/BV</w:t>
      </w:r>
      <w:r w:rsidRPr="0035635E">
        <w:rPr>
          <w:lang w:val="fr-FR"/>
        </w:rPr>
        <w:t xml:space="preserve">). </w:t>
      </w:r>
    </w:p>
    <w:p w14:paraId="4F4D599F" w14:textId="77777777" w:rsidR="001A45AF" w:rsidRPr="0035635E" w:rsidRDefault="001A45AF" w:rsidP="001A45AF">
      <w:pPr>
        <w:pStyle w:val="SingleTxtG"/>
        <w:rPr>
          <w:lang w:val="fr-FR"/>
        </w:rPr>
      </w:pPr>
      <w:r w:rsidRPr="0035635E">
        <w:rPr>
          <w:lang w:val="fr-FR"/>
        </w:rPr>
        <w:t>12.</w:t>
      </w:r>
      <w:r w:rsidRPr="0035635E">
        <w:rPr>
          <w:lang w:val="fr-FR"/>
        </w:rPr>
        <w:tab/>
        <w:t>Les deux tâches seraient envoyé</w:t>
      </w:r>
      <w:r>
        <w:rPr>
          <w:lang w:val="fr-FR"/>
        </w:rPr>
        <w:t>e</w:t>
      </w:r>
      <w:r w:rsidRPr="0035635E">
        <w:rPr>
          <w:lang w:val="fr-FR"/>
        </w:rPr>
        <w:t>s au groupe pour observations avant d</w:t>
      </w:r>
      <w:r>
        <w:rPr>
          <w:lang w:val="fr-FR"/>
        </w:rPr>
        <w:t>’</w:t>
      </w:r>
      <w:r w:rsidRPr="0035635E">
        <w:rPr>
          <w:lang w:val="fr-FR"/>
        </w:rPr>
        <w:t>être soumises aux délégations.</w:t>
      </w:r>
    </w:p>
    <w:p w14:paraId="6574193A" w14:textId="77777777" w:rsidR="001A45AF" w:rsidRPr="0035635E" w:rsidRDefault="001A45AF" w:rsidP="001A45AF">
      <w:pPr>
        <w:pStyle w:val="H23G"/>
        <w:rPr>
          <w:lang w:val="fr-FR"/>
        </w:rPr>
      </w:pPr>
      <w:r>
        <w:rPr>
          <w:bCs/>
          <w:lang w:val="fr-FR"/>
        </w:rPr>
        <w:tab/>
      </w:r>
      <w:r w:rsidRPr="0035635E">
        <w:rPr>
          <w:bCs/>
          <w:lang w:val="fr-FR"/>
        </w:rPr>
        <w:t>4.</w:t>
      </w:r>
      <w:r w:rsidRPr="0035635E">
        <w:rPr>
          <w:lang w:val="fr-FR"/>
        </w:rPr>
        <w:tab/>
      </w:r>
      <w:r w:rsidRPr="0035635E">
        <w:rPr>
          <w:bCs/>
          <w:lang w:val="fr-FR"/>
        </w:rPr>
        <w:t>Questions techniques</w:t>
      </w:r>
    </w:p>
    <w:p w14:paraId="31F8B890" w14:textId="77777777" w:rsidR="001A45AF" w:rsidRPr="0035635E" w:rsidRDefault="001A45AF" w:rsidP="001A45AF">
      <w:pPr>
        <w:pStyle w:val="SingleTxtG"/>
        <w:rPr>
          <w:lang w:val="fr-FR"/>
        </w:rPr>
      </w:pPr>
      <w:r w:rsidRPr="0035635E">
        <w:rPr>
          <w:lang w:val="fr-FR"/>
        </w:rPr>
        <w:t>13.</w:t>
      </w:r>
      <w:r w:rsidRPr="0035635E">
        <w:rPr>
          <w:lang w:val="fr-FR"/>
        </w:rPr>
        <w:tab/>
        <w:t>LR a posé une question sur la nécessité de conserver en permanence à bord des dispositifs de prise d</w:t>
      </w:r>
      <w:r>
        <w:rPr>
          <w:lang w:val="fr-FR"/>
        </w:rPr>
        <w:t>’</w:t>
      </w:r>
      <w:r w:rsidRPr="0035635E">
        <w:rPr>
          <w:lang w:val="fr-FR"/>
        </w:rPr>
        <w:t>échantillons fermés. Tous les participants sont convenus que lorsqu</w:t>
      </w:r>
      <w:r>
        <w:rPr>
          <w:lang w:val="fr-FR"/>
        </w:rPr>
        <w:t>e la présence d’</w:t>
      </w:r>
      <w:r w:rsidRPr="0035635E">
        <w:rPr>
          <w:lang w:val="fr-FR"/>
        </w:rPr>
        <w:t>un dispositif de prise d</w:t>
      </w:r>
      <w:r>
        <w:rPr>
          <w:lang w:val="fr-FR"/>
        </w:rPr>
        <w:t>’</w:t>
      </w:r>
      <w:r w:rsidRPr="0035635E">
        <w:rPr>
          <w:lang w:val="fr-FR"/>
        </w:rPr>
        <w:t xml:space="preserve">échantillons </w:t>
      </w:r>
      <w:r>
        <w:rPr>
          <w:lang w:val="fr-FR"/>
        </w:rPr>
        <w:t>était</w:t>
      </w:r>
      <w:r w:rsidRPr="0035635E">
        <w:rPr>
          <w:lang w:val="fr-FR"/>
        </w:rPr>
        <w:t xml:space="preserve"> </w:t>
      </w:r>
      <w:r>
        <w:rPr>
          <w:lang w:val="fr-FR"/>
        </w:rPr>
        <w:t xml:space="preserve">indiquée </w:t>
      </w:r>
      <w:r w:rsidRPr="0035635E">
        <w:rPr>
          <w:lang w:val="fr-FR"/>
        </w:rPr>
        <w:t>dans le certificat d</w:t>
      </w:r>
      <w:r>
        <w:rPr>
          <w:lang w:val="fr-FR"/>
        </w:rPr>
        <w:t>’</w:t>
      </w:r>
      <w:r w:rsidRPr="0035635E">
        <w:rPr>
          <w:lang w:val="fr-FR"/>
        </w:rPr>
        <w:t>agrément, il devait se trouver à bord.</w:t>
      </w:r>
    </w:p>
    <w:p w14:paraId="2DCD34C5" w14:textId="77777777" w:rsidR="001A45AF" w:rsidRPr="0035635E" w:rsidRDefault="001A45AF" w:rsidP="001A45AF">
      <w:pPr>
        <w:pStyle w:val="SingleTxtG"/>
        <w:rPr>
          <w:lang w:val="fr-FR"/>
        </w:rPr>
      </w:pPr>
      <w:r w:rsidRPr="0035635E">
        <w:rPr>
          <w:lang w:val="fr-FR"/>
        </w:rPr>
        <w:t>14.</w:t>
      </w:r>
      <w:r w:rsidRPr="0035635E">
        <w:rPr>
          <w:lang w:val="fr-FR"/>
        </w:rPr>
        <w:tab/>
        <w:t>Le CRS a demandé si le système de ventilation des cales à cargaison sur les navires à cargaison sèche devait toujours être présent, même lorsqu</w:t>
      </w:r>
      <w:r>
        <w:rPr>
          <w:lang w:val="fr-FR"/>
        </w:rPr>
        <w:t>’</w:t>
      </w:r>
      <w:r w:rsidRPr="0035635E">
        <w:rPr>
          <w:lang w:val="fr-FR"/>
        </w:rPr>
        <w:t>aucune marchandise visée par l</w:t>
      </w:r>
      <w:r>
        <w:rPr>
          <w:lang w:val="fr-FR"/>
        </w:rPr>
        <w:t>’</w:t>
      </w:r>
      <w:r w:rsidRPr="0035635E">
        <w:rPr>
          <w:lang w:val="fr-FR"/>
        </w:rPr>
        <w:t>ADN n</w:t>
      </w:r>
      <w:r>
        <w:rPr>
          <w:lang w:val="fr-FR"/>
        </w:rPr>
        <w:t>’</w:t>
      </w:r>
      <w:r w:rsidRPr="0035635E">
        <w:rPr>
          <w:lang w:val="fr-FR"/>
        </w:rPr>
        <w:t>é</w:t>
      </w:r>
      <w:r>
        <w:rPr>
          <w:lang w:val="fr-FR"/>
        </w:rPr>
        <w:t>t</w:t>
      </w:r>
      <w:r w:rsidRPr="0035635E">
        <w:rPr>
          <w:lang w:val="fr-FR"/>
        </w:rPr>
        <w:t xml:space="preserve">ait transportée. Il a été convenu que, conformément au 9.1.0.12.1, ce système de ventilation devait toujours être présent. Toutefois, il </w:t>
      </w:r>
      <w:r>
        <w:rPr>
          <w:lang w:val="fr-FR"/>
        </w:rPr>
        <w:t>pouvait</w:t>
      </w:r>
      <w:r w:rsidRPr="0035635E">
        <w:rPr>
          <w:lang w:val="fr-FR"/>
        </w:rPr>
        <w:t xml:space="preserve"> s</w:t>
      </w:r>
      <w:r>
        <w:rPr>
          <w:lang w:val="fr-FR"/>
        </w:rPr>
        <w:t>’</w:t>
      </w:r>
      <w:r w:rsidRPr="0035635E">
        <w:rPr>
          <w:lang w:val="fr-FR"/>
        </w:rPr>
        <w:t>agir d</w:t>
      </w:r>
      <w:r>
        <w:rPr>
          <w:lang w:val="fr-FR"/>
        </w:rPr>
        <w:t>’</w:t>
      </w:r>
      <w:r w:rsidRPr="0035635E">
        <w:rPr>
          <w:lang w:val="fr-FR"/>
        </w:rPr>
        <w:t>un système amovible.</w:t>
      </w:r>
    </w:p>
    <w:p w14:paraId="346E35D8" w14:textId="77777777" w:rsidR="001A45AF" w:rsidRPr="0035635E" w:rsidRDefault="001A45AF" w:rsidP="001A45AF">
      <w:pPr>
        <w:pStyle w:val="H23G"/>
        <w:rPr>
          <w:lang w:val="fr-FR"/>
        </w:rPr>
      </w:pPr>
      <w:r>
        <w:rPr>
          <w:bCs/>
          <w:lang w:val="fr-FR"/>
        </w:rPr>
        <w:lastRenderedPageBreak/>
        <w:tab/>
      </w:r>
      <w:r w:rsidRPr="0035635E">
        <w:rPr>
          <w:bCs/>
          <w:lang w:val="fr-FR"/>
        </w:rPr>
        <w:t>5.</w:t>
      </w:r>
      <w:r w:rsidRPr="0035635E">
        <w:rPr>
          <w:lang w:val="fr-FR"/>
        </w:rPr>
        <w:tab/>
      </w:r>
      <w:r w:rsidRPr="0035635E">
        <w:rPr>
          <w:bCs/>
          <w:lang w:val="fr-FR"/>
        </w:rPr>
        <w:t>Questions diverses</w:t>
      </w:r>
    </w:p>
    <w:p w14:paraId="031475DD" w14:textId="77777777" w:rsidR="001A45AF" w:rsidRPr="0035635E" w:rsidRDefault="001A45AF" w:rsidP="001A45AF">
      <w:pPr>
        <w:pStyle w:val="H4G"/>
        <w:rPr>
          <w:lang w:val="fr-FR"/>
        </w:rPr>
      </w:pPr>
      <w:r>
        <w:rPr>
          <w:iCs/>
          <w:lang w:val="fr-FR"/>
        </w:rPr>
        <w:tab/>
      </w:r>
      <w:r w:rsidRPr="0035635E">
        <w:rPr>
          <w:iCs/>
          <w:lang w:val="fr-FR"/>
        </w:rPr>
        <w:t>a)</w:t>
      </w:r>
      <w:r w:rsidRPr="0035635E">
        <w:rPr>
          <w:lang w:val="fr-FR"/>
        </w:rPr>
        <w:tab/>
      </w:r>
      <w:r w:rsidRPr="0035635E">
        <w:rPr>
          <w:iCs/>
          <w:lang w:val="fr-FR"/>
        </w:rPr>
        <w:t>Document 25.IG.02 (Proposition de correction du 7.2.2.19.3)</w:t>
      </w:r>
    </w:p>
    <w:p w14:paraId="42FA6352" w14:textId="173BDF3E" w:rsidR="001A45AF" w:rsidRPr="0035635E" w:rsidRDefault="001A45AF" w:rsidP="001A45AF">
      <w:pPr>
        <w:pStyle w:val="SingleTxtG"/>
        <w:rPr>
          <w:lang w:val="fr-FR"/>
        </w:rPr>
      </w:pPr>
      <w:r w:rsidRPr="0035635E">
        <w:rPr>
          <w:lang w:val="fr-FR"/>
        </w:rPr>
        <w:t>15.</w:t>
      </w:r>
      <w:r w:rsidRPr="0035635E">
        <w:rPr>
          <w:lang w:val="fr-FR"/>
        </w:rPr>
        <w:tab/>
        <w:t>À l</w:t>
      </w:r>
      <w:r>
        <w:rPr>
          <w:lang w:val="fr-FR"/>
        </w:rPr>
        <w:t>’</w:t>
      </w:r>
      <w:r w:rsidRPr="0035635E">
        <w:rPr>
          <w:lang w:val="fr-FR"/>
        </w:rPr>
        <w:t>issue d</w:t>
      </w:r>
      <w:r>
        <w:rPr>
          <w:lang w:val="fr-FR"/>
        </w:rPr>
        <w:t>’</w:t>
      </w:r>
      <w:r w:rsidRPr="0035635E">
        <w:rPr>
          <w:lang w:val="fr-FR"/>
        </w:rPr>
        <w:t>un débat, il a été décidé que le document devait contenir d</w:t>
      </w:r>
      <w:r>
        <w:rPr>
          <w:lang w:val="fr-FR"/>
        </w:rPr>
        <w:t>’</w:t>
      </w:r>
      <w:r w:rsidRPr="0035635E">
        <w:rPr>
          <w:lang w:val="fr-FR"/>
        </w:rPr>
        <w:t xml:space="preserve">autres corrections. </w:t>
      </w:r>
      <w:r>
        <w:rPr>
          <w:lang w:val="fr-FR"/>
        </w:rPr>
        <w:t>Il convenait également de prévoir des</w:t>
      </w:r>
      <w:r w:rsidRPr="0035635E">
        <w:rPr>
          <w:lang w:val="fr-FR"/>
        </w:rPr>
        <w:t xml:space="preserve"> dispositions transitoires. DNV inclurait ces éléments dans le document, </w:t>
      </w:r>
      <w:r>
        <w:rPr>
          <w:lang w:val="fr-FR"/>
        </w:rPr>
        <w:t>dont l’élaboration se poursuivrait</w:t>
      </w:r>
      <w:r w:rsidRPr="0035635E">
        <w:rPr>
          <w:lang w:val="fr-FR"/>
        </w:rPr>
        <w:t xml:space="preserve"> par courrier électronique. Il </w:t>
      </w:r>
      <w:r>
        <w:rPr>
          <w:lang w:val="fr-FR"/>
        </w:rPr>
        <w:t>était</w:t>
      </w:r>
      <w:r w:rsidRPr="0035635E">
        <w:rPr>
          <w:lang w:val="fr-FR"/>
        </w:rPr>
        <w:t xml:space="preserve"> prévu de soumettre le document en tant que document de travail au secrétariat de la CEE (</w:t>
      </w:r>
      <w:r w:rsidRPr="0035635E">
        <w:rPr>
          <w:b/>
          <w:bCs/>
          <w:lang w:val="fr-FR"/>
        </w:rPr>
        <w:t>tâche : DNV/BV</w:t>
      </w:r>
      <w:r w:rsidRPr="0035635E">
        <w:rPr>
          <w:lang w:val="fr-FR"/>
        </w:rPr>
        <w:t>).</w:t>
      </w:r>
    </w:p>
    <w:p w14:paraId="1AC117F0" w14:textId="7E62FD67" w:rsidR="001A45AF" w:rsidRPr="00A556D3" w:rsidRDefault="001A45AF" w:rsidP="001A45AF">
      <w:pPr>
        <w:pStyle w:val="H4G"/>
        <w:rPr>
          <w:lang w:val="en-US"/>
        </w:rPr>
      </w:pPr>
      <w:r>
        <w:rPr>
          <w:iCs/>
          <w:lang w:val="fr-FR"/>
        </w:rPr>
        <w:tab/>
      </w:r>
      <w:r w:rsidRPr="00A556D3">
        <w:rPr>
          <w:iCs/>
          <w:lang w:val="en-US"/>
        </w:rPr>
        <w:t>b)</w:t>
      </w:r>
      <w:r w:rsidRPr="00A556D3">
        <w:rPr>
          <w:lang w:val="en-US"/>
        </w:rPr>
        <w:tab/>
      </w:r>
      <w:r w:rsidRPr="00A556D3">
        <w:rPr>
          <w:iCs/>
          <w:lang w:val="en-US"/>
        </w:rPr>
        <w:t>Document 25.IG.03 (Pumproom/pump room/pump-room)</w:t>
      </w:r>
    </w:p>
    <w:p w14:paraId="7CBFFFD1" w14:textId="5E22C58D" w:rsidR="001A45AF" w:rsidRPr="0035635E" w:rsidRDefault="001A45AF" w:rsidP="001A45AF">
      <w:pPr>
        <w:pStyle w:val="SingleTxtG"/>
        <w:rPr>
          <w:lang w:val="fr-FR"/>
        </w:rPr>
      </w:pPr>
      <w:r w:rsidRPr="0035635E">
        <w:rPr>
          <w:lang w:val="fr-FR"/>
        </w:rPr>
        <w:t>16.</w:t>
      </w:r>
      <w:r w:rsidRPr="0035635E">
        <w:rPr>
          <w:lang w:val="fr-FR"/>
        </w:rPr>
        <w:tab/>
        <w:t>Comme</w:t>
      </w:r>
      <w:r>
        <w:rPr>
          <w:lang w:val="fr-FR"/>
        </w:rPr>
        <w:t xml:space="preserve"> les mots</w:t>
      </w:r>
      <w:r w:rsidRPr="0035635E">
        <w:rPr>
          <w:lang w:val="fr-FR"/>
        </w:rPr>
        <w:t xml:space="preserve"> susmentionnés </w:t>
      </w:r>
      <w:r>
        <w:rPr>
          <w:lang w:val="fr-FR"/>
        </w:rPr>
        <w:t xml:space="preserve">étaient aussi </w:t>
      </w:r>
      <w:r w:rsidRPr="0035635E">
        <w:rPr>
          <w:lang w:val="fr-FR"/>
        </w:rPr>
        <w:t>écrits de différentes manières</w:t>
      </w:r>
      <w:r w:rsidRPr="0035635E" w:rsidDel="00BA1D03">
        <w:rPr>
          <w:lang w:val="fr-FR"/>
        </w:rPr>
        <w:t xml:space="preserve"> </w:t>
      </w:r>
      <w:r w:rsidRPr="0035635E">
        <w:rPr>
          <w:lang w:val="fr-FR"/>
        </w:rPr>
        <w:t xml:space="preserve">dans les règles de classification de BV et de LR, </w:t>
      </w:r>
      <w:r>
        <w:rPr>
          <w:lang w:val="fr-FR"/>
        </w:rPr>
        <w:t>il n’y avait pas de</w:t>
      </w:r>
      <w:r w:rsidRPr="0035635E">
        <w:rPr>
          <w:lang w:val="fr-FR"/>
        </w:rPr>
        <w:t xml:space="preserve"> </w:t>
      </w:r>
      <w:r>
        <w:rPr>
          <w:lang w:val="fr-FR"/>
        </w:rPr>
        <w:t>solution</w:t>
      </w:r>
      <w:r w:rsidRPr="0035635E">
        <w:rPr>
          <w:lang w:val="fr-FR"/>
        </w:rPr>
        <w:t xml:space="preserve"> claire. BV enverrait un courrier électronique à ce sujet au secrétariat de la CEE pour lui demander de veiller à </w:t>
      </w:r>
      <w:r>
        <w:rPr>
          <w:lang w:val="fr-FR"/>
        </w:rPr>
        <w:t xml:space="preserve">ce qu’une formulation </w:t>
      </w:r>
      <w:r w:rsidRPr="0035635E">
        <w:rPr>
          <w:lang w:val="fr-FR"/>
        </w:rPr>
        <w:t xml:space="preserve">cohérente </w:t>
      </w:r>
      <w:r>
        <w:rPr>
          <w:lang w:val="fr-FR"/>
        </w:rPr>
        <w:t xml:space="preserve">soit employée </w:t>
      </w:r>
      <w:r w:rsidRPr="0035635E">
        <w:rPr>
          <w:lang w:val="fr-FR"/>
        </w:rPr>
        <w:t>(</w:t>
      </w:r>
      <w:r w:rsidRPr="0035635E">
        <w:rPr>
          <w:b/>
          <w:bCs/>
          <w:lang w:val="fr-FR"/>
        </w:rPr>
        <w:t>tâche : BV</w:t>
      </w:r>
      <w:r w:rsidRPr="0035635E">
        <w:rPr>
          <w:lang w:val="fr-FR"/>
        </w:rPr>
        <w:t>).</w:t>
      </w:r>
    </w:p>
    <w:p w14:paraId="6CC5E684" w14:textId="77777777" w:rsidR="001A45AF" w:rsidRPr="0035635E" w:rsidRDefault="001A45AF" w:rsidP="001A45AF">
      <w:pPr>
        <w:pStyle w:val="H4G"/>
        <w:rPr>
          <w:lang w:val="fr-FR"/>
        </w:rPr>
      </w:pPr>
      <w:r>
        <w:rPr>
          <w:iCs/>
          <w:lang w:val="fr-FR"/>
        </w:rPr>
        <w:tab/>
      </w:r>
      <w:r w:rsidRPr="0035635E">
        <w:rPr>
          <w:iCs/>
          <w:lang w:val="fr-FR"/>
        </w:rPr>
        <w:t>c)</w:t>
      </w:r>
      <w:r w:rsidRPr="0035635E">
        <w:rPr>
          <w:lang w:val="fr-FR"/>
        </w:rPr>
        <w:tab/>
      </w:r>
      <w:r w:rsidRPr="0035635E">
        <w:rPr>
          <w:iCs/>
          <w:lang w:val="fr-FR"/>
        </w:rPr>
        <w:t>Document 25.IG.04 (Correction du 9.3.2.51</w:t>
      </w:r>
      <w:r>
        <w:rPr>
          <w:iCs/>
          <w:lang w:val="fr-FR"/>
        </w:rPr>
        <w:t xml:space="preserve"> </w:t>
      </w:r>
      <w:r w:rsidRPr="0035635E">
        <w:rPr>
          <w:iCs/>
          <w:lang w:val="fr-FR"/>
        </w:rPr>
        <w:t>c))</w:t>
      </w:r>
    </w:p>
    <w:p w14:paraId="7F293DE0" w14:textId="77777777" w:rsidR="001A45AF" w:rsidRPr="0035635E" w:rsidRDefault="001A45AF" w:rsidP="001A45AF">
      <w:pPr>
        <w:pStyle w:val="SingleTxtG"/>
        <w:rPr>
          <w:lang w:val="fr-FR"/>
        </w:rPr>
      </w:pPr>
      <w:r w:rsidRPr="0035635E">
        <w:rPr>
          <w:lang w:val="fr-FR"/>
        </w:rPr>
        <w:t>17.</w:t>
      </w:r>
      <w:r w:rsidRPr="0035635E">
        <w:rPr>
          <w:lang w:val="fr-FR"/>
        </w:rPr>
        <w:tab/>
        <w:t>Tous les participants ont approuvé la proposition. BV soumettrait cette proposition au secrétariat de la CEE (</w:t>
      </w:r>
      <w:r w:rsidRPr="0035635E">
        <w:rPr>
          <w:b/>
          <w:bCs/>
          <w:lang w:val="fr-FR"/>
        </w:rPr>
        <w:t>tâche : BV</w:t>
      </w:r>
      <w:r w:rsidRPr="0035635E">
        <w:rPr>
          <w:lang w:val="fr-FR"/>
        </w:rPr>
        <w:t>).</w:t>
      </w:r>
    </w:p>
    <w:p w14:paraId="6C37B82D" w14:textId="77777777" w:rsidR="001A45AF" w:rsidRPr="0035635E" w:rsidRDefault="001A45AF" w:rsidP="001A45AF">
      <w:pPr>
        <w:pStyle w:val="H4G"/>
        <w:rPr>
          <w:lang w:val="fr-FR"/>
        </w:rPr>
      </w:pPr>
      <w:r>
        <w:rPr>
          <w:iCs/>
          <w:lang w:val="fr-FR"/>
        </w:rPr>
        <w:tab/>
      </w:r>
      <w:r w:rsidRPr="0035635E">
        <w:rPr>
          <w:iCs/>
          <w:lang w:val="fr-FR"/>
        </w:rPr>
        <w:t>d)</w:t>
      </w:r>
      <w:r w:rsidRPr="0035635E">
        <w:rPr>
          <w:lang w:val="fr-FR"/>
        </w:rPr>
        <w:tab/>
      </w:r>
      <w:r w:rsidRPr="0035635E">
        <w:rPr>
          <w:iCs/>
          <w:lang w:val="fr-FR"/>
        </w:rPr>
        <w:t>Document 25.IG.05 (Local de service)</w:t>
      </w:r>
    </w:p>
    <w:p w14:paraId="30A195A7" w14:textId="6E6CC615" w:rsidR="001A45AF" w:rsidRPr="0035635E" w:rsidRDefault="001A45AF" w:rsidP="001A45AF">
      <w:pPr>
        <w:pStyle w:val="SingleTxtG"/>
        <w:rPr>
          <w:lang w:val="fr-FR"/>
        </w:rPr>
      </w:pPr>
      <w:r w:rsidRPr="0035635E">
        <w:rPr>
          <w:lang w:val="fr-FR"/>
        </w:rPr>
        <w:t>18.</w:t>
      </w:r>
      <w:r w:rsidRPr="0035635E">
        <w:rPr>
          <w:lang w:val="fr-FR"/>
        </w:rPr>
        <w:tab/>
        <w:t>Tous les participants sont convenus qu</w:t>
      </w:r>
      <w:r>
        <w:rPr>
          <w:lang w:val="fr-FR"/>
        </w:rPr>
        <w:t>’</w:t>
      </w:r>
      <w:r w:rsidRPr="0035635E">
        <w:rPr>
          <w:lang w:val="fr-FR"/>
        </w:rPr>
        <w:t>une salle des machines pouvait être considérée comme un local de service. BV inclurait cette question dans la liste des interprétations examinée au point 2 c) (</w:t>
      </w:r>
      <w:r w:rsidRPr="0035635E">
        <w:rPr>
          <w:b/>
          <w:bCs/>
          <w:lang w:val="fr-FR"/>
        </w:rPr>
        <w:t>tâche : BV</w:t>
      </w:r>
      <w:r w:rsidRPr="0035635E">
        <w:rPr>
          <w:lang w:val="fr-FR"/>
        </w:rPr>
        <w:t>). À l</w:t>
      </w:r>
      <w:r>
        <w:rPr>
          <w:lang w:val="fr-FR"/>
        </w:rPr>
        <w:t>’</w:t>
      </w:r>
      <w:r w:rsidRPr="0035635E">
        <w:rPr>
          <w:lang w:val="fr-FR"/>
        </w:rPr>
        <w:t>issue d</w:t>
      </w:r>
      <w:r>
        <w:rPr>
          <w:lang w:val="fr-FR"/>
        </w:rPr>
        <w:t>’</w:t>
      </w:r>
      <w:r w:rsidRPr="0035635E">
        <w:rPr>
          <w:lang w:val="fr-FR"/>
        </w:rPr>
        <w:t>un débat, il a été également décidé d</w:t>
      </w:r>
      <w:r>
        <w:rPr>
          <w:lang w:val="fr-FR"/>
        </w:rPr>
        <w:t>’</w:t>
      </w:r>
      <w:r w:rsidRPr="0035635E">
        <w:rPr>
          <w:lang w:val="fr-FR"/>
        </w:rPr>
        <w:t xml:space="preserve">élaborer une proposition visant à incorporer la définition </w:t>
      </w:r>
      <w:r>
        <w:rPr>
          <w:lang w:val="fr-FR"/>
        </w:rPr>
        <w:t xml:space="preserve">de </w:t>
      </w:r>
      <w:r w:rsidR="00C16A88">
        <w:rPr>
          <w:lang w:val="fr-FR"/>
        </w:rPr>
        <w:t>« </w:t>
      </w:r>
      <w:r w:rsidRPr="0035635E">
        <w:rPr>
          <w:lang w:val="fr-FR"/>
        </w:rPr>
        <w:t>salle des machines</w:t>
      </w:r>
      <w:r w:rsidR="00C16A88">
        <w:rPr>
          <w:lang w:val="fr-FR"/>
        </w:rPr>
        <w:t> »</w:t>
      </w:r>
      <w:r w:rsidRPr="0035635E">
        <w:rPr>
          <w:lang w:val="fr-FR"/>
        </w:rPr>
        <w:t xml:space="preserve"> dans l</w:t>
      </w:r>
      <w:r>
        <w:rPr>
          <w:lang w:val="fr-FR"/>
        </w:rPr>
        <w:t>’</w:t>
      </w:r>
      <w:r w:rsidRPr="0035635E">
        <w:rPr>
          <w:lang w:val="fr-FR"/>
        </w:rPr>
        <w:t>ADN (</w:t>
      </w:r>
      <w:r w:rsidRPr="0035635E">
        <w:rPr>
          <w:b/>
          <w:bCs/>
          <w:lang w:val="fr-FR"/>
        </w:rPr>
        <w:t>tâche</w:t>
      </w:r>
      <w:r w:rsidR="00C16A88">
        <w:rPr>
          <w:b/>
          <w:bCs/>
          <w:lang w:val="fr-FR"/>
        </w:rPr>
        <w:t> </w:t>
      </w:r>
      <w:r w:rsidRPr="0035635E">
        <w:rPr>
          <w:b/>
          <w:bCs/>
          <w:lang w:val="fr-FR"/>
        </w:rPr>
        <w:t>:</w:t>
      </w:r>
      <w:r w:rsidR="00C16A88">
        <w:rPr>
          <w:b/>
          <w:bCs/>
          <w:lang w:val="fr-FR"/>
        </w:rPr>
        <w:t> </w:t>
      </w:r>
      <w:r w:rsidRPr="0035635E">
        <w:rPr>
          <w:b/>
          <w:bCs/>
          <w:lang w:val="fr-FR"/>
        </w:rPr>
        <w:t>BV</w:t>
      </w:r>
      <w:r w:rsidRPr="0035635E">
        <w:rPr>
          <w:lang w:val="fr-FR"/>
        </w:rPr>
        <w:t>).</w:t>
      </w:r>
    </w:p>
    <w:p w14:paraId="41F6F286" w14:textId="77777777" w:rsidR="001A45AF" w:rsidRPr="0035635E" w:rsidRDefault="001A45AF" w:rsidP="001A45AF">
      <w:pPr>
        <w:pStyle w:val="H4G"/>
        <w:rPr>
          <w:lang w:val="fr-FR"/>
        </w:rPr>
      </w:pPr>
      <w:r>
        <w:rPr>
          <w:iCs/>
          <w:lang w:val="fr-FR"/>
        </w:rPr>
        <w:tab/>
      </w:r>
      <w:r w:rsidRPr="0035635E">
        <w:rPr>
          <w:iCs/>
          <w:lang w:val="fr-FR"/>
        </w:rPr>
        <w:t>e)</w:t>
      </w:r>
      <w:r w:rsidRPr="0035635E">
        <w:rPr>
          <w:lang w:val="fr-FR"/>
        </w:rPr>
        <w:tab/>
      </w:r>
      <w:r>
        <w:rPr>
          <w:lang w:val="fr-FR"/>
        </w:rPr>
        <w:t xml:space="preserve">Question de </w:t>
      </w:r>
      <w:r w:rsidRPr="0035635E">
        <w:rPr>
          <w:iCs/>
          <w:lang w:val="fr-FR"/>
        </w:rPr>
        <w:t>BV sur les modalités d</w:t>
      </w:r>
      <w:r>
        <w:rPr>
          <w:iCs/>
          <w:lang w:val="fr-FR"/>
        </w:rPr>
        <w:t>’</w:t>
      </w:r>
      <w:r w:rsidRPr="0035635E">
        <w:rPr>
          <w:iCs/>
          <w:lang w:val="fr-FR"/>
        </w:rPr>
        <w:t>application des nouvelles prescriptions de l</w:t>
      </w:r>
      <w:r>
        <w:rPr>
          <w:iCs/>
          <w:lang w:val="fr-FR"/>
        </w:rPr>
        <w:t>’</w:t>
      </w:r>
      <w:r w:rsidRPr="0035635E">
        <w:rPr>
          <w:iCs/>
          <w:lang w:val="fr-FR"/>
        </w:rPr>
        <w:t>ADN</w:t>
      </w:r>
      <w:r w:rsidRPr="0035635E">
        <w:rPr>
          <w:lang w:val="fr-FR"/>
        </w:rPr>
        <w:t xml:space="preserve"> </w:t>
      </w:r>
    </w:p>
    <w:p w14:paraId="39C2C3C4" w14:textId="0F127BAB" w:rsidR="001A45AF" w:rsidRPr="0035635E" w:rsidRDefault="001A45AF" w:rsidP="001A45AF">
      <w:pPr>
        <w:pStyle w:val="SingleTxtG"/>
        <w:rPr>
          <w:lang w:val="fr-FR"/>
        </w:rPr>
      </w:pPr>
      <w:r w:rsidRPr="0035635E">
        <w:rPr>
          <w:lang w:val="fr-FR"/>
        </w:rPr>
        <w:t>19.</w:t>
      </w:r>
      <w:r w:rsidRPr="0035635E">
        <w:rPr>
          <w:lang w:val="fr-FR"/>
        </w:rPr>
        <w:tab/>
        <w:t>Selon le 1.6.1.1, la version précédente de l</w:t>
      </w:r>
      <w:r>
        <w:rPr>
          <w:lang w:val="fr-FR"/>
        </w:rPr>
        <w:t>’</w:t>
      </w:r>
      <w:r w:rsidRPr="0035635E">
        <w:rPr>
          <w:lang w:val="fr-FR"/>
        </w:rPr>
        <w:t>ADN pouvait encore être utilisée jusqu</w:t>
      </w:r>
      <w:r>
        <w:rPr>
          <w:lang w:val="fr-FR"/>
        </w:rPr>
        <w:t>’</w:t>
      </w:r>
      <w:r w:rsidRPr="0035635E">
        <w:rPr>
          <w:lang w:val="fr-FR"/>
        </w:rPr>
        <w:t>au 30</w:t>
      </w:r>
      <w:r w:rsidR="00C16A88">
        <w:rPr>
          <w:lang w:val="fr-FR"/>
        </w:rPr>
        <w:t> </w:t>
      </w:r>
      <w:r w:rsidRPr="0035635E">
        <w:rPr>
          <w:lang w:val="fr-FR"/>
        </w:rPr>
        <w:t xml:space="preserve">juin 2023. </w:t>
      </w:r>
      <w:r>
        <w:rPr>
          <w:lang w:val="fr-FR"/>
        </w:rPr>
        <w:t xml:space="preserve">Cela </w:t>
      </w:r>
      <w:r w:rsidRPr="0035635E">
        <w:rPr>
          <w:lang w:val="fr-FR"/>
        </w:rPr>
        <w:t>s</w:t>
      </w:r>
      <w:r>
        <w:rPr>
          <w:lang w:val="fr-FR"/>
        </w:rPr>
        <w:t>’</w:t>
      </w:r>
      <w:r w:rsidRPr="0035635E">
        <w:rPr>
          <w:lang w:val="fr-FR"/>
        </w:rPr>
        <w:t>appliqu</w:t>
      </w:r>
      <w:r>
        <w:rPr>
          <w:lang w:val="fr-FR"/>
        </w:rPr>
        <w:t>ait</w:t>
      </w:r>
      <w:r w:rsidRPr="0035635E">
        <w:rPr>
          <w:lang w:val="fr-FR"/>
        </w:rPr>
        <w:t xml:space="preserve"> aussi bien à la liste des marchandises </w:t>
      </w:r>
      <w:r>
        <w:rPr>
          <w:lang w:val="fr-FR"/>
        </w:rPr>
        <w:t>qu’aux dispositions</w:t>
      </w:r>
      <w:r w:rsidRPr="0035635E">
        <w:rPr>
          <w:lang w:val="fr-FR"/>
        </w:rPr>
        <w:t xml:space="preserve"> technique</w:t>
      </w:r>
      <w:r>
        <w:rPr>
          <w:lang w:val="fr-FR"/>
        </w:rPr>
        <w:t>s</w:t>
      </w:r>
      <w:r w:rsidRPr="0035635E">
        <w:rPr>
          <w:lang w:val="fr-FR"/>
        </w:rPr>
        <w:t xml:space="preserve">. </w:t>
      </w:r>
    </w:p>
    <w:p w14:paraId="7FDCFBCF" w14:textId="77777777" w:rsidR="001A45AF" w:rsidRPr="0035635E" w:rsidRDefault="001A45AF" w:rsidP="001A45AF">
      <w:pPr>
        <w:pStyle w:val="H23G"/>
        <w:rPr>
          <w:lang w:val="fr-FR"/>
        </w:rPr>
      </w:pPr>
      <w:r>
        <w:rPr>
          <w:bCs/>
          <w:lang w:val="fr-FR"/>
        </w:rPr>
        <w:tab/>
      </w:r>
      <w:r w:rsidRPr="0035635E">
        <w:rPr>
          <w:bCs/>
          <w:lang w:val="fr-FR"/>
        </w:rPr>
        <w:t>6.</w:t>
      </w:r>
      <w:r w:rsidRPr="0035635E">
        <w:rPr>
          <w:lang w:val="fr-FR"/>
        </w:rPr>
        <w:tab/>
      </w:r>
      <w:r w:rsidRPr="0035635E">
        <w:rPr>
          <w:bCs/>
          <w:lang w:val="fr-FR"/>
        </w:rPr>
        <w:t>Réunion suivante</w:t>
      </w:r>
    </w:p>
    <w:p w14:paraId="5BB52A96" w14:textId="66186BBF" w:rsidR="001A45AF" w:rsidRPr="0035635E" w:rsidRDefault="001A45AF" w:rsidP="001A45AF">
      <w:pPr>
        <w:pStyle w:val="SingleTxtG"/>
        <w:rPr>
          <w:lang w:val="fr-FR"/>
        </w:rPr>
      </w:pPr>
      <w:r w:rsidRPr="0035635E">
        <w:rPr>
          <w:lang w:val="fr-FR"/>
        </w:rPr>
        <w:t>20.</w:t>
      </w:r>
      <w:r w:rsidRPr="0035635E">
        <w:rPr>
          <w:lang w:val="fr-FR"/>
        </w:rPr>
        <w:tab/>
        <w:t>La réunion suivante se tiendra le mercredi 25</w:t>
      </w:r>
      <w:r w:rsidR="00C16A88">
        <w:rPr>
          <w:lang w:val="fr-FR"/>
        </w:rPr>
        <w:t> </w:t>
      </w:r>
      <w:r w:rsidRPr="0035635E">
        <w:rPr>
          <w:lang w:val="fr-FR"/>
        </w:rPr>
        <w:t>octobre 2023. Son format (en présentiel ou en ligne) sera décidé au début du mois d</w:t>
      </w:r>
      <w:r>
        <w:rPr>
          <w:lang w:val="fr-FR"/>
        </w:rPr>
        <w:t>’</w:t>
      </w:r>
      <w:r w:rsidRPr="0035635E">
        <w:rPr>
          <w:lang w:val="fr-FR"/>
        </w:rPr>
        <w:t>octobre 2023.</w:t>
      </w:r>
    </w:p>
    <w:p w14:paraId="502F9608" w14:textId="77777777" w:rsidR="001A45AF" w:rsidRPr="0035635E" w:rsidRDefault="001A45AF" w:rsidP="001A45AF">
      <w:pPr>
        <w:pStyle w:val="H23G"/>
        <w:rPr>
          <w:lang w:val="fr-FR"/>
        </w:rPr>
      </w:pPr>
      <w:r>
        <w:rPr>
          <w:bCs/>
          <w:lang w:val="fr-FR"/>
        </w:rPr>
        <w:tab/>
      </w:r>
      <w:r w:rsidRPr="0035635E">
        <w:rPr>
          <w:bCs/>
          <w:lang w:val="fr-FR"/>
        </w:rPr>
        <w:t>7.</w:t>
      </w:r>
      <w:r w:rsidRPr="0035635E">
        <w:rPr>
          <w:lang w:val="fr-FR"/>
        </w:rPr>
        <w:tab/>
      </w:r>
      <w:r w:rsidRPr="0035635E">
        <w:rPr>
          <w:bCs/>
          <w:lang w:val="fr-FR"/>
        </w:rPr>
        <w:t>Clôture</w:t>
      </w:r>
    </w:p>
    <w:p w14:paraId="4C9B8D11" w14:textId="01507B73" w:rsidR="001A45AF" w:rsidRDefault="001A45AF" w:rsidP="001A45AF">
      <w:pPr>
        <w:pStyle w:val="SingleTxtG"/>
        <w:rPr>
          <w:lang w:val="fr-FR"/>
        </w:rPr>
      </w:pPr>
      <w:r w:rsidRPr="0035635E">
        <w:rPr>
          <w:lang w:val="fr-FR"/>
        </w:rPr>
        <w:t>21.</w:t>
      </w:r>
      <w:r w:rsidRPr="0035635E">
        <w:rPr>
          <w:lang w:val="fr-FR"/>
        </w:rPr>
        <w:tab/>
        <w:t>Le Président a remercié tous les participants pour les échanges fructueux.</w:t>
      </w:r>
    </w:p>
    <w:p w14:paraId="079C9F61" w14:textId="3E420AC5" w:rsidR="00C16A88" w:rsidRPr="00C16A88" w:rsidRDefault="00C16A88" w:rsidP="00C16A88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C16A88" w:rsidRPr="00C16A88" w:rsidSect="001A45A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4B416" w14:textId="77777777" w:rsidR="00705FD3" w:rsidRDefault="00705FD3" w:rsidP="00F95C08">
      <w:pPr>
        <w:spacing w:line="240" w:lineRule="auto"/>
      </w:pPr>
    </w:p>
  </w:endnote>
  <w:endnote w:type="continuationSeparator" w:id="0">
    <w:p w14:paraId="741B9AEF" w14:textId="77777777" w:rsidR="00705FD3" w:rsidRPr="00AC3823" w:rsidRDefault="00705FD3" w:rsidP="00AC3823">
      <w:pPr>
        <w:pStyle w:val="Pieddepage"/>
      </w:pPr>
    </w:p>
  </w:endnote>
  <w:endnote w:type="continuationNotice" w:id="1">
    <w:p w14:paraId="2BA38FEA" w14:textId="77777777" w:rsidR="00705FD3" w:rsidRDefault="00705F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8B05" w14:textId="1FAB30EB" w:rsidR="001A45AF" w:rsidRPr="001A45AF" w:rsidRDefault="001A45AF" w:rsidP="001A45AF">
    <w:pPr>
      <w:pStyle w:val="Pieddepage"/>
      <w:tabs>
        <w:tab w:val="right" w:pos="9638"/>
      </w:tabs>
    </w:pPr>
    <w:r w:rsidRPr="001A45AF">
      <w:rPr>
        <w:b/>
        <w:sz w:val="18"/>
      </w:rPr>
      <w:fldChar w:fldCharType="begin"/>
    </w:r>
    <w:r w:rsidRPr="001A45AF">
      <w:rPr>
        <w:b/>
        <w:sz w:val="18"/>
      </w:rPr>
      <w:instrText xml:space="preserve"> PAGE  \* MERGEFORMAT </w:instrText>
    </w:r>
    <w:r w:rsidRPr="001A45AF">
      <w:rPr>
        <w:b/>
        <w:sz w:val="18"/>
      </w:rPr>
      <w:fldChar w:fldCharType="separate"/>
    </w:r>
    <w:r w:rsidRPr="001A45AF">
      <w:rPr>
        <w:b/>
        <w:noProof/>
        <w:sz w:val="18"/>
      </w:rPr>
      <w:t>2</w:t>
    </w:r>
    <w:r w:rsidRPr="001A45AF">
      <w:rPr>
        <w:b/>
        <w:sz w:val="18"/>
      </w:rPr>
      <w:fldChar w:fldCharType="end"/>
    </w:r>
    <w:r>
      <w:rPr>
        <w:b/>
        <w:sz w:val="18"/>
      </w:rPr>
      <w:tab/>
    </w:r>
    <w:r>
      <w:t>GE.23-09183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8D2D" w14:textId="060E8715" w:rsidR="001A45AF" w:rsidRPr="001A45AF" w:rsidRDefault="001A45AF" w:rsidP="001A45AF">
    <w:pPr>
      <w:pStyle w:val="Pieddepage"/>
      <w:tabs>
        <w:tab w:val="right" w:pos="9638"/>
      </w:tabs>
      <w:rPr>
        <w:b/>
        <w:sz w:val="18"/>
      </w:rPr>
    </w:pPr>
    <w:r>
      <w:t>GE.23-09183</w:t>
    </w:r>
    <w:r>
      <w:tab/>
    </w:r>
    <w:r w:rsidRPr="001A45AF">
      <w:rPr>
        <w:b/>
        <w:sz w:val="18"/>
      </w:rPr>
      <w:fldChar w:fldCharType="begin"/>
    </w:r>
    <w:r w:rsidRPr="001A45AF">
      <w:rPr>
        <w:b/>
        <w:sz w:val="18"/>
      </w:rPr>
      <w:instrText xml:space="preserve"> PAGE  \* MERGEFORMAT </w:instrText>
    </w:r>
    <w:r w:rsidRPr="001A45AF">
      <w:rPr>
        <w:b/>
        <w:sz w:val="18"/>
      </w:rPr>
      <w:fldChar w:fldCharType="separate"/>
    </w:r>
    <w:r w:rsidRPr="001A45AF">
      <w:rPr>
        <w:b/>
        <w:noProof/>
        <w:sz w:val="18"/>
      </w:rPr>
      <w:t>3</w:t>
    </w:r>
    <w:r w:rsidRPr="001A45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5B0D" w14:textId="2FE9E923" w:rsidR="007F20FA" w:rsidRPr="001A45AF" w:rsidRDefault="001A45AF" w:rsidP="001A45AF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B2C8A42" wp14:editId="4B380A6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23-09183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9A6FE49" wp14:editId="618BAC2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94959436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270623    270623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D7ED" w14:textId="77777777" w:rsidR="00705FD3" w:rsidRPr="00AC3823" w:rsidRDefault="00705FD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DA4902" w14:textId="77777777" w:rsidR="00705FD3" w:rsidRPr="00AC3823" w:rsidRDefault="00705FD3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36E5B84" w14:textId="77777777" w:rsidR="00705FD3" w:rsidRPr="00AC3823" w:rsidRDefault="00705FD3">
      <w:pPr>
        <w:spacing w:line="240" w:lineRule="auto"/>
        <w:rPr>
          <w:sz w:val="2"/>
          <w:szCs w:val="2"/>
        </w:rPr>
      </w:pPr>
    </w:p>
  </w:footnote>
  <w:footnote w:id="2">
    <w:p w14:paraId="6B6B5272" w14:textId="0C425495" w:rsidR="001A45AF" w:rsidRPr="00696448" w:rsidRDefault="001A45AF" w:rsidP="001A45AF">
      <w:pPr>
        <w:pStyle w:val="Notedebasdepage"/>
        <w:rPr>
          <w:lang w:val="fr-SN"/>
        </w:rPr>
      </w:pPr>
      <w:r>
        <w:rPr>
          <w:lang w:val="fr-FR"/>
        </w:rPr>
        <w:tab/>
        <w:t>*</w:t>
      </w:r>
      <w:r>
        <w:rPr>
          <w:lang w:val="fr-FR"/>
        </w:rPr>
        <w:tab/>
        <w:t>Diffusée en allemand par la Commission centrale pour la navigation du Rhin sous la cote CCNR</w:t>
      </w:r>
      <w:r w:rsidR="00C16A88">
        <w:rPr>
          <w:lang w:val="fr-FR"/>
        </w:rPr>
        <w:noBreakHyphen/>
      </w:r>
      <w:r>
        <w:rPr>
          <w:lang w:val="fr-FR"/>
        </w:rPr>
        <w:t>ZKR/ADN/WP.15/AC.2/2023/22.</w:t>
      </w:r>
    </w:p>
  </w:footnote>
  <w:footnote w:id="3">
    <w:p w14:paraId="0F46DF9F" w14:textId="77777777" w:rsidR="001A45AF" w:rsidRPr="004628AB" w:rsidRDefault="001A45AF" w:rsidP="001A45AF">
      <w:pPr>
        <w:pStyle w:val="Notedebasdepage"/>
      </w:pPr>
      <w:r>
        <w:rPr>
          <w:lang w:val="fr-FR"/>
        </w:rPr>
        <w:tab/>
        <w:t>**</w:t>
      </w:r>
      <w:r>
        <w:rPr>
          <w:lang w:val="fr-FR"/>
        </w:rPr>
        <w:tab/>
        <w:t>A/77/6 (Sect. 20), tableau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C784" w14:textId="4910D363" w:rsidR="001A45AF" w:rsidRPr="001A45AF" w:rsidRDefault="001A45AF">
    <w:pPr>
      <w:pStyle w:val="En-tte"/>
    </w:pPr>
    <w:fldSimple w:instr=" TITLE  \* MERGEFORMAT ">
      <w:r w:rsidR="004B6CD9">
        <w:t>ECE/TRANS/WP.15/AC.2/2023/22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C6A7" w14:textId="49E2CF78" w:rsidR="001A45AF" w:rsidRPr="001A45AF" w:rsidRDefault="001A45AF" w:rsidP="001A45AF">
    <w:pPr>
      <w:pStyle w:val="En-tte"/>
      <w:jc w:val="right"/>
    </w:pPr>
    <w:fldSimple w:instr=" TITLE  \* MERGEFORMAT ">
      <w:r w:rsidR="004B6CD9">
        <w:t>ECE/TRANS/WP.15/AC.2/2023/22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805123586">
    <w:abstractNumId w:val="12"/>
  </w:num>
  <w:num w:numId="2" w16cid:durableId="555161568">
    <w:abstractNumId w:val="11"/>
  </w:num>
  <w:num w:numId="3" w16cid:durableId="738477270">
    <w:abstractNumId w:val="10"/>
  </w:num>
  <w:num w:numId="4" w16cid:durableId="777214839">
    <w:abstractNumId w:val="8"/>
  </w:num>
  <w:num w:numId="5" w16cid:durableId="1372342307">
    <w:abstractNumId w:val="3"/>
  </w:num>
  <w:num w:numId="6" w16cid:durableId="819231192">
    <w:abstractNumId w:val="2"/>
  </w:num>
  <w:num w:numId="7" w16cid:durableId="1192962752">
    <w:abstractNumId w:val="1"/>
  </w:num>
  <w:num w:numId="8" w16cid:durableId="947546781">
    <w:abstractNumId w:val="0"/>
  </w:num>
  <w:num w:numId="9" w16cid:durableId="1151826958">
    <w:abstractNumId w:val="9"/>
  </w:num>
  <w:num w:numId="10" w16cid:durableId="374235043">
    <w:abstractNumId w:val="7"/>
  </w:num>
  <w:num w:numId="11" w16cid:durableId="729035939">
    <w:abstractNumId w:val="6"/>
  </w:num>
  <w:num w:numId="12" w16cid:durableId="681472411">
    <w:abstractNumId w:val="5"/>
  </w:num>
  <w:num w:numId="13" w16cid:durableId="649790123">
    <w:abstractNumId w:val="4"/>
  </w:num>
  <w:num w:numId="14" w16cid:durableId="928924804">
    <w:abstractNumId w:val="12"/>
  </w:num>
  <w:num w:numId="15" w16cid:durableId="862788242">
    <w:abstractNumId w:val="11"/>
  </w:num>
  <w:num w:numId="16" w16cid:durableId="20383915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D3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A45AF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B6CD9"/>
    <w:rsid w:val="004E2EED"/>
    <w:rsid w:val="004E468C"/>
    <w:rsid w:val="005505B7"/>
    <w:rsid w:val="00573BE5"/>
    <w:rsid w:val="00586ED3"/>
    <w:rsid w:val="00596AA9"/>
    <w:rsid w:val="00705FD3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16A88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45675"/>
  <w15:docId w15:val="{474F55AD-70C2-4630-84C0-2E5953AC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1A45AF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3</Pages>
  <Words>1066</Words>
  <Characters>5651</Characters>
  <Application>Microsoft Office Word</Application>
  <DocSecurity>0</DocSecurity>
  <Lines>113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ECE/TRANS/WP.15/AC.2/2023/22</dc:title>
  <dc:subject/>
  <dc:creator>Christine CHAUTAGNAT</dc:creator>
  <cp:keywords/>
  <cp:lastModifiedBy>Christine Chautagnat</cp:lastModifiedBy>
  <cp:revision>3</cp:revision>
  <cp:lastPrinted>2023-06-27T15:26:00Z</cp:lastPrinted>
  <dcterms:created xsi:type="dcterms:W3CDTF">2023-06-27T15:26:00Z</dcterms:created>
  <dcterms:modified xsi:type="dcterms:W3CDTF">2023-06-27T15:27:00Z</dcterms:modified>
</cp:coreProperties>
</file>