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E90038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83C379" w14:textId="77777777" w:rsidR="00F35BAF" w:rsidRPr="00DB58B5" w:rsidRDefault="00F35BAF" w:rsidP="00F015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FEEC20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595CAC0" w14:textId="18B0B94F" w:rsidR="00F35BAF" w:rsidRPr="00DB58B5" w:rsidRDefault="00F015D4" w:rsidP="00F015D4">
            <w:pPr>
              <w:jc w:val="right"/>
            </w:pPr>
            <w:r w:rsidRPr="00F015D4">
              <w:rPr>
                <w:sz w:val="40"/>
              </w:rPr>
              <w:t>ECE</w:t>
            </w:r>
            <w:r>
              <w:t>/TRANS/WP.15/AC.2/2023/18</w:t>
            </w:r>
          </w:p>
        </w:tc>
      </w:tr>
      <w:tr w:rsidR="00F35BAF" w:rsidRPr="00DB58B5" w14:paraId="573F3BB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E48C2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52331E0" wp14:editId="323D0D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E2089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B8E88E" w14:textId="77777777" w:rsidR="00F35BAF" w:rsidRDefault="00F015D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EEECB73" w14:textId="77777777" w:rsidR="00F015D4" w:rsidRDefault="00F015D4" w:rsidP="00F015D4">
            <w:pPr>
              <w:spacing w:line="240" w:lineRule="exact"/>
            </w:pPr>
            <w:r>
              <w:t>5 mai 2023</w:t>
            </w:r>
          </w:p>
          <w:p w14:paraId="3216B0F4" w14:textId="77777777" w:rsidR="00F015D4" w:rsidRDefault="00F015D4" w:rsidP="00F015D4">
            <w:pPr>
              <w:spacing w:line="240" w:lineRule="exact"/>
            </w:pPr>
            <w:r>
              <w:t>Français</w:t>
            </w:r>
          </w:p>
          <w:p w14:paraId="297060D3" w14:textId="31F43BDF" w:rsidR="00F015D4" w:rsidRPr="00DB58B5" w:rsidRDefault="00F015D4" w:rsidP="00F015D4">
            <w:pPr>
              <w:spacing w:line="240" w:lineRule="exact"/>
            </w:pPr>
            <w:r>
              <w:t>Original : anglais</w:t>
            </w:r>
          </w:p>
        </w:tc>
      </w:tr>
    </w:tbl>
    <w:p w14:paraId="2FE2DD1C" w14:textId="45C7F60F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015D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D4937C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A454C7" w14:textId="77777777" w:rsidR="00F015D4" w:rsidRPr="009E01B8" w:rsidRDefault="00F015D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03554651" w14:textId="106E998A" w:rsidR="00F015D4" w:rsidRPr="004812F5" w:rsidRDefault="00F015D4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 xml:space="preserve">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170A652E" w14:textId="77777777" w:rsidR="00F015D4" w:rsidRPr="00BE4C68" w:rsidRDefault="00F015D4" w:rsidP="00F015D4">
      <w:pPr>
        <w:spacing w:before="120"/>
        <w:rPr>
          <w:b/>
          <w:lang w:val="fr-FR"/>
        </w:rPr>
      </w:pPr>
      <w:r w:rsidRPr="00BE4C68">
        <w:rPr>
          <w:b/>
          <w:bCs/>
          <w:lang w:val="fr-FR"/>
        </w:rPr>
        <w:t>Quarante-deuxième session</w:t>
      </w:r>
    </w:p>
    <w:p w14:paraId="04D86151" w14:textId="77777777" w:rsidR="00F015D4" w:rsidRPr="00BE4C68" w:rsidRDefault="00F015D4" w:rsidP="00F015D4">
      <w:pPr>
        <w:rPr>
          <w:lang w:val="fr-FR"/>
        </w:rPr>
      </w:pPr>
      <w:r w:rsidRPr="00BE4C68">
        <w:rPr>
          <w:lang w:val="fr-FR"/>
        </w:rPr>
        <w:t>Genève, 21-25 août 2023</w:t>
      </w:r>
    </w:p>
    <w:p w14:paraId="7C1A1E77" w14:textId="1F309373" w:rsidR="00F015D4" w:rsidRPr="00BE4C68" w:rsidRDefault="00F015D4" w:rsidP="00F015D4">
      <w:pPr>
        <w:rPr>
          <w:lang w:val="fr-FR"/>
        </w:rPr>
      </w:pPr>
      <w:r w:rsidRPr="00BE4C68">
        <w:rPr>
          <w:lang w:val="fr-FR"/>
        </w:rPr>
        <w:t>Point 4 b) de l</w:t>
      </w:r>
      <w:r>
        <w:rPr>
          <w:lang w:val="fr-FR"/>
        </w:rPr>
        <w:t>’</w:t>
      </w:r>
      <w:r w:rsidRPr="00BE4C68">
        <w:rPr>
          <w:lang w:val="fr-FR"/>
        </w:rPr>
        <w:t>ordre du jour provisoire</w:t>
      </w:r>
    </w:p>
    <w:p w14:paraId="110FA45C" w14:textId="24192E28" w:rsidR="00F015D4" w:rsidRPr="00BE4C68" w:rsidRDefault="00F015D4" w:rsidP="00F015D4">
      <w:pPr>
        <w:rPr>
          <w:b/>
          <w:bCs/>
          <w:lang w:val="fr-FR"/>
        </w:rPr>
      </w:pPr>
      <w:r w:rsidRPr="00BE4C68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BE4C68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BE4C68">
        <w:rPr>
          <w:b/>
          <w:bCs/>
          <w:lang w:val="fr-FR"/>
        </w:rPr>
        <w:t xml:space="preserve">ADN : </w:t>
      </w:r>
      <w:r>
        <w:rPr>
          <w:b/>
          <w:bCs/>
          <w:lang w:val="fr-FR"/>
        </w:rPr>
        <w:br/>
      </w:r>
      <w:r w:rsidRPr="00BE4C68">
        <w:rPr>
          <w:b/>
          <w:bCs/>
          <w:lang w:val="fr-FR"/>
        </w:rPr>
        <w:t>autres propositions</w:t>
      </w:r>
    </w:p>
    <w:p w14:paraId="2EAC2393" w14:textId="77777777" w:rsidR="00F015D4" w:rsidRPr="00BE4C68" w:rsidRDefault="00F015D4" w:rsidP="00F015D4">
      <w:pPr>
        <w:pStyle w:val="HChG"/>
        <w:rPr>
          <w:lang w:val="fr-FR"/>
        </w:rPr>
      </w:pPr>
      <w:r w:rsidRPr="00BE4C68">
        <w:rPr>
          <w:lang w:val="fr-FR"/>
        </w:rPr>
        <w:tab/>
      </w:r>
      <w:r w:rsidRPr="00BE4C68">
        <w:rPr>
          <w:lang w:val="fr-FR"/>
        </w:rPr>
        <w:tab/>
      </w:r>
      <w:r w:rsidRPr="00BE4C68">
        <w:rPr>
          <w:bCs/>
          <w:lang w:val="fr-FR"/>
        </w:rPr>
        <w:t>Proposition de correction du paragraphe 7.2.2.19.3</w:t>
      </w:r>
    </w:p>
    <w:p w14:paraId="1CDD8836" w14:textId="7EA30149" w:rsidR="00F015D4" w:rsidRPr="00BE4C68" w:rsidRDefault="00F015D4" w:rsidP="00F015D4">
      <w:pPr>
        <w:pStyle w:val="H1G"/>
        <w:rPr>
          <w:lang w:val="fr-FR"/>
        </w:rPr>
      </w:pPr>
      <w:r w:rsidRPr="00BE4C68">
        <w:rPr>
          <w:lang w:val="fr-FR"/>
        </w:rPr>
        <w:tab/>
      </w:r>
      <w:r w:rsidRPr="00BE4C68">
        <w:rPr>
          <w:lang w:val="fr-FR"/>
        </w:rPr>
        <w:tab/>
        <w:t xml:space="preserve">Communication du groupe de travail informel </w:t>
      </w:r>
      <w:r w:rsidRPr="00F015D4">
        <w:t>des</w:t>
      </w:r>
      <w:r w:rsidRPr="00BE4C68">
        <w:rPr>
          <w:lang w:val="fr-FR"/>
        </w:rPr>
        <w:t xml:space="preserve"> sociétés </w:t>
      </w:r>
      <w:r>
        <w:rPr>
          <w:lang w:val="fr-FR"/>
        </w:rPr>
        <w:br/>
      </w:r>
      <w:r w:rsidRPr="00BE4C68">
        <w:rPr>
          <w:lang w:val="fr-FR"/>
        </w:rPr>
        <w:t>de classification ADN recommandées</w:t>
      </w:r>
      <w:r w:rsidRPr="00F015D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F015D4">
        <w:rPr>
          <w:b w:val="0"/>
          <w:bCs/>
          <w:position w:val="6"/>
          <w:sz w:val="20"/>
          <w:lang w:val="fr-FR"/>
        </w:rPr>
        <w:t>,</w:t>
      </w:r>
      <w:r>
        <w:rPr>
          <w:vertAlign w:val="superscript"/>
          <w:lang w:val="fr-FR"/>
        </w:rPr>
        <w:t xml:space="preserve"> </w:t>
      </w:r>
      <w:r w:rsidRPr="00F015D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0C5FB6D0" w14:textId="53CB437E" w:rsidR="00F9573C" w:rsidRDefault="00F015D4" w:rsidP="00F015D4">
      <w:pPr>
        <w:pStyle w:val="HChG"/>
        <w:rPr>
          <w:lang w:val="fr-FR"/>
        </w:rPr>
      </w:pPr>
      <w:r w:rsidRPr="00BE4C68">
        <w:rPr>
          <w:lang w:val="fr-FR"/>
        </w:rPr>
        <w:tab/>
      </w:r>
      <w:r w:rsidRPr="00BE4C68">
        <w:rPr>
          <w:lang w:val="fr-FR"/>
        </w:rPr>
        <w:tab/>
        <w:t>Introduction</w:t>
      </w:r>
    </w:p>
    <w:p w14:paraId="045F0F7F" w14:textId="0CA62F2F" w:rsidR="00F015D4" w:rsidRPr="00BE4C68" w:rsidRDefault="00F015D4" w:rsidP="00F015D4">
      <w:pPr>
        <w:pStyle w:val="SingleTxtG"/>
        <w:rPr>
          <w:lang w:val="fr-FR"/>
        </w:rPr>
      </w:pPr>
      <w:r w:rsidRPr="00BE4C68">
        <w:rPr>
          <w:lang w:val="fr-FR"/>
        </w:rPr>
        <w:t>1.</w:t>
      </w:r>
      <w:r w:rsidRPr="00BE4C68">
        <w:rPr>
          <w:lang w:val="fr-FR"/>
        </w:rPr>
        <w:tab/>
        <w:t>À sa vingt-cinquième réunion, le groupe de travail informel des sociétés de classification ADN recommandées a examiné le paragraphe 7.2.2.19.3</w:t>
      </w:r>
      <w:r>
        <w:rPr>
          <w:lang w:val="fr-FR"/>
        </w:rPr>
        <w:t>,</w:t>
      </w:r>
      <w:r w:rsidRPr="00BE4C68">
        <w:rPr>
          <w:lang w:val="fr-FR"/>
        </w:rPr>
        <w:t xml:space="preserve"> </w:t>
      </w:r>
      <w:r>
        <w:rPr>
          <w:lang w:val="fr-FR"/>
        </w:rPr>
        <w:t>où sont définies</w:t>
      </w:r>
      <w:r w:rsidRPr="00BE4C68">
        <w:rPr>
          <w:lang w:val="fr-FR"/>
        </w:rPr>
        <w:t xml:space="preserve"> </w:t>
      </w:r>
      <w:r>
        <w:rPr>
          <w:lang w:val="fr-FR"/>
        </w:rPr>
        <w:t>l</w:t>
      </w:r>
      <w:r w:rsidRPr="00BE4C68">
        <w:rPr>
          <w:lang w:val="fr-FR"/>
        </w:rPr>
        <w:t>es prescriptions applicables aux bateaux utilisés pour la propulsion d</w:t>
      </w:r>
      <w:r>
        <w:rPr>
          <w:lang w:val="fr-FR"/>
        </w:rPr>
        <w:t>’</w:t>
      </w:r>
      <w:r w:rsidRPr="00BE4C68">
        <w:rPr>
          <w:lang w:val="fr-FR"/>
        </w:rPr>
        <w:t>un convoi poussé ou d</w:t>
      </w:r>
      <w:r>
        <w:rPr>
          <w:lang w:val="fr-FR"/>
        </w:rPr>
        <w:t>’</w:t>
      </w:r>
      <w:r w:rsidRPr="00BE4C68">
        <w:rPr>
          <w:lang w:val="fr-FR"/>
        </w:rPr>
        <w:t xml:space="preserve">une formation à couple </w:t>
      </w:r>
      <w:r>
        <w:rPr>
          <w:lang w:val="fr-FR"/>
        </w:rPr>
        <w:t xml:space="preserve">qui </w:t>
      </w:r>
      <w:r w:rsidRPr="00BE4C68">
        <w:rPr>
          <w:lang w:val="fr-FR"/>
        </w:rPr>
        <w:t>comport</w:t>
      </w:r>
      <w:r>
        <w:rPr>
          <w:lang w:val="fr-FR"/>
        </w:rPr>
        <w:t>e</w:t>
      </w:r>
      <w:r w:rsidRPr="00BE4C68">
        <w:rPr>
          <w:lang w:val="fr-FR"/>
        </w:rPr>
        <w:t xml:space="preserve"> un bateau-citerne transportant des matières dangereuses. Il a </w:t>
      </w:r>
      <w:r>
        <w:rPr>
          <w:lang w:val="fr-FR"/>
        </w:rPr>
        <w:t>alors constaté</w:t>
      </w:r>
      <w:r w:rsidRPr="00BE4C68">
        <w:rPr>
          <w:lang w:val="fr-FR"/>
        </w:rPr>
        <w:t xml:space="preserve"> qu</w:t>
      </w:r>
      <w:r>
        <w:rPr>
          <w:lang w:val="fr-FR"/>
        </w:rPr>
        <w:t>’</w:t>
      </w:r>
      <w:r w:rsidRPr="00BE4C68">
        <w:rPr>
          <w:lang w:val="fr-FR"/>
        </w:rPr>
        <w:t xml:space="preserve">au cours des différentes renumérotations et adaptations de la partie 9 </w:t>
      </w:r>
      <w:r>
        <w:rPr>
          <w:lang w:val="fr-FR"/>
        </w:rPr>
        <w:t>auxquelles il avait été procédé</w:t>
      </w:r>
      <w:r w:rsidRPr="00BE4C68">
        <w:rPr>
          <w:lang w:val="fr-FR"/>
        </w:rPr>
        <w:t xml:space="preserve"> ces dernières années, certains </w:t>
      </w:r>
      <w:r>
        <w:rPr>
          <w:lang w:val="fr-FR"/>
        </w:rPr>
        <w:t>des renvois figurant</w:t>
      </w:r>
      <w:r w:rsidRPr="00BE4C68">
        <w:rPr>
          <w:lang w:val="fr-FR"/>
        </w:rPr>
        <w:t xml:space="preserve"> au paragraphe 7.2.2.19.3 n</w:t>
      </w:r>
      <w:r>
        <w:rPr>
          <w:lang w:val="fr-FR"/>
        </w:rPr>
        <w:t>’</w:t>
      </w:r>
      <w:r>
        <w:rPr>
          <w:lang w:val="fr-FR"/>
        </w:rPr>
        <w:t>avaie</w:t>
      </w:r>
      <w:r w:rsidRPr="00BE4C68">
        <w:rPr>
          <w:lang w:val="fr-FR"/>
        </w:rPr>
        <w:t xml:space="preserve">nt pas été correctement </w:t>
      </w:r>
      <w:r>
        <w:rPr>
          <w:lang w:val="fr-FR"/>
        </w:rPr>
        <w:t>mis à jour</w:t>
      </w:r>
      <w:r w:rsidRPr="00BE4C68">
        <w:rPr>
          <w:lang w:val="fr-FR"/>
        </w:rPr>
        <w:t xml:space="preserve">. </w:t>
      </w:r>
      <w:r>
        <w:rPr>
          <w:lang w:val="fr-FR"/>
        </w:rPr>
        <w:t>Compte tenu de l</w:t>
      </w:r>
      <w:r>
        <w:rPr>
          <w:lang w:val="fr-FR"/>
        </w:rPr>
        <w:t>’</w:t>
      </w:r>
      <w:r>
        <w:rPr>
          <w:lang w:val="fr-FR"/>
        </w:rPr>
        <w:t>analyse du contenu d</w:t>
      </w:r>
      <w:r w:rsidRPr="00BE4C68">
        <w:rPr>
          <w:lang w:val="fr-FR"/>
        </w:rPr>
        <w:t>es prescriptions</w:t>
      </w:r>
      <w:r>
        <w:rPr>
          <w:lang w:val="fr-FR"/>
        </w:rPr>
        <w:t xml:space="preserve">, le </w:t>
      </w:r>
      <w:r w:rsidRPr="00BE4C68">
        <w:rPr>
          <w:lang w:val="fr-FR"/>
        </w:rPr>
        <w:t>groupe</w:t>
      </w:r>
      <w:r>
        <w:rPr>
          <w:lang w:val="fr-FR"/>
        </w:rPr>
        <w:t xml:space="preserve"> est d</w:t>
      </w:r>
      <w:r>
        <w:rPr>
          <w:lang w:val="fr-FR"/>
        </w:rPr>
        <w:t>’</w:t>
      </w:r>
      <w:r>
        <w:rPr>
          <w:lang w:val="fr-FR"/>
        </w:rPr>
        <w:t>avis que</w:t>
      </w:r>
      <w:r w:rsidRPr="00BE4C68">
        <w:rPr>
          <w:lang w:val="fr-FR"/>
        </w:rPr>
        <w:t xml:space="preserve"> les </w:t>
      </w:r>
      <w:r>
        <w:rPr>
          <w:lang w:val="fr-FR"/>
        </w:rPr>
        <w:t>renvois</w:t>
      </w:r>
      <w:r w:rsidRPr="00BE4C68">
        <w:rPr>
          <w:lang w:val="fr-FR"/>
        </w:rPr>
        <w:t xml:space="preserve"> figurant en caractères gras</w:t>
      </w:r>
      <w:r>
        <w:rPr>
          <w:lang w:val="fr-FR"/>
        </w:rPr>
        <w:t xml:space="preserve"> ci-après</w:t>
      </w:r>
      <w:r w:rsidRPr="00BE4C68">
        <w:rPr>
          <w:lang w:val="fr-FR"/>
        </w:rPr>
        <w:t xml:space="preserve"> doivent être corrigés :</w:t>
      </w:r>
    </w:p>
    <w:p w14:paraId="4DE238CD" w14:textId="342B6BD6" w:rsidR="00F015D4" w:rsidRPr="008A0757" w:rsidRDefault="00F015D4" w:rsidP="00F015D4">
      <w:pPr>
        <w:pStyle w:val="SingleTxtG"/>
        <w:ind w:left="1701"/>
        <w:rPr>
          <w:spacing w:val="-2"/>
          <w:lang w:val="fr-FR"/>
        </w:rPr>
      </w:pPr>
      <w:r w:rsidRPr="008A0757">
        <w:rPr>
          <w:spacing w:val="-2"/>
          <w:lang w:val="fr-FR"/>
        </w:rPr>
        <w:t xml:space="preserve">« 7.2.2.5, 8.1.4, 8.1.5, 8.1.6.1, 8.1.6.3, 8.1.7, 8.3.5, </w:t>
      </w:r>
      <w:r w:rsidRPr="008A0757">
        <w:rPr>
          <w:b/>
          <w:bCs/>
          <w:spacing w:val="-2"/>
          <w:lang w:val="fr-FR"/>
        </w:rPr>
        <w:t>9.3.3.0.1, 9.3.3.0.3.1, 9.3.3.0.5,</w:t>
      </w:r>
      <w:r w:rsidR="006A5CC5">
        <w:rPr>
          <w:b/>
          <w:bCs/>
          <w:spacing w:val="-2"/>
          <w:lang w:val="fr-FR"/>
        </w:rPr>
        <w:t xml:space="preserve"> </w:t>
      </w:r>
      <w:r w:rsidRPr="008A0757">
        <w:rPr>
          <w:spacing w:val="-2"/>
          <w:lang w:val="fr-FR"/>
        </w:rPr>
        <w:t>… ».</w:t>
      </w:r>
    </w:p>
    <w:p w14:paraId="7AA9FD1E" w14:textId="141B364D" w:rsidR="00F015D4" w:rsidRPr="00BE4C68" w:rsidRDefault="00F015D4" w:rsidP="00F015D4">
      <w:pPr>
        <w:pStyle w:val="SingleTxtG"/>
        <w:rPr>
          <w:lang w:val="fr-FR"/>
        </w:rPr>
      </w:pPr>
      <w:r w:rsidRPr="00BE4C68">
        <w:rPr>
          <w:lang w:val="fr-FR"/>
        </w:rPr>
        <w:t>2.</w:t>
      </w:r>
      <w:r w:rsidRPr="00BE4C68">
        <w:rPr>
          <w:lang w:val="fr-FR"/>
        </w:rPr>
        <w:tab/>
        <w:t xml:space="preserve">À titre de référence, le groupe a comparé les prescriptions </w:t>
      </w:r>
      <w:r>
        <w:rPr>
          <w:lang w:val="fr-FR"/>
        </w:rPr>
        <w:t>auxquelles renvoie le</w:t>
      </w:r>
      <w:r w:rsidRPr="00BE4C68">
        <w:rPr>
          <w:lang w:val="fr-FR"/>
        </w:rPr>
        <w:t xml:space="preserve"> 7.2.2.19.3 de l</w:t>
      </w:r>
      <w:r>
        <w:rPr>
          <w:lang w:val="fr-FR"/>
        </w:rPr>
        <w:t>’</w:t>
      </w:r>
      <w:r w:rsidRPr="00BE4C68">
        <w:rPr>
          <w:lang w:val="fr-FR"/>
        </w:rPr>
        <w:t>édition 2009 de l</w:t>
      </w:r>
      <w:r>
        <w:rPr>
          <w:lang w:val="fr-FR"/>
        </w:rPr>
        <w:t>’</w:t>
      </w:r>
      <w:r w:rsidRPr="00BE4C68">
        <w:rPr>
          <w:lang w:val="fr-FR"/>
        </w:rPr>
        <w:t>ADN avec le</w:t>
      </w:r>
      <w:r>
        <w:rPr>
          <w:lang w:val="fr-FR"/>
        </w:rPr>
        <w:t>s prescriptions</w:t>
      </w:r>
      <w:r w:rsidRPr="00BE4C68">
        <w:rPr>
          <w:lang w:val="fr-FR"/>
        </w:rPr>
        <w:t xml:space="preserve"> </w:t>
      </w:r>
      <w:r>
        <w:rPr>
          <w:lang w:val="fr-FR"/>
        </w:rPr>
        <w:t>auxquelles renvoie le libellé actuel. Il a repéré</w:t>
      </w:r>
      <w:r w:rsidRPr="00BE4C68">
        <w:rPr>
          <w:lang w:val="fr-FR"/>
        </w:rPr>
        <w:t xml:space="preserve"> les divergences </w:t>
      </w:r>
      <w:r>
        <w:rPr>
          <w:lang w:val="fr-FR"/>
        </w:rPr>
        <w:t>répertoriées ci-après</w:t>
      </w:r>
      <w:r w:rsidRPr="00BE4C68">
        <w:rPr>
          <w:lang w:val="fr-FR"/>
        </w:rPr>
        <w:t>.</w:t>
      </w:r>
    </w:p>
    <w:p w14:paraId="66605046" w14:textId="77777777" w:rsidR="00F015D4" w:rsidRPr="00BE4C68" w:rsidRDefault="00F015D4" w:rsidP="00F015D4">
      <w:pPr>
        <w:pStyle w:val="SingleTxtG"/>
        <w:pageBreakBefore/>
        <w:rPr>
          <w:lang w:val="fr-FR"/>
        </w:rPr>
      </w:pPr>
      <w:r w:rsidRPr="00BE4C68">
        <w:rPr>
          <w:lang w:val="fr-FR"/>
        </w:rPr>
        <w:lastRenderedPageBreak/>
        <w:t>3.</w:t>
      </w:r>
      <w:r w:rsidRPr="00BE4C68">
        <w:rPr>
          <w:lang w:val="fr-FR"/>
        </w:rPr>
        <w:tab/>
        <w:t>Un tableau comparatif est présenté ci-dessous :</w:t>
      </w:r>
    </w:p>
    <w:tbl>
      <w:tblPr>
        <w:tblStyle w:val="Grilledutableau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250"/>
        <w:gridCol w:w="2255"/>
      </w:tblGrid>
      <w:tr w:rsidR="00F015D4" w:rsidRPr="00C8030D" w14:paraId="024C5D86" w14:textId="77777777" w:rsidTr="00052A1F">
        <w:tc>
          <w:tcPr>
            <w:tcW w:w="5949" w:type="dxa"/>
          </w:tcPr>
          <w:p w14:paraId="17F46852" w14:textId="4791BEFF" w:rsidR="00F015D4" w:rsidRPr="00BE4C68" w:rsidRDefault="00F015D4" w:rsidP="00052A1F">
            <w:pPr>
              <w:pStyle w:val="SingleTxtG"/>
              <w:ind w:left="57" w:right="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Prescriptions auxquelles renvoie le 7.2.2.19.3</w:t>
            </w:r>
            <w:r w:rsidR="00052A1F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</w:t>
            </w:r>
            <w:r w:rsidRPr="00BE4C68">
              <w:rPr>
                <w:b/>
                <w:bCs/>
                <w:lang w:val="fr-FR"/>
              </w:rPr>
              <w:t xml:space="preserve"> l</w:t>
            </w:r>
            <w:r>
              <w:rPr>
                <w:b/>
                <w:bCs/>
                <w:lang w:val="fr-FR"/>
              </w:rPr>
              <w:t>’</w:t>
            </w:r>
            <w:r w:rsidRPr="00BE4C68">
              <w:rPr>
                <w:b/>
                <w:bCs/>
                <w:lang w:val="fr-FR"/>
              </w:rPr>
              <w:t>ADN 2009</w:t>
            </w:r>
          </w:p>
        </w:tc>
        <w:tc>
          <w:tcPr>
            <w:tcW w:w="2146" w:type="dxa"/>
          </w:tcPr>
          <w:p w14:paraId="1652D1EE" w14:textId="3D59077E" w:rsidR="00F015D4" w:rsidRPr="00BE4C68" w:rsidRDefault="00F015D4" w:rsidP="00052A1F">
            <w:pPr>
              <w:pStyle w:val="SingleTxtG"/>
              <w:ind w:left="57" w:right="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Paragraphes où sont énoncées les</w:t>
            </w:r>
            <w:r w:rsidRPr="00BE4C68">
              <w:rPr>
                <w:b/>
                <w:bCs/>
                <w:lang w:val="fr-FR"/>
              </w:rPr>
              <w:t xml:space="preserve"> mêmes prescriptions </w:t>
            </w:r>
            <w:r w:rsidR="00052A1F">
              <w:rPr>
                <w:b/>
                <w:bCs/>
                <w:lang w:val="fr-FR"/>
              </w:rPr>
              <w:br/>
            </w:r>
            <w:r w:rsidRPr="00BE4C68">
              <w:rPr>
                <w:b/>
                <w:bCs/>
                <w:lang w:val="fr-FR"/>
              </w:rPr>
              <w:t>dans l</w:t>
            </w:r>
            <w:r>
              <w:rPr>
                <w:b/>
                <w:bCs/>
                <w:lang w:val="fr-FR"/>
              </w:rPr>
              <w:t>’</w:t>
            </w:r>
            <w:r w:rsidRPr="00BE4C68">
              <w:rPr>
                <w:b/>
                <w:bCs/>
                <w:lang w:val="fr-FR"/>
              </w:rPr>
              <w:t>ADN 2023</w:t>
            </w:r>
          </w:p>
        </w:tc>
      </w:tr>
      <w:tr w:rsidR="00F015D4" w:rsidRPr="00BE4C68" w14:paraId="31F3FB94" w14:textId="77777777" w:rsidTr="00052A1F">
        <w:tc>
          <w:tcPr>
            <w:tcW w:w="5949" w:type="dxa"/>
          </w:tcPr>
          <w:p w14:paraId="46AC8AC9" w14:textId="77777777" w:rsidR="00F015D4" w:rsidRPr="00BE4C68" w:rsidRDefault="00F015D4" w:rsidP="00052A1F">
            <w:pPr>
              <w:pStyle w:val="SingleTxtG"/>
              <w:ind w:left="57" w:right="57"/>
              <w:rPr>
                <w:lang w:val="fr-FR"/>
              </w:rPr>
            </w:pPr>
            <w:r w:rsidRPr="00BE4C68">
              <w:rPr>
                <w:lang w:val="fr-FR"/>
              </w:rPr>
              <w:t>9.3.3.0.1 a) La coque et les citernes à cargaison doivent être construites en acier de construction navale ou en un autre métal de résistance au moins équivalente.</w:t>
            </w:r>
          </w:p>
        </w:tc>
        <w:tc>
          <w:tcPr>
            <w:tcW w:w="2146" w:type="dxa"/>
          </w:tcPr>
          <w:p w14:paraId="64552832" w14:textId="77777777" w:rsidR="00F015D4" w:rsidRPr="00BE4C68" w:rsidRDefault="00F015D4" w:rsidP="00052A1F">
            <w:pPr>
              <w:pStyle w:val="SingleTxtG"/>
              <w:ind w:left="57" w:right="57"/>
              <w:jc w:val="center"/>
              <w:rPr>
                <w:lang w:val="fr-FR"/>
              </w:rPr>
            </w:pPr>
            <w:r w:rsidRPr="00BE4C68">
              <w:rPr>
                <w:lang w:val="fr-FR"/>
              </w:rPr>
              <w:t>9.3.3.0.1.1</w:t>
            </w:r>
          </w:p>
        </w:tc>
      </w:tr>
      <w:tr w:rsidR="00F015D4" w:rsidRPr="00BE4C68" w14:paraId="4177AE50" w14:textId="77777777" w:rsidTr="00052A1F">
        <w:tc>
          <w:tcPr>
            <w:tcW w:w="5949" w:type="dxa"/>
          </w:tcPr>
          <w:p w14:paraId="78072871" w14:textId="033977F6" w:rsidR="00F015D4" w:rsidRPr="00BE4C68" w:rsidRDefault="00F015D4" w:rsidP="00052A1F">
            <w:pPr>
              <w:pStyle w:val="SingleTxtG"/>
              <w:ind w:left="57" w:right="57"/>
              <w:rPr>
                <w:lang w:val="fr-FR"/>
              </w:rPr>
            </w:pPr>
            <w:r w:rsidRPr="00BE4C68">
              <w:rPr>
                <w:lang w:val="fr-FR"/>
              </w:rPr>
              <w:t>Les citernes à cargaison indépendantes peuvent aussi être construites en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autres matériaux à condition que ces matériaux soient équivalents sur le plan des propriétés mécaniques et de la résistance aux effets de la température et du feu.</w:t>
            </w:r>
          </w:p>
        </w:tc>
        <w:tc>
          <w:tcPr>
            <w:tcW w:w="2146" w:type="dxa"/>
          </w:tcPr>
          <w:p w14:paraId="45A7626C" w14:textId="77777777" w:rsidR="00F015D4" w:rsidRPr="00BE4C68" w:rsidRDefault="00F015D4" w:rsidP="00052A1F">
            <w:pPr>
              <w:pStyle w:val="SingleTxtG"/>
              <w:ind w:left="57" w:right="57"/>
              <w:jc w:val="center"/>
              <w:rPr>
                <w:lang w:val="fr-FR"/>
              </w:rPr>
            </w:pPr>
            <w:r w:rsidRPr="00BE4C68">
              <w:rPr>
                <w:lang w:val="fr-FR"/>
              </w:rPr>
              <w:t>9.3.3.0.1.3</w:t>
            </w:r>
          </w:p>
        </w:tc>
      </w:tr>
      <w:tr w:rsidR="00F015D4" w:rsidRPr="00BE4C68" w14:paraId="504A4163" w14:textId="77777777" w:rsidTr="00052A1F">
        <w:tc>
          <w:tcPr>
            <w:tcW w:w="5949" w:type="dxa"/>
          </w:tcPr>
          <w:p w14:paraId="27670E2D" w14:textId="0CE62CA6" w:rsidR="00F015D4" w:rsidRPr="00BE4C68" w:rsidRDefault="00F015D4" w:rsidP="00052A1F">
            <w:pPr>
              <w:pStyle w:val="SingleTxtG"/>
              <w:ind w:left="57" w:right="57"/>
              <w:rPr>
                <w:lang w:val="fr-FR"/>
              </w:rPr>
            </w:pPr>
            <w:r w:rsidRPr="00BE4C68">
              <w:rPr>
                <w:lang w:val="fr-FR"/>
              </w:rPr>
              <w:t>9.3.3.0.1 b) Tous les installations, équipements et parties du bateau susceptibles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entrer en contact avec la cargaison doivent être construits avec des matériaux non susceptibles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être attaqués par la cargaison ni de provoquer de décomposition de celle-ci, ni de former avec celle-ci de combinaisons nocives ou dangereuses.</w:t>
            </w:r>
          </w:p>
        </w:tc>
        <w:tc>
          <w:tcPr>
            <w:tcW w:w="2146" w:type="dxa"/>
          </w:tcPr>
          <w:p w14:paraId="3797A964" w14:textId="77777777" w:rsidR="00F015D4" w:rsidRPr="00BE4C68" w:rsidRDefault="00F015D4" w:rsidP="00052A1F">
            <w:pPr>
              <w:pStyle w:val="SingleTxtG"/>
              <w:ind w:left="57" w:right="57"/>
              <w:jc w:val="center"/>
              <w:rPr>
                <w:lang w:val="fr-FR"/>
              </w:rPr>
            </w:pPr>
            <w:r w:rsidRPr="00BE4C68">
              <w:rPr>
                <w:lang w:val="fr-FR"/>
              </w:rPr>
              <w:t>9.3.3.0.2</w:t>
            </w:r>
          </w:p>
        </w:tc>
      </w:tr>
      <w:tr w:rsidR="00F015D4" w:rsidRPr="00BE4C68" w14:paraId="4008FC45" w14:textId="77777777" w:rsidTr="00052A1F">
        <w:tc>
          <w:tcPr>
            <w:tcW w:w="5949" w:type="dxa"/>
          </w:tcPr>
          <w:p w14:paraId="4BBB478F" w14:textId="417BD56C" w:rsidR="00F015D4" w:rsidRPr="00BE4C68" w:rsidRDefault="00F015D4" w:rsidP="00052A1F">
            <w:pPr>
              <w:pStyle w:val="SingleTxtG"/>
              <w:ind w:left="57" w:right="57"/>
              <w:rPr>
                <w:lang w:val="fr-FR"/>
              </w:rPr>
            </w:pPr>
            <w:r w:rsidRPr="00BE4C68">
              <w:rPr>
                <w:lang w:val="fr-FR"/>
              </w:rPr>
              <w:t>9.3.3.0.1 c) L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intérieur des collecteurs et des tuyauteries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évacuation des gaz doit être protégé contre la corrosion.</w:t>
            </w:r>
          </w:p>
        </w:tc>
        <w:tc>
          <w:tcPr>
            <w:tcW w:w="2146" w:type="dxa"/>
          </w:tcPr>
          <w:p w14:paraId="6AB5158F" w14:textId="77777777" w:rsidR="00F015D4" w:rsidRPr="00BE4C68" w:rsidRDefault="00F015D4" w:rsidP="00052A1F">
            <w:pPr>
              <w:pStyle w:val="SingleTxtG"/>
              <w:ind w:left="57" w:right="57"/>
              <w:jc w:val="center"/>
              <w:rPr>
                <w:lang w:val="fr-FR"/>
              </w:rPr>
            </w:pPr>
            <w:r w:rsidRPr="00BE4C68">
              <w:rPr>
                <w:lang w:val="fr-FR"/>
              </w:rPr>
              <w:t>9.3.3.0.1.2</w:t>
            </w:r>
          </w:p>
        </w:tc>
      </w:tr>
      <w:tr w:rsidR="00F015D4" w:rsidRPr="00BE4C68" w14:paraId="3C370C44" w14:textId="77777777" w:rsidTr="00052A1F">
        <w:tc>
          <w:tcPr>
            <w:tcW w:w="5949" w:type="dxa"/>
          </w:tcPr>
          <w:p w14:paraId="33C2BD6E" w14:textId="04ADA1DE" w:rsidR="00F015D4" w:rsidRPr="00BE4C68" w:rsidRDefault="00F015D4" w:rsidP="00052A1F">
            <w:pPr>
              <w:pStyle w:val="SingleTxtG"/>
              <w:ind w:left="57" w:right="57"/>
              <w:rPr>
                <w:lang w:val="fr-FR"/>
              </w:rPr>
            </w:pPr>
            <w:r>
              <w:rPr>
                <w:lang w:val="fr-FR"/>
              </w:rPr>
              <w:t xml:space="preserve">9.3.3.0.3 </w:t>
            </w:r>
            <w:r w:rsidRPr="00BE4C68">
              <w:rPr>
                <w:lang w:val="fr-FR"/>
              </w:rPr>
              <w:t>d) Tous les matériaux utilisés pour les éléments fixes des logements ou de la timonerie, à l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exception des meubles, doivent être difficilement inflammables. Lors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un incendie, ils ne doivent pas dégager de fumées ou de gaz toxiques en quantités dangereuses.</w:t>
            </w:r>
          </w:p>
        </w:tc>
        <w:tc>
          <w:tcPr>
            <w:tcW w:w="2146" w:type="dxa"/>
          </w:tcPr>
          <w:p w14:paraId="50EA010C" w14:textId="77777777" w:rsidR="00F015D4" w:rsidRPr="00BE4C68" w:rsidRDefault="00F015D4" w:rsidP="00052A1F">
            <w:pPr>
              <w:pStyle w:val="SingleTxtG"/>
              <w:ind w:left="57" w:right="57"/>
              <w:jc w:val="center"/>
              <w:rPr>
                <w:lang w:val="fr-FR"/>
              </w:rPr>
            </w:pPr>
            <w:r w:rsidRPr="00BE4C68">
              <w:rPr>
                <w:lang w:val="fr-FR"/>
              </w:rPr>
              <w:t>9.3.3.0.6</w:t>
            </w:r>
          </w:p>
        </w:tc>
      </w:tr>
      <w:tr w:rsidR="00F015D4" w:rsidRPr="00BE4C68" w14:paraId="13DB0C22" w14:textId="77777777" w:rsidTr="00052A1F">
        <w:tc>
          <w:tcPr>
            <w:tcW w:w="5949" w:type="dxa"/>
          </w:tcPr>
          <w:p w14:paraId="26DE5D8D" w14:textId="6EFF52F9" w:rsidR="00F015D4" w:rsidRPr="00BE4C68" w:rsidRDefault="00F015D4" w:rsidP="00052A1F">
            <w:pPr>
              <w:pStyle w:val="SingleTxtG"/>
              <w:ind w:left="57" w:right="57"/>
              <w:rPr>
                <w:lang w:val="fr-FR"/>
              </w:rPr>
            </w:pPr>
            <w:r w:rsidRPr="00BE4C68">
              <w:rPr>
                <w:lang w:val="fr-FR"/>
              </w:rPr>
              <w:t>9.3.3.0.5 L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emploi de matières plastiques pour les canots n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est autorisé que si le matériau est difficilement inflammable.</w:t>
            </w:r>
          </w:p>
        </w:tc>
        <w:tc>
          <w:tcPr>
            <w:tcW w:w="2146" w:type="dxa"/>
          </w:tcPr>
          <w:p w14:paraId="3BB7C3B0" w14:textId="77777777" w:rsidR="00F015D4" w:rsidRPr="00BE4C68" w:rsidRDefault="00F015D4" w:rsidP="00052A1F">
            <w:pPr>
              <w:pStyle w:val="SingleTxtG"/>
              <w:ind w:left="57" w:right="57"/>
              <w:jc w:val="center"/>
              <w:rPr>
                <w:lang w:val="fr-FR"/>
              </w:rPr>
            </w:pPr>
            <w:r w:rsidRPr="00BE4C68">
              <w:rPr>
                <w:lang w:val="fr-FR"/>
              </w:rPr>
              <w:t xml:space="preserve">9.3.3.0.4 </w:t>
            </w:r>
            <w:r>
              <w:rPr>
                <w:lang w:val="fr-FR"/>
              </w:rPr>
              <w:t>(</w:t>
            </w:r>
            <w:r w:rsidRPr="00BE4C68">
              <w:rPr>
                <w:lang w:val="fr-FR"/>
              </w:rPr>
              <w:t>dernière ligne du tableau</w:t>
            </w:r>
            <w:r>
              <w:rPr>
                <w:lang w:val="fr-FR"/>
              </w:rPr>
              <w:t>)</w:t>
            </w:r>
          </w:p>
        </w:tc>
      </w:tr>
    </w:tbl>
    <w:p w14:paraId="5AA2FEE6" w14:textId="47B35E20" w:rsidR="00F015D4" w:rsidRPr="00BE4C68" w:rsidRDefault="00F015D4" w:rsidP="00052A1F">
      <w:pPr>
        <w:pStyle w:val="HChG"/>
        <w:rPr>
          <w:lang w:val="fr-FR"/>
        </w:rPr>
      </w:pPr>
      <w:r w:rsidRPr="00BE4C68">
        <w:rPr>
          <w:lang w:val="fr-FR"/>
        </w:rPr>
        <w:tab/>
      </w:r>
      <w:r w:rsidRPr="00BE4C68">
        <w:rPr>
          <w:lang w:val="fr-FR"/>
        </w:rPr>
        <w:tab/>
        <w:t>Proposition d</w:t>
      </w:r>
      <w:r>
        <w:rPr>
          <w:lang w:val="fr-FR"/>
        </w:rPr>
        <w:t>’</w:t>
      </w:r>
      <w:r w:rsidRPr="00BE4C68">
        <w:rPr>
          <w:lang w:val="fr-FR"/>
        </w:rPr>
        <w:t>amendement</w:t>
      </w:r>
    </w:p>
    <w:p w14:paraId="3A199AEB" w14:textId="1EF24DE9" w:rsidR="00F015D4" w:rsidRPr="00BE4C68" w:rsidRDefault="00F015D4" w:rsidP="00F015D4">
      <w:pPr>
        <w:pStyle w:val="SingleTxtG"/>
        <w:rPr>
          <w:lang w:val="fr-FR"/>
        </w:rPr>
      </w:pPr>
      <w:r w:rsidRPr="00BE4C68">
        <w:rPr>
          <w:lang w:val="fr-FR"/>
        </w:rPr>
        <w:t>4.</w:t>
      </w:r>
      <w:r w:rsidRPr="00BE4C68">
        <w:rPr>
          <w:lang w:val="fr-FR"/>
        </w:rPr>
        <w:tab/>
        <w:t>Le Comité de sécurité de l</w:t>
      </w:r>
      <w:r>
        <w:rPr>
          <w:lang w:val="fr-FR"/>
        </w:rPr>
        <w:t>’</w:t>
      </w:r>
      <w:r w:rsidRPr="00BE4C68">
        <w:rPr>
          <w:lang w:val="fr-FR"/>
        </w:rPr>
        <w:t>ADN est prié d</w:t>
      </w:r>
      <w:r>
        <w:rPr>
          <w:lang w:val="fr-FR"/>
        </w:rPr>
        <w:t>’</w:t>
      </w:r>
      <w:r w:rsidRPr="00BE4C68">
        <w:rPr>
          <w:lang w:val="fr-FR"/>
        </w:rPr>
        <w:t>examiner et d</w:t>
      </w:r>
      <w:r>
        <w:rPr>
          <w:lang w:val="fr-FR"/>
        </w:rPr>
        <w:t>’</w:t>
      </w:r>
      <w:r w:rsidRPr="00BE4C68">
        <w:rPr>
          <w:lang w:val="fr-FR"/>
        </w:rPr>
        <w:t>adopter l</w:t>
      </w:r>
      <w:r>
        <w:rPr>
          <w:lang w:val="fr-FR"/>
        </w:rPr>
        <w:t xml:space="preserve">es corrections </w:t>
      </w:r>
      <w:r w:rsidRPr="00BE4C68">
        <w:rPr>
          <w:lang w:val="fr-FR"/>
        </w:rPr>
        <w:t>ci</w:t>
      </w:r>
      <w:r w:rsidR="002941FC">
        <w:rPr>
          <w:lang w:val="fr-FR"/>
        </w:rPr>
        <w:noBreakHyphen/>
      </w:r>
      <w:r w:rsidRPr="00BE4C68">
        <w:rPr>
          <w:lang w:val="fr-FR"/>
        </w:rPr>
        <w:t>après</w:t>
      </w:r>
      <w:r>
        <w:rPr>
          <w:lang w:val="fr-FR"/>
        </w:rPr>
        <w:t>,</w:t>
      </w:r>
      <w:r w:rsidRPr="00BE4C68">
        <w:rPr>
          <w:lang w:val="fr-FR"/>
        </w:rPr>
        <w:t xml:space="preserve"> </w:t>
      </w:r>
      <w:r>
        <w:rPr>
          <w:lang w:val="fr-FR"/>
        </w:rPr>
        <w:t>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 w:rsidRPr="00BE4C68">
        <w:rPr>
          <w:lang w:val="fr-FR"/>
        </w:rPr>
        <w:t>apporter au 7.2.2.19.3 d</w:t>
      </w:r>
      <w:r>
        <w:rPr>
          <w:lang w:val="fr-FR"/>
        </w:rPr>
        <w:t>ans</w:t>
      </w:r>
      <w:r w:rsidRPr="00BE4C68">
        <w:rPr>
          <w:lang w:val="fr-FR"/>
        </w:rPr>
        <w:t xml:space="preserve"> la prochaine </w:t>
      </w:r>
      <w:r>
        <w:rPr>
          <w:lang w:val="fr-FR"/>
        </w:rPr>
        <w:t xml:space="preserve">édition </w:t>
      </w:r>
      <w:r w:rsidRPr="00BE4C68">
        <w:rPr>
          <w:lang w:val="fr-FR"/>
        </w:rPr>
        <w:t>de l</w:t>
      </w:r>
      <w:r>
        <w:rPr>
          <w:lang w:val="fr-FR"/>
        </w:rPr>
        <w:t>’</w:t>
      </w:r>
      <w:r w:rsidRPr="00BE4C68">
        <w:rPr>
          <w:lang w:val="fr-FR"/>
        </w:rPr>
        <w:t>ADN</w:t>
      </w:r>
      <w:r>
        <w:rPr>
          <w:lang w:val="fr-FR"/>
        </w:rPr>
        <w:t> :</w:t>
      </w:r>
    </w:p>
    <w:p w14:paraId="0358E94A" w14:textId="77777777" w:rsidR="00F015D4" w:rsidRPr="00052A1F" w:rsidRDefault="00F015D4" w:rsidP="00F015D4">
      <w:pPr>
        <w:pStyle w:val="SingleTxtG"/>
        <w:ind w:firstLine="567"/>
        <w:rPr>
          <w:spacing w:val="-1"/>
          <w:lang w:val="fr-FR"/>
        </w:rPr>
      </w:pPr>
      <w:r w:rsidRPr="00052A1F">
        <w:rPr>
          <w:spacing w:val="-1"/>
          <w:lang w:val="fr-FR"/>
        </w:rPr>
        <w:t>a)</w:t>
      </w:r>
      <w:r w:rsidRPr="00052A1F">
        <w:rPr>
          <w:spacing w:val="-1"/>
          <w:lang w:val="fr-FR"/>
        </w:rPr>
        <w:tab/>
        <w:t>Remplacer « 9.3.3.0.1 » par « 9.3.3.0.1.1, 9.3.3.0.1.2, 9.3.3.0.1.3 et 9.3.3.0.2 » ;</w:t>
      </w:r>
    </w:p>
    <w:p w14:paraId="04FA6D0A" w14:textId="14A33814" w:rsidR="00F015D4" w:rsidRPr="00BE4C68" w:rsidRDefault="00F015D4" w:rsidP="00F015D4">
      <w:pPr>
        <w:pStyle w:val="SingleTxtG"/>
        <w:ind w:firstLine="567"/>
        <w:rPr>
          <w:lang w:val="fr-FR"/>
        </w:rPr>
      </w:pPr>
      <w:r w:rsidRPr="00BE4C68">
        <w:rPr>
          <w:lang w:val="fr-FR"/>
        </w:rPr>
        <w:t>b)</w:t>
      </w:r>
      <w:r w:rsidRPr="00BE4C68">
        <w:rPr>
          <w:lang w:val="fr-FR"/>
        </w:rPr>
        <w:tab/>
        <w:t xml:space="preserve">Supprimer « 9.3.3.0.3.1 », </w:t>
      </w:r>
      <w:r>
        <w:rPr>
          <w:lang w:val="fr-FR"/>
        </w:rPr>
        <w:t>c</w:t>
      </w:r>
      <w:r w:rsidRPr="00BE4C68">
        <w:rPr>
          <w:lang w:val="fr-FR"/>
        </w:rPr>
        <w:t>e paragraphe n</w:t>
      </w:r>
      <w:r>
        <w:rPr>
          <w:lang w:val="fr-FR"/>
        </w:rPr>
        <w:t>’</w:t>
      </w:r>
      <w:r w:rsidRPr="00BE4C68">
        <w:rPr>
          <w:lang w:val="fr-FR"/>
        </w:rPr>
        <w:t>exist</w:t>
      </w:r>
      <w:r>
        <w:rPr>
          <w:lang w:val="fr-FR"/>
        </w:rPr>
        <w:t>ant</w:t>
      </w:r>
      <w:r w:rsidRPr="00BE4C68">
        <w:rPr>
          <w:lang w:val="fr-FR"/>
        </w:rPr>
        <w:t xml:space="preserve"> pas ;</w:t>
      </w:r>
    </w:p>
    <w:p w14:paraId="1635D21B" w14:textId="54AB10E2" w:rsidR="00F015D4" w:rsidRPr="00BE4C68" w:rsidRDefault="00F015D4" w:rsidP="00F015D4">
      <w:pPr>
        <w:pStyle w:val="SingleTxtG"/>
        <w:ind w:firstLine="567"/>
        <w:rPr>
          <w:lang w:val="fr-FR"/>
        </w:rPr>
      </w:pPr>
      <w:r w:rsidRPr="00BE4C68">
        <w:rPr>
          <w:lang w:val="fr-FR"/>
        </w:rPr>
        <w:t>c)</w:t>
      </w:r>
      <w:r w:rsidRPr="00BE4C68">
        <w:rPr>
          <w:lang w:val="fr-FR"/>
        </w:rPr>
        <w:tab/>
        <w:t xml:space="preserve">Remplacer « 9.3.3.0.5 » par « 9.3.3.0.4 </w:t>
      </w:r>
      <w:r>
        <w:rPr>
          <w:lang w:val="fr-FR"/>
        </w:rPr>
        <w:t>(</w:t>
      </w:r>
      <w:r w:rsidRPr="00BE4C68">
        <w:rPr>
          <w:lang w:val="fr-FR"/>
        </w:rPr>
        <w:t>dernière ligne du tableau</w:t>
      </w:r>
      <w:r>
        <w:rPr>
          <w:lang w:val="fr-FR"/>
        </w:rPr>
        <w:t>)</w:t>
      </w:r>
      <w:r w:rsidRPr="00BE4C68">
        <w:rPr>
          <w:lang w:val="fr-FR"/>
        </w:rPr>
        <w:t> » ;</w:t>
      </w:r>
    </w:p>
    <w:p w14:paraId="29CA1580" w14:textId="77777777" w:rsidR="00F015D4" w:rsidRPr="00BE4C68" w:rsidRDefault="00F015D4" w:rsidP="00F015D4">
      <w:pPr>
        <w:pStyle w:val="SingleTxtG"/>
        <w:ind w:firstLine="567"/>
        <w:rPr>
          <w:lang w:val="fr-FR"/>
        </w:rPr>
      </w:pPr>
      <w:r w:rsidRPr="00BE4C68">
        <w:rPr>
          <w:lang w:val="fr-FR"/>
        </w:rPr>
        <w:t>d)</w:t>
      </w:r>
      <w:r w:rsidRPr="00BE4C68">
        <w:rPr>
          <w:lang w:val="fr-FR"/>
        </w:rPr>
        <w:tab/>
        <w:t>Ajouter « 9.3.3.0.6 » ;</w:t>
      </w:r>
    </w:p>
    <w:p w14:paraId="48A7921C" w14:textId="33785D6E" w:rsidR="00F015D4" w:rsidRPr="00BE4C68" w:rsidRDefault="00F015D4" w:rsidP="00F015D4">
      <w:pPr>
        <w:pStyle w:val="SingleTxtG"/>
        <w:ind w:firstLine="567"/>
        <w:rPr>
          <w:lang w:val="fr-FR"/>
        </w:rPr>
      </w:pPr>
      <w:r w:rsidRPr="00BE4C68">
        <w:rPr>
          <w:lang w:val="fr-FR"/>
        </w:rPr>
        <w:t>e)</w:t>
      </w:r>
      <w:r w:rsidRPr="00BE4C68">
        <w:rPr>
          <w:lang w:val="fr-FR"/>
        </w:rPr>
        <w:tab/>
        <w:t xml:space="preserve">Modifier la disposition transitoire </w:t>
      </w:r>
      <w:r>
        <w:rPr>
          <w:lang w:val="fr-FR"/>
        </w:rPr>
        <w:t>relative au</w:t>
      </w:r>
      <w:r w:rsidRPr="00BE4C68">
        <w:rPr>
          <w:lang w:val="fr-FR"/>
        </w:rPr>
        <w:t xml:space="preserve"> 7.2.2.19.3 comme suit (les</w:t>
      </w:r>
      <w:r w:rsidR="002941FC">
        <w:rPr>
          <w:lang w:val="fr-FR"/>
        </w:rPr>
        <w:t> </w:t>
      </w:r>
      <w:r w:rsidRPr="00BE4C68">
        <w:rPr>
          <w:lang w:val="fr-FR"/>
        </w:rPr>
        <w:t>modifications proposées figurent en caractères gras et italiques) :</w:t>
      </w:r>
    </w:p>
    <w:tbl>
      <w:tblPr>
        <w:tblW w:w="8505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163"/>
        <w:gridCol w:w="4673"/>
      </w:tblGrid>
      <w:tr w:rsidR="00F015D4" w:rsidRPr="00C8030D" w14:paraId="139F8C9F" w14:textId="77777777" w:rsidTr="00052A1F">
        <w:trPr>
          <w:cantSplit/>
        </w:trPr>
        <w:tc>
          <w:tcPr>
            <w:tcW w:w="1836" w:type="dxa"/>
          </w:tcPr>
          <w:p w14:paraId="5F9D285E" w14:textId="77777777" w:rsidR="00F015D4" w:rsidRPr="00BE4C68" w:rsidRDefault="00F015D4" w:rsidP="00052A1F">
            <w:pPr>
              <w:spacing w:after="120"/>
              <w:ind w:left="57" w:right="57"/>
              <w:rPr>
                <w:snapToGrid w:val="0"/>
                <w:lang w:val="fr-FR"/>
              </w:rPr>
            </w:pPr>
            <w:r w:rsidRPr="00BE4C68">
              <w:rPr>
                <w:lang w:val="fr-FR"/>
              </w:rPr>
              <w:lastRenderedPageBreak/>
              <w:t>7.2.2.19.3</w:t>
            </w:r>
          </w:p>
        </w:tc>
        <w:tc>
          <w:tcPr>
            <w:tcW w:w="2379" w:type="dxa"/>
          </w:tcPr>
          <w:p w14:paraId="2B228314" w14:textId="77777777" w:rsidR="00F015D4" w:rsidRPr="00BE4C68" w:rsidRDefault="00F015D4" w:rsidP="00052A1F">
            <w:pPr>
              <w:spacing w:after="120"/>
              <w:ind w:left="57" w:right="57"/>
              <w:rPr>
                <w:snapToGrid w:val="0"/>
                <w:lang w:val="fr-FR"/>
              </w:rPr>
            </w:pPr>
            <w:r w:rsidRPr="00BE4C68">
              <w:rPr>
                <w:lang w:val="fr-FR"/>
              </w:rPr>
              <w:t>Bateaux utilisés pour la propulsion</w:t>
            </w:r>
          </w:p>
          <w:p w14:paraId="660B6371" w14:textId="77777777" w:rsidR="00F015D4" w:rsidRPr="00BE4C68" w:rsidRDefault="00F015D4" w:rsidP="00052A1F">
            <w:pPr>
              <w:spacing w:after="120"/>
              <w:ind w:left="57" w:right="57"/>
              <w:rPr>
                <w:snapToGrid w:val="0"/>
                <w:lang w:val="fr-FR"/>
              </w:rPr>
            </w:pPr>
            <w:r w:rsidRPr="00BE4C68">
              <w:rPr>
                <w:lang w:val="fr-FR"/>
              </w:rPr>
              <w:t>Adaptation aux nouvelles prescriptions</w:t>
            </w:r>
          </w:p>
          <w:p w14:paraId="5DF2C356" w14:textId="77777777" w:rsidR="00F015D4" w:rsidRPr="00BE4C68" w:rsidRDefault="00F015D4" w:rsidP="00052A1F">
            <w:pPr>
              <w:spacing w:after="120"/>
              <w:ind w:left="57" w:right="57"/>
              <w:rPr>
                <w:i/>
                <w:iCs/>
                <w:snapToGrid w:val="0"/>
                <w:u w:val="single"/>
                <w:lang w:val="fr-FR"/>
              </w:rPr>
            </w:pPr>
            <w:r w:rsidRPr="00BE4C68">
              <w:rPr>
                <w:lang w:val="fr-FR"/>
              </w:rPr>
              <w:t>Prescriptions des 9.3.3.12.4, 9.3.3.51 et 9.3.3.52.1 à 9.3.3.52.8</w:t>
            </w:r>
          </w:p>
        </w:tc>
        <w:tc>
          <w:tcPr>
            <w:tcW w:w="5144" w:type="dxa"/>
          </w:tcPr>
          <w:p w14:paraId="453C998D" w14:textId="72A0CC9E" w:rsidR="00F015D4" w:rsidRPr="00BE4C68" w:rsidRDefault="00F015D4" w:rsidP="00052A1F">
            <w:pPr>
              <w:spacing w:after="120"/>
              <w:ind w:left="57" w:right="57"/>
              <w:jc w:val="center"/>
              <w:rPr>
                <w:rFonts w:asciiTheme="majorBidi" w:hAnsiTheme="majorBidi" w:cstheme="majorBidi"/>
                <w:snapToGrid w:val="0"/>
                <w:lang w:val="fr-FR"/>
              </w:rPr>
            </w:pPr>
            <w:r w:rsidRPr="00BE4C68">
              <w:rPr>
                <w:lang w:val="fr-FR"/>
              </w:rPr>
              <w:t>N.R.T. à partir du 1</w:t>
            </w:r>
            <w:r w:rsidRPr="0082685E">
              <w:rPr>
                <w:vertAlign w:val="superscript"/>
                <w:lang w:val="fr-FR"/>
              </w:rPr>
              <w:t>er</w:t>
            </w:r>
            <w:r w:rsidR="00251009">
              <w:rPr>
                <w:lang w:val="fr-FR"/>
              </w:rPr>
              <w:t> </w:t>
            </w:r>
            <w:r w:rsidRPr="00BE4C68">
              <w:rPr>
                <w:lang w:val="fr-FR"/>
              </w:rPr>
              <w:t xml:space="preserve">janvier 2019 </w:t>
            </w:r>
            <w:r>
              <w:rPr>
                <w:lang w:val="fr-FR"/>
              </w:rPr>
              <w:br/>
            </w:r>
            <w:r w:rsidRPr="00BE4C68">
              <w:rPr>
                <w:lang w:val="fr-FR"/>
              </w:rPr>
              <w:t>Renouvellement du certificat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 xml:space="preserve">agrément </w:t>
            </w:r>
            <w:r w:rsidR="0082685E">
              <w:rPr>
                <w:lang w:val="fr-FR"/>
              </w:rPr>
              <w:br/>
            </w:r>
            <w:r w:rsidRPr="00BE4C68">
              <w:rPr>
                <w:lang w:val="fr-FR"/>
              </w:rPr>
              <w:t>après le 31</w:t>
            </w:r>
            <w:r w:rsidR="0082685E">
              <w:rPr>
                <w:lang w:val="fr-FR"/>
              </w:rPr>
              <w:t> </w:t>
            </w:r>
            <w:r w:rsidRPr="00BE4C68">
              <w:rPr>
                <w:lang w:val="fr-FR"/>
              </w:rPr>
              <w:t>décembre 2034</w:t>
            </w:r>
          </w:p>
          <w:p w14:paraId="40DB91DC" w14:textId="7FED1E5B" w:rsidR="00F015D4" w:rsidRPr="00BE4C68" w:rsidRDefault="00F015D4" w:rsidP="00052A1F">
            <w:pPr>
              <w:spacing w:after="120"/>
              <w:ind w:left="57" w:right="57"/>
              <w:jc w:val="both"/>
              <w:rPr>
                <w:rFonts w:asciiTheme="majorBidi" w:hAnsiTheme="majorBidi" w:cstheme="majorBidi"/>
                <w:snapToGrid w:val="0"/>
                <w:lang w:val="fr-FR"/>
              </w:rPr>
            </w:pPr>
            <w:r w:rsidRPr="00BE4C68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à cette échéance, les prescriptions suivantes sont applicables à bord des bateaux en service</w:t>
            </w:r>
            <w:r>
              <w:rPr>
                <w:lang w:val="fr-FR"/>
              </w:rPr>
              <w:t> :</w:t>
            </w:r>
          </w:p>
          <w:p w14:paraId="42778461" w14:textId="014B8AD9" w:rsidR="00F015D4" w:rsidRPr="00BE4C68" w:rsidRDefault="00F015D4" w:rsidP="00052A1F">
            <w:pPr>
              <w:spacing w:after="120"/>
              <w:ind w:left="57" w:right="57"/>
              <w:jc w:val="both"/>
              <w:rPr>
                <w:rFonts w:asciiTheme="majorBidi" w:hAnsiTheme="majorBidi" w:cstheme="majorBidi"/>
                <w:snapToGrid w:val="0"/>
                <w:lang w:val="fr-FR"/>
              </w:rPr>
            </w:pPr>
            <w:r w:rsidRPr="00BE4C68">
              <w:rPr>
                <w:lang w:val="fr-FR"/>
              </w:rPr>
              <w:t>Les bateaux utilisés pour la propulsion dans un convoi poussé ou une formation à couple doivent satisfaire aux prescriptions des sections, sous-sections et paragraphes ci-après : 1.16.1.1, 1.16.1.2, 1.16.1.3, 7.2.2.5, 8.1.4, 8.1.5, 8.1.6.1, 8.1.6.3, 8.1.7</w:t>
            </w:r>
            <w:r w:rsidRPr="00BE4C68">
              <w:rPr>
                <w:i/>
                <w:iCs/>
                <w:strike/>
                <w:lang w:val="fr-FR"/>
              </w:rPr>
              <w:t>, 9.3.3.0.1</w:t>
            </w:r>
            <w:r w:rsidRPr="007815EC">
              <w:rPr>
                <w:lang w:val="fr-SN"/>
              </w:rPr>
              <w:t>,</w:t>
            </w:r>
            <w:r w:rsidRPr="00BE4C68">
              <w:rPr>
                <w:lang w:val="fr-FR"/>
              </w:rPr>
              <w:t xml:space="preserve"> </w:t>
            </w:r>
            <w:r w:rsidRPr="00BE4C68">
              <w:rPr>
                <w:b/>
                <w:bCs/>
                <w:i/>
                <w:iCs/>
                <w:u w:val="single"/>
                <w:lang w:val="fr-FR"/>
              </w:rPr>
              <w:t>9.3.3.0.1.1, 9.3.3.0.1.2, 9.3.3.0.1.3,</w:t>
            </w:r>
            <w:r w:rsidRPr="00BE4C68">
              <w:rPr>
                <w:b/>
                <w:bCs/>
                <w:i/>
                <w:iCs/>
                <w:lang w:val="fr-FR"/>
              </w:rPr>
              <w:t xml:space="preserve"> 9.3.3.0.2,</w:t>
            </w:r>
            <w:r w:rsidRPr="00BE4C68">
              <w:rPr>
                <w:i/>
                <w:iCs/>
                <w:lang w:val="fr-FR"/>
              </w:rPr>
              <w:t xml:space="preserve"> </w:t>
            </w:r>
            <w:r w:rsidRPr="00BE4C68">
              <w:rPr>
                <w:b/>
                <w:bCs/>
                <w:i/>
                <w:iCs/>
                <w:strike/>
                <w:lang w:val="fr-FR"/>
              </w:rPr>
              <w:t>9.3.3.0.3.1</w:t>
            </w:r>
            <w:r w:rsidRPr="00BE4C68">
              <w:rPr>
                <w:strike/>
                <w:lang w:val="fr-FR"/>
              </w:rPr>
              <w:t>, 9.3.3.0.5</w:t>
            </w:r>
            <w:r w:rsidRPr="007815EC">
              <w:rPr>
                <w:lang w:val="fr-SN"/>
              </w:rPr>
              <w:t>,</w:t>
            </w:r>
            <w:r w:rsidRPr="00BE4C68">
              <w:rPr>
                <w:lang w:val="fr-FR"/>
              </w:rPr>
              <w:t xml:space="preserve"> </w:t>
            </w:r>
            <w:r w:rsidRPr="00BE4C68">
              <w:rPr>
                <w:b/>
                <w:bCs/>
                <w:i/>
                <w:iCs/>
                <w:u w:val="single"/>
                <w:lang w:val="fr-FR"/>
              </w:rPr>
              <w:t xml:space="preserve">9.3.3.0.4 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(</w:t>
            </w:r>
            <w:r w:rsidRPr="00BE4C68">
              <w:rPr>
                <w:b/>
                <w:bCs/>
                <w:i/>
                <w:iCs/>
                <w:u w:val="single"/>
                <w:lang w:val="fr-FR"/>
              </w:rPr>
              <w:t>dernière ligne du tableau</w:t>
            </w:r>
            <w:r>
              <w:rPr>
                <w:b/>
                <w:bCs/>
                <w:i/>
                <w:iCs/>
                <w:u w:val="single"/>
                <w:lang w:val="fr-FR"/>
              </w:rPr>
              <w:t>)</w:t>
            </w:r>
            <w:r w:rsidRPr="00BE4C68">
              <w:rPr>
                <w:b/>
                <w:bCs/>
                <w:i/>
                <w:iCs/>
                <w:u w:val="single"/>
                <w:lang w:val="fr-FR"/>
              </w:rPr>
              <w:t>, 9.3.3.0.6,</w:t>
            </w:r>
            <w:r w:rsidRPr="00BE4C68">
              <w:rPr>
                <w:lang w:val="fr-FR"/>
              </w:rPr>
              <w:t xml:space="preserve"> 9.3.3.10.1, 9.3.3.10.4, 9.3.3.12.4 a) à l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exception de la timonerie, 9.3.3.12.4 b) à l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exception du temps de réponse t90, 9.3.3.12.4 c), 9.3.3.12.6, 9.3.3.16, 9.3.3.17.1 à 9.3.3.17.4, 9.3.3.31.1 à 9.3.3.31.5, 9.3.3.32.2, 9.3.3.34.1, 9.3.3.34.2, 9.3.3.40.1 (toutefois, une seule pompe à incendie ou de ballastage suffit), 9.3.3.40.2, 9.3.3.41, 9.3.3.50.1 c), 9.3.3.50.2, 9.3.3.51, 9.3.3.52.6, 9.3.3.52.7, 9.3.3.52.8, 9.3.3.56.5, 9.3.3.71 et 9.3.3.74, lorsqu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au moins un bateau dudit convoi ou de ladite formation à couple transporte des marchandises dangereuses.</w:t>
            </w:r>
          </w:p>
          <w:p w14:paraId="7E1E66CF" w14:textId="6596D35E" w:rsidR="00F015D4" w:rsidRPr="00BE4C68" w:rsidRDefault="00F015D4" w:rsidP="00052A1F">
            <w:pPr>
              <w:spacing w:after="120"/>
              <w:ind w:left="57" w:right="57"/>
              <w:jc w:val="both"/>
              <w:rPr>
                <w:rFonts w:asciiTheme="majorBidi" w:hAnsiTheme="majorBidi" w:cstheme="majorBidi"/>
                <w:snapToGrid w:val="0"/>
                <w:lang w:val="fr-FR"/>
              </w:rPr>
            </w:pPr>
            <w:r w:rsidRPr="00BE4C68">
              <w:rPr>
                <w:lang w:val="fr-FR"/>
              </w:rPr>
              <w:t>La prescription du 9.3.3.10.4 peut être remplie par l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installation de parois de protection verticales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une hauteur minimale de 0,50 m.</w:t>
            </w:r>
          </w:p>
          <w:p w14:paraId="6F5B10C7" w14:textId="70BF5218" w:rsidR="00F015D4" w:rsidRPr="00BE4C68" w:rsidRDefault="00F015D4" w:rsidP="00052A1F">
            <w:pPr>
              <w:spacing w:after="120"/>
              <w:ind w:left="57" w:right="57"/>
              <w:jc w:val="both"/>
              <w:rPr>
                <w:snapToGrid w:val="0"/>
                <w:lang w:val="fr-FR"/>
              </w:rPr>
            </w:pPr>
            <w:r w:rsidRPr="00BE4C68">
              <w:rPr>
                <w:lang w:val="fr-FR"/>
              </w:rPr>
              <w:t>Les bateaux utilisés seulement pour la propulsion de bateaux-citernes de type N ouvert n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ont pas à satisfaire aux prescriptions des paragraphes 9.3.3.10.1, 9.3.3.10.4 et 9.3.3.12.6. Ces dérogations doivent être inscrites dans le certificat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agrément ou le certificat d</w:t>
            </w:r>
            <w:r>
              <w:rPr>
                <w:lang w:val="fr-FR"/>
              </w:rPr>
              <w:t>’</w:t>
            </w:r>
            <w:r w:rsidRPr="00BE4C68">
              <w:rPr>
                <w:lang w:val="fr-FR"/>
              </w:rPr>
              <w:t>agrément provisoire comme suit : « Dérogations admises » : «</w:t>
            </w:r>
            <w:r w:rsidR="0082685E">
              <w:rPr>
                <w:lang w:val="fr-FR"/>
              </w:rPr>
              <w:t> </w:t>
            </w:r>
            <w:r w:rsidRPr="00BE4C68">
              <w:rPr>
                <w:lang w:val="fr-FR"/>
              </w:rPr>
              <w:t>Dérogation aux 9.3.3.10.1, 9.3.3.10.4 et 9.3.3.12.6 ; le bateau peut uniquement déplacer des bateaux-citernes de type N ouvert ».</w:t>
            </w:r>
          </w:p>
        </w:tc>
      </w:tr>
    </w:tbl>
    <w:p w14:paraId="37E91889" w14:textId="752F414A" w:rsidR="00F015D4" w:rsidRPr="00F015D4" w:rsidRDefault="00F015D4" w:rsidP="00F015D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15D4" w:rsidRPr="00F015D4" w:rsidSect="00F015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EDF7" w14:textId="77777777" w:rsidR="00F62A3F" w:rsidRDefault="00F62A3F" w:rsidP="00F95C08">
      <w:pPr>
        <w:spacing w:line="240" w:lineRule="auto"/>
      </w:pPr>
    </w:p>
  </w:endnote>
  <w:endnote w:type="continuationSeparator" w:id="0">
    <w:p w14:paraId="4D6781A7" w14:textId="77777777" w:rsidR="00F62A3F" w:rsidRPr="00AC3823" w:rsidRDefault="00F62A3F" w:rsidP="00AC3823">
      <w:pPr>
        <w:pStyle w:val="Pieddepage"/>
      </w:pPr>
    </w:p>
  </w:endnote>
  <w:endnote w:type="continuationNotice" w:id="1">
    <w:p w14:paraId="06FD11E5" w14:textId="77777777" w:rsidR="00F62A3F" w:rsidRDefault="00F62A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EB45" w14:textId="0DDEE5AF" w:rsidR="00F015D4" w:rsidRPr="00F015D4" w:rsidRDefault="00F015D4" w:rsidP="00F015D4">
    <w:pPr>
      <w:pStyle w:val="Pieddepage"/>
      <w:tabs>
        <w:tab w:val="right" w:pos="9638"/>
      </w:tabs>
    </w:pPr>
    <w:r w:rsidRPr="00F015D4">
      <w:rPr>
        <w:b/>
        <w:sz w:val="18"/>
      </w:rPr>
      <w:fldChar w:fldCharType="begin"/>
    </w:r>
    <w:r w:rsidRPr="00F015D4">
      <w:rPr>
        <w:b/>
        <w:sz w:val="18"/>
      </w:rPr>
      <w:instrText xml:space="preserve"> PAGE  \* MERGEFORMAT </w:instrText>
    </w:r>
    <w:r w:rsidRPr="00F015D4">
      <w:rPr>
        <w:b/>
        <w:sz w:val="18"/>
      </w:rPr>
      <w:fldChar w:fldCharType="separate"/>
    </w:r>
    <w:r w:rsidRPr="00F015D4">
      <w:rPr>
        <w:b/>
        <w:noProof/>
        <w:sz w:val="18"/>
      </w:rPr>
      <w:t>2</w:t>
    </w:r>
    <w:r w:rsidRPr="00F015D4">
      <w:rPr>
        <w:b/>
        <w:sz w:val="18"/>
      </w:rPr>
      <w:fldChar w:fldCharType="end"/>
    </w:r>
    <w:r>
      <w:rPr>
        <w:b/>
        <w:sz w:val="18"/>
      </w:rPr>
      <w:tab/>
    </w:r>
    <w:r>
      <w:t>GE.23-08581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713A" w14:textId="349C5659" w:rsidR="00F015D4" w:rsidRPr="00F015D4" w:rsidRDefault="00F015D4" w:rsidP="00F015D4">
    <w:pPr>
      <w:pStyle w:val="Pieddepage"/>
      <w:tabs>
        <w:tab w:val="right" w:pos="9638"/>
      </w:tabs>
      <w:rPr>
        <w:b/>
        <w:sz w:val="18"/>
      </w:rPr>
    </w:pPr>
    <w:r>
      <w:t>GE.23-08581</w:t>
    </w:r>
    <w:r>
      <w:tab/>
    </w:r>
    <w:r w:rsidRPr="00F015D4">
      <w:rPr>
        <w:b/>
        <w:sz w:val="18"/>
      </w:rPr>
      <w:fldChar w:fldCharType="begin"/>
    </w:r>
    <w:r w:rsidRPr="00F015D4">
      <w:rPr>
        <w:b/>
        <w:sz w:val="18"/>
      </w:rPr>
      <w:instrText xml:space="preserve"> PAGE  \* MERGEFORMAT </w:instrText>
    </w:r>
    <w:r w:rsidRPr="00F015D4">
      <w:rPr>
        <w:b/>
        <w:sz w:val="18"/>
      </w:rPr>
      <w:fldChar w:fldCharType="separate"/>
    </w:r>
    <w:r w:rsidRPr="00F015D4">
      <w:rPr>
        <w:b/>
        <w:noProof/>
        <w:sz w:val="18"/>
      </w:rPr>
      <w:t>3</w:t>
    </w:r>
    <w:r w:rsidRPr="00F015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56C" w14:textId="1AC16EDD" w:rsidR="007F20FA" w:rsidRPr="00F015D4" w:rsidRDefault="00F015D4" w:rsidP="00F015D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4F2E79" wp14:editId="21FCCCD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23-08581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41536F" wp14:editId="30895E7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19773597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010623    010623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B11B" w14:textId="77777777" w:rsidR="00F62A3F" w:rsidRPr="00AC3823" w:rsidRDefault="00F62A3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4D5994" w14:textId="77777777" w:rsidR="00F62A3F" w:rsidRPr="00AC3823" w:rsidRDefault="00F62A3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155AF4" w14:textId="77777777" w:rsidR="00F62A3F" w:rsidRPr="00AC3823" w:rsidRDefault="00F62A3F">
      <w:pPr>
        <w:spacing w:line="240" w:lineRule="auto"/>
        <w:rPr>
          <w:sz w:val="2"/>
          <w:szCs w:val="2"/>
        </w:rPr>
      </w:pPr>
    </w:p>
  </w:footnote>
  <w:footnote w:id="2">
    <w:p w14:paraId="369C56F4" w14:textId="2598DDA4" w:rsidR="00F015D4" w:rsidRPr="00AD71C1" w:rsidRDefault="00F015D4" w:rsidP="00F015D4">
      <w:pPr>
        <w:pStyle w:val="Notedebasdepage"/>
        <w:rPr>
          <w:lang w:val="fr-SN"/>
        </w:rPr>
      </w:pPr>
      <w:r>
        <w:rPr>
          <w:lang w:val="fr-FR"/>
        </w:rPr>
        <w:tab/>
      </w:r>
      <w:r w:rsidRPr="00052A1F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</w:t>
      </w:r>
      <w:r w:rsidR="00052A1F">
        <w:rPr>
          <w:lang w:val="fr-FR"/>
        </w:rPr>
        <w:noBreakHyphen/>
      </w:r>
      <w:r>
        <w:rPr>
          <w:lang w:val="fr-FR"/>
        </w:rPr>
        <w:t>ZKR/ADN/WP.15/AC.2/2023/18.</w:t>
      </w:r>
    </w:p>
  </w:footnote>
  <w:footnote w:id="3">
    <w:p w14:paraId="26C0997F" w14:textId="77777777" w:rsidR="00F015D4" w:rsidRPr="00404A27" w:rsidRDefault="00F015D4" w:rsidP="00F015D4">
      <w:pPr>
        <w:pStyle w:val="Notedebasdepage"/>
      </w:pPr>
      <w:r>
        <w:rPr>
          <w:lang w:val="fr-FR"/>
        </w:rPr>
        <w:tab/>
      </w:r>
      <w:r w:rsidRPr="00052A1F">
        <w:rPr>
          <w:sz w:val="20"/>
          <w:lang w:val="fr-FR"/>
        </w:rPr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506F" w14:textId="66F3CA6C" w:rsidR="00F015D4" w:rsidRPr="00F015D4" w:rsidRDefault="00F015D4">
    <w:pPr>
      <w:pStyle w:val="En-tte"/>
    </w:pPr>
    <w:fldSimple w:instr=" TITLE  \* MERGEFORMAT ">
      <w:r w:rsidR="00D45DEF">
        <w:t>ECE/TRANS/WP.15/AC.2/2023/18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E664" w14:textId="4EFE6139" w:rsidR="00F015D4" w:rsidRPr="00F015D4" w:rsidRDefault="00F015D4" w:rsidP="00F015D4">
    <w:pPr>
      <w:pStyle w:val="En-tte"/>
      <w:jc w:val="right"/>
    </w:pPr>
    <w:fldSimple w:instr=" TITLE  \* MERGEFORMAT ">
      <w:r w:rsidR="00D45DEF">
        <w:t>ECE/TRANS/WP.15/AC.2/2023/18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42669190">
    <w:abstractNumId w:val="12"/>
  </w:num>
  <w:num w:numId="2" w16cid:durableId="876089803">
    <w:abstractNumId w:val="11"/>
  </w:num>
  <w:num w:numId="3" w16cid:durableId="967511684">
    <w:abstractNumId w:val="10"/>
  </w:num>
  <w:num w:numId="4" w16cid:durableId="359474340">
    <w:abstractNumId w:val="8"/>
  </w:num>
  <w:num w:numId="5" w16cid:durableId="1613395883">
    <w:abstractNumId w:val="3"/>
  </w:num>
  <w:num w:numId="6" w16cid:durableId="1908883960">
    <w:abstractNumId w:val="2"/>
  </w:num>
  <w:num w:numId="7" w16cid:durableId="1372001221">
    <w:abstractNumId w:val="1"/>
  </w:num>
  <w:num w:numId="8" w16cid:durableId="405882534">
    <w:abstractNumId w:val="0"/>
  </w:num>
  <w:num w:numId="9" w16cid:durableId="48961401">
    <w:abstractNumId w:val="9"/>
  </w:num>
  <w:num w:numId="10" w16cid:durableId="969289424">
    <w:abstractNumId w:val="7"/>
  </w:num>
  <w:num w:numId="11" w16cid:durableId="1065222769">
    <w:abstractNumId w:val="6"/>
  </w:num>
  <w:num w:numId="12" w16cid:durableId="1019939494">
    <w:abstractNumId w:val="5"/>
  </w:num>
  <w:num w:numId="13" w16cid:durableId="547767795">
    <w:abstractNumId w:val="4"/>
  </w:num>
  <w:num w:numId="14" w16cid:durableId="1973827701">
    <w:abstractNumId w:val="12"/>
  </w:num>
  <w:num w:numId="15" w16cid:durableId="1286233016">
    <w:abstractNumId w:val="11"/>
  </w:num>
  <w:num w:numId="16" w16cid:durableId="189995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3F"/>
    <w:rsid w:val="0000780E"/>
    <w:rsid w:val="00017F94"/>
    <w:rsid w:val="00023842"/>
    <w:rsid w:val="000334F9"/>
    <w:rsid w:val="00045FEB"/>
    <w:rsid w:val="00052A1F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1009"/>
    <w:rsid w:val="00257168"/>
    <w:rsid w:val="002744B8"/>
    <w:rsid w:val="002832AC"/>
    <w:rsid w:val="002941FC"/>
    <w:rsid w:val="002D7C93"/>
    <w:rsid w:val="00305801"/>
    <w:rsid w:val="003916DE"/>
    <w:rsid w:val="003A4E6B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C6EB1"/>
    <w:rsid w:val="006A5CC5"/>
    <w:rsid w:val="0071601D"/>
    <w:rsid w:val="007A62E6"/>
    <w:rsid w:val="007F20FA"/>
    <w:rsid w:val="0080684C"/>
    <w:rsid w:val="0082685E"/>
    <w:rsid w:val="00871C75"/>
    <w:rsid w:val="008776DC"/>
    <w:rsid w:val="008A0757"/>
    <w:rsid w:val="008D5EF9"/>
    <w:rsid w:val="009446C0"/>
    <w:rsid w:val="00946947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45DEF"/>
    <w:rsid w:val="00D56C5A"/>
    <w:rsid w:val="00D7622E"/>
    <w:rsid w:val="00DB1831"/>
    <w:rsid w:val="00DD3BFD"/>
    <w:rsid w:val="00DE3181"/>
    <w:rsid w:val="00DF6678"/>
    <w:rsid w:val="00E0299A"/>
    <w:rsid w:val="00E64CFB"/>
    <w:rsid w:val="00E85C74"/>
    <w:rsid w:val="00EA6547"/>
    <w:rsid w:val="00ED7237"/>
    <w:rsid w:val="00EF2E22"/>
    <w:rsid w:val="00F015D4"/>
    <w:rsid w:val="00F35BAF"/>
    <w:rsid w:val="00F62A3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67EA0"/>
  <w15:docId w15:val="{56FEECA4-AB34-41FF-984B-361A9B4B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F015D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F015D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F015D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1305B-0F00-426E-9CEC-2143719E2ED0}"/>
</file>

<file path=customXml/itemProps2.xml><?xml version="1.0" encoding="utf-8"?>
<ds:datastoreItem xmlns:ds="http://schemas.openxmlformats.org/officeDocument/2006/customXml" ds:itemID="{4F09FBC4-41EE-4C7B-9B6B-5017F6FD159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12</TotalTime>
  <Pages>3</Pages>
  <Words>739</Words>
  <Characters>5180</Characters>
  <Application>Microsoft Office Word</Application>
  <DocSecurity>0</DocSecurity>
  <Lines>431</Lines>
  <Paragraphs>236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ECE/TRANS/WP.15/AC.2/2023/18</vt:lpstr>
    </vt:vector>
  </TitlesOfParts>
  <Company>DCM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ECE/TRANS/WP.15/AC.2/2023/18</dc:title>
  <dc:subject/>
  <dc:creator>Corinne ROBERT</dc:creator>
  <cp:keywords/>
  <cp:lastModifiedBy>Corinne Robert</cp:lastModifiedBy>
  <cp:revision>3</cp:revision>
  <cp:lastPrinted>2023-06-01T13:12:00Z</cp:lastPrinted>
  <dcterms:created xsi:type="dcterms:W3CDTF">2023-06-01T13:12:00Z</dcterms:created>
  <dcterms:modified xsi:type="dcterms:W3CDTF">2023-06-01T13:17:00Z</dcterms:modified>
</cp:coreProperties>
</file>