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B314ED" w14:textId="77777777" w:rsidTr="00B20551">
        <w:trPr>
          <w:cantSplit/>
          <w:trHeight w:hRule="exact" w:val="851"/>
        </w:trPr>
        <w:tc>
          <w:tcPr>
            <w:tcW w:w="1276" w:type="dxa"/>
            <w:tcBorders>
              <w:bottom w:val="single" w:sz="4" w:space="0" w:color="auto"/>
            </w:tcBorders>
            <w:vAlign w:val="bottom"/>
          </w:tcPr>
          <w:p w14:paraId="7E5138B1" w14:textId="77777777" w:rsidR="009E6CB7" w:rsidRDefault="009E6CB7" w:rsidP="00B20551">
            <w:pPr>
              <w:spacing w:after="80"/>
            </w:pPr>
          </w:p>
        </w:tc>
        <w:tc>
          <w:tcPr>
            <w:tcW w:w="2268" w:type="dxa"/>
            <w:tcBorders>
              <w:bottom w:val="single" w:sz="4" w:space="0" w:color="auto"/>
            </w:tcBorders>
            <w:vAlign w:val="bottom"/>
          </w:tcPr>
          <w:p w14:paraId="0CF8D0D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71A426" w14:textId="7C74C966" w:rsidR="009E6CB7" w:rsidRPr="00D47EEA" w:rsidRDefault="007521E6" w:rsidP="007521E6">
            <w:pPr>
              <w:jc w:val="right"/>
            </w:pPr>
            <w:r w:rsidRPr="007521E6">
              <w:rPr>
                <w:sz w:val="40"/>
              </w:rPr>
              <w:t>ECE</w:t>
            </w:r>
            <w:r>
              <w:t>/TRANS/WP.15/AC.1/2023/24</w:t>
            </w:r>
          </w:p>
        </w:tc>
      </w:tr>
      <w:tr w:rsidR="009E6CB7" w14:paraId="519439A3" w14:textId="77777777" w:rsidTr="00B20551">
        <w:trPr>
          <w:cantSplit/>
          <w:trHeight w:hRule="exact" w:val="2835"/>
        </w:trPr>
        <w:tc>
          <w:tcPr>
            <w:tcW w:w="1276" w:type="dxa"/>
            <w:tcBorders>
              <w:top w:val="single" w:sz="4" w:space="0" w:color="auto"/>
              <w:bottom w:val="single" w:sz="12" w:space="0" w:color="auto"/>
            </w:tcBorders>
          </w:tcPr>
          <w:p w14:paraId="0B36C11C" w14:textId="77777777" w:rsidR="009E6CB7" w:rsidRDefault="00686A48" w:rsidP="00B20551">
            <w:pPr>
              <w:spacing w:before="120"/>
            </w:pPr>
            <w:r>
              <w:rPr>
                <w:noProof/>
                <w:lang w:val="fr-CH" w:eastAsia="fr-CH"/>
              </w:rPr>
              <w:drawing>
                <wp:inline distT="0" distB="0" distL="0" distR="0" wp14:anchorId="0528D947" wp14:editId="0B2418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9B100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B680CC" w14:textId="77777777" w:rsidR="009E6CB7" w:rsidRDefault="007521E6" w:rsidP="007521E6">
            <w:pPr>
              <w:spacing w:before="240" w:line="240" w:lineRule="exact"/>
            </w:pPr>
            <w:r>
              <w:t>Distr.: General</w:t>
            </w:r>
          </w:p>
          <w:p w14:paraId="2337FA49" w14:textId="725DC476" w:rsidR="007521E6" w:rsidRDefault="007521E6" w:rsidP="007521E6">
            <w:pPr>
              <w:spacing w:line="240" w:lineRule="exact"/>
            </w:pPr>
            <w:r>
              <w:t>1</w:t>
            </w:r>
            <w:r w:rsidR="002B6D8C">
              <w:t>5</w:t>
            </w:r>
            <w:r>
              <w:t xml:space="preserve"> June 2023</w:t>
            </w:r>
          </w:p>
          <w:p w14:paraId="76F078C0" w14:textId="77777777" w:rsidR="007521E6" w:rsidRDefault="007521E6" w:rsidP="007521E6">
            <w:pPr>
              <w:spacing w:line="240" w:lineRule="exact"/>
            </w:pPr>
          </w:p>
          <w:p w14:paraId="2DC3F4D4" w14:textId="02556719" w:rsidR="007521E6" w:rsidRDefault="007521E6" w:rsidP="007521E6">
            <w:pPr>
              <w:spacing w:line="240" w:lineRule="exact"/>
            </w:pPr>
            <w:r>
              <w:t>Original: English</w:t>
            </w:r>
          </w:p>
        </w:tc>
      </w:tr>
    </w:tbl>
    <w:p w14:paraId="6751286C" w14:textId="77777777" w:rsidR="007521E6" w:rsidRPr="00960236" w:rsidRDefault="007521E6" w:rsidP="00C411EB">
      <w:pPr>
        <w:spacing w:before="120"/>
        <w:rPr>
          <w:b/>
          <w:sz w:val="28"/>
          <w:szCs w:val="28"/>
        </w:rPr>
      </w:pPr>
      <w:r w:rsidRPr="00960236">
        <w:rPr>
          <w:b/>
          <w:sz w:val="28"/>
          <w:szCs w:val="28"/>
        </w:rPr>
        <w:t>Economic Commission for Europe</w:t>
      </w:r>
    </w:p>
    <w:p w14:paraId="2F8893B2" w14:textId="77777777" w:rsidR="007521E6" w:rsidRPr="00960236" w:rsidRDefault="007521E6" w:rsidP="00C411EB">
      <w:pPr>
        <w:spacing w:before="120"/>
        <w:rPr>
          <w:sz w:val="28"/>
          <w:szCs w:val="28"/>
        </w:rPr>
      </w:pPr>
      <w:r w:rsidRPr="00960236">
        <w:rPr>
          <w:sz w:val="28"/>
          <w:szCs w:val="28"/>
        </w:rPr>
        <w:t>Inland Transport Committee</w:t>
      </w:r>
    </w:p>
    <w:p w14:paraId="2596F30D" w14:textId="77777777" w:rsidR="007521E6" w:rsidRPr="00960236" w:rsidRDefault="007521E6" w:rsidP="00C411EB">
      <w:pPr>
        <w:spacing w:before="120"/>
        <w:rPr>
          <w:b/>
          <w:sz w:val="24"/>
          <w:szCs w:val="24"/>
        </w:rPr>
      </w:pPr>
      <w:r w:rsidRPr="00960236">
        <w:rPr>
          <w:b/>
          <w:sz w:val="24"/>
          <w:szCs w:val="24"/>
        </w:rPr>
        <w:t>Working Party on the Transport of Dangerous Goods</w:t>
      </w:r>
    </w:p>
    <w:p w14:paraId="2AF6F5F7" w14:textId="77777777" w:rsidR="007521E6" w:rsidRPr="00960236" w:rsidRDefault="007521E6"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5F46E011" w14:textId="6B39FB3E" w:rsidR="007521E6" w:rsidRDefault="001B7B82" w:rsidP="00C411EB">
      <w:r>
        <w:t>Geneva</w:t>
      </w:r>
      <w:r w:rsidR="007521E6">
        <w:t xml:space="preserve">, </w:t>
      </w:r>
      <w:r w:rsidR="005119E0">
        <w:t>19-29 September 2023</w:t>
      </w:r>
    </w:p>
    <w:p w14:paraId="3D0ED620" w14:textId="5B5CAFA6" w:rsidR="007521E6" w:rsidRDefault="007521E6" w:rsidP="00C411EB">
      <w:r>
        <w:t xml:space="preserve">Item </w:t>
      </w:r>
      <w:r w:rsidR="00A74C7C">
        <w:t>5 (a)</w:t>
      </w:r>
      <w:r>
        <w:t xml:space="preserve"> of the provisional agenda</w:t>
      </w:r>
    </w:p>
    <w:p w14:paraId="61401BD8" w14:textId="50EEEE5E" w:rsidR="00996B65" w:rsidRDefault="00487D94" w:rsidP="00C411EB">
      <w:pPr>
        <w:rPr>
          <w:b/>
          <w:bCs/>
        </w:rPr>
      </w:pPr>
      <w:r w:rsidRPr="0083132B">
        <w:rPr>
          <w:b/>
          <w:bCs/>
        </w:rPr>
        <w:t>Proposals for amendments to RID/ADR/</w:t>
      </w:r>
      <w:r w:rsidR="00E57AF6">
        <w:rPr>
          <w:b/>
          <w:bCs/>
        </w:rPr>
        <w:t>ADN</w:t>
      </w:r>
      <w:r w:rsidR="00996B65">
        <w:rPr>
          <w:b/>
          <w:bCs/>
        </w:rPr>
        <w:t>:</w:t>
      </w:r>
    </w:p>
    <w:p w14:paraId="6F0D52C3" w14:textId="6EC39BE2" w:rsidR="00487D94" w:rsidRPr="0083132B" w:rsidRDefault="00487D94" w:rsidP="00C411EB">
      <w:pPr>
        <w:rPr>
          <w:b/>
          <w:bCs/>
        </w:rPr>
      </w:pPr>
      <w:r w:rsidRPr="0083132B">
        <w:rPr>
          <w:b/>
          <w:bCs/>
        </w:rPr>
        <w:t>Pending issues</w:t>
      </w:r>
    </w:p>
    <w:p w14:paraId="56FAA080" w14:textId="5B7C7ACB" w:rsidR="001C6663" w:rsidRDefault="004D27C7" w:rsidP="00322A12">
      <w:pPr>
        <w:pStyle w:val="HChG"/>
      </w:pPr>
      <w:r>
        <w:tab/>
      </w:r>
      <w:r>
        <w:tab/>
      </w:r>
      <w:r w:rsidR="00322A12">
        <w:t>Dangerous goods in machinery, apparatus or articles – expiry of the transitional measure in RID/ADR 1.6.1.46</w:t>
      </w:r>
    </w:p>
    <w:p w14:paraId="095728C3" w14:textId="77777777" w:rsidR="00A71501" w:rsidRDefault="0018017B" w:rsidP="00023172">
      <w:pPr>
        <w:pStyle w:val="H1G"/>
        <w:rPr>
          <w:rStyle w:val="FootnoteReference"/>
        </w:rPr>
      </w:pPr>
      <w:r>
        <w:tab/>
      </w:r>
      <w:r>
        <w:tab/>
        <w:t xml:space="preserve">Transmitted by the Government of Germany and by </w:t>
      </w:r>
      <w:r w:rsidR="000E3FAD">
        <w:t>the European Chemical Industry Council (</w:t>
      </w:r>
      <w:proofErr w:type="spellStart"/>
      <w:r>
        <w:t>Cefic</w:t>
      </w:r>
      <w:proofErr w:type="spellEnd"/>
      <w:r w:rsidR="000E3FAD">
        <w:t>)</w:t>
      </w:r>
      <w:r w:rsidR="00023172">
        <w:t xml:space="preserve"> </w:t>
      </w:r>
      <w:r>
        <w:rPr>
          <w:rStyle w:val="FootnoteReference"/>
        </w:rPr>
        <w:footnoteReference w:id="2"/>
      </w:r>
      <w:r w:rsidR="00023172" w:rsidRPr="00C316AD">
        <w:rPr>
          <w:sz w:val="20"/>
          <w:vertAlign w:val="superscript"/>
        </w:rPr>
        <w:t>,</w:t>
      </w:r>
      <w:r w:rsidR="00C43E79">
        <w:rPr>
          <w:vertAlign w:val="superscript"/>
        </w:rPr>
        <w:t xml:space="preserve"> </w:t>
      </w:r>
      <w:r w:rsidR="00C43E79">
        <w:rPr>
          <w:rStyle w:val="FootnoteReference"/>
        </w:rPr>
        <w:footnoteReference w:customMarkFollows="1" w:id="3"/>
        <w:t>**</w:t>
      </w:r>
    </w:p>
    <w:p w14:paraId="18AFE321" w14:textId="39A4FBA8" w:rsidR="005F7EBF" w:rsidRPr="005F7EBF" w:rsidRDefault="005F7EBF" w:rsidP="005F7EBF">
      <w:pPr>
        <w:sectPr w:rsidR="005F7EBF" w:rsidRPr="005F7EBF" w:rsidSect="005B415A">
          <w:headerReference w:type="even" r:id="rId12"/>
          <w:headerReference w:type="default" r:id="rId13"/>
          <w:footerReference w:type="even" r:id="rId14"/>
          <w:footerReference w:type="default" r:id="rId15"/>
          <w:footerReference w:type="first" r:id="rId16"/>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E23BC" w14:paraId="34E97E11" w14:textId="77777777" w:rsidTr="00BF10A3">
        <w:trPr>
          <w:jc w:val="center"/>
        </w:trPr>
        <w:tc>
          <w:tcPr>
            <w:tcW w:w="9629" w:type="dxa"/>
            <w:shd w:val="clear" w:color="auto" w:fill="auto"/>
          </w:tcPr>
          <w:p w14:paraId="41715C2A" w14:textId="77777777" w:rsidR="00FE23BC" w:rsidRPr="00C6263E" w:rsidRDefault="00FE23BC" w:rsidP="00BF10A3">
            <w:pPr>
              <w:spacing w:before="240" w:after="120"/>
              <w:ind w:left="255"/>
              <w:rPr>
                <w:i/>
                <w:sz w:val="24"/>
              </w:rPr>
            </w:pPr>
            <w:r w:rsidRPr="00C6263E">
              <w:rPr>
                <w:i/>
                <w:sz w:val="24"/>
              </w:rPr>
              <w:t>Summary</w:t>
            </w:r>
          </w:p>
        </w:tc>
      </w:tr>
      <w:tr w:rsidR="00FE23BC" w14:paraId="55FC05A9" w14:textId="77777777" w:rsidTr="00BF10A3">
        <w:trPr>
          <w:jc w:val="center"/>
        </w:trPr>
        <w:tc>
          <w:tcPr>
            <w:tcW w:w="9629" w:type="dxa"/>
            <w:shd w:val="clear" w:color="auto" w:fill="auto"/>
          </w:tcPr>
          <w:p w14:paraId="7C961E99" w14:textId="3DE42404" w:rsidR="00FE23BC" w:rsidRDefault="00FE23BC" w:rsidP="00BF10A3">
            <w:pPr>
              <w:pStyle w:val="SingleTxtG"/>
              <w:ind w:left="3402" w:hanging="2268"/>
            </w:pPr>
            <w:r>
              <w:rPr>
                <w:b/>
                <w:lang w:eastAsia="en-US"/>
              </w:rPr>
              <w:t>Executive summary</w:t>
            </w:r>
            <w:r>
              <w:rPr>
                <w:lang w:eastAsia="en-US"/>
              </w:rPr>
              <w:t>:</w:t>
            </w:r>
            <w:r>
              <w:rPr>
                <w:lang w:eastAsia="en-US"/>
              </w:rPr>
              <w:tab/>
            </w:r>
            <w:r w:rsidR="00A71501">
              <w:t>The provisions on the carriage of dangerous goods in articles, machinery and apparatus cause difficulties when applied to used</w:t>
            </w:r>
            <w:r w:rsidR="00314C98">
              <w:t xml:space="preserve"> articles, machinery and apparatus containing residues which cannot be removed for the intended carriage</w:t>
            </w:r>
            <w:r w:rsidR="00A71501">
              <w:t>.</w:t>
            </w:r>
          </w:p>
          <w:p w14:paraId="54C4B239" w14:textId="77777777" w:rsidR="00FE23BC" w:rsidRDefault="00A71501" w:rsidP="00BF10A3">
            <w:pPr>
              <w:pStyle w:val="SingleTxtG"/>
              <w:ind w:left="3402" w:hanging="2268"/>
            </w:pPr>
            <w:r>
              <w:rPr>
                <w:b/>
              </w:rPr>
              <w:t>Decis</w:t>
            </w:r>
            <w:r w:rsidR="00FE23BC">
              <w:rPr>
                <w:b/>
              </w:rPr>
              <w:t>ion to be taken</w:t>
            </w:r>
            <w:r w:rsidR="00FE23BC">
              <w:t>:</w:t>
            </w:r>
            <w:r w:rsidR="00FE23BC">
              <w:tab/>
            </w:r>
            <w:r>
              <w:t>Introduction of a special provision to exempt certain transport configurations</w:t>
            </w:r>
            <w:r w:rsidR="00FE23BC">
              <w:t>.</w:t>
            </w:r>
          </w:p>
          <w:p w14:paraId="2620DE47" w14:textId="0C609C15" w:rsidR="00314C98" w:rsidRDefault="008C15EF" w:rsidP="00C316AD">
            <w:pPr>
              <w:pStyle w:val="SingleTxtG"/>
              <w:tabs>
                <w:tab w:val="clear" w:pos="1701"/>
                <w:tab w:val="clear" w:pos="2268"/>
                <w:tab w:val="clear" w:pos="2835"/>
              </w:tabs>
              <w:ind w:left="3402" w:hanging="2268"/>
              <w:jc w:val="left"/>
            </w:pPr>
            <w:r w:rsidRPr="00C316AD">
              <w:rPr>
                <w:b/>
                <w:bCs/>
              </w:rPr>
              <w:t>Related documents:</w:t>
            </w:r>
            <w:r w:rsidRPr="008C15EF">
              <w:tab/>
              <w:t xml:space="preserve">Informal document INF.21 of the </w:t>
            </w:r>
            <w:r w:rsidR="001434B9">
              <w:t xml:space="preserve">Autumn 2022 session of the </w:t>
            </w:r>
            <w:r w:rsidRPr="008C15EF">
              <w:t>Joint Meeting</w:t>
            </w:r>
            <w:r w:rsidR="00710F53">
              <w:t>;</w:t>
            </w:r>
            <w:r w:rsidR="00710F53">
              <w:br/>
              <w:t>Report ECE/TRANS/WP.15/AC.1/166, paragraph 29.</w:t>
            </w:r>
          </w:p>
        </w:tc>
      </w:tr>
      <w:tr w:rsidR="00FE23BC" w14:paraId="70F3ACCD" w14:textId="77777777" w:rsidTr="00BF10A3">
        <w:trPr>
          <w:jc w:val="center"/>
        </w:trPr>
        <w:tc>
          <w:tcPr>
            <w:tcW w:w="9629" w:type="dxa"/>
            <w:shd w:val="clear" w:color="auto" w:fill="auto"/>
          </w:tcPr>
          <w:p w14:paraId="40720341" w14:textId="77777777" w:rsidR="00FE23BC" w:rsidRDefault="00FE23BC" w:rsidP="00BF10A3"/>
        </w:tc>
      </w:tr>
    </w:tbl>
    <w:p w14:paraId="66E0AAB5" w14:textId="10244A3A" w:rsidR="000D6107" w:rsidRPr="00C316AD" w:rsidRDefault="000D6107" w:rsidP="00C316AD">
      <w:pPr>
        <w:suppressAutoHyphens/>
        <w:spacing w:before="120"/>
        <w:rPr>
          <w:i/>
        </w:rPr>
      </w:pPr>
    </w:p>
    <w:p w14:paraId="3EEFC09E" w14:textId="3ACD62F4" w:rsidR="00ED2BA7" w:rsidRDefault="00ED2BA7" w:rsidP="00ED2BA7">
      <w:pPr>
        <w:pStyle w:val="HChG"/>
      </w:pPr>
      <w:r>
        <w:tab/>
      </w:r>
      <w:r>
        <w:tab/>
        <w:t>Introduction</w:t>
      </w:r>
    </w:p>
    <w:p w14:paraId="106549B0" w14:textId="1CDB4E6D" w:rsidR="00ED2BA7" w:rsidRDefault="00ED2BA7" w:rsidP="00ED2BA7">
      <w:pPr>
        <w:pStyle w:val="SingleTxtG"/>
      </w:pPr>
      <w:r>
        <w:t>1.</w:t>
      </w:r>
      <w:r>
        <w:tab/>
        <w:t xml:space="preserve">At the RID/ADR/ADN Joint Meeting from 12 to 16 September 2022, </w:t>
      </w:r>
      <w:proofErr w:type="spellStart"/>
      <w:r>
        <w:t>Cefic</w:t>
      </w:r>
      <w:proofErr w:type="spellEnd"/>
      <w:r>
        <w:t xml:space="preserve"> pointed out in informal document INF.21 some problems in connection with implementing the provisions on the classification of dangerous goods.</w:t>
      </w:r>
    </w:p>
    <w:p w14:paraId="612A5C16" w14:textId="3A6C796B" w:rsidR="00ED2BA7" w:rsidRDefault="00ED2BA7" w:rsidP="00ED2BA7">
      <w:pPr>
        <w:pStyle w:val="SingleTxtG"/>
      </w:pPr>
      <w:r>
        <w:lastRenderedPageBreak/>
        <w:t>2.</w:t>
      </w:r>
      <w:r>
        <w:tab/>
        <w:t xml:space="preserve">At its autumn session in 2017, the Joint Meeting decided to delete the exemption in 1.1.3.1 (b) for the </w:t>
      </w:r>
      <w:r w:rsidR="00F63519">
        <w:t>"</w:t>
      </w:r>
      <w:r>
        <w:t>carriage of machinery or equipment not specified in RID/this Annex and which happen to contain dangerous goods in their internal or operational equipment, provided that measures have been taken to prevent any leakage of contents in normal conditions of carriage</w:t>
      </w:r>
      <w:r w:rsidR="00F63519">
        <w:t>"</w:t>
      </w:r>
      <w:r>
        <w:t>. For a transitional period, this exemption could still be applied, but the transitional measure in 1.6.1.46 expired on 31 December 2022.</w:t>
      </w:r>
    </w:p>
    <w:p w14:paraId="0ADE7CBC" w14:textId="77135A5D" w:rsidR="00ED2BA7" w:rsidRDefault="00ED2BA7" w:rsidP="00ED2BA7">
      <w:pPr>
        <w:pStyle w:val="SingleTxtG"/>
      </w:pPr>
      <w:r>
        <w:t>3.</w:t>
      </w:r>
      <w:r>
        <w:tab/>
        <w:t>This meant that the provisions were broadly harmonised with the UN Model Regulations. In addition, special provision 672 was created for UN number 3363, which has the effect of largely exempting it from the provisions of RID/ADR/ADN, provided the conditions of this special provision are met.</w:t>
      </w:r>
    </w:p>
    <w:p w14:paraId="1463E8DA" w14:textId="1527EF18" w:rsidR="00ED2BA7" w:rsidRDefault="00ED2BA7" w:rsidP="00ED2BA7">
      <w:pPr>
        <w:pStyle w:val="HChG"/>
      </w:pPr>
      <w:r>
        <w:tab/>
      </w:r>
      <w:r>
        <w:tab/>
        <w:t>Background</w:t>
      </w:r>
    </w:p>
    <w:p w14:paraId="1759B79A" w14:textId="029B9402" w:rsidR="00ED2BA7" w:rsidRDefault="00ED2BA7" w:rsidP="00ED2BA7">
      <w:pPr>
        <w:pStyle w:val="SingleTxtG"/>
      </w:pPr>
      <w:r>
        <w:t>4.</w:t>
      </w:r>
      <w:r>
        <w:tab/>
        <w:t>Application of the provisions on the classification of articles (including machinery and apparatus) and compliance with the conditions of carriage does not cause any fundamental problems, provided that the products are newly manufactured. In this case, it is usually known exactly which and how many dangerous goods are present in the article.</w:t>
      </w:r>
    </w:p>
    <w:p w14:paraId="6303A5F4" w14:textId="08312448" w:rsidR="00ED2BA7" w:rsidRDefault="00ED2BA7" w:rsidP="00ED2BA7">
      <w:pPr>
        <w:pStyle w:val="SingleTxtG"/>
      </w:pPr>
      <w:r>
        <w:t>5.</w:t>
      </w:r>
      <w:r>
        <w:tab/>
        <w:t>However, the situation is different for used articles. For example, there are particular problems for articles, machinery and apparatus which are removed from production plants for the purpose of repair, maintenance or use in another plant. These parts, such as e.g. pressure regulators, pumps, flowmeters, valves, etc. may contain dangerous goods in dead spaces which cannot be removed completely, even by cleaning. In addition, it is not possible to determine exactly what quantities are present in the articles, so that no final decision can be made on an assignment to UN number 3363, which depends on compliance with the limits for limited quantities, or to the other UN numbers.</w:t>
      </w:r>
    </w:p>
    <w:p w14:paraId="5EDAA88E" w14:textId="03982C2E" w:rsidR="00ED2BA7" w:rsidRDefault="00ED2BA7" w:rsidP="00ED2BA7">
      <w:pPr>
        <w:pStyle w:val="SingleTxtG"/>
      </w:pPr>
      <w:r>
        <w:t>6.</w:t>
      </w:r>
      <w:r>
        <w:tab/>
        <w:t>When discussing informal document INF.21 at last year’s autumn session, several delegates supported a revision of the provisions for dangerous goods in machinery, apparatus or articles, and the possibility of a corresponding special provision was also mentioned. In view of the transitional measure expired on 31 December 2022, Germany has in the meantime initiated a multilateral special agreement for ADR (M 350).</w:t>
      </w:r>
    </w:p>
    <w:p w14:paraId="4B8019D5" w14:textId="0284AE8D" w:rsidR="00ED2BA7" w:rsidRDefault="00ED2BA7" w:rsidP="00ED2BA7">
      <w:pPr>
        <w:pStyle w:val="HChG"/>
      </w:pPr>
      <w:r>
        <w:tab/>
      </w:r>
      <w:r>
        <w:tab/>
        <w:t>Proposal</w:t>
      </w:r>
    </w:p>
    <w:p w14:paraId="212961CF" w14:textId="3AE7C258" w:rsidR="00ED2BA7" w:rsidRDefault="00ED2BA7" w:rsidP="00ED2BA7">
      <w:pPr>
        <w:pStyle w:val="SingleTxtG"/>
      </w:pPr>
      <w:r>
        <w:t>7.</w:t>
      </w:r>
      <w:r>
        <w:tab/>
        <w:t xml:space="preserve">In Chapter 3.2, Table A, column (6), for UN Nos. 3363, 3537, 3538, 3539, 3540, 3541, 3542, 3543, 3544, 3545, 3546, 3547 and 3548, insert a new special provision </w:t>
      </w:r>
      <w:r w:rsidR="00F93542">
        <w:t>"</w:t>
      </w:r>
      <w:r>
        <w:t>xxx</w:t>
      </w:r>
      <w:r w:rsidR="00F93542">
        <w:t>"</w:t>
      </w:r>
      <w:r>
        <w:t>.</w:t>
      </w:r>
    </w:p>
    <w:p w14:paraId="713B486D" w14:textId="7FE391A3" w:rsidR="00ED2BA7" w:rsidRDefault="00ED2BA7" w:rsidP="00ED2BA7">
      <w:pPr>
        <w:pStyle w:val="SingleTxtG"/>
      </w:pPr>
      <w:r>
        <w:t>8.</w:t>
      </w:r>
      <w:r>
        <w:tab/>
        <w:t xml:space="preserve">Insert </w:t>
      </w:r>
      <w:r w:rsidR="00325E65">
        <w:t xml:space="preserve">in Chapter 3.3 </w:t>
      </w:r>
      <w:r>
        <w:t>the following new special provision</w:t>
      </w:r>
      <w:r w:rsidR="00325E65">
        <w:t xml:space="preserve"> to read as follows</w:t>
      </w:r>
      <w:r>
        <w:t>:</w:t>
      </w:r>
    </w:p>
    <w:p w14:paraId="45E76DBC" w14:textId="58570B81" w:rsidR="00ED2BA7" w:rsidRDefault="005D3D8E" w:rsidP="00C316AD">
      <w:pPr>
        <w:pStyle w:val="SingleTxtG"/>
        <w:ind w:left="1701" w:hanging="567"/>
      </w:pPr>
      <w:r>
        <w:t>"</w:t>
      </w:r>
      <w:r w:rsidR="00ED2BA7">
        <w:t>xxx</w:t>
      </w:r>
      <w:r w:rsidR="00ED2BA7">
        <w:tab/>
        <w:t>Dangerous goods contained in used articles, dangerous goods contained in used machinery and dangerous goods contained in used apparatus shall not be subject to the other provisions of RID/ADR/ADN when carried for the purpose of disposal, recycling, repair, inspection or maintenance and provided that measures have been taken to prevent any leakage of contents in normal conditions of carriage.</w:t>
      </w:r>
      <w:r>
        <w:t>"</w:t>
      </w:r>
    </w:p>
    <w:p w14:paraId="5CF51689" w14:textId="416E6754" w:rsidR="005D3D8E" w:rsidRPr="005D3D8E" w:rsidRDefault="005D3D8E" w:rsidP="005D3D8E">
      <w:pPr>
        <w:spacing w:before="240"/>
        <w:jc w:val="center"/>
        <w:rPr>
          <w:u w:val="single"/>
        </w:rPr>
      </w:pPr>
      <w:r>
        <w:rPr>
          <w:u w:val="single"/>
        </w:rPr>
        <w:tab/>
      </w:r>
      <w:r>
        <w:rPr>
          <w:u w:val="single"/>
        </w:rPr>
        <w:tab/>
      </w:r>
      <w:r>
        <w:rPr>
          <w:u w:val="single"/>
        </w:rPr>
        <w:tab/>
      </w:r>
    </w:p>
    <w:sectPr w:rsidR="005D3D8E" w:rsidRPr="005D3D8E" w:rsidSect="005B415A">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AA04" w14:textId="77777777" w:rsidR="00243E93" w:rsidRDefault="00243E93"/>
  </w:endnote>
  <w:endnote w:type="continuationSeparator" w:id="0">
    <w:p w14:paraId="0FA4215D" w14:textId="77777777" w:rsidR="00243E93" w:rsidRDefault="00243E93"/>
  </w:endnote>
  <w:endnote w:type="continuationNotice" w:id="1">
    <w:p w14:paraId="7D02A70F" w14:textId="77777777" w:rsidR="00243E93" w:rsidRDefault="00243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5181" w14:textId="261C46F4" w:rsidR="007521E6" w:rsidRPr="007521E6" w:rsidRDefault="007521E6" w:rsidP="007521E6">
    <w:pPr>
      <w:pStyle w:val="Footer"/>
      <w:tabs>
        <w:tab w:val="right" w:pos="9638"/>
      </w:tabs>
      <w:rPr>
        <w:sz w:val="18"/>
      </w:rPr>
    </w:pPr>
    <w:r w:rsidRPr="007521E6">
      <w:rPr>
        <w:b/>
        <w:sz w:val="18"/>
      </w:rPr>
      <w:fldChar w:fldCharType="begin"/>
    </w:r>
    <w:r w:rsidRPr="007521E6">
      <w:rPr>
        <w:b/>
        <w:sz w:val="18"/>
      </w:rPr>
      <w:instrText xml:space="preserve"> PAGE  \* MERGEFORMAT </w:instrText>
    </w:r>
    <w:r w:rsidRPr="007521E6">
      <w:rPr>
        <w:b/>
        <w:sz w:val="18"/>
      </w:rPr>
      <w:fldChar w:fldCharType="separate"/>
    </w:r>
    <w:r w:rsidRPr="007521E6">
      <w:rPr>
        <w:b/>
        <w:noProof/>
        <w:sz w:val="18"/>
      </w:rPr>
      <w:t>2</w:t>
    </w:r>
    <w:r w:rsidRPr="007521E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233" w14:textId="62E61BD6" w:rsidR="007521E6" w:rsidRPr="007521E6" w:rsidRDefault="007521E6" w:rsidP="007521E6">
    <w:pPr>
      <w:pStyle w:val="Footer"/>
      <w:tabs>
        <w:tab w:val="right" w:pos="9638"/>
      </w:tabs>
      <w:rPr>
        <w:b/>
        <w:sz w:val="18"/>
      </w:rPr>
    </w:pPr>
    <w:r>
      <w:tab/>
    </w:r>
    <w:r w:rsidRPr="007521E6">
      <w:rPr>
        <w:b/>
        <w:sz w:val="18"/>
      </w:rPr>
      <w:fldChar w:fldCharType="begin"/>
    </w:r>
    <w:r w:rsidRPr="007521E6">
      <w:rPr>
        <w:b/>
        <w:sz w:val="18"/>
      </w:rPr>
      <w:instrText xml:space="preserve"> PAGE  \* MERGEFORMAT </w:instrText>
    </w:r>
    <w:r w:rsidRPr="007521E6">
      <w:rPr>
        <w:b/>
        <w:sz w:val="18"/>
      </w:rPr>
      <w:fldChar w:fldCharType="separate"/>
    </w:r>
    <w:r w:rsidRPr="007521E6">
      <w:rPr>
        <w:b/>
        <w:noProof/>
        <w:sz w:val="18"/>
      </w:rPr>
      <w:t>3</w:t>
    </w:r>
    <w:r w:rsidRPr="007521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8E1F" w14:textId="77777777" w:rsidR="0035223F" w:rsidRPr="007521E6" w:rsidRDefault="00686A48">
    <w:pPr>
      <w:pStyle w:val="Footer"/>
      <w:rPr>
        <w:sz w:val="20"/>
      </w:rPr>
    </w:pPr>
    <w:r>
      <w:rPr>
        <w:noProof/>
        <w:lang w:val="fr-CH" w:eastAsia="fr-CH"/>
      </w:rPr>
      <w:drawing>
        <wp:anchor distT="0" distB="0" distL="114300" distR="114300" simplePos="0" relativeHeight="251658240" behindDoc="0" locked="1" layoutInCell="1" allowOverlap="1" wp14:anchorId="49C46FD8" wp14:editId="100392F4">
          <wp:simplePos x="0" y="0"/>
          <wp:positionH relativeFrom="margin">
            <wp:posOffset>5147945</wp:posOffset>
          </wp:positionH>
          <wp:positionV relativeFrom="margin">
            <wp:posOffset>9071610</wp:posOffset>
          </wp:positionV>
          <wp:extent cx="933450" cy="228600"/>
          <wp:effectExtent l="0" t="0" r="0" b="0"/>
          <wp:wrapNone/>
          <wp:docPr id="5"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63FD" w14:textId="77777777" w:rsidR="00243E93" w:rsidRPr="000B175B" w:rsidRDefault="00243E93" w:rsidP="000B175B">
      <w:pPr>
        <w:tabs>
          <w:tab w:val="right" w:pos="2155"/>
        </w:tabs>
        <w:spacing w:after="80"/>
        <w:ind w:left="680"/>
        <w:rPr>
          <w:u w:val="single"/>
        </w:rPr>
      </w:pPr>
      <w:r>
        <w:rPr>
          <w:u w:val="single"/>
        </w:rPr>
        <w:tab/>
      </w:r>
    </w:p>
  </w:footnote>
  <w:footnote w:type="continuationSeparator" w:id="0">
    <w:p w14:paraId="62B5201C" w14:textId="77777777" w:rsidR="00243E93" w:rsidRPr="00FC68B7" w:rsidRDefault="00243E93" w:rsidP="00FC68B7">
      <w:pPr>
        <w:tabs>
          <w:tab w:val="left" w:pos="2155"/>
        </w:tabs>
        <w:spacing w:after="80"/>
        <w:ind w:left="680"/>
        <w:rPr>
          <w:u w:val="single"/>
        </w:rPr>
      </w:pPr>
      <w:r>
        <w:rPr>
          <w:u w:val="single"/>
        </w:rPr>
        <w:tab/>
      </w:r>
    </w:p>
  </w:footnote>
  <w:footnote w:type="continuationNotice" w:id="1">
    <w:p w14:paraId="12526FF4" w14:textId="77777777" w:rsidR="00243E93" w:rsidRDefault="00243E93"/>
  </w:footnote>
  <w:footnote w:id="2">
    <w:p w14:paraId="40041414" w14:textId="449749F3" w:rsidR="0018017B" w:rsidRPr="000B03EC" w:rsidRDefault="000712CB" w:rsidP="000712CB">
      <w:pPr>
        <w:pStyle w:val="FootnoteText"/>
        <w:rPr>
          <w:lang w:val="fr-CH"/>
        </w:rPr>
      </w:pPr>
      <w:r>
        <w:tab/>
      </w:r>
      <w:r w:rsidR="0018017B">
        <w:rPr>
          <w:rStyle w:val="FootnoteReference"/>
        </w:rPr>
        <w:footnoteRef/>
      </w:r>
      <w:r>
        <w:tab/>
      </w:r>
      <w:r w:rsidR="0018017B" w:rsidRPr="007054A5">
        <w:t>A/7</w:t>
      </w:r>
      <w:r w:rsidR="0018017B">
        <w:t>7</w:t>
      </w:r>
      <w:r w:rsidR="0018017B" w:rsidRPr="007054A5">
        <w:t>/6 (Sect.</w:t>
      </w:r>
      <w:r w:rsidR="0024680B">
        <w:t xml:space="preserve"> </w:t>
      </w:r>
      <w:r w:rsidR="0018017B" w:rsidRPr="007054A5">
        <w:t xml:space="preserve">20), </w:t>
      </w:r>
      <w:r w:rsidR="00680194">
        <w:t>table</w:t>
      </w:r>
      <w:r w:rsidR="0018017B" w:rsidRPr="007054A5">
        <w:t xml:space="preserve"> 20.6</w:t>
      </w:r>
      <w:r w:rsidR="00A01AB9">
        <w:t>.</w:t>
      </w:r>
    </w:p>
  </w:footnote>
  <w:footnote w:id="3">
    <w:p w14:paraId="06224928" w14:textId="0309C445" w:rsidR="00C43E79" w:rsidRPr="00BF6C48" w:rsidRDefault="000712CB" w:rsidP="000712CB">
      <w:pPr>
        <w:pStyle w:val="FootnoteText"/>
        <w:rPr>
          <w:lang w:val="fr-CH"/>
        </w:rPr>
      </w:pPr>
      <w:r>
        <w:tab/>
      </w:r>
      <w:r w:rsidR="00C43E79">
        <w:rPr>
          <w:rStyle w:val="FootnoteReference"/>
        </w:rPr>
        <w:t>**</w:t>
      </w:r>
      <w:r>
        <w:tab/>
      </w:r>
      <w:r w:rsidR="00C43E79">
        <w:t xml:space="preserve">Circulated by the </w:t>
      </w:r>
      <w:r w:rsidR="00C43E79" w:rsidRPr="000712CB">
        <w:t>Intergovernmental</w:t>
      </w:r>
      <w:r w:rsidR="00C43E79">
        <w:t xml:space="preserve"> Organisation for International Carriage by Rail (OTIF) under the symbol OTIF/RID/RC/2023/2</w:t>
      </w:r>
      <w:r w:rsidR="00FD7976">
        <w:t>4</w:t>
      </w:r>
      <w:r w:rsidR="00A01A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C928" w14:textId="59E6F28F" w:rsidR="007521E6" w:rsidRPr="007521E6" w:rsidRDefault="00243E93">
    <w:pPr>
      <w:pStyle w:val="Header"/>
    </w:pPr>
    <w:r>
      <w:fldChar w:fldCharType="begin"/>
    </w:r>
    <w:r>
      <w:instrText xml:space="preserve"> TITLE  \* MERGEFORMAT </w:instrText>
    </w:r>
    <w:r>
      <w:fldChar w:fldCharType="separate"/>
    </w:r>
    <w:r w:rsidR="007521E6">
      <w:t>ECE/TRANS/WP.15/AC.1/2023/24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D13A" w14:textId="45991C9A" w:rsidR="007521E6" w:rsidRPr="007521E6" w:rsidRDefault="00243E93" w:rsidP="007521E6">
    <w:pPr>
      <w:pStyle w:val="Header"/>
      <w:jc w:val="right"/>
    </w:pPr>
    <w:r>
      <w:fldChar w:fldCharType="begin"/>
    </w:r>
    <w:r>
      <w:instrText xml:space="preserve"> TITLE  \* MERGEFORMAT </w:instrText>
    </w:r>
    <w:r>
      <w:fldChar w:fldCharType="separate"/>
    </w:r>
    <w:r w:rsidR="007521E6">
      <w:t>ECE/TRANS/WP.15/AC.1/2023/24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E6"/>
    <w:rsid w:val="00002A7D"/>
    <w:rsid w:val="000038A8"/>
    <w:rsid w:val="00006790"/>
    <w:rsid w:val="00023172"/>
    <w:rsid w:val="00027624"/>
    <w:rsid w:val="00041FE0"/>
    <w:rsid w:val="00050F6B"/>
    <w:rsid w:val="000678CD"/>
    <w:rsid w:val="000712CB"/>
    <w:rsid w:val="000719FB"/>
    <w:rsid w:val="00072C8C"/>
    <w:rsid w:val="00081CE0"/>
    <w:rsid w:val="00084D30"/>
    <w:rsid w:val="00090320"/>
    <w:rsid w:val="000931C0"/>
    <w:rsid w:val="0009732C"/>
    <w:rsid w:val="000A01F9"/>
    <w:rsid w:val="000A2E09"/>
    <w:rsid w:val="000B175B"/>
    <w:rsid w:val="000B3A0F"/>
    <w:rsid w:val="000D6107"/>
    <w:rsid w:val="000E0415"/>
    <w:rsid w:val="000E3FAD"/>
    <w:rsid w:val="000F7715"/>
    <w:rsid w:val="001434B9"/>
    <w:rsid w:val="00156B99"/>
    <w:rsid w:val="00166124"/>
    <w:rsid w:val="0018017B"/>
    <w:rsid w:val="00184DDA"/>
    <w:rsid w:val="001900CD"/>
    <w:rsid w:val="001A0452"/>
    <w:rsid w:val="001A6D8C"/>
    <w:rsid w:val="001B4B04"/>
    <w:rsid w:val="001B5875"/>
    <w:rsid w:val="001B7B82"/>
    <w:rsid w:val="001C3460"/>
    <w:rsid w:val="001C4B9C"/>
    <w:rsid w:val="001C6663"/>
    <w:rsid w:val="001C7895"/>
    <w:rsid w:val="001D26DF"/>
    <w:rsid w:val="001E555D"/>
    <w:rsid w:val="001F1599"/>
    <w:rsid w:val="001F19C4"/>
    <w:rsid w:val="002043F0"/>
    <w:rsid w:val="00211E0B"/>
    <w:rsid w:val="0021701C"/>
    <w:rsid w:val="00230CAF"/>
    <w:rsid w:val="00232575"/>
    <w:rsid w:val="00243E93"/>
    <w:rsid w:val="0024680B"/>
    <w:rsid w:val="00247258"/>
    <w:rsid w:val="00257CAC"/>
    <w:rsid w:val="002602B7"/>
    <w:rsid w:val="00264441"/>
    <w:rsid w:val="0027237A"/>
    <w:rsid w:val="002974E9"/>
    <w:rsid w:val="002A7F94"/>
    <w:rsid w:val="002B109A"/>
    <w:rsid w:val="002B6D8C"/>
    <w:rsid w:val="002C6D45"/>
    <w:rsid w:val="002D6E53"/>
    <w:rsid w:val="002E08C4"/>
    <w:rsid w:val="002F046D"/>
    <w:rsid w:val="002F3023"/>
    <w:rsid w:val="00301764"/>
    <w:rsid w:val="00314C98"/>
    <w:rsid w:val="003229D8"/>
    <w:rsid w:val="00322A12"/>
    <w:rsid w:val="00325E65"/>
    <w:rsid w:val="00335659"/>
    <w:rsid w:val="00336C97"/>
    <w:rsid w:val="00337F88"/>
    <w:rsid w:val="00342432"/>
    <w:rsid w:val="0035223F"/>
    <w:rsid w:val="00352D4B"/>
    <w:rsid w:val="0035638C"/>
    <w:rsid w:val="003A4097"/>
    <w:rsid w:val="003A46BB"/>
    <w:rsid w:val="003A4EC7"/>
    <w:rsid w:val="003A7295"/>
    <w:rsid w:val="003B1F60"/>
    <w:rsid w:val="003C2CC4"/>
    <w:rsid w:val="003D4B23"/>
    <w:rsid w:val="003E278A"/>
    <w:rsid w:val="003E771D"/>
    <w:rsid w:val="00407BCA"/>
    <w:rsid w:val="00413520"/>
    <w:rsid w:val="00430D57"/>
    <w:rsid w:val="004325CB"/>
    <w:rsid w:val="00435315"/>
    <w:rsid w:val="00440A07"/>
    <w:rsid w:val="00457E16"/>
    <w:rsid w:val="00462880"/>
    <w:rsid w:val="00476F24"/>
    <w:rsid w:val="00487D94"/>
    <w:rsid w:val="004B3BB9"/>
    <w:rsid w:val="004C55B0"/>
    <w:rsid w:val="004D27C7"/>
    <w:rsid w:val="004E001E"/>
    <w:rsid w:val="004F6BA0"/>
    <w:rsid w:val="00503BEA"/>
    <w:rsid w:val="005119E0"/>
    <w:rsid w:val="00533616"/>
    <w:rsid w:val="00535ABA"/>
    <w:rsid w:val="0053768B"/>
    <w:rsid w:val="005420F2"/>
    <w:rsid w:val="0054285C"/>
    <w:rsid w:val="00584173"/>
    <w:rsid w:val="00595520"/>
    <w:rsid w:val="005A44B9"/>
    <w:rsid w:val="005B1BA0"/>
    <w:rsid w:val="005B3DB3"/>
    <w:rsid w:val="005B415A"/>
    <w:rsid w:val="005D15CA"/>
    <w:rsid w:val="005D3D8E"/>
    <w:rsid w:val="005D5414"/>
    <w:rsid w:val="005D7969"/>
    <w:rsid w:val="005F08DF"/>
    <w:rsid w:val="005F3066"/>
    <w:rsid w:val="005F3E61"/>
    <w:rsid w:val="005F7EBF"/>
    <w:rsid w:val="00604DDD"/>
    <w:rsid w:val="006115CC"/>
    <w:rsid w:val="00611FC4"/>
    <w:rsid w:val="006176FB"/>
    <w:rsid w:val="006306D9"/>
    <w:rsid w:val="00630FCB"/>
    <w:rsid w:val="00640B26"/>
    <w:rsid w:val="0065766B"/>
    <w:rsid w:val="00664ED4"/>
    <w:rsid w:val="006770B2"/>
    <w:rsid w:val="00680194"/>
    <w:rsid w:val="00686A48"/>
    <w:rsid w:val="006940E1"/>
    <w:rsid w:val="006A3C72"/>
    <w:rsid w:val="006A7392"/>
    <w:rsid w:val="006B03A1"/>
    <w:rsid w:val="006B67D9"/>
    <w:rsid w:val="006C5535"/>
    <w:rsid w:val="006D0589"/>
    <w:rsid w:val="006E564B"/>
    <w:rsid w:val="006E7154"/>
    <w:rsid w:val="007003CD"/>
    <w:rsid w:val="0070701E"/>
    <w:rsid w:val="00710F53"/>
    <w:rsid w:val="007173E0"/>
    <w:rsid w:val="0072632A"/>
    <w:rsid w:val="007358E8"/>
    <w:rsid w:val="00736ECE"/>
    <w:rsid w:val="0074533B"/>
    <w:rsid w:val="00751C36"/>
    <w:rsid w:val="007521E6"/>
    <w:rsid w:val="007643BC"/>
    <w:rsid w:val="00766D55"/>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132B"/>
    <w:rsid w:val="00866893"/>
    <w:rsid w:val="00866F02"/>
    <w:rsid w:val="00867D18"/>
    <w:rsid w:val="00871F9A"/>
    <w:rsid w:val="00871FD5"/>
    <w:rsid w:val="00874338"/>
    <w:rsid w:val="0088172E"/>
    <w:rsid w:val="00881EFA"/>
    <w:rsid w:val="008879CB"/>
    <w:rsid w:val="008935F5"/>
    <w:rsid w:val="008979B1"/>
    <w:rsid w:val="008A6B25"/>
    <w:rsid w:val="008A6C4F"/>
    <w:rsid w:val="008A77AE"/>
    <w:rsid w:val="008B389E"/>
    <w:rsid w:val="008C15EF"/>
    <w:rsid w:val="008D045E"/>
    <w:rsid w:val="008D08A0"/>
    <w:rsid w:val="008D3F25"/>
    <w:rsid w:val="008D4D82"/>
    <w:rsid w:val="008E0AFF"/>
    <w:rsid w:val="008E0E46"/>
    <w:rsid w:val="008E7116"/>
    <w:rsid w:val="008F143B"/>
    <w:rsid w:val="008F3882"/>
    <w:rsid w:val="008F3CEA"/>
    <w:rsid w:val="008F4B7C"/>
    <w:rsid w:val="00926E47"/>
    <w:rsid w:val="0094661F"/>
    <w:rsid w:val="00947162"/>
    <w:rsid w:val="009555AD"/>
    <w:rsid w:val="009610D0"/>
    <w:rsid w:val="0096375C"/>
    <w:rsid w:val="009662E6"/>
    <w:rsid w:val="0097095E"/>
    <w:rsid w:val="0098592B"/>
    <w:rsid w:val="00985FC4"/>
    <w:rsid w:val="00990766"/>
    <w:rsid w:val="00991261"/>
    <w:rsid w:val="009964C4"/>
    <w:rsid w:val="00996832"/>
    <w:rsid w:val="00996B65"/>
    <w:rsid w:val="009A7B81"/>
    <w:rsid w:val="009D01C0"/>
    <w:rsid w:val="009D6A08"/>
    <w:rsid w:val="009E0A16"/>
    <w:rsid w:val="009E41EE"/>
    <w:rsid w:val="009E6CB7"/>
    <w:rsid w:val="009E7970"/>
    <w:rsid w:val="009F2EAC"/>
    <w:rsid w:val="009F57E3"/>
    <w:rsid w:val="00A01AB9"/>
    <w:rsid w:val="00A10F4F"/>
    <w:rsid w:val="00A11067"/>
    <w:rsid w:val="00A1704A"/>
    <w:rsid w:val="00A425EB"/>
    <w:rsid w:val="00A62CD5"/>
    <w:rsid w:val="00A71501"/>
    <w:rsid w:val="00A72F22"/>
    <w:rsid w:val="00A733BC"/>
    <w:rsid w:val="00A748A6"/>
    <w:rsid w:val="00A74C7C"/>
    <w:rsid w:val="00A76A69"/>
    <w:rsid w:val="00A879A4"/>
    <w:rsid w:val="00AA0FF8"/>
    <w:rsid w:val="00AA6E12"/>
    <w:rsid w:val="00AC0F2C"/>
    <w:rsid w:val="00AC502A"/>
    <w:rsid w:val="00AC5B53"/>
    <w:rsid w:val="00AF58C1"/>
    <w:rsid w:val="00B04A3F"/>
    <w:rsid w:val="00B06643"/>
    <w:rsid w:val="00B15055"/>
    <w:rsid w:val="00B20551"/>
    <w:rsid w:val="00B23D55"/>
    <w:rsid w:val="00B30179"/>
    <w:rsid w:val="00B33FC7"/>
    <w:rsid w:val="00B37B15"/>
    <w:rsid w:val="00B45C02"/>
    <w:rsid w:val="00B70B63"/>
    <w:rsid w:val="00B72A1E"/>
    <w:rsid w:val="00B81674"/>
    <w:rsid w:val="00B81E12"/>
    <w:rsid w:val="00B96E56"/>
    <w:rsid w:val="00BA339B"/>
    <w:rsid w:val="00BB23CC"/>
    <w:rsid w:val="00BC1E7E"/>
    <w:rsid w:val="00BC74E9"/>
    <w:rsid w:val="00BD6DD2"/>
    <w:rsid w:val="00BE36A9"/>
    <w:rsid w:val="00BE618E"/>
    <w:rsid w:val="00BE7BEC"/>
    <w:rsid w:val="00BF0A5A"/>
    <w:rsid w:val="00BF0E63"/>
    <w:rsid w:val="00BF10A3"/>
    <w:rsid w:val="00BF12A3"/>
    <w:rsid w:val="00BF16D7"/>
    <w:rsid w:val="00BF2373"/>
    <w:rsid w:val="00C0294F"/>
    <w:rsid w:val="00C044E2"/>
    <w:rsid w:val="00C048CB"/>
    <w:rsid w:val="00C066F3"/>
    <w:rsid w:val="00C316AD"/>
    <w:rsid w:val="00C408B7"/>
    <w:rsid w:val="00C411EB"/>
    <w:rsid w:val="00C43E79"/>
    <w:rsid w:val="00C463DD"/>
    <w:rsid w:val="00C51E74"/>
    <w:rsid w:val="00C745C3"/>
    <w:rsid w:val="00C978F5"/>
    <w:rsid w:val="00CA12EE"/>
    <w:rsid w:val="00CA24A4"/>
    <w:rsid w:val="00CB348D"/>
    <w:rsid w:val="00CC7725"/>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423C0"/>
    <w:rsid w:val="00E57AF6"/>
    <w:rsid w:val="00E6414C"/>
    <w:rsid w:val="00E7260F"/>
    <w:rsid w:val="00E8702D"/>
    <w:rsid w:val="00E905F4"/>
    <w:rsid w:val="00E916A9"/>
    <w:rsid w:val="00E916DE"/>
    <w:rsid w:val="00E925AD"/>
    <w:rsid w:val="00E96630"/>
    <w:rsid w:val="00EB4139"/>
    <w:rsid w:val="00ED18DC"/>
    <w:rsid w:val="00ED2BA7"/>
    <w:rsid w:val="00ED6201"/>
    <w:rsid w:val="00ED65CD"/>
    <w:rsid w:val="00ED72AC"/>
    <w:rsid w:val="00ED7A2A"/>
    <w:rsid w:val="00EF1D7F"/>
    <w:rsid w:val="00F0137E"/>
    <w:rsid w:val="00F12839"/>
    <w:rsid w:val="00F21786"/>
    <w:rsid w:val="00F3742B"/>
    <w:rsid w:val="00F403E6"/>
    <w:rsid w:val="00F41FDB"/>
    <w:rsid w:val="00F50596"/>
    <w:rsid w:val="00F56D63"/>
    <w:rsid w:val="00F609A9"/>
    <w:rsid w:val="00F63519"/>
    <w:rsid w:val="00F655BB"/>
    <w:rsid w:val="00F80C99"/>
    <w:rsid w:val="00F867EC"/>
    <w:rsid w:val="00F91B2B"/>
    <w:rsid w:val="00F93542"/>
    <w:rsid w:val="00FC03CD"/>
    <w:rsid w:val="00FC0646"/>
    <w:rsid w:val="00FC38E2"/>
    <w:rsid w:val="00FC68B7"/>
    <w:rsid w:val="00FD1618"/>
    <w:rsid w:val="00FD7976"/>
    <w:rsid w:val="00FD7BA5"/>
    <w:rsid w:val="00FE23B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571BF"/>
  <w15:docId w15:val="{294A139F-9A47-4651-A88A-2E9328D3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E57AF6"/>
    <w:pPr>
      <w:spacing w:line="240" w:lineRule="auto"/>
    </w:pPr>
    <w:rPr>
      <w:lang w:val="en-GB"/>
    </w:rPr>
  </w:style>
  <w:style w:type="character" w:customStyle="1" w:styleId="FootnoteTextChar">
    <w:name w:val="Footnote Text Char"/>
    <w:aliases w:val="5_G Char"/>
    <w:basedOn w:val="DefaultParagraphFont"/>
    <w:link w:val="FootnoteText"/>
    <w:rsid w:val="0018017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6FDCA4C4-520E-47D9-AFC4-24306611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103</TotalTime>
  <Pages>2</Pages>
  <Words>669</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ECE/TRANS/WP.15/AC.1/2023/24</vt:lpstr>
      <vt:lpstr/>
    </vt:vector>
  </TitlesOfParts>
  <Company>CSD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ECE/TRANS/WP.15/AC.1/2023/24</dc:title>
  <dc:subject/>
  <dc:creator>Alicia DORCA-GARCIA</dc:creator>
  <cp:keywords/>
  <cp:lastModifiedBy>Alicia Dorca Garcia</cp:lastModifiedBy>
  <cp:revision>75</cp:revision>
  <cp:lastPrinted>2009-02-18T18:36:00Z</cp:lastPrinted>
  <dcterms:created xsi:type="dcterms:W3CDTF">2023-06-12T16:17:00Z</dcterms:created>
  <dcterms:modified xsi:type="dcterms:W3CDTF">2023-06-15T12:30:00Z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