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5AC0" w14:textId="631970E3" w:rsidR="00264628" w:rsidRPr="001B5DF4" w:rsidRDefault="00264628" w:rsidP="00264628">
      <w:pPr>
        <w:snapToGrid w:val="0"/>
        <w:spacing w:line="240" w:lineRule="auto"/>
        <w:ind w:left="5387" w:right="-286"/>
        <w:outlineLvl w:val="0"/>
        <w:rPr>
          <w:rFonts w:ascii="Arial" w:eastAsia="Arial" w:hAnsi="Arial" w:cs="Arial"/>
          <w:bCs/>
          <w:snapToGrid/>
          <w:szCs w:val="24"/>
          <w:lang w:eastAsia="de-DE"/>
        </w:rPr>
      </w:pPr>
      <w:r w:rsidRPr="001B5DF4">
        <w:rPr>
          <w:rFonts w:ascii="Arial" w:eastAsia="Arial" w:hAnsi="Arial" w:cs="Arial"/>
          <w:bCs/>
          <w:noProof/>
          <w:snapToGrid/>
          <w:szCs w:val="24"/>
          <w:lang w:eastAsia="de-DE"/>
        </w:rPr>
        <w:drawing>
          <wp:anchor distT="0" distB="0" distL="114300" distR="114300" simplePos="0" relativeHeight="251659264" behindDoc="0" locked="0" layoutInCell="1" allowOverlap="1" wp14:anchorId="66689D21" wp14:editId="5660D85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1B5DF4">
        <w:rPr>
          <w:rFonts w:ascii="Arial" w:eastAsia="Arial" w:hAnsi="Arial" w:cs="Arial"/>
          <w:bCs/>
          <w:snapToGrid/>
          <w:szCs w:val="24"/>
          <w:lang w:eastAsia="de-DE"/>
        </w:rPr>
        <w:t>CCNR-ZKR/ADN/WP.15/AC.2/</w:t>
      </w:r>
      <w:r w:rsidR="003E2E1E" w:rsidRPr="001B5DF4">
        <w:rPr>
          <w:rFonts w:ascii="Arial" w:eastAsia="Arial" w:hAnsi="Arial" w:cs="Arial"/>
          <w:bCs/>
          <w:snapToGrid/>
          <w:szCs w:val="24"/>
          <w:lang w:eastAsia="de-DE"/>
        </w:rPr>
        <w:t>2023/</w:t>
      </w:r>
      <w:r w:rsidR="008E71D0">
        <w:rPr>
          <w:rFonts w:ascii="Arial" w:eastAsia="Arial" w:hAnsi="Arial" w:cs="Arial"/>
          <w:bCs/>
          <w:snapToGrid/>
          <w:szCs w:val="24"/>
          <w:lang w:eastAsia="de-DE"/>
        </w:rPr>
        <w:t>47</w:t>
      </w:r>
    </w:p>
    <w:p w14:paraId="4C185316" w14:textId="77777777" w:rsidR="00264628" w:rsidRPr="001B5DF4" w:rsidRDefault="00264628" w:rsidP="00264628">
      <w:pPr>
        <w:tabs>
          <w:tab w:val="left" w:pos="5670"/>
        </w:tabs>
        <w:suppressAutoHyphens w:val="0"/>
        <w:snapToGrid w:val="0"/>
        <w:spacing w:line="240" w:lineRule="auto"/>
        <w:ind w:left="5387"/>
        <w:rPr>
          <w:rFonts w:ascii="Arial" w:hAnsi="Arial" w:cs="Arial"/>
          <w:snapToGrid/>
          <w:sz w:val="16"/>
          <w:szCs w:val="24"/>
          <w:lang w:eastAsia="de-DE"/>
        </w:rPr>
      </w:pPr>
      <w:r w:rsidRPr="001B5DF4">
        <w:rPr>
          <w:rFonts w:ascii="Arial" w:hAnsi="Arial" w:cs="Arial"/>
          <w:snapToGrid/>
          <w:sz w:val="16"/>
          <w:szCs w:val="24"/>
          <w:lang w:eastAsia="de-DE"/>
        </w:rPr>
        <w:t>Allgemeine Verteilung</w:t>
      </w:r>
    </w:p>
    <w:p w14:paraId="5C385CF0" w14:textId="4A8F75AF" w:rsidR="00264628" w:rsidRPr="001B5DF4" w:rsidRDefault="00405893" w:rsidP="00264628">
      <w:pPr>
        <w:tabs>
          <w:tab w:val="right" w:pos="3856"/>
          <w:tab w:val="left" w:pos="5670"/>
        </w:tabs>
        <w:suppressAutoHyphens w:val="0"/>
        <w:snapToGrid w:val="0"/>
        <w:spacing w:line="240" w:lineRule="auto"/>
        <w:ind w:left="5387"/>
        <w:rPr>
          <w:rFonts w:ascii="Arial" w:hAnsi="Arial" w:cs="Arial"/>
          <w:snapToGrid/>
          <w:szCs w:val="24"/>
          <w:lang w:eastAsia="de-DE"/>
        </w:rPr>
      </w:pPr>
      <w:r>
        <w:rPr>
          <w:rFonts w:ascii="Arial" w:eastAsia="Arial" w:hAnsi="Arial" w:cs="Arial"/>
          <w:snapToGrid/>
          <w:szCs w:val="24"/>
          <w:lang w:eastAsia="de-DE"/>
        </w:rPr>
        <w:t>15. Juni</w:t>
      </w:r>
      <w:r w:rsidR="00264628" w:rsidRPr="001B5DF4">
        <w:rPr>
          <w:rFonts w:ascii="Arial" w:eastAsia="Arial" w:hAnsi="Arial" w:cs="Arial"/>
          <w:snapToGrid/>
          <w:szCs w:val="24"/>
          <w:lang w:eastAsia="de-DE"/>
        </w:rPr>
        <w:t xml:space="preserve"> 202</w:t>
      </w:r>
      <w:r w:rsidR="003E2E1E" w:rsidRPr="001B5DF4">
        <w:rPr>
          <w:rFonts w:ascii="Arial" w:eastAsia="Arial" w:hAnsi="Arial" w:cs="Arial"/>
          <w:snapToGrid/>
          <w:szCs w:val="24"/>
          <w:lang w:eastAsia="de-DE"/>
        </w:rPr>
        <w:t>3</w:t>
      </w:r>
    </w:p>
    <w:p w14:paraId="79525D3E" w14:textId="7DAB2A0B" w:rsidR="00264628" w:rsidRPr="001B5DF4"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lang w:eastAsia="de-DE"/>
        </w:rPr>
      </w:pPr>
      <w:r w:rsidRPr="001B5DF4">
        <w:rPr>
          <w:rFonts w:ascii="Arial" w:eastAsia="Arial" w:hAnsi="Arial" w:cs="Arial"/>
          <w:snapToGrid/>
          <w:sz w:val="16"/>
          <w:szCs w:val="24"/>
          <w:lang w:eastAsia="de-DE"/>
        </w:rPr>
        <w:t xml:space="preserve">Or. </w:t>
      </w:r>
      <w:r w:rsidR="00B71F3F">
        <w:rPr>
          <w:rFonts w:ascii="Arial" w:eastAsia="Arial" w:hAnsi="Arial" w:cs="Arial"/>
          <w:snapToGrid/>
          <w:sz w:val="16"/>
          <w:szCs w:val="24"/>
          <w:lang w:eastAsia="de-DE"/>
        </w:rPr>
        <w:t>DEUTSCH</w:t>
      </w:r>
    </w:p>
    <w:p w14:paraId="67D00F9A" w14:textId="77777777" w:rsidR="00264628" w:rsidRPr="001B5DF4" w:rsidRDefault="00264628" w:rsidP="00264628">
      <w:pPr>
        <w:suppressAutoHyphens w:val="0"/>
        <w:snapToGrid w:val="0"/>
        <w:spacing w:line="240" w:lineRule="auto"/>
        <w:rPr>
          <w:rFonts w:ascii="Arial" w:hAnsi="Arial" w:cs="Arial"/>
          <w:snapToGrid/>
          <w:sz w:val="16"/>
          <w:szCs w:val="24"/>
          <w:lang w:eastAsia="de-DE"/>
        </w:rPr>
      </w:pPr>
    </w:p>
    <w:p w14:paraId="33F37F5B" w14:textId="77777777" w:rsidR="00264628" w:rsidRPr="001B5DF4" w:rsidRDefault="00264628" w:rsidP="00264628">
      <w:pPr>
        <w:tabs>
          <w:tab w:val="left" w:pos="2977"/>
        </w:tabs>
        <w:suppressAutoHyphens w:val="0"/>
        <w:snapToGrid w:val="0"/>
        <w:spacing w:line="240" w:lineRule="auto"/>
        <w:ind w:left="3958"/>
        <w:rPr>
          <w:rFonts w:ascii="Arial" w:hAnsi="Arial"/>
          <w:snapToGrid/>
          <w:sz w:val="16"/>
        </w:rPr>
      </w:pPr>
      <w:r w:rsidRPr="001B5DF4">
        <w:rPr>
          <w:rFonts w:ascii="Arial" w:hAnsi="Arial"/>
          <w:snapToGrid/>
          <w:sz w:val="16"/>
        </w:rPr>
        <w:t xml:space="preserve">GEMEINSAME EXPERTENTAGUNG FÜR DIE DEM ÜBEREINKOMMEN ÜBER DIE INTERNATIONALE BEFÖRDERUNG VON GEFÄHRLICHEN GÜTERN AUF </w:t>
      </w:r>
      <w:r w:rsidRPr="001B5DF4">
        <w:rPr>
          <w:rFonts w:ascii="Arial" w:eastAsia="Calibri" w:hAnsi="Arial"/>
          <w:snapToGrid/>
          <w:sz w:val="16"/>
        </w:rPr>
        <w:t xml:space="preserve">BINNENWASSERSTRAẞEN (ADN) </w:t>
      </w:r>
      <w:r w:rsidRPr="001B5DF4">
        <w:rPr>
          <w:rFonts w:ascii="Arial" w:hAnsi="Arial"/>
          <w:snapToGrid/>
          <w:sz w:val="16"/>
        </w:rPr>
        <w:t>BEIGEFÜGTE VERORDNUNG (SICHERHEITSAUSSCHUSS)</w:t>
      </w:r>
    </w:p>
    <w:p w14:paraId="1F699BEE" w14:textId="77777777" w:rsidR="00264628" w:rsidRPr="001B5DF4" w:rsidRDefault="00264628" w:rsidP="00264628">
      <w:pPr>
        <w:tabs>
          <w:tab w:val="left" w:pos="2977"/>
        </w:tabs>
        <w:suppressAutoHyphens w:val="0"/>
        <w:snapToGrid w:val="0"/>
        <w:spacing w:line="240" w:lineRule="auto"/>
        <w:ind w:left="3960"/>
        <w:rPr>
          <w:rFonts w:ascii="Arial" w:hAnsi="Arial"/>
          <w:snapToGrid/>
          <w:sz w:val="16"/>
          <w:szCs w:val="24"/>
        </w:rPr>
      </w:pPr>
      <w:r w:rsidRPr="001B5DF4">
        <w:rPr>
          <w:rFonts w:ascii="Arial" w:hAnsi="Arial"/>
          <w:snapToGrid/>
          <w:sz w:val="16"/>
          <w:szCs w:val="24"/>
        </w:rPr>
        <w:t>(4</w:t>
      </w:r>
      <w:r w:rsidR="003E2E1E" w:rsidRPr="001B5DF4">
        <w:rPr>
          <w:rFonts w:ascii="Arial" w:hAnsi="Arial"/>
          <w:snapToGrid/>
          <w:sz w:val="16"/>
          <w:szCs w:val="24"/>
        </w:rPr>
        <w:t>2</w:t>
      </w:r>
      <w:r w:rsidRPr="001B5DF4">
        <w:rPr>
          <w:rFonts w:ascii="Arial" w:hAnsi="Arial"/>
          <w:snapToGrid/>
          <w:sz w:val="16"/>
          <w:szCs w:val="24"/>
        </w:rPr>
        <w:t xml:space="preserve">. Tagung, Genf, </w:t>
      </w:r>
      <w:r w:rsidR="003E2E1E" w:rsidRPr="001B5DF4">
        <w:rPr>
          <w:rFonts w:ascii="Arial" w:hAnsi="Arial"/>
          <w:snapToGrid/>
          <w:sz w:val="16"/>
          <w:szCs w:val="24"/>
        </w:rPr>
        <w:t>21</w:t>
      </w:r>
      <w:r w:rsidRPr="001B5DF4">
        <w:rPr>
          <w:rFonts w:ascii="Arial" w:hAnsi="Arial"/>
          <w:snapToGrid/>
          <w:sz w:val="16"/>
          <w:szCs w:val="24"/>
        </w:rPr>
        <w:t>. – 2</w:t>
      </w:r>
      <w:r w:rsidR="003E2E1E" w:rsidRPr="001B5DF4">
        <w:rPr>
          <w:rFonts w:ascii="Arial" w:hAnsi="Arial"/>
          <w:snapToGrid/>
          <w:sz w:val="16"/>
          <w:szCs w:val="24"/>
        </w:rPr>
        <w:t>5</w:t>
      </w:r>
      <w:r w:rsidRPr="001B5DF4">
        <w:rPr>
          <w:rFonts w:ascii="Arial" w:hAnsi="Arial"/>
          <w:snapToGrid/>
          <w:sz w:val="16"/>
          <w:szCs w:val="24"/>
        </w:rPr>
        <w:t>. August 202</w:t>
      </w:r>
      <w:r w:rsidR="003E2E1E" w:rsidRPr="001B5DF4">
        <w:rPr>
          <w:rFonts w:ascii="Arial" w:hAnsi="Arial"/>
          <w:snapToGrid/>
          <w:sz w:val="16"/>
          <w:szCs w:val="24"/>
        </w:rPr>
        <w:t>3</w:t>
      </w:r>
      <w:r w:rsidRPr="001B5DF4">
        <w:rPr>
          <w:rFonts w:ascii="Arial" w:hAnsi="Arial"/>
          <w:snapToGrid/>
          <w:sz w:val="16"/>
          <w:szCs w:val="24"/>
        </w:rPr>
        <w:t>)</w:t>
      </w:r>
    </w:p>
    <w:p w14:paraId="318FB315" w14:textId="0275E3BC" w:rsidR="00264628" w:rsidRPr="001B5DF4" w:rsidRDefault="00264628" w:rsidP="00264628">
      <w:pPr>
        <w:tabs>
          <w:tab w:val="left" w:pos="2977"/>
        </w:tabs>
        <w:suppressAutoHyphens w:val="0"/>
        <w:snapToGrid w:val="0"/>
        <w:spacing w:line="240" w:lineRule="auto"/>
        <w:ind w:left="3960"/>
        <w:rPr>
          <w:rFonts w:ascii="Arial" w:hAnsi="Arial" w:cs="Arial"/>
          <w:snapToGrid/>
          <w:sz w:val="16"/>
          <w:szCs w:val="16"/>
          <w:lang w:eastAsia="en-US"/>
        </w:rPr>
      </w:pPr>
      <w:r w:rsidRPr="001B5DF4">
        <w:rPr>
          <w:rFonts w:ascii="Arial" w:hAnsi="Arial" w:cs="Arial"/>
          <w:snapToGrid/>
          <w:sz w:val="16"/>
          <w:szCs w:val="16"/>
          <w:lang w:eastAsia="en-US"/>
        </w:rPr>
        <w:t xml:space="preserve">Punkt </w:t>
      </w:r>
      <w:r w:rsidR="008E71D0">
        <w:rPr>
          <w:rFonts w:ascii="Arial" w:hAnsi="Arial" w:cs="Arial"/>
          <w:snapToGrid/>
          <w:sz w:val="16"/>
          <w:szCs w:val="16"/>
          <w:lang w:eastAsia="en-US"/>
        </w:rPr>
        <w:t>4 b)</w:t>
      </w:r>
      <w:r w:rsidRPr="001B5DF4">
        <w:rPr>
          <w:rFonts w:ascii="Arial" w:hAnsi="Arial" w:cs="Arial"/>
          <w:snapToGrid/>
          <w:sz w:val="16"/>
          <w:szCs w:val="16"/>
          <w:lang w:eastAsia="en-US"/>
        </w:rPr>
        <w:t xml:space="preserve"> zur vorläufigen Tagesordnung</w:t>
      </w:r>
    </w:p>
    <w:p w14:paraId="70D5FA41" w14:textId="77777777" w:rsidR="00264628" w:rsidRPr="001B5DF4" w:rsidRDefault="00264628" w:rsidP="00264628">
      <w:pPr>
        <w:widowControl w:val="0"/>
        <w:tabs>
          <w:tab w:val="left" w:pos="2977"/>
        </w:tabs>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lang w:eastAsia="en-US"/>
        </w:rPr>
      </w:pPr>
      <w:r w:rsidRPr="001B5DF4">
        <w:rPr>
          <w:rFonts w:ascii="Arial" w:hAnsi="Arial" w:cs="Arial"/>
          <w:b/>
          <w:snapToGrid/>
          <w:sz w:val="16"/>
          <w:szCs w:val="16"/>
          <w:lang w:eastAsia="en-US"/>
        </w:rPr>
        <w:t>Vorschläge für Änderungen der dem ADN beigefügten Verordnung: Weitere Änderungsvorschläge</w:t>
      </w:r>
    </w:p>
    <w:p w14:paraId="5BEE7058" w14:textId="77777777" w:rsidR="003159A0" w:rsidRPr="001B5DF4" w:rsidRDefault="003159A0" w:rsidP="00264628">
      <w:pPr>
        <w:suppressAutoHyphens w:val="0"/>
        <w:spacing w:line="240" w:lineRule="auto"/>
        <w:rPr>
          <w:rFonts w:ascii="Arial" w:hAnsi="Arial"/>
          <w:szCs w:val="24"/>
        </w:rPr>
      </w:pPr>
    </w:p>
    <w:p w14:paraId="6558CCFD" w14:textId="77777777" w:rsidR="00F007DA" w:rsidRPr="001B5DF4" w:rsidRDefault="00F007DA" w:rsidP="00264628">
      <w:pPr>
        <w:suppressAutoHyphens w:val="0"/>
        <w:spacing w:line="240" w:lineRule="auto"/>
        <w:rPr>
          <w:rFonts w:ascii="Arial" w:hAnsi="Arial"/>
          <w:szCs w:val="24"/>
        </w:rPr>
      </w:pPr>
    </w:p>
    <w:p w14:paraId="5C872769" w14:textId="77777777" w:rsidR="00264628" w:rsidRPr="001B5DF4" w:rsidRDefault="00264628" w:rsidP="00264628"/>
    <w:p w14:paraId="47FFC88D" w14:textId="77777777" w:rsidR="003159A0" w:rsidRPr="001B5DF4" w:rsidRDefault="00BB7C53" w:rsidP="00264628">
      <w:pPr>
        <w:pStyle w:val="HChG"/>
        <w:keepNext w:val="0"/>
        <w:keepLines w:val="0"/>
        <w:spacing w:before="0" w:after="0" w:line="240" w:lineRule="atLeast"/>
        <w:jc w:val="both"/>
      </w:pPr>
      <w:r w:rsidRPr="001B5DF4">
        <w:rPr>
          <w:bCs/>
          <w:szCs w:val="24"/>
        </w:rPr>
        <w:tab/>
      </w:r>
      <w:r w:rsidRPr="001B5DF4">
        <w:rPr>
          <w:bCs/>
          <w:szCs w:val="24"/>
        </w:rPr>
        <w:tab/>
      </w:r>
      <w:r w:rsidR="00D13906" w:rsidRPr="001B5DF4">
        <w:rPr>
          <w:bCs/>
          <w:szCs w:val="24"/>
        </w:rPr>
        <w:t xml:space="preserve">7.2.4.22 </w:t>
      </w:r>
      <w:r w:rsidR="00A47AEC" w:rsidRPr="001B5DF4">
        <w:t xml:space="preserve">ADN: Öffnen </w:t>
      </w:r>
      <w:r w:rsidR="00AF1284" w:rsidRPr="001B5DF4">
        <w:t>von Öffnungen</w:t>
      </w:r>
    </w:p>
    <w:p w14:paraId="3ABDA828" w14:textId="77777777" w:rsidR="00264628" w:rsidRPr="001B5DF4" w:rsidRDefault="00264628" w:rsidP="00264628"/>
    <w:p w14:paraId="18E8E5B1" w14:textId="3531AC76" w:rsidR="00264628" w:rsidRPr="001B5DF4" w:rsidRDefault="00264628" w:rsidP="00264628">
      <w:pPr>
        <w:keepNext/>
        <w:keepLines/>
        <w:snapToGrid w:val="0"/>
        <w:ind w:left="1134" w:right="567"/>
        <w:rPr>
          <w:b/>
          <w:snapToGrid/>
          <w:sz w:val="18"/>
          <w:vertAlign w:val="superscript"/>
        </w:rPr>
      </w:pPr>
      <w:r w:rsidRPr="001B5DF4">
        <w:rPr>
          <w:b/>
          <w:snapToGrid/>
          <w:sz w:val="24"/>
        </w:rPr>
        <w:t>Eingereicht von Deutschland</w:t>
      </w:r>
      <w:r w:rsidRPr="001B5DF4">
        <w:rPr>
          <w:bCs/>
          <w:snapToGrid/>
          <w:lang w:eastAsia="en-US"/>
        </w:rPr>
        <w:footnoteReference w:customMarkFollows="1" w:id="2"/>
        <w:t>*</w:t>
      </w:r>
      <w:r w:rsidRPr="001B5DF4">
        <w:rPr>
          <w:bCs/>
          <w:snapToGrid/>
          <w:vertAlign w:val="superscript"/>
          <w:lang w:eastAsia="en-US"/>
        </w:rPr>
        <w:t>,</w:t>
      </w:r>
      <w:r w:rsidRPr="001B5DF4">
        <w:rPr>
          <w:b/>
          <w:snapToGrid/>
          <w:vertAlign w:val="superscript"/>
          <w:lang w:eastAsia="en-US"/>
        </w:rPr>
        <w:t xml:space="preserve"> </w:t>
      </w:r>
      <w:r w:rsidRPr="001B5DF4">
        <w:rPr>
          <w:bCs/>
          <w:snapToGrid/>
          <w:lang w:eastAsia="en-US"/>
        </w:rPr>
        <w:footnoteReference w:customMarkFollows="1" w:id="3"/>
        <w:t>**</w:t>
      </w:r>
      <w:r w:rsidR="005A1D82">
        <w:rPr>
          <w:bCs/>
          <w:snapToGrid/>
          <w:lang w:eastAsia="en-US"/>
        </w:rPr>
        <w:t>, ***</w:t>
      </w:r>
    </w:p>
    <w:p w14:paraId="39C08501" w14:textId="77777777" w:rsidR="00E069EE" w:rsidRPr="001B5DF4" w:rsidRDefault="00E069EE" w:rsidP="00264628"/>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8"/>
        <w:gridCol w:w="6444"/>
      </w:tblGrid>
      <w:tr w:rsidR="00887D7E" w:rsidRPr="001B5DF4" w14:paraId="22B57075" w14:textId="77777777" w:rsidTr="00AF55BE">
        <w:trPr>
          <w:trHeight w:val="841"/>
          <w:jc w:val="center"/>
        </w:trPr>
        <w:tc>
          <w:tcPr>
            <w:tcW w:w="2198" w:type="dxa"/>
          </w:tcPr>
          <w:p w14:paraId="29BB38B4" w14:textId="5F80B65F" w:rsidR="00BB77E8" w:rsidRPr="001B5DF4" w:rsidRDefault="00BB77E8" w:rsidP="00264628">
            <w:pPr>
              <w:tabs>
                <w:tab w:val="left" w:pos="284"/>
              </w:tabs>
              <w:rPr>
                <w:lang w:eastAsia="en-US"/>
              </w:rPr>
            </w:pPr>
            <w:r w:rsidRPr="001B5DF4">
              <w:rPr>
                <w:b/>
                <w:lang w:eastAsia="en-US"/>
              </w:rPr>
              <w:t>Analytische Zusammenfassung:</w:t>
            </w:r>
            <w:r w:rsidR="00526F99" w:rsidRPr="001B5DF4">
              <w:rPr>
                <w:b/>
                <w:lang w:eastAsia="en-US"/>
              </w:rPr>
              <w:t xml:space="preserve"> </w:t>
            </w:r>
          </w:p>
        </w:tc>
        <w:tc>
          <w:tcPr>
            <w:tcW w:w="6444" w:type="dxa"/>
          </w:tcPr>
          <w:p w14:paraId="0E7B13DB" w14:textId="77777777" w:rsidR="005F3E6C" w:rsidRPr="001B5DF4" w:rsidRDefault="008E1B5F" w:rsidP="008E1B5F">
            <w:pPr>
              <w:spacing w:after="120"/>
              <w:ind w:left="131" w:right="217"/>
              <w:jc w:val="both"/>
            </w:pPr>
            <w:r w:rsidRPr="001B5DF4">
              <w:t>Die in Unterabschnitt 7.2.4.22 ADN enthaltenen Betriebsvorschriften über das „Öffnen von Öffnungen“ auf Binnentankschiffen sind mehrere Jahrzehnte alt. Sie berücksichtigen nicht die aktuellen Bedürfnisse der Beförderer, Befüller und Entlader</w:t>
            </w:r>
            <w:r w:rsidR="00CD6D39" w:rsidRPr="001B5DF4">
              <w:t xml:space="preserve"> im betrieblichen Ablauf einer Beförderung flüssiger Gefahrgüter</w:t>
            </w:r>
            <w:r w:rsidRPr="001B5DF4">
              <w:t xml:space="preserve">. Andererseits sind die Bedingungen, unter denen Öffnungen geöffnet werden dürfen, nicht systematisch </w:t>
            </w:r>
            <w:r w:rsidR="00CD6D39" w:rsidRPr="001B5DF4">
              <w:t xml:space="preserve">genug dargestellt </w:t>
            </w:r>
            <w:r w:rsidRPr="001B5DF4">
              <w:t xml:space="preserve">und nicht ausreichend, um </w:t>
            </w:r>
            <w:r w:rsidR="00CD6D39" w:rsidRPr="001B5DF4">
              <w:t xml:space="preserve">zuverlässig </w:t>
            </w:r>
            <w:r w:rsidRPr="001B5DF4">
              <w:t>die Gefahren, die durch aus den Ladetanks freiwerdende Gas</w:t>
            </w:r>
            <w:r w:rsidR="00CD6D39" w:rsidRPr="001B5DF4">
              <w:t>e</w:t>
            </w:r>
            <w:r w:rsidRPr="001B5DF4">
              <w:t xml:space="preserve">/Dämpfe herrühren, </w:t>
            </w:r>
            <w:r w:rsidR="00CD6D39" w:rsidRPr="001B5DF4">
              <w:t xml:space="preserve">angemessen </w:t>
            </w:r>
            <w:r w:rsidRPr="001B5DF4">
              <w:t>zu begrenzen.</w:t>
            </w:r>
            <w:r w:rsidR="00CD6D39" w:rsidRPr="001B5DF4">
              <w:t xml:space="preserve"> Deswegen soll Unterabschnitt 7.2.4.22 ADN geändert werden.</w:t>
            </w:r>
          </w:p>
        </w:tc>
      </w:tr>
      <w:tr w:rsidR="00887D7E" w:rsidRPr="001B5DF4" w14:paraId="599AC3D1" w14:textId="77777777" w:rsidTr="0068783E">
        <w:trPr>
          <w:cantSplit/>
          <w:trHeight w:val="756"/>
          <w:jc w:val="center"/>
        </w:trPr>
        <w:tc>
          <w:tcPr>
            <w:tcW w:w="2198" w:type="dxa"/>
          </w:tcPr>
          <w:p w14:paraId="25A7FF50" w14:textId="464BCABD" w:rsidR="00BB77E8" w:rsidRPr="001B5DF4" w:rsidRDefault="00BB77E8" w:rsidP="00264628">
            <w:pPr>
              <w:tabs>
                <w:tab w:val="left" w:pos="284"/>
              </w:tabs>
              <w:spacing w:before="120"/>
              <w:rPr>
                <w:b/>
                <w:lang w:eastAsia="en-US"/>
              </w:rPr>
            </w:pPr>
            <w:r w:rsidRPr="001B5DF4">
              <w:rPr>
                <w:b/>
                <w:lang w:eastAsia="en-US"/>
              </w:rPr>
              <w:t>Zu ergreifende Maßnahme:</w:t>
            </w:r>
            <w:r w:rsidR="00526F99" w:rsidRPr="001B5DF4">
              <w:rPr>
                <w:b/>
                <w:lang w:eastAsia="en-US"/>
              </w:rPr>
              <w:t xml:space="preserve"> </w:t>
            </w:r>
          </w:p>
        </w:tc>
        <w:tc>
          <w:tcPr>
            <w:tcW w:w="6444" w:type="dxa"/>
          </w:tcPr>
          <w:p w14:paraId="38FA6C7D" w14:textId="77777777" w:rsidR="00EC51AD" w:rsidRPr="001B5DF4" w:rsidRDefault="00BF349B" w:rsidP="00157FC7">
            <w:pPr>
              <w:spacing w:after="120"/>
              <w:ind w:left="131" w:right="217"/>
              <w:jc w:val="both"/>
            </w:pPr>
            <w:r w:rsidRPr="001B5DF4">
              <w:t xml:space="preserve">Grundlegende Überarbeitung des Unterabschnittes 7.2.4.22 ADN, </w:t>
            </w:r>
            <w:r w:rsidR="0036709E" w:rsidRPr="001B5DF4">
              <w:t>mit</w:t>
            </w:r>
            <w:r w:rsidRPr="001B5DF4">
              <w:t xml:space="preserve"> der sowohl den Bedürfnissen der Beförderer, Befüller und Entlader von Ladetanks Rechnung getragen wird, </w:t>
            </w:r>
            <w:r w:rsidR="0036709E" w:rsidRPr="001B5DF4">
              <w:t>als auch</w:t>
            </w:r>
            <w:r w:rsidRPr="001B5DF4">
              <w:t xml:space="preserve"> </w:t>
            </w:r>
            <w:r w:rsidR="0036709E" w:rsidRPr="001B5DF4">
              <w:t xml:space="preserve">die erforderlichen Bedingungen festgelegt werden, um einen sicheren Umgang mit der Ladung </w:t>
            </w:r>
            <w:r w:rsidR="00A62F0E" w:rsidRPr="001B5DF4">
              <w:t>zu erreichen.</w:t>
            </w:r>
            <w:r w:rsidR="00CD6D39" w:rsidRPr="001B5DF4">
              <w:t xml:space="preserve"> </w:t>
            </w:r>
          </w:p>
          <w:p w14:paraId="7A20DBBC" w14:textId="77777777" w:rsidR="00AB03C1" w:rsidRPr="001B5DF4" w:rsidRDefault="00CD6D39" w:rsidP="00157FC7">
            <w:pPr>
              <w:spacing w:after="120"/>
              <w:ind w:left="131" w:right="217"/>
              <w:jc w:val="both"/>
              <w:rPr>
                <w:bCs/>
              </w:rPr>
            </w:pPr>
            <w:r w:rsidRPr="001B5DF4">
              <w:t>Dabei soll festgelegt werden, welche Öffnungen für welchen Zweck geöffnet werden</w:t>
            </w:r>
            <w:r w:rsidR="00870982" w:rsidRPr="001B5DF4">
              <w:t xml:space="preserve"> dürfen. Die Sicherheitsvorkehrungen müssen überarbeitet werden. Es sollen allgemeingültige Bedingungen festgelegt werden, die für jedes Öffnen gelten</w:t>
            </w:r>
            <w:r w:rsidR="00EC51AD" w:rsidRPr="001B5DF4">
              <w:t xml:space="preserve">. Zusätzlich sollen für bestimmte Tätigkeiten, wie z.B. die Sichtkontrolle von entladene Ladestanks, weitergehende </w:t>
            </w:r>
            <w:r w:rsidR="00870982" w:rsidRPr="001B5DF4">
              <w:t>besondere Bedingungen</w:t>
            </w:r>
            <w:r w:rsidR="00EC51AD" w:rsidRPr="001B5DF4">
              <w:t xml:space="preserve"> gelten.</w:t>
            </w:r>
          </w:p>
        </w:tc>
      </w:tr>
      <w:tr w:rsidR="00857537" w:rsidRPr="008E71D0" w14:paraId="2C75AD68" w14:textId="77777777" w:rsidTr="0068783E">
        <w:trPr>
          <w:cantSplit/>
          <w:trHeight w:val="756"/>
          <w:jc w:val="center"/>
        </w:trPr>
        <w:tc>
          <w:tcPr>
            <w:tcW w:w="2198" w:type="dxa"/>
          </w:tcPr>
          <w:p w14:paraId="215700F8" w14:textId="77777777" w:rsidR="00857537" w:rsidRPr="001B5DF4" w:rsidRDefault="00857537" w:rsidP="00264628">
            <w:pPr>
              <w:tabs>
                <w:tab w:val="left" w:pos="284"/>
              </w:tabs>
              <w:spacing w:before="120"/>
              <w:rPr>
                <w:b/>
                <w:lang w:eastAsia="en-US"/>
              </w:rPr>
            </w:pPr>
            <w:r w:rsidRPr="001B5DF4">
              <w:rPr>
                <w:b/>
                <w:lang w:eastAsia="en-US"/>
              </w:rPr>
              <w:t>Zugehörige Dokumente:</w:t>
            </w:r>
          </w:p>
        </w:tc>
        <w:tc>
          <w:tcPr>
            <w:tcW w:w="6444" w:type="dxa"/>
          </w:tcPr>
          <w:p w14:paraId="21CCEDFB" w14:textId="77777777" w:rsidR="00D868D3" w:rsidRPr="00EC58E6" w:rsidRDefault="00D868D3" w:rsidP="00157FC7">
            <w:pPr>
              <w:spacing w:after="120"/>
              <w:ind w:left="131" w:right="217"/>
              <w:jc w:val="both"/>
              <w:rPr>
                <w:lang w:val="en-US"/>
              </w:rPr>
            </w:pPr>
            <w:r w:rsidRPr="00EC58E6">
              <w:rPr>
                <w:lang w:val="en-US"/>
              </w:rPr>
              <w:t>ECE/TRANS/WP.15/AC.2/2022/43</w:t>
            </w:r>
          </w:p>
          <w:p w14:paraId="4DD27F63" w14:textId="77777777" w:rsidR="00D868D3" w:rsidRPr="00EC58E6" w:rsidRDefault="00D868D3" w:rsidP="00157FC7">
            <w:pPr>
              <w:spacing w:after="120"/>
              <w:ind w:left="131" w:right="217"/>
              <w:jc w:val="both"/>
              <w:rPr>
                <w:lang w:val="en-US"/>
              </w:rPr>
            </w:pPr>
            <w:r w:rsidRPr="00EC58E6">
              <w:rPr>
                <w:lang w:val="en-US"/>
              </w:rPr>
              <w:t>ECE/TRANS/WP.15/AC.2/2022/45</w:t>
            </w:r>
          </w:p>
          <w:p w14:paraId="1F6DE490" w14:textId="77777777" w:rsidR="00D868D3" w:rsidRPr="001B5DF4" w:rsidRDefault="00D868D3" w:rsidP="00157FC7">
            <w:pPr>
              <w:spacing w:after="120"/>
              <w:ind w:left="131" w:right="217"/>
              <w:jc w:val="both"/>
            </w:pPr>
            <w:r w:rsidRPr="001B5DF4">
              <w:t>Informelles Dokument INF.19 zur 40. Sitzung</w:t>
            </w:r>
          </w:p>
          <w:p w14:paraId="55E63BDB" w14:textId="77777777" w:rsidR="001F00D6" w:rsidRPr="001B5DF4" w:rsidRDefault="00D868D3" w:rsidP="00157FC7">
            <w:pPr>
              <w:spacing w:after="120"/>
              <w:ind w:left="131" w:right="217"/>
              <w:jc w:val="both"/>
            </w:pPr>
            <w:r w:rsidRPr="001B5DF4">
              <w:t>ECE/TRANS/WP.15/AC.2/82 (Absätze 51 und 52)</w:t>
            </w:r>
          </w:p>
          <w:p w14:paraId="7C932EB3" w14:textId="182B4EDC" w:rsidR="00857537" w:rsidRPr="001B5DF4" w:rsidRDefault="00B71F3F" w:rsidP="00157FC7">
            <w:pPr>
              <w:spacing w:after="120"/>
              <w:ind w:left="131" w:right="217"/>
              <w:jc w:val="both"/>
            </w:pPr>
            <w:r w:rsidRPr="00B71F3F">
              <w:t>Informelles Dokument INF.</w:t>
            </w:r>
            <w:r>
              <w:t>6</w:t>
            </w:r>
            <w:r w:rsidRPr="00B71F3F">
              <w:t xml:space="preserve"> zur 4</w:t>
            </w:r>
            <w:r>
              <w:t>1</w:t>
            </w:r>
            <w:r w:rsidRPr="00B71F3F">
              <w:t xml:space="preserve">. Sitzung </w:t>
            </w:r>
            <w:r w:rsidR="00D868D3" w:rsidRPr="001B5DF4">
              <w:t>(Deutschland)</w:t>
            </w:r>
          </w:p>
          <w:p w14:paraId="357389AE" w14:textId="77777777" w:rsidR="001F00D6" w:rsidRPr="00EC58E6" w:rsidRDefault="001F00D6" w:rsidP="00157FC7">
            <w:pPr>
              <w:spacing w:after="120"/>
              <w:ind w:left="131" w:right="217"/>
              <w:jc w:val="both"/>
              <w:rPr>
                <w:bCs/>
                <w:lang w:val="en-US"/>
              </w:rPr>
            </w:pPr>
            <w:r w:rsidRPr="00EC58E6">
              <w:rPr>
                <w:lang w:val="en-US"/>
              </w:rPr>
              <w:t>ECE/TRANS/WP.15/AC.2/84 (</w:t>
            </w:r>
            <w:proofErr w:type="spellStart"/>
            <w:r w:rsidRPr="00EC58E6">
              <w:rPr>
                <w:lang w:val="en-US"/>
              </w:rPr>
              <w:t>Absatz</w:t>
            </w:r>
            <w:proofErr w:type="spellEnd"/>
            <w:r w:rsidRPr="00EC58E6">
              <w:rPr>
                <w:lang w:val="en-US"/>
              </w:rPr>
              <w:t xml:space="preserve"> 37)</w:t>
            </w:r>
          </w:p>
        </w:tc>
      </w:tr>
    </w:tbl>
    <w:p w14:paraId="398A366A" w14:textId="77777777" w:rsidR="004667C1" w:rsidRPr="00EC58E6" w:rsidRDefault="004667C1" w:rsidP="00264628">
      <w:pPr>
        <w:rPr>
          <w:b/>
          <w:bCs/>
          <w:sz w:val="22"/>
          <w:szCs w:val="22"/>
          <w:lang w:val="en-US"/>
        </w:rPr>
      </w:pPr>
    </w:p>
    <w:p w14:paraId="06564CDD" w14:textId="77777777" w:rsidR="00AE3337" w:rsidRPr="00EC58E6" w:rsidRDefault="00AE3337" w:rsidP="00AF55BE">
      <w:pPr>
        <w:tabs>
          <w:tab w:val="left" w:pos="1701"/>
        </w:tabs>
        <w:ind w:left="1134" w:right="566"/>
        <w:jc w:val="both"/>
        <w:rPr>
          <w:b/>
          <w:bCs/>
          <w:lang w:val="en-US"/>
        </w:rPr>
      </w:pPr>
      <w:r w:rsidRPr="00EC58E6">
        <w:rPr>
          <w:b/>
          <w:bCs/>
          <w:lang w:val="en-US"/>
        </w:rPr>
        <w:br w:type="page"/>
      </w:r>
    </w:p>
    <w:p w14:paraId="2C39BD6F" w14:textId="77777777" w:rsidR="001A5F58" w:rsidRPr="001B5DF4" w:rsidRDefault="00F007DA" w:rsidP="007A2FED">
      <w:pPr>
        <w:tabs>
          <w:tab w:val="left" w:pos="1134"/>
        </w:tabs>
        <w:ind w:right="-1"/>
        <w:jc w:val="both"/>
        <w:rPr>
          <w:b/>
          <w:bCs/>
          <w:sz w:val="28"/>
          <w:szCs w:val="28"/>
        </w:rPr>
      </w:pPr>
      <w:r w:rsidRPr="00EC58E6">
        <w:rPr>
          <w:b/>
          <w:bCs/>
          <w:sz w:val="28"/>
          <w:szCs w:val="28"/>
          <w:lang w:val="en-US"/>
        </w:rPr>
        <w:lastRenderedPageBreak/>
        <w:tab/>
      </w:r>
      <w:r w:rsidR="00BB77E8" w:rsidRPr="001B5DF4">
        <w:rPr>
          <w:b/>
          <w:bCs/>
          <w:sz w:val="28"/>
          <w:szCs w:val="28"/>
        </w:rPr>
        <w:t>Einleitung</w:t>
      </w:r>
    </w:p>
    <w:p w14:paraId="3E2522D7" w14:textId="77777777" w:rsidR="00466248" w:rsidRPr="001B5DF4" w:rsidRDefault="00466248" w:rsidP="007A2FED">
      <w:pPr>
        <w:tabs>
          <w:tab w:val="left" w:pos="1701"/>
        </w:tabs>
        <w:ind w:left="1134" w:right="-1"/>
        <w:jc w:val="both"/>
      </w:pPr>
    </w:p>
    <w:p w14:paraId="31B671F1" w14:textId="77777777" w:rsidR="00857537" w:rsidRPr="001B5DF4" w:rsidRDefault="00857537" w:rsidP="007A2FED">
      <w:pPr>
        <w:tabs>
          <w:tab w:val="left" w:pos="1701"/>
        </w:tabs>
        <w:ind w:left="1134" w:right="-1"/>
        <w:jc w:val="both"/>
      </w:pPr>
      <w:r w:rsidRPr="001B5DF4">
        <w:t>1.</w:t>
      </w:r>
      <w:r w:rsidRPr="001B5DF4">
        <w:tab/>
        <w:t xml:space="preserve">Der Sicherheitsausschuss befasste sich zuletzt in seiner 41. Sitzung mit der Initiative der deutschen Delegation, die Vorschriften über </w:t>
      </w:r>
      <w:r w:rsidR="00B02F2C" w:rsidRPr="001B5DF4">
        <w:t>das</w:t>
      </w:r>
      <w:r w:rsidRPr="001B5DF4">
        <w:t xml:space="preserve"> Öffnen von Öffnungen, wie sie heute im Unterabschnitt 7.2.4.22 ADN enthalten sind, grundlegend zu </w:t>
      </w:r>
      <w:r w:rsidR="00B02F2C" w:rsidRPr="001B5DF4">
        <w:t>überarbeiten und an die aktuellen Erfordernisse beim Einsatz von Binnentankschiffen anzupassen</w:t>
      </w:r>
      <w:r w:rsidRPr="001B5DF4">
        <w:t>.</w:t>
      </w:r>
      <w:r w:rsidR="00B02F2C" w:rsidRPr="001B5DF4">
        <w:t xml:space="preserve"> Dabei soll einerseits den betrieblichen Anforderungen an d</w:t>
      </w:r>
      <w:r w:rsidR="0082162A" w:rsidRPr="001B5DF4">
        <w:t xml:space="preserve">en Umgang mit der Ladung Rechnung getragen werden, andererseits </w:t>
      </w:r>
      <w:r w:rsidR="00AE3337" w:rsidRPr="001B5DF4">
        <w:t>müssen gewisse Sicherheitsvorkehrungen getroffen werden.</w:t>
      </w:r>
      <w:r w:rsidR="0082162A" w:rsidRPr="001B5DF4">
        <w:t xml:space="preserve"> </w:t>
      </w:r>
      <w:r w:rsidR="004C7267" w:rsidRPr="001B5DF4">
        <w:t>Die</w:t>
      </w:r>
      <w:r w:rsidR="00AE3337" w:rsidRPr="001B5DF4">
        <w:t xml:space="preserve"> Personen an Bord der Schiffe und an den Landanlagen von Befüller und Entlader </w:t>
      </w:r>
      <w:r w:rsidR="004C7267" w:rsidRPr="001B5DF4">
        <w:t xml:space="preserve">dürfen </w:t>
      </w:r>
      <w:r w:rsidR="00AE3337" w:rsidRPr="001B5DF4">
        <w:t>nicht unnötig gesundheitsschädlichen Gasen und Dämpfen ausgesetzt werden</w:t>
      </w:r>
      <w:r w:rsidR="004C7267" w:rsidRPr="001B5DF4">
        <w:t>, die Umwelt soll so wenig wie möglich durch giftige Gase und Dämpfe belastet werden und Explosionsgefahren durch entzündbare Gase und Dämpfe müssen weitgehend reduziert werden.</w:t>
      </w:r>
    </w:p>
    <w:p w14:paraId="3F3DEA3D" w14:textId="77777777" w:rsidR="0082162A" w:rsidRPr="001B5DF4" w:rsidRDefault="0082162A" w:rsidP="007A2FED">
      <w:pPr>
        <w:tabs>
          <w:tab w:val="left" w:pos="1701"/>
        </w:tabs>
        <w:ind w:left="1134" w:right="-1"/>
        <w:jc w:val="both"/>
      </w:pPr>
    </w:p>
    <w:p w14:paraId="45500F22" w14:textId="507CF974" w:rsidR="0082162A" w:rsidRPr="001B5DF4" w:rsidRDefault="0082162A" w:rsidP="007A2FED">
      <w:pPr>
        <w:tabs>
          <w:tab w:val="left" w:pos="1701"/>
        </w:tabs>
        <w:ind w:left="1134" w:right="-1"/>
        <w:jc w:val="both"/>
      </w:pPr>
      <w:r w:rsidRPr="001B5DF4">
        <w:t>2.</w:t>
      </w:r>
      <w:r w:rsidRPr="001B5DF4">
        <w:tab/>
        <w:t xml:space="preserve">Nachdem </w:t>
      </w:r>
      <w:r w:rsidR="00940541" w:rsidRPr="001B5DF4">
        <w:t>in dieser Sitzung</w:t>
      </w:r>
      <w:r w:rsidRPr="001B5DF4">
        <w:t xml:space="preserve"> einige teilweise sehr detaillierte Fragen anderer Delegation zum ersten Änderungsvorschlag </w:t>
      </w:r>
      <w:r w:rsidR="00940541" w:rsidRPr="001B5DF4">
        <w:t xml:space="preserve">vom </w:t>
      </w:r>
      <w:r w:rsidR="00192F4B" w:rsidRPr="001B5DF4">
        <w:t>9. Juni</w:t>
      </w:r>
      <w:r w:rsidR="00940541" w:rsidRPr="001B5DF4">
        <w:t xml:space="preserve"> 2022 beantworten werden konnte und mehrere Verbesserungsvorschläge geprüft würden, legt die deutsche Delegation hiermit einen überarbeiten Änderungsantrag für das ADN 2025 vor.</w:t>
      </w:r>
    </w:p>
    <w:p w14:paraId="2B61778D" w14:textId="77777777" w:rsidR="00940541" w:rsidRPr="001B5DF4" w:rsidRDefault="00940541" w:rsidP="007A2FED">
      <w:pPr>
        <w:tabs>
          <w:tab w:val="left" w:pos="1701"/>
        </w:tabs>
        <w:ind w:left="1134" w:right="-1"/>
        <w:jc w:val="both"/>
      </w:pPr>
    </w:p>
    <w:p w14:paraId="55341AC9" w14:textId="77777777" w:rsidR="00940541" w:rsidRPr="001B5DF4" w:rsidRDefault="00940541" w:rsidP="007A2FED">
      <w:pPr>
        <w:tabs>
          <w:tab w:val="left" w:pos="1701"/>
        </w:tabs>
        <w:ind w:left="1134" w:right="-1"/>
        <w:jc w:val="both"/>
      </w:pPr>
      <w:r w:rsidRPr="001B5DF4">
        <w:t>3.</w:t>
      </w:r>
      <w:r w:rsidRPr="001B5DF4">
        <w:tab/>
        <w:t xml:space="preserve">Es handelt sich um </w:t>
      </w:r>
      <w:r w:rsidR="00F553EB" w:rsidRPr="001B5DF4">
        <w:t xml:space="preserve">Änderungen, die unbefristet in die dem ADN beigefügte Verordnung aufgenommen werden sollen, und nicht um ein weitgehendes Verbot des „Öffnen von Öffnungen“, das mit einer Übergangsvorschrift verbunden werden könnte. </w:t>
      </w:r>
      <w:r w:rsidR="00BD1585" w:rsidRPr="001B5DF4">
        <w:t>Es sind keine einsatzreifen technischen oder betrieblichen Alternativen bekannt, die ein Öffnen der Ladetanks umfassend überflüssig machen könnten. Hinweise anderer Delegationen über technischen Lösungen blieben sehr vage und konnten nicht verifiziert werden.</w:t>
      </w:r>
    </w:p>
    <w:p w14:paraId="4AF4848F" w14:textId="77777777" w:rsidR="00272038" w:rsidRPr="001B5DF4" w:rsidRDefault="00272038" w:rsidP="007A2FED">
      <w:pPr>
        <w:tabs>
          <w:tab w:val="left" w:pos="1701"/>
        </w:tabs>
        <w:ind w:left="1134" w:right="-1"/>
        <w:jc w:val="both"/>
      </w:pPr>
    </w:p>
    <w:p w14:paraId="218E3F3D" w14:textId="77777777" w:rsidR="00272038" w:rsidRPr="001B5DF4" w:rsidRDefault="00D868D3" w:rsidP="007A2FED">
      <w:pPr>
        <w:tabs>
          <w:tab w:val="left" w:pos="1701"/>
        </w:tabs>
        <w:ind w:left="1134" w:right="-1"/>
        <w:jc w:val="both"/>
      </w:pPr>
      <w:r w:rsidRPr="001B5DF4">
        <w:t>4.</w:t>
      </w:r>
      <w:r w:rsidRPr="001B5DF4">
        <w:tab/>
      </w:r>
      <w:r w:rsidR="00272038" w:rsidRPr="001B5DF4">
        <w:t>Zur ausführlichen Begründung der Änderungsvorschläge und ihrer Begründung wird auf die früheren Dokumente verwiesen. Lediglich neu formulierte Absätze werden in Abschnitt II. näher erläutert.</w:t>
      </w:r>
    </w:p>
    <w:p w14:paraId="691CC01A" w14:textId="77777777" w:rsidR="00940541" w:rsidRPr="001B5DF4" w:rsidRDefault="00940541" w:rsidP="007A2FED">
      <w:pPr>
        <w:tabs>
          <w:tab w:val="left" w:pos="1701"/>
        </w:tabs>
        <w:ind w:left="1134" w:right="-1"/>
        <w:jc w:val="both"/>
      </w:pPr>
    </w:p>
    <w:p w14:paraId="0F02A773" w14:textId="77777777" w:rsidR="00857537" w:rsidRPr="001B5DF4" w:rsidRDefault="00857537" w:rsidP="007A2FED">
      <w:pPr>
        <w:tabs>
          <w:tab w:val="left" w:pos="1701"/>
        </w:tabs>
        <w:ind w:left="1134" w:right="-1"/>
        <w:jc w:val="both"/>
      </w:pPr>
    </w:p>
    <w:p w14:paraId="73DE9FDF" w14:textId="77777777" w:rsidR="00DC1740" w:rsidRPr="001B5DF4" w:rsidRDefault="00DC1740" w:rsidP="007A2FED">
      <w:pPr>
        <w:tabs>
          <w:tab w:val="left" w:pos="1701"/>
        </w:tabs>
        <w:suppressAutoHyphens w:val="0"/>
        <w:ind w:left="1134" w:right="-1" w:hanging="567"/>
        <w:jc w:val="both"/>
        <w:rPr>
          <w:b/>
          <w:bCs/>
          <w:sz w:val="28"/>
          <w:szCs w:val="28"/>
        </w:rPr>
      </w:pPr>
      <w:r w:rsidRPr="001B5DF4">
        <w:rPr>
          <w:b/>
          <w:bCs/>
          <w:sz w:val="28"/>
          <w:szCs w:val="28"/>
        </w:rPr>
        <w:t xml:space="preserve">I. </w:t>
      </w:r>
      <w:r w:rsidR="00AF55BE" w:rsidRPr="001B5DF4">
        <w:rPr>
          <w:b/>
          <w:bCs/>
          <w:sz w:val="28"/>
          <w:szCs w:val="28"/>
        </w:rPr>
        <w:tab/>
      </w:r>
      <w:r w:rsidRPr="001B5DF4">
        <w:rPr>
          <w:b/>
          <w:bCs/>
          <w:sz w:val="28"/>
          <w:szCs w:val="28"/>
        </w:rPr>
        <w:t>Antrag</w:t>
      </w:r>
    </w:p>
    <w:p w14:paraId="3EA81796" w14:textId="77777777" w:rsidR="00997599" w:rsidRPr="001B5DF4" w:rsidRDefault="00997599" w:rsidP="007A2FED">
      <w:pPr>
        <w:tabs>
          <w:tab w:val="left" w:pos="1701"/>
        </w:tabs>
        <w:ind w:left="1134" w:right="-1"/>
        <w:jc w:val="both"/>
      </w:pPr>
    </w:p>
    <w:p w14:paraId="519DACC8" w14:textId="10D4ACA9" w:rsidR="005F7764" w:rsidRPr="001B5DF4" w:rsidRDefault="007A2FED" w:rsidP="007A2FED">
      <w:pPr>
        <w:tabs>
          <w:tab w:val="left" w:pos="1701"/>
        </w:tabs>
        <w:ind w:left="1134" w:right="-1"/>
        <w:jc w:val="both"/>
      </w:pPr>
      <w:r>
        <w:t>5</w:t>
      </w:r>
      <w:r w:rsidR="00BD388B" w:rsidRPr="001B5DF4">
        <w:t>.</w:t>
      </w:r>
      <w:r w:rsidR="007A4A05" w:rsidRPr="001B5DF4">
        <w:tab/>
      </w:r>
      <w:r w:rsidR="005F7764" w:rsidRPr="001B5DF4">
        <w:t>Deutschland bittet den Sicherheitsausschuss, die folgenden Änder</w:t>
      </w:r>
      <w:r w:rsidR="00B15D12" w:rsidRPr="001B5DF4">
        <w:t>ung</w:t>
      </w:r>
      <w:r w:rsidR="00D34321" w:rsidRPr="001B5DF4">
        <w:t>svorschläge zu prüfen und zu bestätigen.</w:t>
      </w:r>
    </w:p>
    <w:p w14:paraId="2925E755" w14:textId="77777777" w:rsidR="00780031" w:rsidRPr="001B5DF4" w:rsidRDefault="00780031" w:rsidP="007A2FED">
      <w:pPr>
        <w:tabs>
          <w:tab w:val="left" w:pos="1701"/>
        </w:tabs>
        <w:ind w:left="1134" w:right="-1"/>
        <w:jc w:val="both"/>
      </w:pPr>
    </w:p>
    <w:p w14:paraId="2E28695E" w14:textId="77777777" w:rsidR="001745D5" w:rsidRPr="00634906" w:rsidRDefault="001745D5" w:rsidP="007A2FED">
      <w:pPr>
        <w:tabs>
          <w:tab w:val="left" w:pos="1701"/>
        </w:tabs>
        <w:ind w:left="1134" w:right="-1"/>
        <w:jc w:val="both"/>
        <w:rPr>
          <w:bCs/>
          <w:i/>
          <w:iCs/>
          <w:u w:val="single"/>
        </w:rPr>
      </w:pPr>
      <w:r w:rsidRPr="00634906">
        <w:rPr>
          <w:bCs/>
          <w:i/>
          <w:iCs/>
          <w:u w:val="single"/>
        </w:rPr>
        <w:t>Abschnitt 1.2.1 Begriffsbestimmungen</w:t>
      </w:r>
    </w:p>
    <w:p w14:paraId="5F5F0B8B" w14:textId="77777777" w:rsidR="001745D5" w:rsidRPr="001B5DF4" w:rsidRDefault="001745D5" w:rsidP="007A2FED">
      <w:pPr>
        <w:tabs>
          <w:tab w:val="left" w:pos="1701"/>
        </w:tabs>
        <w:ind w:left="1134" w:right="-1"/>
        <w:jc w:val="both"/>
      </w:pPr>
    </w:p>
    <w:p w14:paraId="5C4ACFE0" w14:textId="2E06F216" w:rsidR="00AE7651" w:rsidRPr="001B5DF4" w:rsidRDefault="007A2FED" w:rsidP="007A2FED">
      <w:pPr>
        <w:tabs>
          <w:tab w:val="left" w:pos="1701"/>
        </w:tabs>
        <w:ind w:left="1134" w:right="-1"/>
        <w:jc w:val="both"/>
        <w:rPr>
          <w:b/>
          <w:bCs/>
        </w:rPr>
      </w:pPr>
      <w:r>
        <w:t>6</w:t>
      </w:r>
      <w:r w:rsidR="00AE7651" w:rsidRPr="001B5DF4">
        <w:t>.</w:t>
      </w:r>
      <w:r w:rsidR="00F10FB7" w:rsidRPr="001B5DF4">
        <w:tab/>
      </w:r>
      <w:r w:rsidR="00C6578B" w:rsidRPr="001B5DF4">
        <w:t>In Abschnitt 1.2.1 in der Begriffsbestimmung „Probeentnahmeöffnung</w:t>
      </w:r>
      <w:r w:rsidR="00710B6F" w:rsidRPr="001B5DF4">
        <w:t>“</w:t>
      </w:r>
      <w:r w:rsidR="00C6578B" w:rsidRPr="001B5DF4">
        <w:t xml:space="preserve"> am Ende den folgenden Satz anfügen</w:t>
      </w:r>
      <w:r w:rsidR="000C7A53" w:rsidRPr="001B5DF4">
        <w:t>:</w:t>
      </w:r>
    </w:p>
    <w:p w14:paraId="3D15B24C" w14:textId="77777777" w:rsidR="00C46049" w:rsidRPr="001B5DF4" w:rsidRDefault="00C46049" w:rsidP="007A2FED">
      <w:pPr>
        <w:pStyle w:val="Textebrut"/>
        <w:tabs>
          <w:tab w:val="left" w:pos="1701"/>
        </w:tabs>
        <w:spacing w:before="120" w:line="240" w:lineRule="atLeast"/>
        <w:ind w:left="1701" w:right="-1"/>
        <w:jc w:val="both"/>
        <w:rPr>
          <w:rFonts w:ascii="Times New Roman" w:hAnsi="Times New Roman"/>
          <w:sz w:val="20"/>
          <w:szCs w:val="20"/>
          <w:lang w:val="de-DE"/>
        </w:rPr>
      </w:pPr>
      <w:r w:rsidRPr="001B5DF4">
        <w:rPr>
          <w:rFonts w:ascii="Times New Roman" w:hAnsi="Times New Roman"/>
          <w:sz w:val="20"/>
          <w:szCs w:val="20"/>
          <w:lang w:val="de-DE"/>
        </w:rPr>
        <w:t>„Andere Ladetanköffnungen, ausgenommen die Ladetankluken, gelten als Probeentnahmeöffnungen, wenn sie die vorstehend beschriebenen Anforderungen erfüllen.“</w:t>
      </w:r>
      <w:r w:rsidR="001745D5" w:rsidRPr="001B5DF4">
        <w:rPr>
          <w:rFonts w:ascii="Times New Roman" w:hAnsi="Times New Roman"/>
          <w:sz w:val="20"/>
          <w:szCs w:val="20"/>
          <w:lang w:val="de-DE"/>
        </w:rPr>
        <w:t>.</w:t>
      </w:r>
    </w:p>
    <w:p w14:paraId="0465D2FF" w14:textId="77777777" w:rsidR="0056236B" w:rsidRPr="001B5DF4" w:rsidRDefault="0056236B" w:rsidP="007A2FED">
      <w:pPr>
        <w:tabs>
          <w:tab w:val="left" w:pos="1701"/>
        </w:tabs>
        <w:ind w:left="1134" w:right="-1"/>
        <w:jc w:val="both"/>
      </w:pPr>
    </w:p>
    <w:p w14:paraId="515C3BC1" w14:textId="77777777" w:rsidR="001745D5" w:rsidRPr="00634906" w:rsidRDefault="001745D5" w:rsidP="007A2FED">
      <w:pPr>
        <w:tabs>
          <w:tab w:val="left" w:pos="1701"/>
        </w:tabs>
        <w:ind w:left="1134" w:right="-1"/>
        <w:jc w:val="both"/>
        <w:rPr>
          <w:bCs/>
          <w:i/>
          <w:iCs/>
          <w:u w:val="single"/>
        </w:rPr>
      </w:pPr>
      <w:r w:rsidRPr="00634906">
        <w:rPr>
          <w:bCs/>
          <w:i/>
          <w:iCs/>
          <w:u w:val="single"/>
        </w:rPr>
        <w:t>Absatz 7.2.3.7.1.3 Entgasen von Ladetanks in die Atmosphäre</w:t>
      </w:r>
    </w:p>
    <w:p w14:paraId="5A6D4104" w14:textId="77777777" w:rsidR="001745D5" w:rsidRPr="001B5DF4" w:rsidRDefault="001745D5" w:rsidP="007A2FED">
      <w:pPr>
        <w:tabs>
          <w:tab w:val="left" w:pos="1701"/>
        </w:tabs>
        <w:ind w:left="1134" w:right="-1"/>
        <w:jc w:val="both"/>
      </w:pPr>
    </w:p>
    <w:p w14:paraId="2C64117E" w14:textId="4984F52F" w:rsidR="00AE7651" w:rsidRPr="001B5DF4" w:rsidRDefault="007A2FED" w:rsidP="007A2FED">
      <w:pPr>
        <w:tabs>
          <w:tab w:val="left" w:pos="1701"/>
        </w:tabs>
        <w:ind w:left="1134" w:right="-1"/>
        <w:jc w:val="both"/>
      </w:pPr>
      <w:r>
        <w:t>7</w:t>
      </w:r>
      <w:r w:rsidR="009618AC" w:rsidRPr="001B5DF4">
        <w:t>.</w:t>
      </w:r>
      <w:r w:rsidR="007E1E55" w:rsidRPr="001B5DF4">
        <w:tab/>
      </w:r>
      <w:r w:rsidR="009D151D" w:rsidRPr="001B5DF4">
        <w:t>In</w:t>
      </w:r>
      <w:r w:rsidR="007E1E55" w:rsidRPr="001B5DF4">
        <w:t xml:space="preserve"> </w:t>
      </w:r>
      <w:r w:rsidR="00133C0C" w:rsidRPr="001B5DF4">
        <w:t xml:space="preserve">Absatz 7.2.3.7.1.3 </w:t>
      </w:r>
      <w:r w:rsidR="006C066C" w:rsidRPr="001B5DF4">
        <w:t>nach dem 1. Satz die folgenden Sätze einfügen:</w:t>
      </w:r>
    </w:p>
    <w:p w14:paraId="13C85504" w14:textId="5EE261C1" w:rsidR="00C46049" w:rsidRPr="001B5DF4" w:rsidRDefault="00405893" w:rsidP="00634906">
      <w:pPr>
        <w:tabs>
          <w:tab w:val="left" w:pos="1701"/>
        </w:tabs>
        <w:spacing w:before="120"/>
        <w:ind w:left="1701" w:right="-1"/>
        <w:jc w:val="both"/>
        <w:rPr>
          <w:iCs/>
        </w:rPr>
      </w:pPr>
      <w:r>
        <w:rPr>
          <w:iCs/>
        </w:rPr>
        <w:t>„</w:t>
      </w:r>
      <w:r w:rsidR="00E42136" w:rsidRPr="001B5DF4">
        <w:rPr>
          <w:iCs/>
        </w:rPr>
        <w:t>Das</w:t>
      </w:r>
      <w:r w:rsidR="00C46049" w:rsidRPr="001B5DF4">
        <w:rPr>
          <w:iCs/>
        </w:rPr>
        <w:t xml:space="preserve"> Gas-/Luftgemisches aus den Ladetanks darf nur</w:t>
      </w:r>
    </w:p>
    <w:p w14:paraId="07722850" w14:textId="77777777" w:rsidR="00C46049" w:rsidRPr="001B5DF4" w:rsidRDefault="00C46049" w:rsidP="007A2FED">
      <w:pPr>
        <w:tabs>
          <w:tab w:val="left" w:pos="1701"/>
        </w:tabs>
        <w:spacing w:before="120"/>
        <w:ind w:left="1701" w:right="-1"/>
        <w:jc w:val="both"/>
        <w:rPr>
          <w:iCs/>
        </w:rPr>
      </w:pPr>
      <w:r w:rsidRPr="001B5DF4">
        <w:rPr>
          <w:iCs/>
        </w:rPr>
        <w:t>a)</w:t>
      </w:r>
      <w:r w:rsidRPr="001B5DF4">
        <w:rPr>
          <w:iCs/>
        </w:rPr>
        <w:tab/>
        <w:t xml:space="preserve">durch die Vorrichtung zum gefahrlosen Entspannen der Ladetanks [im Sinne von 9.3.2.22.4 a) und 9.3.2.22.4 b) oder 9.3.3.22.4 a) und 9.3.3.22.4 b)], </w:t>
      </w:r>
      <w:r w:rsidR="00E42136" w:rsidRPr="001B5DF4">
        <w:rPr>
          <w:iCs/>
        </w:rPr>
        <w:t>oder</w:t>
      </w:r>
    </w:p>
    <w:p w14:paraId="41813ED5" w14:textId="77777777" w:rsidR="00C46049" w:rsidRPr="001B5DF4" w:rsidRDefault="00C46049" w:rsidP="007A2FED">
      <w:pPr>
        <w:tabs>
          <w:tab w:val="left" w:pos="1701"/>
        </w:tabs>
        <w:spacing w:before="120"/>
        <w:ind w:left="1701" w:right="-1"/>
        <w:jc w:val="both"/>
        <w:rPr>
          <w:iCs/>
        </w:rPr>
      </w:pPr>
      <w:r w:rsidRPr="001B5DF4">
        <w:rPr>
          <w:iCs/>
        </w:rPr>
        <w:t>b)</w:t>
      </w:r>
      <w:r w:rsidRPr="001B5DF4">
        <w:rPr>
          <w:iCs/>
        </w:rPr>
        <w:tab/>
        <w:t>durch die Probeentnahmeöffnung [(9.3.2.21.1. g) oder 9.3.3.21.1 g))],</w:t>
      </w:r>
      <w:r w:rsidR="00E42136" w:rsidRPr="001B5DF4">
        <w:rPr>
          <w:iCs/>
        </w:rPr>
        <w:t xml:space="preserve"> oder</w:t>
      </w:r>
    </w:p>
    <w:p w14:paraId="16544CF2" w14:textId="77777777" w:rsidR="00C46049" w:rsidRPr="001B5DF4" w:rsidRDefault="00C46049" w:rsidP="007A2FED">
      <w:pPr>
        <w:tabs>
          <w:tab w:val="left" w:pos="1701"/>
        </w:tabs>
        <w:spacing w:before="120"/>
        <w:ind w:left="1701" w:right="-1"/>
        <w:jc w:val="both"/>
        <w:rPr>
          <w:iCs/>
        </w:rPr>
      </w:pPr>
      <w:r w:rsidRPr="001B5DF4">
        <w:rPr>
          <w:iCs/>
        </w:rPr>
        <w:t>c)</w:t>
      </w:r>
      <w:r w:rsidRPr="001B5DF4">
        <w:rPr>
          <w:iCs/>
        </w:rPr>
        <w:tab/>
        <w:t>durch das geöffnete Gehäuse der Flammendurchschlagsicherung an der Einführung der Gasabfuhrleitung in den Ladetank [(9.3.2.22.4 b) oder 9.3.3.22.4 d)], oder</w:t>
      </w:r>
    </w:p>
    <w:p w14:paraId="64D96930" w14:textId="77777777" w:rsidR="007A2FED" w:rsidRDefault="007A2FED">
      <w:pPr>
        <w:suppressAutoHyphens w:val="0"/>
        <w:spacing w:line="240" w:lineRule="auto"/>
        <w:rPr>
          <w:iCs/>
        </w:rPr>
      </w:pPr>
      <w:r>
        <w:rPr>
          <w:iCs/>
        </w:rPr>
        <w:br w:type="page"/>
      </w:r>
    </w:p>
    <w:p w14:paraId="3B18920B" w14:textId="4BADC7DE" w:rsidR="00C46049" w:rsidRPr="001B5DF4" w:rsidRDefault="00C46049" w:rsidP="007A2FED">
      <w:pPr>
        <w:tabs>
          <w:tab w:val="left" w:pos="1701"/>
        </w:tabs>
        <w:spacing w:before="120"/>
        <w:ind w:left="1701" w:right="-1"/>
        <w:jc w:val="both"/>
        <w:rPr>
          <w:iCs/>
        </w:rPr>
      </w:pPr>
      <w:r w:rsidRPr="001B5DF4">
        <w:rPr>
          <w:iCs/>
        </w:rPr>
        <w:lastRenderedPageBreak/>
        <w:t>d)</w:t>
      </w:r>
      <w:r w:rsidRPr="001B5DF4">
        <w:rPr>
          <w:iCs/>
        </w:rPr>
        <w:tab/>
        <w:t>durch einen geeigneten Schlauch, welcher an der Gasabfuhrleitung angeschlossen und mit einer dem Schlauch vorgeschalteten Flammendurchschlagsicherung (Explosionsgruppe / Untergruppe gemäß 3.2.3.2 Tabelle C, Spalte (16)) versehen ist,</w:t>
      </w:r>
    </w:p>
    <w:p w14:paraId="38A77754" w14:textId="5BAF1BC9" w:rsidR="00C46049" w:rsidRPr="001B5DF4" w:rsidRDefault="00E42136" w:rsidP="007A2FED">
      <w:pPr>
        <w:pStyle w:val="Textebrut"/>
        <w:tabs>
          <w:tab w:val="left" w:pos="1701"/>
        </w:tabs>
        <w:spacing w:before="120" w:line="240" w:lineRule="atLeast"/>
        <w:ind w:left="1701" w:right="-1"/>
        <w:jc w:val="both"/>
        <w:rPr>
          <w:rFonts w:ascii="Times New Roman" w:hAnsi="Times New Roman"/>
          <w:iCs/>
          <w:sz w:val="20"/>
          <w:szCs w:val="20"/>
          <w:lang w:val="de-DE"/>
        </w:rPr>
      </w:pPr>
      <w:r w:rsidRPr="001B5DF4">
        <w:rPr>
          <w:rFonts w:ascii="Times New Roman" w:hAnsi="Times New Roman"/>
          <w:iCs/>
          <w:sz w:val="20"/>
          <w:szCs w:val="20"/>
          <w:lang w:val="de-DE"/>
        </w:rPr>
        <w:t>in die Atmosphäre abgeleitet werden</w:t>
      </w:r>
      <w:r w:rsidR="00C46049" w:rsidRPr="001B5DF4">
        <w:rPr>
          <w:rFonts w:ascii="Times New Roman" w:hAnsi="Times New Roman"/>
          <w:iCs/>
          <w:sz w:val="20"/>
          <w:szCs w:val="20"/>
          <w:lang w:val="de-DE"/>
        </w:rPr>
        <w:t>.</w:t>
      </w:r>
      <w:r w:rsidR="00405893">
        <w:rPr>
          <w:rFonts w:ascii="Times New Roman" w:hAnsi="Times New Roman"/>
          <w:iCs/>
          <w:sz w:val="20"/>
          <w:szCs w:val="20"/>
          <w:lang w:val="de-DE"/>
        </w:rPr>
        <w:t>“.</w:t>
      </w:r>
    </w:p>
    <w:p w14:paraId="0B99A85C" w14:textId="77777777" w:rsidR="00C46049" w:rsidRPr="001B5DF4" w:rsidRDefault="00C46049" w:rsidP="007A2FED">
      <w:pPr>
        <w:tabs>
          <w:tab w:val="left" w:pos="1701"/>
        </w:tabs>
        <w:ind w:left="1134" w:right="-1"/>
        <w:jc w:val="both"/>
      </w:pPr>
    </w:p>
    <w:p w14:paraId="20DC98E8" w14:textId="77777777" w:rsidR="004352FA" w:rsidRPr="00634906" w:rsidRDefault="004352FA" w:rsidP="007A2FED">
      <w:pPr>
        <w:tabs>
          <w:tab w:val="left" w:pos="1701"/>
        </w:tabs>
        <w:ind w:left="1134" w:right="-1"/>
        <w:jc w:val="both"/>
        <w:rPr>
          <w:bCs/>
          <w:i/>
          <w:iCs/>
          <w:u w:val="single"/>
        </w:rPr>
      </w:pPr>
      <w:r w:rsidRPr="00634906">
        <w:rPr>
          <w:bCs/>
          <w:i/>
          <w:iCs/>
          <w:u w:val="single"/>
        </w:rPr>
        <w:t>Unterabschnitt 7.2.4.22 Öffnen von Öffnungen</w:t>
      </w:r>
    </w:p>
    <w:p w14:paraId="49E2BAB2" w14:textId="77777777" w:rsidR="004352FA" w:rsidRPr="001B5DF4" w:rsidRDefault="004352FA" w:rsidP="007A2FED">
      <w:pPr>
        <w:tabs>
          <w:tab w:val="left" w:pos="1701"/>
        </w:tabs>
        <w:ind w:left="1134" w:right="-1"/>
        <w:jc w:val="both"/>
      </w:pPr>
    </w:p>
    <w:p w14:paraId="1A212445" w14:textId="43E1E3F0" w:rsidR="00133C0C" w:rsidRPr="001B5DF4" w:rsidRDefault="007A2FED" w:rsidP="007A2FED">
      <w:pPr>
        <w:tabs>
          <w:tab w:val="left" w:pos="1701"/>
        </w:tabs>
        <w:ind w:left="1134" w:right="-1"/>
        <w:jc w:val="both"/>
      </w:pPr>
      <w:r>
        <w:t>8</w:t>
      </w:r>
      <w:r w:rsidR="00133C0C" w:rsidRPr="001B5DF4">
        <w:t>.</w:t>
      </w:r>
      <w:r w:rsidR="00133C0C" w:rsidRPr="001B5DF4">
        <w:tab/>
      </w:r>
      <w:r w:rsidR="007500DB" w:rsidRPr="001B5DF4">
        <w:t xml:space="preserve">Der Unterabschnitt </w:t>
      </w:r>
      <w:r w:rsidR="00133C0C" w:rsidRPr="001B5DF4">
        <w:t xml:space="preserve">7.2.4.22 Öffnen von Öffnungen der Ladetanks </w:t>
      </w:r>
      <w:r w:rsidR="007500DB" w:rsidRPr="001B5DF4">
        <w:t>erhält folgende Fassung:</w:t>
      </w:r>
    </w:p>
    <w:p w14:paraId="04792A3C" w14:textId="77777777" w:rsidR="007500DB" w:rsidRPr="001B5DF4" w:rsidRDefault="007500DB" w:rsidP="007A2FED">
      <w:pPr>
        <w:tabs>
          <w:tab w:val="left" w:pos="1701"/>
        </w:tabs>
        <w:ind w:left="1134" w:right="-1"/>
        <w:jc w:val="both"/>
      </w:pPr>
    </w:p>
    <w:p w14:paraId="3755F7FE" w14:textId="77777777" w:rsidR="007500DB" w:rsidRPr="001B5DF4" w:rsidRDefault="007500DB" w:rsidP="007A2FED">
      <w:pPr>
        <w:tabs>
          <w:tab w:val="left" w:pos="1701"/>
        </w:tabs>
        <w:ind w:left="2268" w:right="-1" w:hanging="1134"/>
        <w:jc w:val="both"/>
      </w:pPr>
      <w:r w:rsidRPr="001B5DF4">
        <w:t>„</w:t>
      </w:r>
      <w:r w:rsidRPr="001B5DF4">
        <w:rPr>
          <w:b/>
        </w:rPr>
        <w:t>7.2.4.22</w:t>
      </w:r>
      <w:r w:rsidR="00040213" w:rsidRPr="001B5DF4">
        <w:rPr>
          <w:b/>
        </w:rPr>
        <w:tab/>
      </w:r>
      <w:r w:rsidRPr="001B5DF4">
        <w:rPr>
          <w:b/>
        </w:rPr>
        <w:t>Öffnen von Öffnungen der Ladetanks</w:t>
      </w:r>
      <w:r w:rsidR="00C80C0B" w:rsidRPr="001B5DF4">
        <w:rPr>
          <w:b/>
        </w:rPr>
        <w:t xml:space="preserve"> </w:t>
      </w:r>
      <w:r w:rsidR="00C80C0B" w:rsidRPr="001B5DF4">
        <w:rPr>
          <w:b/>
          <w:bCs/>
        </w:rPr>
        <w:t>(Allgemein)</w:t>
      </w:r>
    </w:p>
    <w:p w14:paraId="7817ADF3" w14:textId="77777777" w:rsidR="007500DB" w:rsidRPr="001B5DF4" w:rsidRDefault="007500DB" w:rsidP="007A2FED">
      <w:pPr>
        <w:tabs>
          <w:tab w:val="left" w:pos="1701"/>
        </w:tabs>
        <w:ind w:left="2268" w:right="-1" w:hanging="1134"/>
        <w:jc w:val="both"/>
      </w:pPr>
    </w:p>
    <w:p w14:paraId="3F794BF2" w14:textId="77777777" w:rsidR="004F0733" w:rsidRPr="001B5DF4" w:rsidRDefault="001A0C2A" w:rsidP="007A2FED">
      <w:pPr>
        <w:tabs>
          <w:tab w:val="left" w:pos="1701"/>
        </w:tabs>
        <w:ind w:left="2268" w:right="-1" w:hanging="1134"/>
        <w:jc w:val="both"/>
        <w:rPr>
          <w:iCs/>
          <w:u w:val="single"/>
        </w:rPr>
      </w:pPr>
      <w:r w:rsidRPr="001B5DF4">
        <w:t xml:space="preserve">7.2.4.22.1 </w:t>
      </w:r>
      <w:r w:rsidR="00040213" w:rsidRPr="001B5DF4">
        <w:tab/>
      </w:r>
      <w:r w:rsidR="004F0733" w:rsidRPr="001B5DF4">
        <w:rPr>
          <w:iCs/>
        </w:rPr>
        <w:t>Die Unterabschnitte 7.2.4.22 und 7.2.4.23 finden nur Anwendung für Tankschiffe der Typen N und C.</w:t>
      </w:r>
    </w:p>
    <w:p w14:paraId="2B6368BE" w14:textId="77777777" w:rsidR="00D625E3" w:rsidRPr="001B5DF4" w:rsidRDefault="00D625E3" w:rsidP="007A2FED">
      <w:pPr>
        <w:tabs>
          <w:tab w:val="left" w:pos="1701"/>
        </w:tabs>
        <w:ind w:left="2268" w:right="-1" w:hanging="1134"/>
        <w:jc w:val="both"/>
      </w:pPr>
    </w:p>
    <w:p w14:paraId="1FB61518" w14:textId="77777777" w:rsidR="0085221B" w:rsidRPr="001B5DF4" w:rsidRDefault="00D625E3" w:rsidP="007A2FED">
      <w:pPr>
        <w:tabs>
          <w:tab w:val="left" w:pos="1701"/>
        </w:tabs>
        <w:ind w:left="2268" w:right="-1" w:hanging="1134"/>
        <w:jc w:val="both"/>
      </w:pPr>
      <w:r w:rsidRPr="001B5DF4">
        <w:tab/>
      </w:r>
      <w:r w:rsidRPr="001B5DF4">
        <w:tab/>
      </w:r>
      <w:r w:rsidR="006C066C" w:rsidRPr="001B5DF4">
        <w:t xml:space="preserve">Wenn und soweit es aufgrund anderer Rechtsvorschriften nicht verboten ist, ist das Öffnen der Öffnungen </w:t>
      </w:r>
      <w:r w:rsidR="00695A78" w:rsidRPr="001B5DF4">
        <w:t>abweichend von Unterabschnitt 7.2.3.22 unter den folgenden Bedingungen</w:t>
      </w:r>
    </w:p>
    <w:p w14:paraId="27540BEB" w14:textId="77777777" w:rsidR="0085221B" w:rsidRPr="001B5DF4" w:rsidRDefault="006C066C" w:rsidP="00405893">
      <w:pPr>
        <w:pStyle w:val="Paragraphedeliste"/>
        <w:numPr>
          <w:ilvl w:val="1"/>
          <w:numId w:val="31"/>
        </w:numPr>
        <w:tabs>
          <w:tab w:val="left" w:pos="1701"/>
        </w:tabs>
        <w:spacing w:before="60"/>
        <w:ind w:left="2568" w:hanging="357"/>
        <w:contextualSpacing w:val="0"/>
        <w:jc w:val="both"/>
      </w:pPr>
      <w:r w:rsidRPr="001B5DF4">
        <w:t xml:space="preserve">zur </w:t>
      </w:r>
      <w:r w:rsidR="002E6811" w:rsidRPr="001B5DF4">
        <w:t xml:space="preserve">Reinigung und/oder </w:t>
      </w:r>
      <w:r w:rsidR="008D2386" w:rsidRPr="001B5DF4">
        <w:t xml:space="preserve">zum </w:t>
      </w:r>
      <w:r w:rsidR="002E6811" w:rsidRPr="001B5DF4">
        <w:t>Austausch der Flammensperre,</w:t>
      </w:r>
    </w:p>
    <w:p w14:paraId="5E59F3D0" w14:textId="77777777" w:rsidR="0085221B" w:rsidRPr="001B5DF4" w:rsidRDefault="008D2386" w:rsidP="00405893">
      <w:pPr>
        <w:pStyle w:val="Paragraphedeliste"/>
        <w:numPr>
          <w:ilvl w:val="1"/>
          <w:numId w:val="31"/>
        </w:numPr>
        <w:tabs>
          <w:tab w:val="left" w:pos="1701"/>
        </w:tabs>
        <w:spacing w:before="60"/>
        <w:ind w:left="2568" w:hanging="357"/>
        <w:contextualSpacing w:val="0"/>
        <w:jc w:val="both"/>
      </w:pPr>
      <w:r w:rsidRPr="001B5DF4">
        <w:t xml:space="preserve">zur </w:t>
      </w:r>
      <w:r w:rsidR="006C066C" w:rsidRPr="001B5DF4">
        <w:t>Sichtkontrolle</w:t>
      </w:r>
      <w:r w:rsidR="004F0733" w:rsidRPr="001B5DF4">
        <w:rPr>
          <w:iCs/>
        </w:rPr>
        <w:t xml:space="preserve"> von Deck aus</w:t>
      </w:r>
      <w:r w:rsidR="00BD0AF7" w:rsidRPr="001B5DF4">
        <w:rPr>
          <w:iCs/>
        </w:rPr>
        <w:t>,</w:t>
      </w:r>
    </w:p>
    <w:p w14:paraId="3BEB4A4E" w14:textId="77777777" w:rsidR="0085221B" w:rsidRPr="001B5DF4" w:rsidRDefault="008D2386" w:rsidP="00405893">
      <w:pPr>
        <w:pStyle w:val="Paragraphedeliste"/>
        <w:numPr>
          <w:ilvl w:val="1"/>
          <w:numId w:val="31"/>
        </w:numPr>
        <w:tabs>
          <w:tab w:val="left" w:pos="1701"/>
        </w:tabs>
        <w:spacing w:before="60"/>
        <w:ind w:left="2568" w:hanging="357"/>
        <w:contextualSpacing w:val="0"/>
        <w:jc w:val="both"/>
      </w:pPr>
      <w:r w:rsidRPr="001B5DF4">
        <w:t xml:space="preserve">zur </w:t>
      </w:r>
      <w:r w:rsidR="006C066C" w:rsidRPr="001B5DF4">
        <w:t>Probeentnahme,</w:t>
      </w:r>
    </w:p>
    <w:p w14:paraId="4C8E60B6" w14:textId="77777777" w:rsidR="0085221B" w:rsidRPr="001B5DF4" w:rsidRDefault="00122C2D" w:rsidP="00405893">
      <w:pPr>
        <w:pStyle w:val="Paragraphedeliste"/>
        <w:numPr>
          <w:ilvl w:val="1"/>
          <w:numId w:val="31"/>
        </w:numPr>
        <w:tabs>
          <w:tab w:val="left" w:pos="1701"/>
        </w:tabs>
        <w:spacing w:before="60"/>
        <w:ind w:left="2568" w:hanging="357"/>
        <w:contextualSpacing w:val="0"/>
        <w:jc w:val="both"/>
        <w:rPr>
          <w:bCs/>
          <w:iCs/>
        </w:rPr>
      </w:pPr>
      <w:r w:rsidRPr="001B5DF4">
        <w:rPr>
          <w:bCs/>
          <w:iCs/>
        </w:rPr>
        <w:t>zum Anschluss einer Tankwaschanlage,</w:t>
      </w:r>
    </w:p>
    <w:p w14:paraId="0D20FFCF" w14:textId="77777777" w:rsidR="0085221B" w:rsidRPr="001B5DF4" w:rsidRDefault="008D2386" w:rsidP="00405893">
      <w:pPr>
        <w:pStyle w:val="Paragraphedeliste"/>
        <w:numPr>
          <w:ilvl w:val="1"/>
          <w:numId w:val="31"/>
        </w:numPr>
        <w:tabs>
          <w:tab w:val="left" w:pos="1701"/>
        </w:tabs>
        <w:spacing w:before="60"/>
        <w:ind w:left="2568" w:hanging="357"/>
        <w:contextualSpacing w:val="0"/>
        <w:jc w:val="both"/>
      </w:pPr>
      <w:r w:rsidRPr="001B5DF4">
        <w:t xml:space="preserve">zur </w:t>
      </w:r>
      <w:r w:rsidR="006C066C" w:rsidRPr="001B5DF4">
        <w:t>Gasmessung</w:t>
      </w:r>
      <w:r w:rsidR="00D019AA" w:rsidRPr="001B5DF4">
        <w:t>,</w:t>
      </w:r>
    </w:p>
    <w:p w14:paraId="46026BEF" w14:textId="77777777" w:rsidR="0085221B" w:rsidRPr="001B5DF4" w:rsidRDefault="00D019AA" w:rsidP="00405893">
      <w:pPr>
        <w:pStyle w:val="Paragraphedeliste"/>
        <w:numPr>
          <w:ilvl w:val="1"/>
          <w:numId w:val="31"/>
        </w:numPr>
        <w:tabs>
          <w:tab w:val="left" w:pos="1701"/>
        </w:tabs>
        <w:spacing w:before="60"/>
        <w:ind w:left="2568" w:hanging="357"/>
        <w:contextualSpacing w:val="0"/>
        <w:jc w:val="both"/>
      </w:pPr>
      <w:r w:rsidRPr="001B5DF4">
        <w:t>zur Ermittlung der Füllmenge im Ladetank</w:t>
      </w:r>
      <w:r w:rsidR="008D2386" w:rsidRPr="001B5DF4">
        <w:t xml:space="preserve"> </w:t>
      </w:r>
      <w:r w:rsidR="001A140D" w:rsidRPr="001B5DF4">
        <w:t>im Ausnahmefall</w:t>
      </w:r>
      <w:r w:rsidR="00BD0AF7" w:rsidRPr="001B5DF4">
        <w:t>,</w:t>
      </w:r>
      <w:r w:rsidR="001A140D" w:rsidRPr="001B5DF4">
        <w:t xml:space="preserve"> </w:t>
      </w:r>
      <w:r w:rsidR="008D2386" w:rsidRPr="001B5DF4">
        <w:t>und</w:t>
      </w:r>
    </w:p>
    <w:p w14:paraId="65F39174" w14:textId="77777777" w:rsidR="00BD0AF7" w:rsidRPr="001B5DF4" w:rsidRDefault="008D2386" w:rsidP="00405893">
      <w:pPr>
        <w:pStyle w:val="Paragraphedeliste"/>
        <w:numPr>
          <w:ilvl w:val="1"/>
          <w:numId w:val="31"/>
        </w:numPr>
        <w:tabs>
          <w:tab w:val="left" w:pos="1701"/>
        </w:tabs>
        <w:spacing w:before="60"/>
        <w:ind w:left="2568" w:hanging="357"/>
        <w:contextualSpacing w:val="0"/>
        <w:jc w:val="both"/>
      </w:pPr>
      <w:r w:rsidRPr="001B5DF4">
        <w:t>zur</w:t>
      </w:r>
      <w:r w:rsidR="006C066C" w:rsidRPr="001B5DF4">
        <w:t xml:space="preserve"> nachträgliche</w:t>
      </w:r>
      <w:r w:rsidR="002E6811" w:rsidRPr="001B5DF4">
        <w:t>n</w:t>
      </w:r>
      <w:r w:rsidR="006C066C" w:rsidRPr="001B5DF4">
        <w:t xml:space="preserve"> Zugabe von Stabilisator im Ausnahmefall</w:t>
      </w:r>
    </w:p>
    <w:p w14:paraId="4C2002FB" w14:textId="77777777" w:rsidR="006C066C" w:rsidRPr="001B5DF4" w:rsidRDefault="006C066C" w:rsidP="00405893">
      <w:pPr>
        <w:tabs>
          <w:tab w:val="left" w:pos="1701"/>
        </w:tabs>
        <w:spacing w:before="60"/>
        <w:ind w:left="2214" w:right="-1"/>
        <w:jc w:val="both"/>
      </w:pPr>
      <w:r w:rsidRPr="001B5DF4">
        <w:t>gestattet.</w:t>
      </w:r>
    </w:p>
    <w:p w14:paraId="031F29FC" w14:textId="77777777" w:rsidR="00D34321" w:rsidRPr="001B5DF4" w:rsidRDefault="00D34321" w:rsidP="007A2FED">
      <w:pPr>
        <w:tabs>
          <w:tab w:val="left" w:pos="1701"/>
        </w:tabs>
        <w:ind w:left="2268" w:right="-1" w:hanging="1134"/>
        <w:jc w:val="both"/>
      </w:pPr>
    </w:p>
    <w:p w14:paraId="5D9A5102" w14:textId="77777777" w:rsidR="00122C2D" w:rsidRPr="001B5DF4" w:rsidRDefault="003C7B82" w:rsidP="007A2FED">
      <w:pPr>
        <w:ind w:left="2268" w:right="-1" w:hanging="1134"/>
        <w:jc w:val="both"/>
        <w:rPr>
          <w:bCs/>
          <w:u w:val="single"/>
        </w:rPr>
      </w:pPr>
      <w:r w:rsidRPr="001B5DF4">
        <w:t>7.2.4.22.2</w:t>
      </w:r>
      <w:r w:rsidR="00040213" w:rsidRPr="001B5DF4">
        <w:tab/>
      </w:r>
      <w:r w:rsidR="00122C2D" w:rsidRPr="001B5DF4">
        <w:rPr>
          <w:bCs/>
        </w:rPr>
        <w:t>Das Öffnen von Ladetanks darf durchgeführt werden, wenn das Schiff nicht an die Landanlage angeschlossen ist oder die Absperrarmaturen auf dem Schiff und an der Landanlage geschlossen sind.</w:t>
      </w:r>
    </w:p>
    <w:p w14:paraId="042296DE" w14:textId="77777777" w:rsidR="00122C2D" w:rsidRPr="001B5DF4" w:rsidRDefault="00122C2D" w:rsidP="007A2FED">
      <w:pPr>
        <w:tabs>
          <w:tab w:val="left" w:pos="1701"/>
        </w:tabs>
        <w:ind w:left="2268" w:right="-1" w:hanging="1134"/>
        <w:jc w:val="both"/>
      </w:pPr>
    </w:p>
    <w:p w14:paraId="3E0284A9" w14:textId="77777777" w:rsidR="003C7B82" w:rsidRPr="001B5DF4" w:rsidRDefault="00122C2D" w:rsidP="007A2FED">
      <w:pPr>
        <w:tabs>
          <w:tab w:val="left" w:pos="1701"/>
        </w:tabs>
        <w:ind w:left="2268" w:right="-1" w:hanging="1134"/>
        <w:jc w:val="both"/>
      </w:pPr>
      <w:r w:rsidRPr="001B5DF4">
        <w:tab/>
      </w:r>
      <w:r w:rsidRPr="001B5DF4">
        <w:tab/>
      </w:r>
      <w:r w:rsidR="001A0C2A" w:rsidRPr="001B5DF4">
        <w:t xml:space="preserve">Das Öffnen von Öffnungen </w:t>
      </w:r>
      <w:r w:rsidR="00861CEB" w:rsidRPr="001B5DF4">
        <w:t xml:space="preserve">[eng. openings] </w:t>
      </w:r>
      <w:r w:rsidR="001A0C2A" w:rsidRPr="001B5DF4">
        <w:t xml:space="preserve">der Ladetanks darf nur erfolgen, nachdem die entsprechenden Ladetanks </w:t>
      </w:r>
      <w:r w:rsidR="00FE2512" w:rsidRPr="001B5DF4">
        <w:t xml:space="preserve">mit Hilfe der in Absatz 9.3.2.22.4 a) und 9.3.2.22.4 b) oder 9.3.3.22.4 a) und 9.3.3.22.4 b) dafür vorgeschriebenen Vorrichtungen </w:t>
      </w:r>
      <w:r w:rsidR="001A0C2A" w:rsidRPr="001B5DF4">
        <w:t>entspannt worden sind.</w:t>
      </w:r>
      <w:r w:rsidR="00AE16CB" w:rsidRPr="001B5DF4">
        <w:t xml:space="preserve"> </w:t>
      </w:r>
      <w:r w:rsidR="00861CEB" w:rsidRPr="001B5DF4">
        <w:t>[eng. Device for the safe depressurization of cargo tanks]</w:t>
      </w:r>
    </w:p>
    <w:p w14:paraId="01A82236" w14:textId="77777777" w:rsidR="00D625E3" w:rsidRPr="001B5DF4" w:rsidRDefault="00D625E3" w:rsidP="007A2FED">
      <w:pPr>
        <w:tabs>
          <w:tab w:val="left" w:pos="1701"/>
        </w:tabs>
        <w:ind w:left="2268" w:right="-1" w:hanging="1134"/>
        <w:jc w:val="both"/>
      </w:pPr>
    </w:p>
    <w:p w14:paraId="2A352ACA" w14:textId="77777777" w:rsidR="003C7B82" w:rsidRPr="001B5DF4" w:rsidRDefault="00D625E3" w:rsidP="007A2FED">
      <w:pPr>
        <w:tabs>
          <w:tab w:val="left" w:pos="1701"/>
        </w:tabs>
        <w:ind w:left="2268" w:right="-1" w:hanging="1134"/>
        <w:jc w:val="both"/>
      </w:pPr>
      <w:r w:rsidRPr="001B5DF4">
        <w:tab/>
      </w:r>
      <w:r w:rsidRPr="001B5DF4">
        <w:tab/>
      </w:r>
      <w:r w:rsidR="001A0C2A" w:rsidRPr="001B5DF4">
        <w:t xml:space="preserve">Wenn in Unterabschnitt 3.2.3.2 Tabelle C Spalte (17) Explosionsschutz gefordert wird, ist das Öffnen der Ladetankluken </w:t>
      </w:r>
      <w:r w:rsidR="00861CEB" w:rsidRPr="001B5DF4">
        <w:t xml:space="preserve">[eng: cargo tank hatches] </w:t>
      </w:r>
      <w:r w:rsidR="001A0C2A" w:rsidRPr="001B5DF4">
        <w:t xml:space="preserve">erst </w:t>
      </w:r>
      <w:r w:rsidR="00C63C5F" w:rsidRPr="001B5DF4">
        <w:t>erlaubt</w:t>
      </w:r>
      <w:r w:rsidR="001A0C2A" w:rsidRPr="001B5DF4">
        <w:t>, wenn die Ladetanks entladen sind und die Konzentration an entzündbaren Gasen im Ladetank unter 10 % der UEG der Ladung/Vorladung liegt. Die Messergebnisse müssen schriftlich festgehalten werden. Die zu prüfenden Ladetanks dürfen zur Messung nicht betreten werden.</w:t>
      </w:r>
    </w:p>
    <w:p w14:paraId="54B75190" w14:textId="77777777" w:rsidR="00150257" w:rsidRPr="001B5DF4" w:rsidRDefault="00150257" w:rsidP="007A2FED">
      <w:pPr>
        <w:tabs>
          <w:tab w:val="left" w:pos="1701"/>
        </w:tabs>
        <w:ind w:left="2268" w:right="-1" w:hanging="1134"/>
        <w:jc w:val="both"/>
      </w:pPr>
    </w:p>
    <w:p w14:paraId="17C0DFEA" w14:textId="77777777" w:rsidR="00AE16CB" w:rsidRPr="001B5DF4" w:rsidRDefault="003C7B82" w:rsidP="007A2FED">
      <w:pPr>
        <w:tabs>
          <w:tab w:val="left" w:pos="1701"/>
        </w:tabs>
        <w:ind w:left="2268" w:right="-1" w:hanging="1134"/>
        <w:jc w:val="both"/>
      </w:pPr>
      <w:r w:rsidRPr="001B5DF4">
        <w:t xml:space="preserve">7.2.4.22.3 </w:t>
      </w:r>
      <w:r w:rsidRPr="001B5DF4">
        <w:tab/>
        <w:t xml:space="preserve">Das Öffnen der Öffnungen ist bei Ladetanks, die mit Stoffen beladen sind, für die nach Unterabschnitt 3.2.3.2 Tabelle C Spalte (19) eine Bezeichnung mit einem oder zwei blauen Kegeln oder einem oder zwei blauen Lichtern vorgeschrieben ist, nur </w:t>
      </w:r>
      <w:r w:rsidR="00C63C5F" w:rsidRPr="001B5DF4">
        <w:t>erlaubt</w:t>
      </w:r>
      <w:r w:rsidRPr="001B5DF4">
        <w:t>, nachdem das Laden seit mindestens 10</w:t>
      </w:r>
      <w:r w:rsidR="00C63C5F" w:rsidRPr="001B5DF4">
        <w:t xml:space="preserve"> </w:t>
      </w:r>
      <w:r w:rsidRPr="001B5DF4">
        <w:t>Minuten unterbrochen ist.</w:t>
      </w:r>
    </w:p>
    <w:p w14:paraId="5D5AC0AA" w14:textId="77777777" w:rsidR="00150257" w:rsidRPr="001B5DF4" w:rsidRDefault="00150257" w:rsidP="007A2FED">
      <w:pPr>
        <w:tabs>
          <w:tab w:val="left" w:pos="1701"/>
        </w:tabs>
        <w:ind w:left="2268" w:right="-1" w:hanging="1134"/>
        <w:jc w:val="both"/>
      </w:pPr>
    </w:p>
    <w:p w14:paraId="7D9E1D7C" w14:textId="77777777" w:rsidR="002A3F79" w:rsidRPr="001B5DF4" w:rsidRDefault="001A0C2A" w:rsidP="007A2FED">
      <w:pPr>
        <w:ind w:left="2268" w:right="-1" w:hanging="1130"/>
      </w:pPr>
      <w:r w:rsidRPr="001B5DF4">
        <w:t>7.2.4.22.</w:t>
      </w:r>
      <w:r w:rsidR="00040213" w:rsidRPr="001B5DF4">
        <w:t>4</w:t>
      </w:r>
      <w:r w:rsidR="00AE16CB" w:rsidRPr="001B5DF4">
        <w:t xml:space="preserve"> </w:t>
      </w:r>
      <w:r w:rsidR="00AE16CB" w:rsidRPr="001B5DF4">
        <w:tab/>
      </w:r>
      <w:r w:rsidR="00883386" w:rsidRPr="001B5DF4">
        <w:tab/>
      </w:r>
      <w:r w:rsidR="002A3F79" w:rsidRPr="001B5DF4">
        <w:t>Für den Austausch der</w:t>
      </w:r>
      <w:r w:rsidR="000E245A" w:rsidRPr="001B5DF4">
        <w:t xml:space="preserve"> Flammensperre</w:t>
      </w:r>
      <w:r w:rsidR="002A3F79" w:rsidRPr="001B5DF4">
        <w:t xml:space="preserve"> zum Zwecke der Reinigung oder des Austauschs gegen baugleiche Flammensperren müssen folgende Bedingungen erfüllt sein: </w:t>
      </w:r>
    </w:p>
    <w:p w14:paraId="35DE152F" w14:textId="77777777" w:rsidR="002E6811" w:rsidRPr="001B5DF4" w:rsidRDefault="000B531A" w:rsidP="007A2FED">
      <w:pPr>
        <w:tabs>
          <w:tab w:val="left" w:pos="1701"/>
          <w:tab w:val="left" w:pos="2694"/>
        </w:tabs>
        <w:spacing w:before="120" w:after="60"/>
        <w:ind w:left="2268" w:right="-1"/>
        <w:jc w:val="both"/>
      </w:pPr>
      <w:r w:rsidRPr="001B5DF4">
        <w:t>a)</w:t>
      </w:r>
      <w:r w:rsidRPr="001B5DF4">
        <w:tab/>
      </w:r>
      <w:r w:rsidR="002E6811" w:rsidRPr="001B5DF4">
        <w:t xml:space="preserve">Die Reinigung und der Austausch der Flammensperre dürfen nur durch geschultes und eingewiesenes Personal erfolgen. </w:t>
      </w:r>
    </w:p>
    <w:p w14:paraId="23DF7EB9" w14:textId="77777777" w:rsidR="002A3F79" w:rsidRPr="001B5DF4" w:rsidRDefault="000B531A" w:rsidP="007A2FED">
      <w:pPr>
        <w:tabs>
          <w:tab w:val="left" w:pos="1701"/>
          <w:tab w:val="left" w:pos="2694"/>
        </w:tabs>
        <w:spacing w:before="120" w:after="60"/>
        <w:ind w:left="2268" w:right="-1"/>
        <w:jc w:val="both"/>
      </w:pPr>
      <w:r w:rsidRPr="001B5DF4">
        <w:lastRenderedPageBreak/>
        <w:t>b)</w:t>
      </w:r>
      <w:r w:rsidRPr="001B5DF4">
        <w:tab/>
      </w:r>
      <w:r w:rsidR="002A3F79" w:rsidRPr="001B5DF4">
        <w:t xml:space="preserve">Das Öffnen darf erst erfolgen, wenn die Ladetanks entladen sind und die Konzentration an entzündbaren Gasen im Ladetank unter 10 % der UEG der Ladung/Vorladung liegt. </w:t>
      </w:r>
    </w:p>
    <w:p w14:paraId="500D4018" w14:textId="77777777" w:rsidR="002A3F79" w:rsidRPr="001B5DF4" w:rsidRDefault="000B531A" w:rsidP="007A2FED">
      <w:pPr>
        <w:tabs>
          <w:tab w:val="left" w:pos="1701"/>
          <w:tab w:val="left" w:pos="2694"/>
        </w:tabs>
        <w:spacing w:before="120" w:after="60"/>
        <w:ind w:left="2268" w:right="-1"/>
        <w:jc w:val="both"/>
      </w:pPr>
      <w:r w:rsidRPr="001B5DF4">
        <w:t>c)</w:t>
      </w:r>
      <w:r w:rsidRPr="001B5DF4">
        <w:tab/>
      </w:r>
      <w:r w:rsidR="002A3F79" w:rsidRPr="001B5DF4">
        <w:t xml:space="preserve">Die Messergebnisse müssen schriftlich festgehalten werden. </w:t>
      </w:r>
    </w:p>
    <w:p w14:paraId="2760BE19" w14:textId="77777777" w:rsidR="003341CE" w:rsidRPr="001B5DF4" w:rsidRDefault="003341CE" w:rsidP="007A2FED">
      <w:pPr>
        <w:tabs>
          <w:tab w:val="left" w:pos="1701"/>
        </w:tabs>
        <w:ind w:left="1134" w:right="-1"/>
        <w:jc w:val="both"/>
      </w:pPr>
    </w:p>
    <w:p w14:paraId="456995B4" w14:textId="77777777" w:rsidR="003341CE" w:rsidRPr="001B5DF4" w:rsidRDefault="003341CE" w:rsidP="007A2FED">
      <w:pPr>
        <w:tabs>
          <w:tab w:val="left" w:pos="1701"/>
        </w:tabs>
        <w:ind w:left="2268" w:right="-1" w:hanging="1134"/>
        <w:jc w:val="both"/>
      </w:pPr>
      <w:r w:rsidRPr="001B5DF4">
        <w:t>7.2.4.22.</w:t>
      </w:r>
      <w:r w:rsidR="0052478E" w:rsidRPr="001B5DF4">
        <w:t>5</w:t>
      </w:r>
      <w:r w:rsidRPr="001B5DF4">
        <w:tab/>
        <w:t>Für Reparaturen am Gehäuse der Flammendurchschlagsicherung gilt Unterabschnitt 8.1.7.3.</w:t>
      </w:r>
    </w:p>
    <w:p w14:paraId="7EA1054F" w14:textId="77777777" w:rsidR="00705B5F" w:rsidRPr="001B5DF4" w:rsidRDefault="00705B5F" w:rsidP="007A2FED">
      <w:pPr>
        <w:tabs>
          <w:tab w:val="left" w:pos="1701"/>
        </w:tabs>
        <w:ind w:left="2268" w:right="-1" w:hanging="1134"/>
        <w:jc w:val="both"/>
        <w:rPr>
          <w:strike/>
        </w:rPr>
      </w:pPr>
    </w:p>
    <w:p w14:paraId="0255AFA0" w14:textId="77777777" w:rsidR="002A3F79" w:rsidRPr="001B5DF4" w:rsidRDefault="00E921A3" w:rsidP="007A2FED">
      <w:pPr>
        <w:tabs>
          <w:tab w:val="left" w:pos="1701"/>
        </w:tabs>
        <w:ind w:left="2268" w:right="-1" w:hanging="1134"/>
        <w:jc w:val="both"/>
      </w:pPr>
      <w:bookmarkStart w:id="0" w:name="_Hlk128402405"/>
      <w:r w:rsidRPr="001B5DF4">
        <w:t>7.2.4.22.</w:t>
      </w:r>
      <w:r w:rsidR="0052478E" w:rsidRPr="001B5DF4">
        <w:t>6</w:t>
      </w:r>
      <w:r w:rsidR="00040213" w:rsidRPr="001B5DF4">
        <w:tab/>
      </w:r>
      <w:r w:rsidR="00B22B65" w:rsidRPr="001B5DF4">
        <w:t>Wenn</w:t>
      </w:r>
      <w:r w:rsidR="002A3F79" w:rsidRPr="001B5DF4">
        <w:t xml:space="preserve"> </w:t>
      </w:r>
      <w:r w:rsidR="008D2386" w:rsidRPr="001B5DF4">
        <w:t xml:space="preserve">die Einführung der Gasabfuhrleitung in den Ladetank </w:t>
      </w:r>
      <w:r w:rsidR="002A3F79" w:rsidRPr="001B5DF4">
        <w:t xml:space="preserve">mit einer </w:t>
      </w:r>
      <w:r w:rsidR="001D6721" w:rsidRPr="001B5DF4">
        <w:t>Flammendurchschlagsicherung</w:t>
      </w:r>
      <w:r w:rsidR="002A3F79" w:rsidRPr="001B5DF4">
        <w:t xml:space="preserve"> gemäß ADN 9.3.2.22.4 b) / 9.3.3.22.4 d) ausgerüstet ist, </w:t>
      </w:r>
      <w:r w:rsidR="002A7856" w:rsidRPr="001B5DF4">
        <w:t>darf</w:t>
      </w:r>
      <w:r w:rsidR="002A3F79" w:rsidRPr="001B5DF4">
        <w:t xml:space="preserve"> dieses Gehäuse </w:t>
      </w:r>
      <w:r w:rsidR="002A7856" w:rsidRPr="001B5DF4">
        <w:t>für die</w:t>
      </w:r>
      <w:r w:rsidR="002A3F79" w:rsidRPr="001B5DF4">
        <w:rPr>
          <w:strike/>
        </w:rPr>
        <w:t xml:space="preserve"> </w:t>
      </w:r>
      <w:r w:rsidR="002A3F79" w:rsidRPr="001B5DF4">
        <w:t>Probeentnahme</w:t>
      </w:r>
      <w:r w:rsidR="002A7856" w:rsidRPr="001B5DF4">
        <w:t>, eine</w:t>
      </w:r>
      <w:r w:rsidR="002A3F79" w:rsidRPr="001B5DF4">
        <w:t xml:space="preserve"> </w:t>
      </w:r>
      <w:r w:rsidR="00242ABA" w:rsidRPr="001B5DF4">
        <w:t>S</w:t>
      </w:r>
      <w:r w:rsidR="002A3F79" w:rsidRPr="001B5DF4">
        <w:t>ichtkontrolle der Ladetanks</w:t>
      </w:r>
      <w:r w:rsidR="002A7856" w:rsidRPr="001B5DF4">
        <w:t>, die Ermittlung der Füllmenge im Ladetank oder die nachträgliche Zugabe von Stabilisator</w:t>
      </w:r>
      <w:r w:rsidR="002A3F79" w:rsidRPr="001B5DF4">
        <w:t xml:space="preserve"> geöffnet werden.</w:t>
      </w:r>
    </w:p>
    <w:p w14:paraId="2C3F2D6C" w14:textId="77777777" w:rsidR="002A3F79" w:rsidRPr="001B5DF4" w:rsidRDefault="002A3F79" w:rsidP="007A2FED">
      <w:pPr>
        <w:tabs>
          <w:tab w:val="left" w:pos="1701"/>
        </w:tabs>
        <w:ind w:left="2268" w:right="-1" w:hanging="1134"/>
        <w:jc w:val="both"/>
        <w:rPr>
          <w:i/>
        </w:rPr>
      </w:pPr>
    </w:p>
    <w:bookmarkEnd w:id="0"/>
    <w:p w14:paraId="0EBE46BB" w14:textId="77777777" w:rsidR="00255AA5" w:rsidRPr="001B5DF4" w:rsidRDefault="001A0C2A" w:rsidP="007A2FED">
      <w:pPr>
        <w:tabs>
          <w:tab w:val="left" w:pos="1701"/>
        </w:tabs>
        <w:ind w:left="2268" w:right="-1" w:hanging="1134"/>
        <w:jc w:val="both"/>
      </w:pPr>
      <w:r w:rsidRPr="001B5DF4">
        <w:t>7.2.4.22.</w:t>
      </w:r>
      <w:r w:rsidR="0052478E" w:rsidRPr="001B5DF4">
        <w:t>7</w:t>
      </w:r>
      <w:r w:rsidR="00AE16CB" w:rsidRPr="001B5DF4">
        <w:tab/>
      </w:r>
      <w:r w:rsidR="00162D05" w:rsidRPr="001B5DF4">
        <w:t>D</w:t>
      </w:r>
      <w:r w:rsidRPr="001B5DF4">
        <w:t xml:space="preserve">ie Tätigkeiten </w:t>
      </w:r>
      <w:r w:rsidR="002E6811" w:rsidRPr="001B5DF4">
        <w:t xml:space="preserve">zum Öffnen von Öffnungen dürfen </w:t>
      </w:r>
      <w:r w:rsidRPr="001B5DF4">
        <w:t xml:space="preserve">nur </w:t>
      </w:r>
      <w:r w:rsidR="007725FB" w:rsidRPr="001B5DF4">
        <w:t xml:space="preserve">unter Verwendung </w:t>
      </w:r>
      <w:r w:rsidR="00162D05" w:rsidRPr="001B5DF4">
        <w:t>von</w:t>
      </w:r>
      <w:r w:rsidR="007725FB" w:rsidRPr="001B5DF4">
        <w:t xml:space="preserve"> geeignetem </w:t>
      </w:r>
      <w:r w:rsidR="007D4382" w:rsidRPr="001B5DF4">
        <w:t xml:space="preserve">funkenarmem </w:t>
      </w:r>
      <w:r w:rsidR="003B2F10" w:rsidRPr="001B5DF4">
        <w:t>W</w:t>
      </w:r>
      <w:r w:rsidR="00861CEB" w:rsidRPr="001B5DF4">
        <w:t xml:space="preserve">erkzeug </w:t>
      </w:r>
      <w:r w:rsidR="007725FB" w:rsidRPr="001B5DF4">
        <w:t>durchgeführt</w:t>
      </w:r>
      <w:r w:rsidRPr="001B5DF4">
        <w:t xml:space="preserve"> werden.</w:t>
      </w:r>
    </w:p>
    <w:p w14:paraId="34AC2AC8" w14:textId="77777777" w:rsidR="00883386" w:rsidRPr="00634906" w:rsidRDefault="006C1B74" w:rsidP="007A2FED">
      <w:pPr>
        <w:tabs>
          <w:tab w:val="left" w:pos="1701"/>
        </w:tabs>
        <w:ind w:left="2268" w:right="-1" w:hanging="1134"/>
        <w:jc w:val="both"/>
        <w:rPr>
          <w:bCs/>
          <w:i/>
          <w:iCs/>
        </w:rPr>
      </w:pPr>
      <w:r w:rsidRPr="001B5DF4">
        <w:tab/>
      </w:r>
      <w:r w:rsidRPr="001B5DF4">
        <w:tab/>
      </w:r>
      <w:r w:rsidR="00883386" w:rsidRPr="00634906">
        <w:rPr>
          <w:i/>
          <w:iCs/>
        </w:rPr>
        <w:t>[I</w:t>
      </w:r>
      <w:r w:rsidR="00883386" w:rsidRPr="00634906">
        <w:rPr>
          <w:bCs/>
          <w:i/>
          <w:iCs/>
        </w:rPr>
        <w:t>n der englischen und der französischen Sprache soll der Ausdruck „hand tools“ bzw. „outils à main“ beibehalten werden]</w:t>
      </w:r>
    </w:p>
    <w:p w14:paraId="4BF212FF" w14:textId="77777777" w:rsidR="0011280B" w:rsidRPr="001B5DF4" w:rsidRDefault="0011280B" w:rsidP="007A2FED">
      <w:pPr>
        <w:tabs>
          <w:tab w:val="left" w:pos="1701"/>
        </w:tabs>
        <w:ind w:left="2268" w:right="-1" w:hanging="1134"/>
        <w:jc w:val="both"/>
      </w:pPr>
    </w:p>
    <w:p w14:paraId="20CFA066" w14:textId="77777777" w:rsidR="0011280B" w:rsidRPr="001B5DF4" w:rsidRDefault="0011280B" w:rsidP="007A2FED">
      <w:pPr>
        <w:tabs>
          <w:tab w:val="left" w:pos="1701"/>
        </w:tabs>
        <w:ind w:left="2268" w:right="-1" w:hanging="1134"/>
        <w:jc w:val="both"/>
      </w:pPr>
      <w:r w:rsidRPr="001B5DF4">
        <w:tab/>
      </w:r>
      <w:r w:rsidRPr="001B5DF4">
        <w:tab/>
      </w:r>
      <w:bookmarkStart w:id="1" w:name="_Hlk130280193"/>
      <w:r w:rsidRPr="001B5DF4">
        <w:t>An Bord von Schiffen, für die die Zoneneinteilung gemäß der Begriffsbestimmung in Abschnitt 1.2.1 gilt, müssen alle für Tätigkeiten an geöffneten Ladetanks verwendeten elektrischen und nicht elektrischen Geräte und Hilfsmittel</w:t>
      </w:r>
      <w:r w:rsidR="00FE677B" w:rsidRPr="001B5DF4">
        <w:t xml:space="preserve"> die Anforderungen für den Einsatz in der Zone 0 erfüllen.</w:t>
      </w:r>
    </w:p>
    <w:bookmarkEnd w:id="1"/>
    <w:p w14:paraId="584921C6" w14:textId="77777777" w:rsidR="00AC373C" w:rsidRPr="001B5DF4" w:rsidRDefault="00AC373C" w:rsidP="007A2FED">
      <w:pPr>
        <w:tabs>
          <w:tab w:val="left" w:pos="1701"/>
        </w:tabs>
        <w:ind w:left="2268" w:right="-1" w:hanging="1134"/>
        <w:jc w:val="both"/>
        <w:rPr>
          <w:strike/>
        </w:rPr>
      </w:pPr>
    </w:p>
    <w:p w14:paraId="08A19607" w14:textId="77777777" w:rsidR="00255AA5" w:rsidRPr="001B5DF4" w:rsidRDefault="001A0C2A" w:rsidP="007A2FED">
      <w:pPr>
        <w:tabs>
          <w:tab w:val="left" w:pos="1701"/>
        </w:tabs>
        <w:ind w:left="2268" w:right="-1" w:hanging="1134"/>
        <w:jc w:val="both"/>
      </w:pPr>
      <w:r w:rsidRPr="001B5DF4">
        <w:t>7.2.4.22.</w:t>
      </w:r>
      <w:r w:rsidR="003B2F10" w:rsidRPr="001B5DF4">
        <w:t>8</w:t>
      </w:r>
      <w:r w:rsidR="00AE16CB" w:rsidRPr="001B5DF4">
        <w:t xml:space="preserve"> </w:t>
      </w:r>
      <w:r w:rsidR="00040213" w:rsidRPr="001B5DF4">
        <w:tab/>
      </w:r>
      <w:r w:rsidRPr="001B5DF4">
        <w:t xml:space="preserve">Die Öffnungsdauer muss auf die Zeit </w:t>
      </w:r>
      <w:r w:rsidR="00A51F99" w:rsidRPr="001B5DF4">
        <w:t>der unter 7.2.4.22.</w:t>
      </w:r>
      <w:r w:rsidR="002E6811" w:rsidRPr="001B5DF4">
        <w:t xml:space="preserve">1 </w:t>
      </w:r>
      <w:r w:rsidR="00A51F99" w:rsidRPr="001B5DF4">
        <w:t xml:space="preserve">aufgeführten Maßnahmen </w:t>
      </w:r>
      <w:r w:rsidRPr="001B5DF4">
        <w:t>beschränkt bleiben.</w:t>
      </w:r>
      <w:r w:rsidR="003B2F10" w:rsidRPr="001B5DF4">
        <w:t xml:space="preserve"> </w:t>
      </w:r>
      <w:r w:rsidRPr="001B5DF4">
        <w:t>Das Öffnen der Ladetanks ist unmittelbar vor und nach sowie während eines Gewitters verboten.</w:t>
      </w:r>
    </w:p>
    <w:p w14:paraId="3A055001" w14:textId="77777777" w:rsidR="00705B5F" w:rsidRPr="001B5DF4" w:rsidRDefault="00705B5F" w:rsidP="007A2FED">
      <w:pPr>
        <w:tabs>
          <w:tab w:val="left" w:pos="1701"/>
        </w:tabs>
        <w:ind w:left="2268" w:right="-1" w:hanging="1134"/>
        <w:jc w:val="both"/>
      </w:pPr>
    </w:p>
    <w:p w14:paraId="78DAF872" w14:textId="77777777" w:rsidR="0052478E" w:rsidRPr="001B5DF4" w:rsidRDefault="0052478E" w:rsidP="007A2FED">
      <w:pPr>
        <w:tabs>
          <w:tab w:val="left" w:pos="1701"/>
        </w:tabs>
        <w:ind w:left="2268" w:right="-1" w:hanging="1134"/>
        <w:jc w:val="both"/>
      </w:pPr>
      <w:bookmarkStart w:id="2" w:name="_Hlk93585808"/>
      <w:r w:rsidRPr="001B5DF4">
        <w:t>7.2.4.22.</w:t>
      </w:r>
      <w:r w:rsidR="003B2F10" w:rsidRPr="001B5DF4">
        <w:t>9</w:t>
      </w:r>
      <w:r w:rsidRPr="001B5DF4">
        <w:t xml:space="preserve"> </w:t>
      </w:r>
      <w:bookmarkEnd w:id="2"/>
      <w:r w:rsidRPr="001B5DF4">
        <w:tab/>
        <w:t xml:space="preserve">Die </w:t>
      </w:r>
      <w:bookmarkStart w:id="3" w:name="_Hlk93572868"/>
      <w:r w:rsidRPr="001B5DF4">
        <w:t xml:space="preserve">Arbeitsanweisung zum Explosionsschutz gemäß Unterabschnitt 1.3.2.5 </w:t>
      </w:r>
      <w:bookmarkEnd w:id="3"/>
      <w:r w:rsidRPr="001B5DF4">
        <w:t>muss an Bord vorhanden sein und angewendet werden.</w:t>
      </w:r>
    </w:p>
    <w:p w14:paraId="037A3590" w14:textId="77777777" w:rsidR="00D0646F" w:rsidRPr="001B5DF4" w:rsidRDefault="00D0646F" w:rsidP="007A2FED">
      <w:pPr>
        <w:tabs>
          <w:tab w:val="left" w:pos="1701"/>
        </w:tabs>
        <w:ind w:left="2268" w:right="-1" w:hanging="1134"/>
        <w:jc w:val="both"/>
      </w:pPr>
    </w:p>
    <w:p w14:paraId="02658A71" w14:textId="38C773C3" w:rsidR="00D0646F" w:rsidRPr="001B5DF4" w:rsidRDefault="00D0646F" w:rsidP="007A2FED">
      <w:pPr>
        <w:tabs>
          <w:tab w:val="left" w:pos="1701"/>
        </w:tabs>
        <w:ind w:left="2268" w:right="-1" w:hanging="1134"/>
        <w:jc w:val="both"/>
      </w:pPr>
      <w:r w:rsidRPr="001B5DF4">
        <w:t>7.2.4.22.10</w:t>
      </w:r>
      <w:r w:rsidRPr="001B5DF4">
        <w:tab/>
        <w:t xml:space="preserve">Personen, die Öffnungen öffnen oder sich in unmittelbarer Nähe einer Öffnung aufhalten, müssen die in </w:t>
      </w:r>
      <w:r w:rsidR="003E5713" w:rsidRPr="001B5DF4">
        <w:t xml:space="preserve">Unterabschnitt 3.2.3.2 Tabelle C, Spalte (18) </w:t>
      </w:r>
      <w:r w:rsidR="00F16DB1" w:rsidRPr="001B5DF4">
        <w:t>vorgeschriebene</w:t>
      </w:r>
      <w:r w:rsidR="003E5713" w:rsidRPr="001B5DF4">
        <w:t xml:space="preserve"> </w:t>
      </w:r>
      <w:r w:rsidR="00F16DB1" w:rsidRPr="001B5DF4">
        <w:t xml:space="preserve">Ausrüstung </w:t>
      </w:r>
      <w:r w:rsidR="003E5713" w:rsidRPr="001B5DF4">
        <w:t>verwenden.</w:t>
      </w:r>
    </w:p>
    <w:p w14:paraId="0C7CBC37" w14:textId="77777777" w:rsidR="00705B5F" w:rsidRPr="001B5DF4" w:rsidRDefault="00705B5F" w:rsidP="007A2FED">
      <w:pPr>
        <w:tabs>
          <w:tab w:val="left" w:pos="1701"/>
        </w:tabs>
        <w:ind w:left="2268" w:right="-1" w:hanging="1134"/>
        <w:jc w:val="both"/>
      </w:pPr>
    </w:p>
    <w:p w14:paraId="284D2F13" w14:textId="77777777" w:rsidR="00150257" w:rsidRPr="001B5DF4" w:rsidRDefault="00695A78" w:rsidP="007A2FED">
      <w:pPr>
        <w:tabs>
          <w:tab w:val="left" w:pos="1701"/>
        </w:tabs>
        <w:ind w:left="2268" w:right="-1" w:hanging="1134"/>
        <w:jc w:val="both"/>
      </w:pPr>
      <w:bookmarkStart w:id="4" w:name="_Hlk97888517"/>
      <w:r w:rsidRPr="001B5DF4">
        <w:t>7.2.4.22.</w:t>
      </w:r>
      <w:r w:rsidR="0052478E" w:rsidRPr="001B5DF4">
        <w:t>1</w:t>
      </w:r>
      <w:r w:rsidR="003E5713" w:rsidRPr="001B5DF4">
        <w:t>1</w:t>
      </w:r>
      <w:r w:rsidRPr="001B5DF4">
        <w:tab/>
        <w:t xml:space="preserve">Bei einer </w:t>
      </w:r>
      <w:r w:rsidR="003B2F10" w:rsidRPr="001B5DF4">
        <w:t xml:space="preserve">Sichtkontrolle, Ermittlung der Füllmenge, Gasmessung oder der Zugabe von Stabilisator </w:t>
      </w:r>
      <w:r w:rsidRPr="001B5DF4">
        <w:t>gilt Absatz 7.2.4.16.8</w:t>
      </w:r>
      <w:r w:rsidR="003B2F10" w:rsidRPr="001B5DF4">
        <w:t xml:space="preserve"> entsprechend</w:t>
      </w:r>
      <w:r w:rsidRPr="001B5DF4">
        <w:t>.</w:t>
      </w:r>
    </w:p>
    <w:bookmarkEnd w:id="4"/>
    <w:p w14:paraId="3413B300" w14:textId="77777777" w:rsidR="00705B5F" w:rsidRPr="001B5DF4" w:rsidRDefault="00705B5F" w:rsidP="007A2FED">
      <w:pPr>
        <w:tabs>
          <w:tab w:val="left" w:pos="1701"/>
        </w:tabs>
        <w:ind w:left="2268" w:right="-1" w:hanging="1134"/>
        <w:jc w:val="both"/>
      </w:pPr>
    </w:p>
    <w:p w14:paraId="72C6E00D" w14:textId="77777777" w:rsidR="0052478E" w:rsidRPr="001B5DF4" w:rsidRDefault="0052478E" w:rsidP="007A2FED">
      <w:pPr>
        <w:tabs>
          <w:tab w:val="left" w:pos="1701"/>
        </w:tabs>
        <w:ind w:left="2268" w:right="-1" w:hanging="1134"/>
        <w:jc w:val="both"/>
      </w:pPr>
      <w:bookmarkStart w:id="5" w:name="_Hlk93585859"/>
      <w:r w:rsidRPr="001B5DF4">
        <w:t>7.2.4.22.1</w:t>
      </w:r>
      <w:bookmarkEnd w:id="5"/>
      <w:r w:rsidR="003E5713" w:rsidRPr="001B5DF4">
        <w:t>2</w:t>
      </w:r>
      <w:r w:rsidRPr="001B5DF4">
        <w:tab/>
        <w:t>Beim Schließen der Probeentnahmeöffnung oder des Gehäuses der Flammendurchschlag-sicherung ist die Flammendurchschlagsicherung auf Beschädigung, Verschmutzung und korrekten Einbau zu kontrollieren und gegebenenfalls zu reparieren, bevor die Fahrt fortgesetzt wird.</w:t>
      </w:r>
    </w:p>
    <w:p w14:paraId="528E3B22" w14:textId="77777777" w:rsidR="0052478E" w:rsidRPr="001B5DF4" w:rsidRDefault="0052478E" w:rsidP="007A2FED">
      <w:pPr>
        <w:tabs>
          <w:tab w:val="left" w:pos="1701"/>
        </w:tabs>
        <w:ind w:left="2268" w:right="-1" w:hanging="1134"/>
        <w:jc w:val="both"/>
      </w:pPr>
    </w:p>
    <w:p w14:paraId="357F78DE" w14:textId="77777777" w:rsidR="00150257" w:rsidRPr="001B5DF4" w:rsidRDefault="001A0C2A" w:rsidP="007A2FED">
      <w:pPr>
        <w:tabs>
          <w:tab w:val="left" w:pos="1701"/>
        </w:tabs>
        <w:ind w:left="2268" w:right="-1" w:hanging="1134"/>
        <w:jc w:val="both"/>
      </w:pPr>
      <w:r w:rsidRPr="001B5DF4">
        <w:t>7.2.4.22</w:t>
      </w:r>
      <w:r w:rsidR="00B519B0" w:rsidRPr="001B5DF4">
        <w:t>.</w:t>
      </w:r>
      <w:r w:rsidR="0052478E" w:rsidRPr="001B5DF4">
        <w:t>1</w:t>
      </w:r>
      <w:r w:rsidR="003E5713" w:rsidRPr="001B5DF4">
        <w:t>3</w:t>
      </w:r>
      <w:r w:rsidR="00B22B65" w:rsidRPr="001B5DF4">
        <w:tab/>
      </w:r>
      <w:r w:rsidRPr="001B5DF4">
        <w:t>Die Vorschriften der Absätze 7.2.4.22.1 bis 7.2.4.22.</w:t>
      </w:r>
      <w:r w:rsidR="0052478E" w:rsidRPr="001B5DF4">
        <w:t>1</w:t>
      </w:r>
      <w:r w:rsidR="00F7312D" w:rsidRPr="001B5DF4">
        <w:t>1</w:t>
      </w:r>
      <w:r w:rsidRPr="001B5DF4">
        <w:t xml:space="preserve"> </w:t>
      </w:r>
      <w:r w:rsidR="00705B5F" w:rsidRPr="001B5DF4">
        <w:t xml:space="preserve">und Unterabschnitt 7.2.4.23 </w:t>
      </w:r>
      <w:r w:rsidRPr="001B5DF4">
        <w:t>gelten nicht für Bilgenentölungsboote und für Bunkerboote.</w:t>
      </w:r>
    </w:p>
    <w:p w14:paraId="764CBD9A" w14:textId="77777777" w:rsidR="00122C2D" w:rsidRPr="001B5DF4" w:rsidRDefault="00122C2D" w:rsidP="007A2FED">
      <w:pPr>
        <w:tabs>
          <w:tab w:val="left" w:pos="1701"/>
        </w:tabs>
        <w:ind w:left="2268" w:right="-1" w:hanging="1134"/>
        <w:jc w:val="both"/>
      </w:pPr>
    </w:p>
    <w:p w14:paraId="7912BECB" w14:textId="77777777" w:rsidR="00122C2D" w:rsidRPr="001B5DF4" w:rsidRDefault="00122C2D" w:rsidP="007A2FED">
      <w:pPr>
        <w:ind w:left="2268" w:right="-1" w:hanging="1134"/>
        <w:jc w:val="both"/>
        <w:rPr>
          <w:bCs/>
          <w:iCs/>
        </w:rPr>
      </w:pPr>
      <w:r w:rsidRPr="001B5DF4">
        <w:t>7.2.4.22.1</w:t>
      </w:r>
      <w:r w:rsidR="003E5713" w:rsidRPr="001B5DF4">
        <w:t>4</w:t>
      </w:r>
      <w:r w:rsidRPr="001B5DF4">
        <w:tab/>
      </w:r>
      <w:r w:rsidRPr="001B5DF4">
        <w:rPr>
          <w:bCs/>
          <w:iCs/>
        </w:rPr>
        <w:t>Für das Waschen der Ladetanks darf ausschließlich die hierfür am Ladetank angebrachte besondere Öffnung zum Anschluss der Tankwaschmaschinen verwendet werden.</w:t>
      </w:r>
    </w:p>
    <w:p w14:paraId="129A1741" w14:textId="53C5C4F8" w:rsidR="00AB626F" w:rsidRPr="001B5DF4" w:rsidRDefault="00AB626F" w:rsidP="007A2FED">
      <w:pPr>
        <w:tabs>
          <w:tab w:val="left" w:pos="1701"/>
        </w:tabs>
        <w:ind w:left="1134" w:right="-1"/>
        <w:jc w:val="both"/>
        <w:rPr>
          <w:b/>
        </w:rPr>
      </w:pPr>
    </w:p>
    <w:p w14:paraId="63BCC3B6" w14:textId="77777777" w:rsidR="00937E27" w:rsidRDefault="00937E27">
      <w:pPr>
        <w:suppressAutoHyphens w:val="0"/>
        <w:spacing w:line="240" w:lineRule="auto"/>
        <w:rPr>
          <w:b/>
        </w:rPr>
      </w:pPr>
      <w:r>
        <w:rPr>
          <w:b/>
        </w:rPr>
        <w:br w:type="page"/>
      </w:r>
    </w:p>
    <w:p w14:paraId="3C7ACB91" w14:textId="63162600" w:rsidR="001A0C2A" w:rsidRPr="00634906" w:rsidRDefault="004352FA" w:rsidP="007A2FED">
      <w:pPr>
        <w:tabs>
          <w:tab w:val="left" w:pos="1701"/>
        </w:tabs>
        <w:ind w:left="1134" w:right="-1"/>
        <w:jc w:val="both"/>
        <w:rPr>
          <w:bCs/>
          <w:i/>
          <w:iCs/>
          <w:u w:val="single"/>
        </w:rPr>
      </w:pPr>
      <w:r w:rsidRPr="00634906">
        <w:rPr>
          <w:bCs/>
          <w:i/>
          <w:iCs/>
          <w:u w:val="single"/>
        </w:rPr>
        <w:lastRenderedPageBreak/>
        <w:t>Neuer Unterabschnitt 7.2.4.23</w:t>
      </w:r>
    </w:p>
    <w:p w14:paraId="4DE040EF" w14:textId="77777777" w:rsidR="004352FA" w:rsidRPr="001B5DF4" w:rsidRDefault="004352FA" w:rsidP="007A2FED">
      <w:pPr>
        <w:tabs>
          <w:tab w:val="left" w:pos="1701"/>
        </w:tabs>
        <w:ind w:left="1134" w:right="-1"/>
        <w:jc w:val="both"/>
      </w:pPr>
    </w:p>
    <w:p w14:paraId="2F27E0B3" w14:textId="6FAE0A09" w:rsidR="00C80C0B" w:rsidRPr="001B5DF4" w:rsidRDefault="007A2FED" w:rsidP="007A2FED">
      <w:pPr>
        <w:tabs>
          <w:tab w:val="left" w:pos="1701"/>
        </w:tabs>
        <w:ind w:left="1134" w:right="-1"/>
        <w:jc w:val="both"/>
      </w:pPr>
      <w:r>
        <w:t>9</w:t>
      </w:r>
      <w:r w:rsidR="00C80C0B" w:rsidRPr="001B5DF4">
        <w:t>.</w:t>
      </w:r>
      <w:r w:rsidR="00C80C0B" w:rsidRPr="001B5DF4">
        <w:tab/>
      </w:r>
      <w:r w:rsidR="00040213" w:rsidRPr="001B5DF4">
        <w:t>Einen</w:t>
      </w:r>
      <w:r w:rsidR="00C80C0B" w:rsidRPr="001B5DF4">
        <w:t xml:space="preserve"> </w:t>
      </w:r>
      <w:r w:rsidR="002E6811" w:rsidRPr="001B5DF4">
        <w:t xml:space="preserve">neuen </w:t>
      </w:r>
      <w:r w:rsidR="00C80C0B" w:rsidRPr="001B5DF4">
        <w:t>Unterabschnitt 7.2.4.23 einfügen:</w:t>
      </w:r>
    </w:p>
    <w:p w14:paraId="27E3FEA2" w14:textId="77777777" w:rsidR="00C80C0B" w:rsidRPr="001B5DF4" w:rsidRDefault="00C80C0B" w:rsidP="007A2FED">
      <w:pPr>
        <w:tabs>
          <w:tab w:val="left" w:pos="1701"/>
        </w:tabs>
        <w:ind w:left="1134" w:right="-1"/>
        <w:jc w:val="both"/>
        <w:rPr>
          <w:b/>
          <w:bCs/>
        </w:rPr>
      </w:pPr>
    </w:p>
    <w:p w14:paraId="70AC4AE4" w14:textId="77777777" w:rsidR="00B80362" w:rsidRPr="001B5DF4" w:rsidRDefault="00665EB7" w:rsidP="007A2FED">
      <w:pPr>
        <w:tabs>
          <w:tab w:val="left" w:pos="1701"/>
        </w:tabs>
        <w:ind w:left="2268" w:right="-1" w:hanging="1134"/>
        <w:jc w:val="both"/>
        <w:rPr>
          <w:b/>
          <w:bCs/>
        </w:rPr>
      </w:pPr>
      <w:r w:rsidRPr="001B5DF4">
        <w:rPr>
          <w:b/>
          <w:bCs/>
        </w:rPr>
        <w:t>„</w:t>
      </w:r>
      <w:r w:rsidR="00374701" w:rsidRPr="001B5DF4">
        <w:rPr>
          <w:b/>
          <w:bCs/>
        </w:rPr>
        <w:t xml:space="preserve">7.2.4.23 </w:t>
      </w:r>
      <w:r w:rsidRPr="001B5DF4">
        <w:rPr>
          <w:b/>
          <w:bCs/>
        </w:rPr>
        <w:tab/>
        <w:t>Maßnahmen am Ladetank, die ein Öffnen nichtentgaster Ladetanks erfordern</w:t>
      </w:r>
    </w:p>
    <w:p w14:paraId="1CC1F5F4" w14:textId="77777777" w:rsidR="00374701" w:rsidRPr="001B5DF4" w:rsidRDefault="00374701" w:rsidP="007A2FED">
      <w:pPr>
        <w:tabs>
          <w:tab w:val="left" w:pos="1701"/>
        </w:tabs>
        <w:ind w:left="2268" w:right="-1" w:hanging="1134"/>
        <w:jc w:val="both"/>
        <w:rPr>
          <w:b/>
          <w:bCs/>
        </w:rPr>
      </w:pPr>
    </w:p>
    <w:p w14:paraId="5805657C" w14:textId="77777777" w:rsidR="007500DB" w:rsidRPr="001B5DF4" w:rsidRDefault="001A0C2A" w:rsidP="007A2FED">
      <w:pPr>
        <w:tabs>
          <w:tab w:val="left" w:pos="1701"/>
        </w:tabs>
        <w:ind w:left="2268" w:right="-1" w:hanging="1134"/>
        <w:jc w:val="both"/>
        <w:rPr>
          <w:b/>
          <w:bCs/>
        </w:rPr>
      </w:pPr>
      <w:r w:rsidRPr="001B5DF4">
        <w:rPr>
          <w:b/>
          <w:bCs/>
        </w:rPr>
        <w:t xml:space="preserve">7.2.4.23.1 </w:t>
      </w:r>
      <w:r w:rsidR="006421DD" w:rsidRPr="001B5DF4">
        <w:rPr>
          <w:b/>
          <w:bCs/>
        </w:rPr>
        <w:tab/>
      </w:r>
      <w:r w:rsidR="00255AA5" w:rsidRPr="001B5DF4">
        <w:rPr>
          <w:b/>
          <w:bCs/>
        </w:rPr>
        <w:t xml:space="preserve"> </w:t>
      </w:r>
      <w:r w:rsidRPr="001B5DF4">
        <w:rPr>
          <w:b/>
          <w:bCs/>
        </w:rPr>
        <w:t>Sichtkontrolle</w:t>
      </w:r>
      <w:r w:rsidR="0052478E" w:rsidRPr="001B5DF4">
        <w:rPr>
          <w:b/>
          <w:bCs/>
        </w:rPr>
        <w:t xml:space="preserve"> bei entladenen und leeren Ladetanks</w:t>
      </w:r>
    </w:p>
    <w:p w14:paraId="621329B3" w14:textId="77777777" w:rsidR="00705B5F" w:rsidRPr="001B5DF4" w:rsidRDefault="00705B5F" w:rsidP="007A2FED">
      <w:pPr>
        <w:tabs>
          <w:tab w:val="left" w:pos="1701"/>
        </w:tabs>
        <w:ind w:left="2268" w:right="-1" w:hanging="1134"/>
        <w:jc w:val="both"/>
        <w:rPr>
          <w:b/>
          <w:bCs/>
        </w:rPr>
      </w:pPr>
    </w:p>
    <w:p w14:paraId="1433A833" w14:textId="77777777" w:rsidR="001A0C2A" w:rsidRPr="001B5DF4" w:rsidRDefault="001A0C2A" w:rsidP="007A2FED">
      <w:pPr>
        <w:pStyle w:val="ADN11"/>
        <w:tabs>
          <w:tab w:val="left" w:pos="1701"/>
        </w:tabs>
        <w:ind w:left="2268" w:right="-1"/>
        <w:rPr>
          <w:rFonts w:ascii="Times New Roman" w:hAnsi="Times New Roman"/>
          <w:b w:val="0"/>
          <w:snapToGrid w:val="0"/>
          <w:sz w:val="20"/>
          <w:szCs w:val="20"/>
        </w:rPr>
      </w:pPr>
      <w:r w:rsidRPr="001B5DF4">
        <w:rPr>
          <w:rFonts w:ascii="Times New Roman" w:hAnsi="Times New Roman"/>
          <w:b w:val="0"/>
          <w:sz w:val="20"/>
          <w:szCs w:val="20"/>
        </w:rPr>
        <w:t>7</w:t>
      </w:r>
      <w:r w:rsidRPr="001B5DF4">
        <w:rPr>
          <w:rFonts w:ascii="Times New Roman" w:hAnsi="Times New Roman"/>
          <w:b w:val="0"/>
          <w:snapToGrid w:val="0"/>
          <w:sz w:val="20"/>
          <w:szCs w:val="20"/>
        </w:rPr>
        <w:t>.2.4.23.1.1</w:t>
      </w:r>
      <w:r w:rsidR="00E921A3" w:rsidRPr="001B5DF4">
        <w:rPr>
          <w:rFonts w:ascii="Times New Roman" w:hAnsi="Times New Roman"/>
          <w:b w:val="0"/>
          <w:snapToGrid w:val="0"/>
          <w:sz w:val="20"/>
          <w:szCs w:val="20"/>
        </w:rPr>
        <w:tab/>
      </w:r>
      <w:r w:rsidRPr="001B5DF4">
        <w:rPr>
          <w:rFonts w:ascii="Times New Roman" w:hAnsi="Times New Roman"/>
          <w:b w:val="0"/>
          <w:snapToGrid w:val="0"/>
          <w:sz w:val="20"/>
          <w:szCs w:val="20"/>
        </w:rPr>
        <w:t xml:space="preserve">Das Öffnen der </w:t>
      </w:r>
      <w:r w:rsidR="00E921A3" w:rsidRPr="001B5DF4">
        <w:rPr>
          <w:rFonts w:ascii="Times New Roman" w:hAnsi="Times New Roman"/>
          <w:b w:val="0"/>
          <w:snapToGrid w:val="0"/>
          <w:sz w:val="20"/>
          <w:szCs w:val="20"/>
        </w:rPr>
        <w:t xml:space="preserve">entladenen </w:t>
      </w:r>
      <w:r w:rsidRPr="001B5DF4">
        <w:rPr>
          <w:rFonts w:ascii="Times New Roman" w:hAnsi="Times New Roman"/>
          <w:b w:val="0"/>
          <w:snapToGrid w:val="0"/>
          <w:sz w:val="20"/>
          <w:szCs w:val="20"/>
        </w:rPr>
        <w:t>Ladetanks zur Sichtkontrolle</w:t>
      </w:r>
      <w:r w:rsidR="00B519B0" w:rsidRPr="001B5DF4">
        <w:rPr>
          <w:rFonts w:ascii="Times New Roman" w:hAnsi="Times New Roman"/>
          <w:b w:val="0"/>
          <w:snapToGrid w:val="0"/>
          <w:sz w:val="20"/>
          <w:szCs w:val="20"/>
        </w:rPr>
        <w:t>, ob die Ladetanks leer und</w:t>
      </w:r>
      <w:r w:rsidR="00162D05" w:rsidRPr="001B5DF4">
        <w:rPr>
          <w:rFonts w:ascii="Times New Roman" w:hAnsi="Times New Roman"/>
          <w:b w:val="0"/>
          <w:snapToGrid w:val="0"/>
          <w:sz w:val="20"/>
          <w:szCs w:val="20"/>
        </w:rPr>
        <w:t>/oder</w:t>
      </w:r>
      <w:r w:rsidR="00B519B0" w:rsidRPr="001B5DF4">
        <w:rPr>
          <w:rFonts w:ascii="Times New Roman" w:hAnsi="Times New Roman"/>
          <w:b w:val="0"/>
          <w:snapToGrid w:val="0"/>
          <w:sz w:val="20"/>
          <w:szCs w:val="20"/>
        </w:rPr>
        <w:t xml:space="preserve"> sauber sind,</w:t>
      </w:r>
      <w:r w:rsidRPr="001B5DF4">
        <w:rPr>
          <w:rFonts w:ascii="Times New Roman" w:hAnsi="Times New Roman"/>
          <w:b w:val="0"/>
          <w:snapToGrid w:val="0"/>
          <w:sz w:val="20"/>
          <w:szCs w:val="20"/>
        </w:rPr>
        <w:t xml:space="preserve"> </w:t>
      </w:r>
      <w:r w:rsidR="007D4382" w:rsidRPr="001B5DF4">
        <w:rPr>
          <w:rFonts w:ascii="Times New Roman" w:hAnsi="Times New Roman"/>
          <w:b w:val="0"/>
          <w:snapToGrid w:val="0"/>
          <w:sz w:val="20"/>
          <w:szCs w:val="20"/>
        </w:rPr>
        <w:t xml:space="preserve">darf </w:t>
      </w:r>
      <w:r w:rsidRPr="001B5DF4">
        <w:rPr>
          <w:rFonts w:ascii="Times New Roman" w:hAnsi="Times New Roman"/>
          <w:b w:val="0"/>
          <w:snapToGrid w:val="0"/>
          <w:sz w:val="20"/>
          <w:szCs w:val="20"/>
        </w:rPr>
        <w:t>nur</w:t>
      </w:r>
      <w:r w:rsidR="00DD605D" w:rsidRPr="001B5DF4">
        <w:rPr>
          <w:rFonts w:ascii="Times New Roman" w:hAnsi="Times New Roman"/>
          <w:b w:val="0"/>
          <w:snapToGrid w:val="0"/>
          <w:sz w:val="20"/>
          <w:szCs w:val="20"/>
        </w:rPr>
        <w:t xml:space="preserve"> </w:t>
      </w:r>
      <w:r w:rsidR="007D4382" w:rsidRPr="001B5DF4">
        <w:rPr>
          <w:rFonts w:ascii="Times New Roman" w:hAnsi="Times New Roman"/>
          <w:b w:val="0"/>
          <w:snapToGrid w:val="0"/>
          <w:sz w:val="20"/>
          <w:szCs w:val="20"/>
        </w:rPr>
        <w:t xml:space="preserve">durchgeführt werden, wenn das Schiff nicht an die Landanlage angeschlossen ist. </w:t>
      </w:r>
    </w:p>
    <w:p w14:paraId="1CC85CC9" w14:textId="77777777" w:rsidR="001A0C2A" w:rsidRPr="001B5DF4" w:rsidRDefault="001A0C2A" w:rsidP="007A2FED">
      <w:pPr>
        <w:pStyle w:val="ADN11"/>
        <w:tabs>
          <w:tab w:val="left" w:pos="1701"/>
        </w:tabs>
        <w:ind w:left="2268" w:right="-1"/>
        <w:rPr>
          <w:rFonts w:ascii="Times New Roman" w:hAnsi="Times New Roman"/>
          <w:b w:val="0"/>
          <w:sz w:val="20"/>
          <w:szCs w:val="20"/>
        </w:rPr>
      </w:pPr>
    </w:p>
    <w:p w14:paraId="4D9C3D98" w14:textId="77777777" w:rsidR="002701F2" w:rsidRPr="001B5DF4" w:rsidRDefault="001A0C2A" w:rsidP="007A2FED">
      <w:pPr>
        <w:tabs>
          <w:tab w:val="left" w:pos="1985"/>
        </w:tabs>
        <w:ind w:left="2268" w:right="-1" w:hanging="1134"/>
        <w:jc w:val="both"/>
        <w:rPr>
          <w:b/>
          <w:bCs/>
        </w:rPr>
      </w:pPr>
      <w:r w:rsidRPr="001B5DF4">
        <w:rPr>
          <w:b/>
          <w:bCs/>
        </w:rPr>
        <w:t>7.2.4.23.2</w:t>
      </w:r>
      <w:r w:rsidR="000B531A" w:rsidRPr="001B5DF4">
        <w:rPr>
          <w:b/>
          <w:bCs/>
        </w:rPr>
        <w:tab/>
      </w:r>
      <w:r w:rsidR="000B531A" w:rsidRPr="001B5DF4">
        <w:rPr>
          <w:b/>
          <w:bCs/>
        </w:rPr>
        <w:tab/>
      </w:r>
      <w:r w:rsidR="002701F2" w:rsidRPr="001B5DF4">
        <w:rPr>
          <w:b/>
          <w:bCs/>
        </w:rPr>
        <w:t>Probe</w:t>
      </w:r>
      <w:r w:rsidR="00B519B0" w:rsidRPr="001B5DF4">
        <w:rPr>
          <w:b/>
          <w:bCs/>
        </w:rPr>
        <w:t>ent</w:t>
      </w:r>
      <w:r w:rsidR="002701F2" w:rsidRPr="001B5DF4">
        <w:rPr>
          <w:b/>
          <w:bCs/>
        </w:rPr>
        <w:t>nahme</w:t>
      </w:r>
      <w:r w:rsidR="003B2F10" w:rsidRPr="001B5DF4">
        <w:rPr>
          <w:b/>
          <w:bCs/>
        </w:rPr>
        <w:t>, Ermittlung der Füllmenge, Zugabe von Stabilisator</w:t>
      </w:r>
      <w:r w:rsidR="00AA4D9F" w:rsidRPr="001B5DF4">
        <w:rPr>
          <w:b/>
          <w:bCs/>
        </w:rPr>
        <w:t xml:space="preserve"> und </w:t>
      </w:r>
      <w:r w:rsidR="00743B6E" w:rsidRPr="001B5DF4">
        <w:rPr>
          <w:b/>
          <w:bCs/>
        </w:rPr>
        <w:t>Gasmessung</w:t>
      </w:r>
    </w:p>
    <w:p w14:paraId="7DF3E15B" w14:textId="77777777" w:rsidR="00CA5A7A" w:rsidRPr="001B5DF4" w:rsidRDefault="00CA5A7A" w:rsidP="007A2FED">
      <w:pPr>
        <w:tabs>
          <w:tab w:val="left" w:pos="1701"/>
        </w:tabs>
        <w:ind w:left="1134" w:right="-1"/>
        <w:jc w:val="both"/>
      </w:pPr>
    </w:p>
    <w:p w14:paraId="10196AE7" w14:textId="77777777" w:rsidR="00B7373B" w:rsidRPr="001B5DF4" w:rsidRDefault="00B7373B" w:rsidP="007A2FED">
      <w:pPr>
        <w:tabs>
          <w:tab w:val="left" w:pos="1701"/>
        </w:tabs>
        <w:ind w:left="2268" w:right="-1" w:hanging="1134"/>
        <w:jc w:val="both"/>
        <w:rPr>
          <w:strike/>
        </w:rPr>
      </w:pPr>
      <w:r w:rsidRPr="001B5DF4">
        <w:t>7.2.4.23.</w:t>
      </w:r>
      <w:r w:rsidR="00630376" w:rsidRPr="001B5DF4">
        <w:t>2</w:t>
      </w:r>
      <w:r w:rsidR="008126F5" w:rsidRPr="001B5DF4">
        <w:t>.</w:t>
      </w:r>
      <w:r w:rsidR="00A51F99" w:rsidRPr="001B5DF4">
        <w:t>1</w:t>
      </w:r>
      <w:r w:rsidRPr="001B5DF4">
        <w:tab/>
        <w:t>Die Probeentnahmegefäße einschließlich aller Zubehörteile, wie Seile usw., müssen aus elektrostatisch leitfähigem Material bestehen</w:t>
      </w:r>
      <w:r w:rsidR="003B2F10" w:rsidRPr="001B5DF4">
        <w:t xml:space="preserve"> und mit dem Schiffskörper leitfähig verbunden sein.</w:t>
      </w:r>
    </w:p>
    <w:p w14:paraId="3A26E9B9" w14:textId="77777777" w:rsidR="00376F8D" w:rsidRPr="001B5DF4" w:rsidRDefault="00376F8D" w:rsidP="007A2FED">
      <w:pPr>
        <w:tabs>
          <w:tab w:val="left" w:pos="1701"/>
        </w:tabs>
        <w:suppressAutoHyphens w:val="0"/>
        <w:autoSpaceDE w:val="0"/>
        <w:autoSpaceDN w:val="0"/>
        <w:adjustRightInd w:val="0"/>
        <w:ind w:left="2268" w:right="-1" w:hanging="1134"/>
        <w:jc w:val="both"/>
      </w:pPr>
    </w:p>
    <w:p w14:paraId="01E134D4" w14:textId="77777777" w:rsidR="00437B96" w:rsidRPr="001B5DF4" w:rsidRDefault="00657A42" w:rsidP="007A2FED">
      <w:pPr>
        <w:tabs>
          <w:tab w:val="left" w:pos="1701"/>
        </w:tabs>
        <w:suppressAutoHyphens w:val="0"/>
        <w:autoSpaceDE w:val="0"/>
        <w:autoSpaceDN w:val="0"/>
        <w:adjustRightInd w:val="0"/>
        <w:ind w:left="2268" w:right="-1" w:hanging="1134"/>
        <w:jc w:val="both"/>
        <w:rPr>
          <w:rFonts w:eastAsia="ArialMT"/>
          <w:snapToGrid/>
          <w:lang w:eastAsia="de-DE"/>
        </w:rPr>
      </w:pPr>
      <w:r w:rsidRPr="001B5DF4">
        <w:t>7.2.4.23.2.2</w:t>
      </w:r>
      <w:r w:rsidRPr="001B5DF4">
        <w:tab/>
      </w:r>
      <w:r w:rsidR="00437B96" w:rsidRPr="001B5DF4">
        <w:rPr>
          <w:rFonts w:eastAsia="ArialMT"/>
          <w:snapToGrid/>
          <w:lang w:eastAsia="de-DE"/>
        </w:rPr>
        <w:t>Die Probeentnahme ist nur über die im Unterabschnitt 3.2.3.2 Tabelle C Spalte</w:t>
      </w:r>
      <w:r w:rsidR="00006E45" w:rsidRPr="001B5DF4">
        <w:rPr>
          <w:rFonts w:eastAsia="ArialMT"/>
          <w:snapToGrid/>
          <w:lang w:eastAsia="de-DE"/>
        </w:rPr>
        <w:t xml:space="preserve"> </w:t>
      </w:r>
      <w:r w:rsidR="00437B96" w:rsidRPr="001B5DF4">
        <w:rPr>
          <w:rFonts w:eastAsia="ArialMT"/>
          <w:snapToGrid/>
          <w:lang w:eastAsia="de-DE"/>
        </w:rPr>
        <w:t>(13)</w:t>
      </w:r>
      <w:r w:rsidR="00E921A3" w:rsidRPr="001B5DF4">
        <w:rPr>
          <w:rFonts w:eastAsia="ArialMT"/>
          <w:snapToGrid/>
          <w:lang w:eastAsia="de-DE"/>
        </w:rPr>
        <w:t xml:space="preserve"> a</w:t>
      </w:r>
      <w:r w:rsidR="00437B96" w:rsidRPr="001B5DF4">
        <w:rPr>
          <w:rFonts w:eastAsia="ArialMT"/>
          <w:snapToGrid/>
          <w:lang w:eastAsia="de-DE"/>
        </w:rPr>
        <w:t xml:space="preserve">ngegebene </w:t>
      </w:r>
      <w:r w:rsidR="00040213" w:rsidRPr="001B5DF4">
        <w:rPr>
          <w:rFonts w:eastAsia="ArialMT"/>
          <w:snapToGrid/>
          <w:lang w:eastAsia="de-DE"/>
        </w:rPr>
        <w:t xml:space="preserve">Probeentnahmeeinrichtung </w:t>
      </w:r>
      <w:r w:rsidR="00437B96" w:rsidRPr="001B5DF4">
        <w:rPr>
          <w:rFonts w:eastAsia="ArialMT"/>
          <w:snapToGrid/>
          <w:lang w:eastAsia="de-DE"/>
        </w:rPr>
        <w:t xml:space="preserve">oder </w:t>
      </w:r>
      <w:r w:rsidR="00E921A3" w:rsidRPr="001B5DF4">
        <w:rPr>
          <w:rFonts w:eastAsia="ArialMT"/>
          <w:snapToGrid/>
          <w:lang w:eastAsia="de-DE"/>
        </w:rPr>
        <w:t xml:space="preserve">über </w:t>
      </w:r>
      <w:r w:rsidR="00437B96" w:rsidRPr="001B5DF4">
        <w:rPr>
          <w:rFonts w:eastAsia="ArialMT"/>
          <w:snapToGrid/>
          <w:lang w:eastAsia="de-DE"/>
        </w:rPr>
        <w:t>eine Probeentnahmeeinrichtung, die ein höheres Sicherheitsniveau</w:t>
      </w:r>
      <w:r w:rsidR="00E921A3" w:rsidRPr="001B5DF4">
        <w:rPr>
          <w:rFonts w:eastAsia="ArialMT"/>
          <w:snapToGrid/>
          <w:lang w:eastAsia="de-DE"/>
        </w:rPr>
        <w:t xml:space="preserve"> </w:t>
      </w:r>
      <w:r w:rsidR="00437B96" w:rsidRPr="001B5DF4">
        <w:rPr>
          <w:rFonts w:eastAsia="ArialMT"/>
          <w:snapToGrid/>
          <w:lang w:eastAsia="de-DE"/>
        </w:rPr>
        <w:t>bietet, gestattet.</w:t>
      </w:r>
    </w:p>
    <w:p w14:paraId="37B45B98" w14:textId="77777777" w:rsidR="00500C1C" w:rsidRPr="001B5DF4" w:rsidRDefault="00500C1C" w:rsidP="007A2FED">
      <w:pPr>
        <w:pStyle w:val="ADN11"/>
        <w:tabs>
          <w:tab w:val="left" w:pos="1701"/>
        </w:tabs>
        <w:ind w:left="2268" w:right="-1"/>
        <w:rPr>
          <w:rFonts w:ascii="Times New Roman" w:hAnsi="Times New Roman"/>
          <w:b w:val="0"/>
          <w:sz w:val="20"/>
          <w:szCs w:val="20"/>
        </w:rPr>
      </w:pPr>
    </w:p>
    <w:p w14:paraId="1D2AA101" w14:textId="77777777" w:rsidR="004F0733" w:rsidRPr="001B5DF4" w:rsidRDefault="0010411B" w:rsidP="007A2FED">
      <w:pPr>
        <w:pStyle w:val="ADN11"/>
        <w:tabs>
          <w:tab w:val="left" w:pos="1701"/>
        </w:tabs>
        <w:ind w:left="2268" w:right="-1"/>
        <w:rPr>
          <w:iCs/>
          <w:u w:val="single"/>
        </w:rPr>
      </w:pPr>
      <w:r w:rsidRPr="001B5DF4">
        <w:rPr>
          <w:rFonts w:ascii="Times New Roman" w:hAnsi="Times New Roman"/>
          <w:b w:val="0"/>
          <w:sz w:val="20"/>
          <w:szCs w:val="20"/>
        </w:rPr>
        <w:t>7.2.4.23.2.</w:t>
      </w:r>
      <w:r w:rsidR="006C095E" w:rsidRPr="001B5DF4">
        <w:rPr>
          <w:rFonts w:ascii="Times New Roman" w:hAnsi="Times New Roman"/>
          <w:b w:val="0"/>
          <w:sz w:val="20"/>
          <w:szCs w:val="20"/>
        </w:rPr>
        <w:t>3</w:t>
      </w:r>
      <w:r w:rsidR="00E921A3" w:rsidRPr="001B5DF4">
        <w:rPr>
          <w:rFonts w:ascii="Times New Roman" w:hAnsi="Times New Roman"/>
          <w:b w:val="0"/>
          <w:sz w:val="20"/>
          <w:szCs w:val="20"/>
        </w:rPr>
        <w:tab/>
      </w:r>
      <w:r w:rsidR="004F0733" w:rsidRPr="001B5DF4">
        <w:rPr>
          <w:rFonts w:ascii="Times New Roman" w:eastAsia="ArialMT" w:hAnsi="Times New Roman"/>
          <w:b w:val="0"/>
          <w:sz w:val="20"/>
          <w:szCs w:val="20"/>
          <w:lang w:eastAsia="de-DE"/>
        </w:rPr>
        <w:t>Bei einer Funktionsstörung der Probeentnahmeeinrichtung, die nicht kurzfristig behoben werden kann, darf eine offene Probenahme über die Probeentnahmeöffnung durchgeführt werden.</w:t>
      </w:r>
    </w:p>
    <w:p w14:paraId="076F521F" w14:textId="77777777" w:rsidR="003E2E1E" w:rsidRPr="001B5DF4" w:rsidRDefault="003E2E1E" w:rsidP="007A2FED">
      <w:pPr>
        <w:ind w:left="1134" w:right="-1"/>
        <w:jc w:val="both"/>
        <w:rPr>
          <w:iCs/>
        </w:rPr>
      </w:pPr>
    </w:p>
    <w:p w14:paraId="54AE2FED" w14:textId="77777777" w:rsidR="0010411B" w:rsidRPr="001B5DF4" w:rsidRDefault="004D123C" w:rsidP="007A2FED">
      <w:pPr>
        <w:pStyle w:val="ADN11"/>
        <w:tabs>
          <w:tab w:val="left" w:pos="1701"/>
        </w:tabs>
        <w:ind w:left="2268" w:right="-1"/>
        <w:rPr>
          <w:rFonts w:ascii="Times New Roman" w:hAnsi="Times New Roman"/>
          <w:b w:val="0"/>
          <w:sz w:val="20"/>
          <w:szCs w:val="20"/>
        </w:rPr>
      </w:pPr>
      <w:bookmarkStart w:id="6" w:name="_Hlk128403164"/>
      <w:r w:rsidRPr="001B5DF4">
        <w:rPr>
          <w:rFonts w:ascii="Times New Roman" w:hAnsi="Times New Roman"/>
          <w:b w:val="0"/>
          <w:sz w:val="20"/>
          <w:szCs w:val="20"/>
        </w:rPr>
        <w:t>7.2.4.23.2.</w:t>
      </w:r>
      <w:r w:rsidR="006C095E" w:rsidRPr="001B5DF4">
        <w:rPr>
          <w:rFonts w:ascii="Times New Roman" w:hAnsi="Times New Roman"/>
          <w:b w:val="0"/>
          <w:sz w:val="20"/>
          <w:szCs w:val="20"/>
        </w:rPr>
        <w:t>4</w:t>
      </w:r>
      <w:r w:rsidR="00E921A3" w:rsidRPr="001B5DF4">
        <w:rPr>
          <w:rFonts w:ascii="Times New Roman" w:hAnsi="Times New Roman"/>
          <w:b w:val="0"/>
          <w:sz w:val="20"/>
          <w:szCs w:val="20"/>
        </w:rPr>
        <w:tab/>
      </w:r>
      <w:r w:rsidR="0010411B" w:rsidRPr="001B5DF4">
        <w:rPr>
          <w:rFonts w:ascii="Times New Roman" w:hAnsi="Times New Roman"/>
          <w:b w:val="0"/>
          <w:sz w:val="20"/>
          <w:szCs w:val="20"/>
        </w:rPr>
        <w:t>Das Öffnen der Ladetanks zur offenen Probenahme soll nur im abgekoppelten Zustand von de</w:t>
      </w:r>
      <w:r w:rsidR="00AA4D9F" w:rsidRPr="001B5DF4">
        <w:rPr>
          <w:rFonts w:ascii="Times New Roman" w:hAnsi="Times New Roman"/>
          <w:b w:val="0"/>
          <w:sz w:val="20"/>
          <w:szCs w:val="20"/>
        </w:rPr>
        <w:t xml:space="preserve">r </w:t>
      </w:r>
      <w:r w:rsidR="0010411B" w:rsidRPr="001B5DF4">
        <w:rPr>
          <w:rFonts w:ascii="Times New Roman" w:hAnsi="Times New Roman"/>
          <w:b w:val="0"/>
          <w:sz w:val="20"/>
          <w:szCs w:val="20"/>
        </w:rPr>
        <w:t>Landanlage erfolgen.</w:t>
      </w:r>
      <w:r w:rsidR="00E73605" w:rsidRPr="001B5DF4">
        <w:rPr>
          <w:rFonts w:ascii="Times New Roman" w:hAnsi="Times New Roman"/>
          <w:b w:val="0"/>
          <w:sz w:val="20"/>
          <w:szCs w:val="20"/>
        </w:rPr>
        <w:t xml:space="preserve"> </w:t>
      </w:r>
      <w:r w:rsidR="00926CBA" w:rsidRPr="001B5DF4">
        <w:rPr>
          <w:rFonts w:ascii="Times New Roman" w:hAnsi="Times New Roman"/>
          <w:b w:val="0"/>
          <w:sz w:val="20"/>
          <w:szCs w:val="20"/>
        </w:rPr>
        <w:t>Fußproben</w:t>
      </w:r>
      <w:r w:rsidR="00803EED" w:rsidRPr="001B5DF4">
        <w:rPr>
          <w:rFonts w:ascii="Times New Roman" w:hAnsi="Times New Roman"/>
          <w:b w:val="0"/>
          <w:sz w:val="20"/>
          <w:szCs w:val="20"/>
        </w:rPr>
        <w:t xml:space="preserve"> </w:t>
      </w:r>
      <w:r w:rsidR="003B2F10" w:rsidRPr="001B5DF4">
        <w:rPr>
          <w:rFonts w:ascii="Times New Roman" w:hAnsi="Times New Roman"/>
          <w:b w:val="0"/>
          <w:sz w:val="20"/>
          <w:szCs w:val="20"/>
        </w:rPr>
        <w:t xml:space="preserve">beim Beladen dürfen auch im nicht abgekoppelten Zustand </w:t>
      </w:r>
      <w:r w:rsidR="004B5F48" w:rsidRPr="001B5DF4">
        <w:rPr>
          <w:rFonts w:ascii="Times New Roman" w:hAnsi="Times New Roman"/>
          <w:b w:val="0"/>
          <w:sz w:val="20"/>
          <w:szCs w:val="20"/>
        </w:rPr>
        <w:t>genommen werden</w:t>
      </w:r>
      <w:r w:rsidR="00803EED" w:rsidRPr="001B5DF4">
        <w:rPr>
          <w:rFonts w:ascii="Times New Roman" w:hAnsi="Times New Roman"/>
          <w:b w:val="0"/>
          <w:sz w:val="20"/>
          <w:szCs w:val="20"/>
        </w:rPr>
        <w:t xml:space="preserve">, wenn </w:t>
      </w:r>
      <w:r w:rsidR="007E280D" w:rsidRPr="001B5DF4">
        <w:rPr>
          <w:rFonts w:ascii="Times New Roman" w:hAnsi="Times New Roman"/>
          <w:b w:val="0"/>
          <w:sz w:val="20"/>
          <w:szCs w:val="20"/>
        </w:rPr>
        <w:t xml:space="preserve">die Absperrarmaturen auf dem Schiff und an der Landanlage </w:t>
      </w:r>
      <w:r w:rsidR="00803EED" w:rsidRPr="001B5DF4">
        <w:rPr>
          <w:rFonts w:ascii="Times New Roman" w:hAnsi="Times New Roman"/>
          <w:b w:val="0"/>
          <w:sz w:val="20"/>
          <w:szCs w:val="20"/>
        </w:rPr>
        <w:t>geschlossen sind.</w:t>
      </w:r>
    </w:p>
    <w:bookmarkEnd w:id="6"/>
    <w:p w14:paraId="39716792" w14:textId="77777777" w:rsidR="002142CD" w:rsidRPr="001B5DF4" w:rsidRDefault="002142CD" w:rsidP="007A2FED">
      <w:pPr>
        <w:pStyle w:val="ADN11"/>
        <w:tabs>
          <w:tab w:val="left" w:pos="1701"/>
        </w:tabs>
        <w:ind w:left="2268" w:right="-1"/>
        <w:rPr>
          <w:rFonts w:ascii="Times New Roman" w:hAnsi="Times New Roman"/>
          <w:b w:val="0"/>
          <w:strike/>
          <w:sz w:val="20"/>
          <w:szCs w:val="20"/>
        </w:rPr>
      </w:pPr>
    </w:p>
    <w:p w14:paraId="4E9F2906" w14:textId="77777777" w:rsidR="004B5F48" w:rsidRPr="001B5DF4" w:rsidRDefault="004B5F48" w:rsidP="007A2FED">
      <w:pPr>
        <w:pStyle w:val="ADN11"/>
        <w:tabs>
          <w:tab w:val="left" w:pos="1701"/>
        </w:tabs>
        <w:ind w:left="2268" w:right="-1"/>
        <w:rPr>
          <w:rFonts w:ascii="Times New Roman" w:hAnsi="Times New Roman"/>
          <w:b w:val="0"/>
          <w:sz w:val="20"/>
          <w:szCs w:val="20"/>
        </w:rPr>
      </w:pPr>
      <w:bookmarkStart w:id="7" w:name="_Hlk103167485"/>
      <w:r w:rsidRPr="001B5DF4">
        <w:rPr>
          <w:rFonts w:ascii="Times New Roman" w:hAnsi="Times New Roman"/>
          <w:b w:val="0"/>
          <w:sz w:val="20"/>
          <w:szCs w:val="20"/>
        </w:rPr>
        <w:t>7.2.4.23.2.5</w:t>
      </w:r>
      <w:r w:rsidRPr="001B5DF4">
        <w:rPr>
          <w:rFonts w:ascii="Times New Roman" w:hAnsi="Times New Roman"/>
          <w:b w:val="0"/>
          <w:sz w:val="20"/>
          <w:szCs w:val="20"/>
        </w:rPr>
        <w:tab/>
        <w:t xml:space="preserve">Weicht die vom Befüller gemessene Menge des Ladeguts von der an Bord </w:t>
      </w:r>
      <w:r w:rsidR="00D0481C" w:rsidRPr="001B5DF4">
        <w:rPr>
          <w:rFonts w:ascii="Times New Roman" w:hAnsi="Times New Roman"/>
          <w:b w:val="0"/>
          <w:sz w:val="20"/>
          <w:szCs w:val="20"/>
        </w:rPr>
        <w:t>über</w:t>
      </w:r>
      <w:r w:rsidRPr="001B5DF4">
        <w:rPr>
          <w:rFonts w:ascii="Times New Roman" w:hAnsi="Times New Roman"/>
          <w:b w:val="0"/>
          <w:sz w:val="20"/>
          <w:szCs w:val="20"/>
        </w:rPr>
        <w:t xml:space="preserve"> Messgeräte bestimmten Menge ab, darf die Füllmenge im Ladetank über die Probeentnahmeöffnung mit Maßband und Thermometer manuell bestimmt werden.</w:t>
      </w:r>
    </w:p>
    <w:p w14:paraId="4AF5B4FA" w14:textId="77777777" w:rsidR="000B531A" w:rsidRPr="001B5DF4" w:rsidRDefault="000B531A" w:rsidP="007A2FED">
      <w:pPr>
        <w:pStyle w:val="ADN11"/>
        <w:tabs>
          <w:tab w:val="left" w:pos="1701"/>
        </w:tabs>
        <w:ind w:left="2268" w:right="-1"/>
        <w:rPr>
          <w:rFonts w:ascii="Times New Roman" w:hAnsi="Times New Roman"/>
          <w:b w:val="0"/>
          <w:sz w:val="20"/>
          <w:szCs w:val="20"/>
        </w:rPr>
      </w:pPr>
    </w:p>
    <w:p w14:paraId="4F2CC6F1" w14:textId="77777777" w:rsidR="004B5F48" w:rsidRPr="001B5DF4" w:rsidRDefault="000B531A" w:rsidP="007A2FED">
      <w:pPr>
        <w:pStyle w:val="ADN11"/>
        <w:tabs>
          <w:tab w:val="left" w:pos="1701"/>
        </w:tabs>
        <w:ind w:left="2268" w:right="-1"/>
        <w:rPr>
          <w:rFonts w:ascii="Times New Roman" w:hAnsi="Times New Roman"/>
          <w:b w:val="0"/>
          <w:sz w:val="20"/>
          <w:szCs w:val="20"/>
        </w:rPr>
      </w:pPr>
      <w:r w:rsidRPr="001B5DF4">
        <w:rPr>
          <w:rFonts w:ascii="Times New Roman" w:hAnsi="Times New Roman"/>
          <w:b w:val="0"/>
          <w:sz w:val="20"/>
          <w:szCs w:val="20"/>
        </w:rPr>
        <w:tab/>
      </w:r>
      <w:r w:rsidRPr="001B5DF4">
        <w:rPr>
          <w:rFonts w:ascii="Times New Roman" w:hAnsi="Times New Roman"/>
          <w:b w:val="0"/>
          <w:sz w:val="20"/>
          <w:szCs w:val="20"/>
        </w:rPr>
        <w:tab/>
      </w:r>
      <w:r w:rsidR="004B5F48" w:rsidRPr="001B5DF4">
        <w:rPr>
          <w:rFonts w:ascii="Times New Roman" w:hAnsi="Times New Roman"/>
          <w:b w:val="0"/>
          <w:sz w:val="20"/>
          <w:szCs w:val="20"/>
        </w:rPr>
        <w:t xml:space="preserve">Die zur Ermittlung der Füllmenge in Ladetanks verwendeten Messgeräte müssen aus elektrostatisch leitfähigem Material bestehen und beim Messen mit dem Schiffskörper leitfähig verbunden sein. Das Messgerät muss für die Verwendung in der Zone 0 </w:t>
      </w:r>
      <w:r w:rsidR="004A3A8D" w:rsidRPr="001B5DF4">
        <w:rPr>
          <w:rFonts w:ascii="Times New Roman" w:hAnsi="Times New Roman"/>
          <w:b w:val="0"/>
          <w:sz w:val="20"/>
          <w:szCs w:val="20"/>
        </w:rPr>
        <w:t xml:space="preserve">geeignet </w:t>
      </w:r>
      <w:r w:rsidR="004B5F48" w:rsidRPr="001B5DF4">
        <w:rPr>
          <w:rFonts w:ascii="Times New Roman" w:hAnsi="Times New Roman"/>
          <w:b w:val="0"/>
          <w:sz w:val="20"/>
          <w:szCs w:val="20"/>
        </w:rPr>
        <w:t>sein.</w:t>
      </w:r>
    </w:p>
    <w:bookmarkEnd w:id="7"/>
    <w:p w14:paraId="03D8E984" w14:textId="77777777" w:rsidR="004B5F48" w:rsidRPr="001B5DF4" w:rsidRDefault="004B5F48" w:rsidP="007A2FED">
      <w:pPr>
        <w:pStyle w:val="ADN11"/>
        <w:tabs>
          <w:tab w:val="left" w:pos="1701"/>
        </w:tabs>
        <w:ind w:left="2268" w:right="-1"/>
        <w:rPr>
          <w:rFonts w:ascii="Times New Roman" w:hAnsi="Times New Roman"/>
          <w:b w:val="0"/>
          <w:sz w:val="20"/>
          <w:szCs w:val="20"/>
        </w:rPr>
      </w:pPr>
    </w:p>
    <w:p w14:paraId="338317E3" w14:textId="77777777" w:rsidR="00F73772" w:rsidRPr="001B5DF4" w:rsidRDefault="004B5F48" w:rsidP="007A2FED">
      <w:pPr>
        <w:pStyle w:val="ADN11"/>
        <w:tabs>
          <w:tab w:val="left" w:pos="1701"/>
        </w:tabs>
        <w:ind w:left="2268" w:right="-1"/>
        <w:rPr>
          <w:iCs/>
          <w:u w:val="single"/>
        </w:rPr>
      </w:pPr>
      <w:r w:rsidRPr="001B5DF4">
        <w:rPr>
          <w:rFonts w:ascii="Times New Roman" w:hAnsi="Times New Roman"/>
          <w:b w:val="0"/>
          <w:sz w:val="20"/>
          <w:szCs w:val="20"/>
        </w:rPr>
        <w:t>7.2.4.23.2.6</w:t>
      </w:r>
      <w:r w:rsidRPr="001B5DF4">
        <w:rPr>
          <w:rFonts w:ascii="Times New Roman" w:hAnsi="Times New Roman"/>
          <w:b w:val="0"/>
          <w:sz w:val="20"/>
          <w:szCs w:val="20"/>
        </w:rPr>
        <w:tab/>
      </w:r>
      <w:r w:rsidR="00F73772" w:rsidRPr="001B5DF4">
        <w:rPr>
          <w:rFonts w:ascii="Times New Roman" w:hAnsi="Times New Roman"/>
          <w:b w:val="0"/>
          <w:sz w:val="20"/>
          <w:szCs w:val="20"/>
        </w:rPr>
        <w:t>Wenn aufgrund einer unerwarteten Verlängerung der Fahrtzeit während der Beförderung in einem oder mehreren Ladetanks zusätzlicher Stabilisator beigefügt werden muss, darf das ausschließlich über die Probeentnahmeöffnung erfolgen. Eine statische Aufladung muss verhindert werden.</w:t>
      </w:r>
    </w:p>
    <w:p w14:paraId="47383C60" w14:textId="77777777" w:rsidR="001D639C" w:rsidRPr="001B5DF4" w:rsidRDefault="001D639C" w:rsidP="007A2FED">
      <w:pPr>
        <w:suppressAutoHyphens w:val="0"/>
        <w:spacing w:line="240" w:lineRule="auto"/>
        <w:ind w:left="2268" w:right="-1" w:hanging="1134"/>
        <w:rPr>
          <w:snapToGrid/>
        </w:rPr>
      </w:pPr>
    </w:p>
    <w:p w14:paraId="537111B4" w14:textId="77777777" w:rsidR="00855269" w:rsidRPr="001B5DF4" w:rsidRDefault="00855269" w:rsidP="007A2FED">
      <w:pPr>
        <w:pStyle w:val="ADN11"/>
        <w:tabs>
          <w:tab w:val="left" w:pos="1701"/>
        </w:tabs>
        <w:ind w:left="2268" w:right="-1"/>
        <w:rPr>
          <w:rFonts w:ascii="Times New Roman" w:hAnsi="Times New Roman"/>
          <w:b w:val="0"/>
          <w:sz w:val="20"/>
          <w:szCs w:val="20"/>
        </w:rPr>
      </w:pPr>
      <w:r w:rsidRPr="001B5DF4">
        <w:rPr>
          <w:rFonts w:ascii="Times New Roman" w:hAnsi="Times New Roman"/>
          <w:b w:val="0"/>
          <w:sz w:val="20"/>
          <w:szCs w:val="20"/>
        </w:rPr>
        <w:t>7.2.4.23.2.</w:t>
      </w:r>
      <w:r w:rsidR="004B5F48" w:rsidRPr="001B5DF4">
        <w:rPr>
          <w:rFonts w:ascii="Times New Roman" w:hAnsi="Times New Roman"/>
          <w:b w:val="0"/>
          <w:sz w:val="20"/>
          <w:szCs w:val="20"/>
        </w:rPr>
        <w:t>7</w:t>
      </w:r>
      <w:r w:rsidR="00D42145" w:rsidRPr="001B5DF4">
        <w:rPr>
          <w:rFonts w:ascii="Times New Roman" w:hAnsi="Times New Roman"/>
          <w:b w:val="0"/>
          <w:sz w:val="20"/>
          <w:szCs w:val="20"/>
        </w:rPr>
        <w:tab/>
      </w:r>
      <w:r w:rsidRPr="001B5DF4">
        <w:rPr>
          <w:rFonts w:ascii="Times New Roman" w:hAnsi="Times New Roman"/>
          <w:b w:val="0"/>
          <w:sz w:val="20"/>
          <w:szCs w:val="20"/>
        </w:rPr>
        <w:t xml:space="preserve">Für die Gasmessung gelten zusätzlich die Anforderungen nach </w:t>
      </w:r>
      <w:r w:rsidR="00104445" w:rsidRPr="001B5DF4">
        <w:rPr>
          <w:rFonts w:ascii="Times New Roman" w:hAnsi="Times New Roman"/>
          <w:b w:val="0"/>
          <w:sz w:val="20"/>
          <w:szCs w:val="20"/>
        </w:rPr>
        <w:t xml:space="preserve">Absatz </w:t>
      </w:r>
      <w:r w:rsidRPr="001B5DF4">
        <w:rPr>
          <w:rFonts w:ascii="Times New Roman" w:hAnsi="Times New Roman"/>
          <w:b w:val="0"/>
          <w:sz w:val="20"/>
          <w:szCs w:val="20"/>
        </w:rPr>
        <w:t>7.2.3.1.4</w:t>
      </w:r>
      <w:r w:rsidR="00C153F5" w:rsidRPr="001B5DF4">
        <w:rPr>
          <w:rFonts w:ascii="Times New Roman" w:hAnsi="Times New Roman"/>
          <w:b w:val="0"/>
          <w:sz w:val="20"/>
          <w:szCs w:val="20"/>
        </w:rPr>
        <w:t>.</w:t>
      </w:r>
      <w:r w:rsidR="00AC373C" w:rsidRPr="001B5DF4">
        <w:rPr>
          <w:rFonts w:ascii="Times New Roman" w:hAnsi="Times New Roman"/>
          <w:b w:val="0"/>
          <w:sz w:val="20"/>
          <w:szCs w:val="20"/>
        </w:rPr>
        <w:t>“</w:t>
      </w:r>
      <w:r w:rsidR="007330A5" w:rsidRPr="001B5DF4">
        <w:rPr>
          <w:rFonts w:ascii="Times New Roman" w:hAnsi="Times New Roman"/>
          <w:b w:val="0"/>
          <w:sz w:val="20"/>
          <w:szCs w:val="20"/>
        </w:rPr>
        <w:t>.</w:t>
      </w:r>
    </w:p>
    <w:p w14:paraId="118E2271" w14:textId="1D786687" w:rsidR="00E67894" w:rsidRDefault="00E67894" w:rsidP="007A2FED">
      <w:pPr>
        <w:suppressAutoHyphens w:val="0"/>
        <w:spacing w:line="240" w:lineRule="auto"/>
        <w:ind w:right="-1"/>
        <w:rPr>
          <w:b/>
        </w:rPr>
      </w:pPr>
    </w:p>
    <w:p w14:paraId="4671F5CC" w14:textId="77777777" w:rsidR="00AB626F" w:rsidRPr="001B5DF4" w:rsidRDefault="00AB626F" w:rsidP="007A2FED">
      <w:pPr>
        <w:tabs>
          <w:tab w:val="left" w:pos="1701"/>
        </w:tabs>
        <w:suppressAutoHyphens w:val="0"/>
        <w:autoSpaceDE w:val="0"/>
        <w:autoSpaceDN w:val="0"/>
        <w:adjustRightInd w:val="0"/>
        <w:ind w:left="1134" w:right="-1"/>
        <w:jc w:val="both"/>
        <w:rPr>
          <w:b/>
        </w:rPr>
      </w:pPr>
    </w:p>
    <w:p w14:paraId="14CBF782" w14:textId="77777777" w:rsidR="004352FA" w:rsidRPr="00634906" w:rsidRDefault="004352FA" w:rsidP="007A2FED">
      <w:pPr>
        <w:tabs>
          <w:tab w:val="left" w:pos="1701"/>
        </w:tabs>
        <w:suppressAutoHyphens w:val="0"/>
        <w:autoSpaceDE w:val="0"/>
        <w:autoSpaceDN w:val="0"/>
        <w:adjustRightInd w:val="0"/>
        <w:ind w:left="1134" w:right="-1"/>
        <w:jc w:val="both"/>
        <w:rPr>
          <w:bCs/>
          <w:i/>
          <w:iCs/>
          <w:u w:val="single"/>
        </w:rPr>
      </w:pPr>
      <w:r w:rsidRPr="00634906">
        <w:rPr>
          <w:bCs/>
          <w:i/>
          <w:iCs/>
          <w:u w:val="single"/>
        </w:rPr>
        <w:t>Abschnitt 8.6.4 Prüfliste Entgasen an Annahmestellen</w:t>
      </w:r>
    </w:p>
    <w:p w14:paraId="6FE30161" w14:textId="77777777" w:rsidR="004352FA" w:rsidRPr="001B5DF4" w:rsidRDefault="004352FA" w:rsidP="007A2FED">
      <w:pPr>
        <w:tabs>
          <w:tab w:val="left" w:pos="1701"/>
        </w:tabs>
        <w:suppressAutoHyphens w:val="0"/>
        <w:autoSpaceDE w:val="0"/>
        <w:autoSpaceDN w:val="0"/>
        <w:adjustRightInd w:val="0"/>
        <w:ind w:left="1134" w:right="-1"/>
        <w:jc w:val="both"/>
        <w:rPr>
          <w:rFonts w:eastAsia="ArialMT"/>
          <w:snapToGrid/>
          <w:lang w:eastAsia="de-DE"/>
        </w:rPr>
      </w:pPr>
    </w:p>
    <w:p w14:paraId="72B8C731" w14:textId="34289BFB" w:rsidR="001F2464" w:rsidRPr="001B5DF4" w:rsidRDefault="004B5F48" w:rsidP="007A2FED">
      <w:pPr>
        <w:tabs>
          <w:tab w:val="left" w:pos="1701"/>
        </w:tabs>
        <w:ind w:left="1689" w:right="-1" w:hanging="555"/>
        <w:jc w:val="both"/>
      </w:pPr>
      <w:r w:rsidRPr="001B5DF4">
        <w:t>1</w:t>
      </w:r>
      <w:r w:rsidR="007A2FED">
        <w:t>0</w:t>
      </w:r>
      <w:r w:rsidR="00753D1D" w:rsidRPr="001B5DF4">
        <w:t>.</w:t>
      </w:r>
      <w:r w:rsidR="00753D1D" w:rsidRPr="001B5DF4">
        <w:tab/>
        <w:t xml:space="preserve">In Abschnitt 8.6.4 Prüfliste Entgasen an Annahmestellen, erhält Frage 10. </w:t>
      </w:r>
      <w:r w:rsidR="00500C1C" w:rsidRPr="001B5DF4">
        <w:t>f</w:t>
      </w:r>
      <w:r w:rsidR="00753D1D" w:rsidRPr="001B5DF4">
        <w:t>olgende Fassung:</w:t>
      </w:r>
    </w:p>
    <w:p w14:paraId="35BEA4CD" w14:textId="77777777" w:rsidR="00753D1D" w:rsidRPr="001B5DF4" w:rsidRDefault="00753D1D" w:rsidP="007A2FED">
      <w:pPr>
        <w:tabs>
          <w:tab w:val="left" w:pos="1701"/>
        </w:tabs>
        <w:spacing w:before="120"/>
        <w:ind w:left="1701" w:right="-1"/>
        <w:jc w:val="both"/>
      </w:pPr>
      <w:r w:rsidRPr="001B5DF4">
        <w:t xml:space="preserve">„Sind alle </w:t>
      </w:r>
      <w:r w:rsidR="007E280D" w:rsidRPr="001B5DF4">
        <w:t>Ladet</w:t>
      </w:r>
      <w:r w:rsidRPr="001B5DF4">
        <w:t>ankluken und sonstigen Öffnungen der Ladetanks geschlossen oder gegebenenfalls durch in gutem Zustand befindliche Flammendurchschlagsicherungen gesichert?“.</w:t>
      </w:r>
    </w:p>
    <w:p w14:paraId="6DC52C01" w14:textId="77777777" w:rsidR="004A2B2E" w:rsidRPr="001B5DF4" w:rsidRDefault="004A2B2E" w:rsidP="007A2FED">
      <w:pPr>
        <w:suppressAutoHyphens w:val="0"/>
        <w:spacing w:line="240" w:lineRule="auto"/>
        <w:ind w:left="2268" w:right="-1" w:hanging="1134"/>
        <w:rPr>
          <w:snapToGrid/>
        </w:rPr>
      </w:pPr>
    </w:p>
    <w:p w14:paraId="403612E8" w14:textId="77777777" w:rsidR="004A2B2E" w:rsidRPr="001B5DF4" w:rsidRDefault="004A2B2E" w:rsidP="007A2FED">
      <w:pPr>
        <w:suppressAutoHyphens w:val="0"/>
        <w:spacing w:line="240" w:lineRule="auto"/>
        <w:ind w:left="2268" w:right="-1" w:hanging="1134"/>
        <w:rPr>
          <w:snapToGrid/>
        </w:rPr>
      </w:pPr>
    </w:p>
    <w:p w14:paraId="75802186" w14:textId="6AB63B72" w:rsidR="00BB77E8" w:rsidRPr="001B5DF4" w:rsidRDefault="00D12380" w:rsidP="007A2FED">
      <w:pPr>
        <w:tabs>
          <w:tab w:val="left" w:pos="1701"/>
        </w:tabs>
        <w:spacing w:after="120"/>
        <w:ind w:left="1134" w:right="-1" w:hanging="567"/>
        <w:jc w:val="both"/>
        <w:rPr>
          <w:b/>
          <w:bCs/>
          <w:sz w:val="28"/>
          <w:szCs w:val="28"/>
        </w:rPr>
      </w:pPr>
      <w:r w:rsidRPr="001B5DF4">
        <w:rPr>
          <w:b/>
          <w:bCs/>
          <w:sz w:val="28"/>
          <w:szCs w:val="28"/>
        </w:rPr>
        <w:lastRenderedPageBreak/>
        <w:t xml:space="preserve">II. </w:t>
      </w:r>
      <w:r w:rsidR="00AF55BE" w:rsidRPr="001B5DF4">
        <w:rPr>
          <w:b/>
          <w:bCs/>
          <w:sz w:val="28"/>
          <w:szCs w:val="28"/>
        </w:rPr>
        <w:tab/>
      </w:r>
      <w:r w:rsidR="00BB77E8" w:rsidRPr="001B5DF4">
        <w:rPr>
          <w:b/>
          <w:bCs/>
          <w:sz w:val="28"/>
          <w:szCs w:val="28"/>
        </w:rPr>
        <w:t>Begründung</w:t>
      </w:r>
    </w:p>
    <w:p w14:paraId="4F930A50" w14:textId="77777777" w:rsidR="00C80C0B" w:rsidRPr="001B5DF4" w:rsidRDefault="00C80C0B" w:rsidP="007A2FED">
      <w:pPr>
        <w:suppressAutoHyphens w:val="0"/>
        <w:spacing w:line="240" w:lineRule="auto"/>
        <w:ind w:left="2268" w:right="-1" w:hanging="1134"/>
        <w:rPr>
          <w:snapToGrid/>
        </w:rPr>
      </w:pPr>
    </w:p>
    <w:p w14:paraId="56FF89FC" w14:textId="77777777" w:rsidR="00780031" w:rsidRPr="00BC2D0F" w:rsidRDefault="00780031" w:rsidP="007A2FED">
      <w:pPr>
        <w:suppressAutoHyphens w:val="0"/>
        <w:spacing w:line="240" w:lineRule="auto"/>
        <w:ind w:left="2268" w:right="-1" w:hanging="1134"/>
        <w:rPr>
          <w:i/>
          <w:iCs/>
          <w:snapToGrid/>
          <w:u w:val="single"/>
        </w:rPr>
      </w:pPr>
      <w:r w:rsidRPr="00BC2D0F">
        <w:rPr>
          <w:i/>
          <w:iCs/>
          <w:snapToGrid/>
          <w:u w:val="single"/>
        </w:rPr>
        <w:t>Zu Absatz 9</w:t>
      </w:r>
      <w:r w:rsidR="00960B28" w:rsidRPr="00BC2D0F">
        <w:rPr>
          <w:i/>
          <w:iCs/>
          <w:snapToGrid/>
          <w:u w:val="single"/>
        </w:rPr>
        <w:t>:</w:t>
      </w:r>
    </w:p>
    <w:p w14:paraId="245D6A1B" w14:textId="77777777" w:rsidR="00780031" w:rsidRPr="001B5DF4" w:rsidRDefault="00780031" w:rsidP="007A2FED">
      <w:pPr>
        <w:suppressAutoHyphens w:val="0"/>
        <w:spacing w:line="240" w:lineRule="auto"/>
        <w:ind w:left="2268" w:right="-1" w:hanging="1134"/>
        <w:rPr>
          <w:snapToGrid/>
        </w:rPr>
      </w:pPr>
    </w:p>
    <w:p w14:paraId="2EBC5451" w14:textId="45914D95" w:rsidR="0047684D" w:rsidRPr="001B5DF4" w:rsidRDefault="00BC2D0F" w:rsidP="007A2FED">
      <w:pPr>
        <w:ind w:left="1134" w:right="-1"/>
        <w:jc w:val="both"/>
      </w:pPr>
      <w:r>
        <w:t>11.</w:t>
      </w:r>
      <w:r>
        <w:tab/>
      </w:r>
      <w:r w:rsidR="0047684D" w:rsidRPr="001B5DF4">
        <w:t xml:space="preserve">Weitere Öffnungen stehen nur dann einer Probeentnahmeöffnung gleich, und dürfen nur dann nach den Bedingungen des neugefassten Unterabschnittes </w:t>
      </w:r>
      <w:proofErr w:type="gramStart"/>
      <w:r w:rsidR="0047684D" w:rsidRPr="001B5DF4">
        <w:t>7.2.4.22</w:t>
      </w:r>
      <w:proofErr w:type="gramEnd"/>
      <w:r w:rsidR="0047684D" w:rsidRPr="001B5DF4">
        <w:t xml:space="preserve"> wie eine Probeentnahmeöffnung verwendet werden, wenn sie die folgende Anforderung erfüllen:</w:t>
      </w:r>
    </w:p>
    <w:p w14:paraId="102AC46C" w14:textId="3D7585F0" w:rsidR="0047684D" w:rsidRPr="001B5DF4" w:rsidRDefault="0047684D" w:rsidP="00937E27">
      <w:pPr>
        <w:pStyle w:val="Paragraphedeliste"/>
        <w:numPr>
          <w:ilvl w:val="0"/>
          <w:numId w:val="27"/>
        </w:numPr>
        <w:spacing w:before="60"/>
        <w:ind w:left="2127" w:right="-1"/>
      </w:pPr>
      <w:r w:rsidRPr="001B5DF4">
        <w:t>der Durchmesser darf nicht größer als 30 cm und sie muss verschließbar sein.</w:t>
      </w:r>
    </w:p>
    <w:p w14:paraId="09E69B86" w14:textId="77777777" w:rsidR="0047684D" w:rsidRPr="001B5DF4" w:rsidRDefault="0047684D" w:rsidP="007A2FED">
      <w:pPr>
        <w:ind w:left="2268" w:right="-1" w:hanging="1134"/>
      </w:pPr>
    </w:p>
    <w:p w14:paraId="3F7FAA05" w14:textId="5845D13A" w:rsidR="0047684D" w:rsidRPr="001B5DF4" w:rsidRDefault="00BC2D0F" w:rsidP="007A2FED">
      <w:pPr>
        <w:ind w:left="1134" w:right="-1"/>
      </w:pPr>
      <w:r>
        <w:t>12.</w:t>
      </w:r>
      <w:r>
        <w:tab/>
      </w:r>
      <w:r w:rsidR="0047684D" w:rsidRPr="001B5DF4">
        <w:t>Enthält die Schiffsstoffliste Stoffe, für die in Tabelle C Explosionsschutz gefordert wird,</w:t>
      </w:r>
      <w:r w:rsidR="00E32FB1" w:rsidRPr="001B5DF4">
        <w:t xml:space="preserve"> dann</w:t>
      </w:r>
    </w:p>
    <w:p w14:paraId="66C45F9B" w14:textId="1E8888ED" w:rsidR="0047684D" w:rsidRPr="001B5DF4" w:rsidRDefault="0047684D" w:rsidP="00937E27">
      <w:pPr>
        <w:pStyle w:val="Paragraphedeliste"/>
        <w:numPr>
          <w:ilvl w:val="0"/>
          <w:numId w:val="30"/>
        </w:numPr>
        <w:spacing w:before="60"/>
        <w:ind w:left="2127" w:right="-1" w:hanging="357"/>
        <w:contextualSpacing w:val="0"/>
      </w:pPr>
      <w:r w:rsidRPr="001B5DF4">
        <w:t>muss die Öffnung zusätzlich deflagrations- und dauerbrandsicher für den kritischsten Stoff der Schiffsstoffliste ausgeführt sein; das bedeutet, sie muss über eine passende Flammendurchschlagsicherung verfügen,</w:t>
      </w:r>
    </w:p>
    <w:p w14:paraId="5F126BFB" w14:textId="5FC8CF4F" w:rsidR="0047684D" w:rsidRPr="001B5DF4" w:rsidRDefault="0047684D" w:rsidP="00937E27">
      <w:pPr>
        <w:pStyle w:val="Paragraphedeliste"/>
        <w:numPr>
          <w:ilvl w:val="0"/>
          <w:numId w:val="30"/>
        </w:numPr>
        <w:spacing w:before="60"/>
        <w:ind w:left="2127" w:right="-1" w:hanging="357"/>
        <w:contextualSpacing w:val="0"/>
      </w:pPr>
      <w:proofErr w:type="gramStart"/>
      <w:r w:rsidRPr="001B5DF4">
        <w:t>muss</w:t>
      </w:r>
      <w:proofErr w:type="gramEnd"/>
      <w:r w:rsidRPr="001B5DF4">
        <w:t xml:space="preserve"> die Öffnung eine möglichst kurze Öffnungsdauer ermöglichen,</w:t>
      </w:r>
    </w:p>
    <w:p w14:paraId="60C56E13" w14:textId="1A64508A" w:rsidR="0047684D" w:rsidRPr="001B5DF4" w:rsidRDefault="0047684D" w:rsidP="00937E27">
      <w:pPr>
        <w:pStyle w:val="Paragraphedeliste"/>
        <w:numPr>
          <w:ilvl w:val="0"/>
          <w:numId w:val="30"/>
        </w:numPr>
        <w:spacing w:before="60"/>
        <w:ind w:left="2127" w:right="-1" w:hanging="357"/>
        <w:contextualSpacing w:val="0"/>
      </w:pPr>
      <w:r w:rsidRPr="001B5DF4">
        <w:t xml:space="preserve">muss die Öffnung so beschaffen sein, dass sie nicht ohne äußere Einwirkung </w:t>
      </w:r>
      <w:r w:rsidR="00DD2083" w:rsidRPr="001B5DF4">
        <w:t>offenbleiben</w:t>
      </w:r>
      <w:r w:rsidRPr="001B5DF4">
        <w:t xml:space="preserve"> kann.</w:t>
      </w:r>
    </w:p>
    <w:p w14:paraId="111CAC57" w14:textId="77777777" w:rsidR="0047684D" w:rsidRPr="001B5DF4" w:rsidRDefault="0047684D" w:rsidP="007A2FED">
      <w:pPr>
        <w:ind w:left="2268" w:right="-1" w:hanging="1134"/>
      </w:pPr>
    </w:p>
    <w:p w14:paraId="140C4C7E" w14:textId="186566A4" w:rsidR="00E32FB1" w:rsidRDefault="00BC2D0F" w:rsidP="007A2FED">
      <w:pPr>
        <w:ind w:left="1134" w:right="-1"/>
        <w:jc w:val="both"/>
      </w:pPr>
      <w:r>
        <w:t>13.</w:t>
      </w:r>
      <w:r>
        <w:tab/>
      </w:r>
      <w:r w:rsidR="0047684D" w:rsidRPr="001B5DF4">
        <w:t xml:space="preserve">Diese Anforderungen werden nach den heutigen Bauvorschriften nur von der in den Absätzen 9.3.x.22.4 b), erster Anstrich genannten Einführung der Gasabfuhrleitung erfüllt. Diese wird auch heute schon auf den meisten Schiffen wie eine Probeentnahmeöffnung verwendet. </w:t>
      </w:r>
    </w:p>
    <w:p w14:paraId="09505AD3" w14:textId="77777777" w:rsidR="00BC2D0F" w:rsidRPr="001B5DF4" w:rsidRDefault="00BC2D0F" w:rsidP="007A2FED">
      <w:pPr>
        <w:ind w:left="1134" w:right="-1"/>
        <w:jc w:val="both"/>
      </w:pPr>
    </w:p>
    <w:p w14:paraId="36DF2ACE" w14:textId="622C1006" w:rsidR="0047684D" w:rsidRPr="001B5DF4" w:rsidRDefault="00BC2D0F" w:rsidP="007A2FED">
      <w:pPr>
        <w:ind w:left="1134" w:right="-1"/>
        <w:jc w:val="both"/>
      </w:pPr>
      <w:r>
        <w:t>14.</w:t>
      </w:r>
      <w:r>
        <w:tab/>
      </w:r>
      <w:r w:rsidR="0047684D" w:rsidRPr="001B5DF4">
        <w:t>Nach Kenntnis der deutschen Delegation wird deswegen schon seit vielen Jahren bei Schiffs</w:t>
      </w:r>
      <w:r w:rsidR="00E32FB1" w:rsidRPr="001B5DF4">
        <w:t>-</w:t>
      </w:r>
      <w:r w:rsidR="0047684D" w:rsidRPr="001B5DF4">
        <w:t>neubauten auf extra gewidmete Probeentnahmeöffnungen verzichtet.</w:t>
      </w:r>
    </w:p>
    <w:p w14:paraId="3441F1B6" w14:textId="77777777" w:rsidR="008A29C9" w:rsidRDefault="008A29C9" w:rsidP="007A2FED">
      <w:pPr>
        <w:suppressAutoHyphens w:val="0"/>
        <w:spacing w:line="240" w:lineRule="auto"/>
        <w:ind w:left="2268" w:right="-1" w:hanging="1134"/>
        <w:jc w:val="both"/>
        <w:rPr>
          <w:snapToGrid/>
        </w:rPr>
      </w:pPr>
    </w:p>
    <w:p w14:paraId="2586E587" w14:textId="40666BCA" w:rsidR="00960652" w:rsidRPr="00BC2D0F" w:rsidRDefault="00B36F17" w:rsidP="007A2FED">
      <w:pPr>
        <w:suppressAutoHyphens w:val="0"/>
        <w:spacing w:line="240" w:lineRule="auto"/>
        <w:ind w:left="2268" w:right="-1" w:hanging="1134"/>
        <w:jc w:val="both"/>
        <w:rPr>
          <w:i/>
          <w:iCs/>
          <w:snapToGrid/>
          <w:u w:val="single"/>
        </w:rPr>
      </w:pPr>
      <w:r w:rsidRPr="00BC2D0F">
        <w:rPr>
          <w:i/>
          <w:iCs/>
          <w:snapToGrid/>
          <w:u w:val="single"/>
        </w:rPr>
        <w:t xml:space="preserve">Zu Absatz </w:t>
      </w:r>
      <w:r w:rsidR="00960B28" w:rsidRPr="00BC2D0F">
        <w:rPr>
          <w:i/>
          <w:iCs/>
          <w:snapToGrid/>
          <w:u w:val="single"/>
        </w:rPr>
        <w:t>11:</w:t>
      </w:r>
    </w:p>
    <w:p w14:paraId="4320406A" w14:textId="77777777" w:rsidR="00960B28" w:rsidRPr="001B5DF4" w:rsidRDefault="00960B28" w:rsidP="007A2FED">
      <w:pPr>
        <w:suppressAutoHyphens w:val="0"/>
        <w:spacing w:line="240" w:lineRule="auto"/>
        <w:ind w:left="2268" w:right="-1" w:hanging="1134"/>
        <w:jc w:val="both"/>
        <w:rPr>
          <w:snapToGrid/>
        </w:rPr>
      </w:pPr>
    </w:p>
    <w:p w14:paraId="4753EA37" w14:textId="53DA9DB4" w:rsidR="00E42136" w:rsidRPr="001B5DF4" w:rsidRDefault="00BC2D0F" w:rsidP="007A2FED">
      <w:pPr>
        <w:suppressAutoHyphens w:val="0"/>
        <w:spacing w:line="240" w:lineRule="auto"/>
        <w:ind w:left="1134" w:right="-1"/>
        <w:jc w:val="both"/>
        <w:rPr>
          <w:bCs/>
        </w:rPr>
      </w:pPr>
      <w:bookmarkStart w:id="8" w:name="_Hlk128401202"/>
      <w:r>
        <w:rPr>
          <w:bCs/>
        </w:rPr>
        <w:t>15.</w:t>
      </w:r>
      <w:r>
        <w:rPr>
          <w:bCs/>
        </w:rPr>
        <w:tab/>
      </w:r>
      <w:r w:rsidR="00E42136" w:rsidRPr="001B5DF4">
        <w:rPr>
          <w:bCs/>
        </w:rPr>
        <w:t xml:space="preserve">An Tankschiffen des Typs G werden üblicherweise </w:t>
      </w:r>
      <w:r w:rsidR="00736559" w:rsidRPr="001B5DF4">
        <w:rPr>
          <w:bCs/>
        </w:rPr>
        <w:t>während der Beförderungen keine Öffnungen geöffnet, weil dann die aus Gasen bestehende Ladung sofort aus den Ladetanks entweichen würde. Maßnahmen wie offenen Probeentnahme oder Sichtkontrolle sind bei Gasen als Ladung auch nicht erforderlich.</w:t>
      </w:r>
    </w:p>
    <w:p w14:paraId="794D134C" w14:textId="77777777" w:rsidR="00736559" w:rsidRPr="001B5DF4" w:rsidRDefault="00736559" w:rsidP="007A2FED">
      <w:pPr>
        <w:suppressAutoHyphens w:val="0"/>
        <w:spacing w:line="240" w:lineRule="auto"/>
        <w:ind w:left="1134" w:right="-1"/>
        <w:jc w:val="both"/>
        <w:rPr>
          <w:bCs/>
        </w:rPr>
      </w:pPr>
    </w:p>
    <w:p w14:paraId="1CEA4A37" w14:textId="341D94AE" w:rsidR="003179A4" w:rsidRPr="001B5DF4" w:rsidRDefault="00BC2D0F" w:rsidP="007A2FED">
      <w:pPr>
        <w:suppressAutoHyphens w:val="0"/>
        <w:spacing w:line="240" w:lineRule="auto"/>
        <w:ind w:left="1134" w:right="-1"/>
        <w:jc w:val="both"/>
        <w:rPr>
          <w:bCs/>
        </w:rPr>
      </w:pPr>
      <w:r>
        <w:rPr>
          <w:bCs/>
        </w:rPr>
        <w:t>16.</w:t>
      </w:r>
      <w:r>
        <w:rPr>
          <w:bCs/>
        </w:rPr>
        <w:tab/>
      </w:r>
      <w:r w:rsidR="00120A62" w:rsidRPr="00BC2D0F">
        <w:rPr>
          <w:bCs/>
        </w:rPr>
        <w:t>Der bisherige</w:t>
      </w:r>
      <w:r w:rsidR="003179A4" w:rsidRPr="00BC2D0F">
        <w:rPr>
          <w:bCs/>
        </w:rPr>
        <w:t xml:space="preserve"> erste Satz in </w:t>
      </w:r>
      <w:r w:rsidR="00120A62" w:rsidRPr="00BC2D0F">
        <w:rPr>
          <w:bCs/>
        </w:rPr>
        <w:t xml:space="preserve">Absatz </w:t>
      </w:r>
      <w:r w:rsidR="003179A4" w:rsidRPr="00BC2D0F">
        <w:rPr>
          <w:bCs/>
          <w:sz w:val="18"/>
          <w:szCs w:val="18"/>
        </w:rPr>
        <w:t>7.2.4.22.5</w:t>
      </w:r>
      <w:r w:rsidR="003179A4" w:rsidRPr="00BC2D0F">
        <w:rPr>
          <w:bCs/>
        </w:rPr>
        <w:t xml:space="preserve"> ADN: </w:t>
      </w:r>
      <w:r w:rsidR="00180F33" w:rsidRPr="00BC2D0F">
        <w:rPr>
          <w:bCs/>
          <w:i/>
        </w:rPr>
        <w:t>„</w:t>
      </w:r>
      <w:r w:rsidR="00120A62" w:rsidRPr="00BC2D0F">
        <w:rPr>
          <w:bCs/>
          <w:i/>
        </w:rPr>
        <w:t>Das Öffnen des Gehäuses der Flammen</w:t>
      </w:r>
      <w:r w:rsidR="003C298E" w:rsidRPr="00BC2D0F">
        <w:rPr>
          <w:bCs/>
          <w:i/>
        </w:rPr>
        <w:t>-</w:t>
      </w:r>
      <w:r w:rsidR="00120A62" w:rsidRPr="00BC2D0F">
        <w:rPr>
          <w:bCs/>
          <w:i/>
        </w:rPr>
        <w:t>durchschlagsicherungen ist nur zum Reinigen der Flammensperre oder zum Austausch gegen baugleiche Flammensperren gestattet.</w:t>
      </w:r>
      <w:r w:rsidR="00180F33" w:rsidRPr="00BC2D0F">
        <w:rPr>
          <w:bCs/>
          <w:i/>
        </w:rPr>
        <w:t>“</w:t>
      </w:r>
      <w:r w:rsidR="00180F33" w:rsidRPr="00BC2D0F">
        <w:rPr>
          <w:bCs/>
        </w:rPr>
        <w:t xml:space="preserve"> </w:t>
      </w:r>
      <w:r w:rsidR="003179A4" w:rsidRPr="00BC2D0F">
        <w:rPr>
          <w:bCs/>
        </w:rPr>
        <w:t>soll gestrichen</w:t>
      </w:r>
      <w:r w:rsidR="003179A4" w:rsidRPr="001B5DF4">
        <w:rPr>
          <w:bCs/>
        </w:rPr>
        <w:t xml:space="preserve"> werden.</w:t>
      </w:r>
    </w:p>
    <w:p w14:paraId="025BC61A" w14:textId="77777777" w:rsidR="00BC2D0F" w:rsidRDefault="00BC2D0F" w:rsidP="007A2FED">
      <w:pPr>
        <w:suppressAutoHyphens w:val="0"/>
        <w:spacing w:line="240" w:lineRule="auto"/>
        <w:ind w:left="1134" w:right="-1"/>
        <w:jc w:val="both"/>
        <w:rPr>
          <w:bCs/>
        </w:rPr>
      </w:pPr>
    </w:p>
    <w:p w14:paraId="632DE058" w14:textId="7930D488" w:rsidR="00843BCA" w:rsidRPr="001B5DF4" w:rsidRDefault="00BC2D0F" w:rsidP="007A2FED">
      <w:pPr>
        <w:suppressAutoHyphens w:val="0"/>
        <w:spacing w:line="240" w:lineRule="auto"/>
        <w:ind w:left="1134" w:right="-1"/>
        <w:jc w:val="both"/>
        <w:rPr>
          <w:bCs/>
        </w:rPr>
      </w:pPr>
      <w:r>
        <w:rPr>
          <w:bCs/>
        </w:rPr>
        <w:t>17.</w:t>
      </w:r>
      <w:r>
        <w:rPr>
          <w:bCs/>
        </w:rPr>
        <w:tab/>
      </w:r>
      <w:r w:rsidR="00180F33" w:rsidRPr="001B5DF4">
        <w:rPr>
          <w:bCs/>
        </w:rPr>
        <w:t xml:space="preserve">Es </w:t>
      </w:r>
      <w:r w:rsidR="004A5D9C" w:rsidRPr="001B5DF4">
        <w:rPr>
          <w:bCs/>
        </w:rPr>
        <w:t>steht fest</w:t>
      </w:r>
      <w:r w:rsidR="00180F33" w:rsidRPr="001B5DF4">
        <w:rPr>
          <w:bCs/>
        </w:rPr>
        <w:t>, dass auch für andere zwingend erforderliche Maßnahmen am Ladetank, wie eine offene Probeentnahme</w:t>
      </w:r>
      <w:r w:rsidR="00615116" w:rsidRPr="001B5DF4">
        <w:rPr>
          <w:bCs/>
        </w:rPr>
        <w:t xml:space="preserve">, </w:t>
      </w:r>
      <w:r w:rsidR="00180F33" w:rsidRPr="001B5DF4">
        <w:rPr>
          <w:bCs/>
        </w:rPr>
        <w:t>eine Sichtkontrolle des Ladetankinhaltes</w:t>
      </w:r>
      <w:r w:rsidR="00615116" w:rsidRPr="001B5DF4">
        <w:rPr>
          <w:bCs/>
        </w:rPr>
        <w:t xml:space="preserve"> oder die Ausleitung des Gas-/</w:t>
      </w:r>
      <w:r w:rsidR="004A5D9C" w:rsidRPr="001B5DF4">
        <w:rPr>
          <w:bCs/>
        </w:rPr>
        <w:t xml:space="preserve"> </w:t>
      </w:r>
      <w:r w:rsidR="00615116" w:rsidRPr="001B5DF4">
        <w:rPr>
          <w:bCs/>
        </w:rPr>
        <w:t>Luftgemisches beim Entgasen der Ladetanks (Änderung in Absatz 7.2.3.7.1.3)</w:t>
      </w:r>
      <w:r w:rsidR="00180F33" w:rsidRPr="001B5DF4">
        <w:rPr>
          <w:bCs/>
        </w:rPr>
        <w:t xml:space="preserve"> das Gehäuse geöffnet werden muss.</w:t>
      </w:r>
    </w:p>
    <w:p w14:paraId="72046AEE" w14:textId="77777777" w:rsidR="004A5D9C" w:rsidRPr="001B5DF4" w:rsidRDefault="004A5D9C" w:rsidP="007A2FED">
      <w:pPr>
        <w:suppressAutoHyphens w:val="0"/>
        <w:spacing w:line="240" w:lineRule="auto"/>
        <w:ind w:left="1134" w:right="-1"/>
        <w:jc w:val="both"/>
        <w:rPr>
          <w:bCs/>
        </w:rPr>
      </w:pPr>
    </w:p>
    <w:p w14:paraId="2E8719EF" w14:textId="4976AF93" w:rsidR="004A5D9C" w:rsidRPr="001B5DF4" w:rsidRDefault="00BC2D0F" w:rsidP="007A2FED">
      <w:pPr>
        <w:suppressAutoHyphens w:val="0"/>
        <w:spacing w:line="240" w:lineRule="auto"/>
        <w:ind w:left="1134" w:right="-1"/>
        <w:jc w:val="both"/>
        <w:rPr>
          <w:bCs/>
        </w:rPr>
      </w:pPr>
      <w:r>
        <w:rPr>
          <w:bCs/>
        </w:rPr>
        <w:t>18.</w:t>
      </w:r>
      <w:r>
        <w:rPr>
          <w:bCs/>
        </w:rPr>
        <w:tab/>
      </w:r>
      <w:r w:rsidR="004A5D9C" w:rsidRPr="001B5DF4">
        <w:rPr>
          <w:bCs/>
        </w:rPr>
        <w:t xml:space="preserve">Die Einschränkung auf bestimmte Zwecke ergibt sich jetzt aus Absatz 7.2.4.22.1. </w:t>
      </w:r>
    </w:p>
    <w:p w14:paraId="0FFAA7D7" w14:textId="77777777" w:rsidR="00D907A7" w:rsidRPr="001B5DF4" w:rsidRDefault="00D907A7" w:rsidP="007A2FED">
      <w:pPr>
        <w:suppressAutoHyphens w:val="0"/>
        <w:spacing w:line="240" w:lineRule="auto"/>
        <w:ind w:left="1134" w:right="-1"/>
        <w:jc w:val="both"/>
        <w:rPr>
          <w:bCs/>
        </w:rPr>
      </w:pPr>
    </w:p>
    <w:p w14:paraId="1E05978F" w14:textId="34B4E896" w:rsidR="00D907A7" w:rsidRPr="001B5DF4" w:rsidRDefault="00BC2D0F" w:rsidP="007A2FED">
      <w:pPr>
        <w:suppressAutoHyphens w:val="0"/>
        <w:spacing w:line="240" w:lineRule="auto"/>
        <w:ind w:left="1134" w:right="-1"/>
        <w:jc w:val="both"/>
        <w:rPr>
          <w:bCs/>
        </w:rPr>
      </w:pPr>
      <w:r>
        <w:rPr>
          <w:bCs/>
        </w:rPr>
        <w:t>19.</w:t>
      </w:r>
      <w:r>
        <w:rPr>
          <w:bCs/>
        </w:rPr>
        <w:tab/>
      </w:r>
      <w:r w:rsidR="00D907A7" w:rsidRPr="001B5DF4">
        <w:rPr>
          <w:bCs/>
        </w:rPr>
        <w:t>Die Trennung des Schiffes von den Installationen oder Leitungen der Landanlage</w:t>
      </w:r>
      <w:r w:rsidR="008D4CA3" w:rsidRPr="001B5DF4">
        <w:rPr>
          <w:bCs/>
        </w:rPr>
        <w:t xml:space="preserve"> (neuer Absatz 7.2.4.22.2)</w:t>
      </w:r>
      <w:r w:rsidR="00D907A7" w:rsidRPr="001B5DF4">
        <w:rPr>
          <w:bCs/>
        </w:rPr>
        <w:t xml:space="preserve"> </w:t>
      </w:r>
      <w:r w:rsidR="008D4CA3" w:rsidRPr="001B5DF4">
        <w:rPr>
          <w:bCs/>
        </w:rPr>
        <w:t xml:space="preserve">ist relevant für eine entzündliche Ladung im Schiff. Sie </w:t>
      </w:r>
      <w:r w:rsidR="00D907A7" w:rsidRPr="001B5DF4">
        <w:rPr>
          <w:bCs/>
        </w:rPr>
        <w:t xml:space="preserve">soll verhindern, dass es bei einem Zwischenfall an einer Öffnung zu </w:t>
      </w:r>
      <w:r w:rsidR="008D4CA3" w:rsidRPr="001B5DF4">
        <w:rPr>
          <w:bCs/>
        </w:rPr>
        <w:t>einem Übergreifen</w:t>
      </w:r>
      <w:r w:rsidR="00D907A7" w:rsidRPr="001B5DF4">
        <w:rPr>
          <w:bCs/>
        </w:rPr>
        <w:t xml:space="preserve"> z.B. einer entflammten Ladung </w:t>
      </w:r>
      <w:r w:rsidR="008D4CA3" w:rsidRPr="001B5DF4">
        <w:rPr>
          <w:bCs/>
        </w:rPr>
        <w:t>auf die Landanlage kommt.</w:t>
      </w:r>
    </w:p>
    <w:p w14:paraId="5794021E" w14:textId="77777777" w:rsidR="008D4CA3" w:rsidRPr="001B5DF4" w:rsidRDefault="008D4CA3" w:rsidP="007A2FED">
      <w:pPr>
        <w:suppressAutoHyphens w:val="0"/>
        <w:spacing w:line="240" w:lineRule="auto"/>
        <w:ind w:left="1134" w:right="-1"/>
        <w:jc w:val="both"/>
        <w:rPr>
          <w:bCs/>
        </w:rPr>
      </w:pPr>
    </w:p>
    <w:p w14:paraId="64222970" w14:textId="70785414" w:rsidR="004A5D9C" w:rsidRDefault="00BC2D0F" w:rsidP="007A2FED">
      <w:pPr>
        <w:suppressAutoHyphens w:val="0"/>
        <w:spacing w:line="240" w:lineRule="auto"/>
        <w:ind w:left="1134" w:right="-1"/>
        <w:jc w:val="both"/>
      </w:pPr>
      <w:r>
        <w:rPr>
          <w:bCs/>
        </w:rPr>
        <w:t>20.</w:t>
      </w:r>
      <w:r>
        <w:rPr>
          <w:bCs/>
        </w:rPr>
        <w:tab/>
      </w:r>
      <w:r w:rsidR="00BC7BFE" w:rsidRPr="001B5DF4">
        <w:rPr>
          <w:bCs/>
        </w:rPr>
        <w:t xml:space="preserve">Die in Absatz </w:t>
      </w:r>
      <w:r w:rsidR="00BC7BFE" w:rsidRPr="001B5DF4">
        <w:t xml:space="preserve">7.2.4.22.13 angesprochene Öffnung für den Anschluss von Tankwaschanlagen ist auf den meisten Schiffen vorhanden – mit Zustimmung der Klassifikationsgesellschaften -. </w:t>
      </w:r>
    </w:p>
    <w:p w14:paraId="1DF91EEE" w14:textId="77777777" w:rsidR="00BC2D0F" w:rsidRPr="001B5DF4" w:rsidRDefault="00BC2D0F" w:rsidP="007A2FED">
      <w:pPr>
        <w:suppressAutoHyphens w:val="0"/>
        <w:spacing w:line="240" w:lineRule="auto"/>
        <w:ind w:left="1134" w:right="-1"/>
        <w:jc w:val="both"/>
      </w:pPr>
    </w:p>
    <w:p w14:paraId="0D9CA726" w14:textId="3DB8C5E3" w:rsidR="008D4CA3" w:rsidRPr="001B5DF4" w:rsidRDefault="00BC2D0F" w:rsidP="007A2FED">
      <w:pPr>
        <w:suppressAutoHyphens w:val="0"/>
        <w:spacing w:line="240" w:lineRule="auto"/>
        <w:ind w:left="1134" w:right="-1"/>
        <w:jc w:val="both"/>
      </w:pPr>
      <w:r>
        <w:t>21.</w:t>
      </w:r>
      <w:r>
        <w:tab/>
      </w:r>
      <w:r w:rsidR="007B2734" w:rsidRPr="001B5DF4">
        <w:t>Die Abschnitte 9.3.2 und 9.3.3 ADN enthalten für diese Anschlüsse aber bisher noch keine Bauvorschriften. Es wird davon ausgegangen, dass die Sicherheitsaspekte ausreichend in den Klassevorschriften berücksichtigt werden und dass die Delegation von EBU/ESO in ihre</w:t>
      </w:r>
      <w:r w:rsidR="004A5D9C" w:rsidRPr="001B5DF4">
        <w:t>r</w:t>
      </w:r>
      <w:r w:rsidR="007B2734" w:rsidRPr="001B5DF4">
        <w:t xml:space="preserve"> angekündigten Vorlage zu Tankwaschungen hierauf angemessen eingehen wird.</w:t>
      </w:r>
    </w:p>
    <w:p w14:paraId="4DC52124" w14:textId="77777777" w:rsidR="003C298E" w:rsidRPr="001B5DF4" w:rsidRDefault="003C298E" w:rsidP="007A2FED">
      <w:pPr>
        <w:suppressAutoHyphens w:val="0"/>
        <w:spacing w:line="240" w:lineRule="auto"/>
        <w:ind w:left="1134" w:right="-1"/>
        <w:rPr>
          <w:bCs/>
        </w:rPr>
      </w:pPr>
    </w:p>
    <w:p w14:paraId="1E952EBB" w14:textId="2497E635" w:rsidR="003C298E" w:rsidRPr="001B5DF4" w:rsidRDefault="00BC2D0F" w:rsidP="007A2FED">
      <w:pPr>
        <w:suppressAutoHyphens w:val="0"/>
        <w:spacing w:line="240" w:lineRule="auto"/>
        <w:ind w:left="1134" w:right="-1"/>
        <w:rPr>
          <w:bCs/>
        </w:rPr>
      </w:pPr>
      <w:r>
        <w:rPr>
          <w:bCs/>
        </w:rPr>
        <w:lastRenderedPageBreak/>
        <w:t>22.</w:t>
      </w:r>
      <w:r>
        <w:rPr>
          <w:bCs/>
        </w:rPr>
        <w:tab/>
      </w:r>
      <w:r w:rsidR="003C298E" w:rsidRPr="001B5DF4">
        <w:rPr>
          <w:bCs/>
        </w:rPr>
        <w:t>Die anderen Vorschriften sind bereits heute im ADN mit anderer Absatz-Nummerierung enthalten.</w:t>
      </w:r>
    </w:p>
    <w:bookmarkEnd w:id="8"/>
    <w:p w14:paraId="5C2E8ECE" w14:textId="77777777" w:rsidR="00180F33" w:rsidRPr="001B5DF4" w:rsidRDefault="00180F33" w:rsidP="007A2FED">
      <w:pPr>
        <w:suppressAutoHyphens w:val="0"/>
        <w:spacing w:line="240" w:lineRule="auto"/>
        <w:ind w:left="2268" w:right="-1" w:hanging="1134"/>
        <w:rPr>
          <w:snapToGrid/>
        </w:rPr>
      </w:pPr>
    </w:p>
    <w:p w14:paraId="01294AA2" w14:textId="77777777" w:rsidR="004A5D9C" w:rsidRPr="001B5DF4" w:rsidRDefault="004A5D9C" w:rsidP="007A2FED">
      <w:pPr>
        <w:suppressAutoHyphens w:val="0"/>
        <w:spacing w:line="240" w:lineRule="auto"/>
        <w:ind w:left="2268" w:right="-1" w:hanging="1134"/>
        <w:rPr>
          <w:snapToGrid/>
        </w:rPr>
      </w:pPr>
    </w:p>
    <w:p w14:paraId="2820DB81" w14:textId="77777777" w:rsidR="00BB77E8" w:rsidRPr="001B5DF4" w:rsidRDefault="00E810F5" w:rsidP="007A2FED">
      <w:pPr>
        <w:tabs>
          <w:tab w:val="left" w:pos="1701"/>
        </w:tabs>
        <w:ind w:left="1134" w:right="-1" w:hanging="567"/>
        <w:jc w:val="both"/>
        <w:rPr>
          <w:b/>
          <w:bCs/>
          <w:sz w:val="28"/>
          <w:szCs w:val="28"/>
        </w:rPr>
      </w:pPr>
      <w:r w:rsidRPr="001B5DF4">
        <w:rPr>
          <w:b/>
          <w:bCs/>
          <w:sz w:val="28"/>
          <w:szCs w:val="28"/>
        </w:rPr>
        <w:t>II</w:t>
      </w:r>
      <w:r w:rsidR="00B15D12" w:rsidRPr="001B5DF4">
        <w:rPr>
          <w:b/>
          <w:bCs/>
          <w:sz w:val="28"/>
          <w:szCs w:val="28"/>
        </w:rPr>
        <w:t>I.</w:t>
      </w:r>
      <w:r w:rsidR="00AF55BE" w:rsidRPr="001B5DF4">
        <w:rPr>
          <w:b/>
          <w:bCs/>
          <w:sz w:val="28"/>
          <w:szCs w:val="28"/>
        </w:rPr>
        <w:tab/>
      </w:r>
      <w:r w:rsidR="00B15D12" w:rsidRPr="001B5DF4">
        <w:rPr>
          <w:b/>
          <w:bCs/>
          <w:sz w:val="28"/>
          <w:szCs w:val="28"/>
        </w:rPr>
        <w:t xml:space="preserve"> </w:t>
      </w:r>
      <w:r w:rsidR="00BB77E8" w:rsidRPr="001B5DF4">
        <w:rPr>
          <w:b/>
          <w:bCs/>
          <w:sz w:val="28"/>
          <w:szCs w:val="28"/>
        </w:rPr>
        <w:t>Sicherheit</w:t>
      </w:r>
    </w:p>
    <w:p w14:paraId="0F91B59D" w14:textId="77777777" w:rsidR="00B15D12" w:rsidRPr="001B5DF4" w:rsidRDefault="00B15D12" w:rsidP="007A2FED">
      <w:pPr>
        <w:tabs>
          <w:tab w:val="left" w:pos="1701"/>
        </w:tabs>
        <w:ind w:left="1134" w:right="-1"/>
        <w:jc w:val="both"/>
      </w:pPr>
    </w:p>
    <w:p w14:paraId="31A0F329" w14:textId="4D33F53F" w:rsidR="00054522" w:rsidRPr="001B5DF4" w:rsidRDefault="00BC2D0F" w:rsidP="007A2FED">
      <w:pPr>
        <w:tabs>
          <w:tab w:val="left" w:pos="1701"/>
        </w:tabs>
        <w:ind w:left="1134" w:right="-1"/>
        <w:jc w:val="both"/>
      </w:pPr>
      <w:r>
        <w:rPr>
          <w:bCs/>
        </w:rPr>
        <w:t>23</w:t>
      </w:r>
      <w:r w:rsidR="00D0481C" w:rsidRPr="001B5DF4">
        <w:rPr>
          <w:bCs/>
        </w:rPr>
        <w:t>.</w:t>
      </w:r>
      <w:r w:rsidR="00100169" w:rsidRPr="001B5DF4">
        <w:rPr>
          <w:bCs/>
        </w:rPr>
        <w:t xml:space="preserve"> </w:t>
      </w:r>
      <w:r w:rsidR="00100169" w:rsidRPr="001B5DF4">
        <w:rPr>
          <w:bCs/>
        </w:rPr>
        <w:tab/>
        <w:t xml:space="preserve">Der in Unterabschnitt 7.2.3.22 formulierte Grundsatz, dass Ladetanks und Restetanks geschlossen bleiben müssen, wenn und </w:t>
      </w:r>
      <w:proofErr w:type="gramStart"/>
      <w:r w:rsidR="00100169" w:rsidRPr="001B5DF4">
        <w:rPr>
          <w:bCs/>
        </w:rPr>
        <w:t>soweit</w:t>
      </w:r>
      <w:proofErr w:type="gramEnd"/>
      <w:r w:rsidR="00100169" w:rsidRPr="001B5DF4">
        <w:rPr>
          <w:bCs/>
        </w:rPr>
        <w:t xml:space="preserve"> nicht in Teil 7 konkrete Ausnahmen beschrieben sind, bleibt uneingeschränkt erhalten. Wie beim Entgasen von Ladetanks, das ebenfalls mit dem Öffnen von Öffnungen verbunden ist, wird das Öffnen nur zugelassen, wenn die Freisetzung von Gasen und Dämpfen aus den Ladetanks nicht durch andere Rechtsvorschriften verboten ist</w:t>
      </w:r>
      <w:r w:rsidR="008660F3" w:rsidRPr="001B5DF4">
        <w:rPr>
          <w:bCs/>
        </w:rPr>
        <w:t>.</w:t>
      </w:r>
    </w:p>
    <w:p w14:paraId="455679BC" w14:textId="77777777" w:rsidR="00BC2D0F" w:rsidRDefault="00BC2D0F" w:rsidP="007A2FED">
      <w:pPr>
        <w:tabs>
          <w:tab w:val="left" w:pos="1701"/>
        </w:tabs>
        <w:ind w:left="1134" w:right="-1"/>
      </w:pPr>
    </w:p>
    <w:p w14:paraId="069D387A" w14:textId="7E100662" w:rsidR="00D317C2" w:rsidRPr="001B5DF4" w:rsidRDefault="00317892" w:rsidP="007A2FED">
      <w:pPr>
        <w:tabs>
          <w:tab w:val="left" w:pos="1701"/>
        </w:tabs>
        <w:ind w:left="1134" w:right="-1"/>
      </w:pPr>
      <w:r>
        <w:t>24</w:t>
      </w:r>
      <w:r w:rsidR="00D317C2" w:rsidRPr="001B5DF4">
        <w:t>.</w:t>
      </w:r>
      <w:r w:rsidR="00D317C2" w:rsidRPr="001B5DF4">
        <w:tab/>
        <w:t>Die entworfenen Vorschriften stellen zusammen mit den anderen Betriebs-vorschriften des Kapitel 7.2 sicher, dass aus den Öffnungen keine Ladung in das Gewässer gelangen kann und die Personen, die am Öffnen von Ladetanks mitwirken, keinen unnötigen Gesundheitsrisiken ausgesetzt werden.</w:t>
      </w:r>
    </w:p>
    <w:p w14:paraId="588C45DC" w14:textId="77777777" w:rsidR="00D317C2" w:rsidRPr="001B5DF4" w:rsidRDefault="00D317C2" w:rsidP="007A2FED">
      <w:pPr>
        <w:tabs>
          <w:tab w:val="left" w:pos="1701"/>
        </w:tabs>
        <w:ind w:left="1134" w:right="-1"/>
        <w:jc w:val="both"/>
      </w:pPr>
    </w:p>
    <w:p w14:paraId="1860E2D7" w14:textId="081DF184" w:rsidR="00590FC0" w:rsidRPr="001B5DF4" w:rsidRDefault="00317892" w:rsidP="007A2FED">
      <w:pPr>
        <w:tabs>
          <w:tab w:val="left" w:pos="1701"/>
        </w:tabs>
        <w:ind w:left="1134" w:right="-1"/>
        <w:jc w:val="both"/>
      </w:pPr>
      <w:r>
        <w:t>25</w:t>
      </w:r>
      <w:r w:rsidR="00B15D12" w:rsidRPr="001B5DF4">
        <w:t>.</w:t>
      </w:r>
      <w:r w:rsidR="00B15D12" w:rsidRPr="001B5DF4">
        <w:tab/>
      </w:r>
      <w:r w:rsidR="00D33F5A" w:rsidRPr="001B5DF4">
        <w:t xml:space="preserve">Die </w:t>
      </w:r>
      <w:r w:rsidR="00D317C2" w:rsidRPr="001B5DF4">
        <w:t xml:space="preserve">als </w:t>
      </w:r>
      <w:r w:rsidR="00D33F5A" w:rsidRPr="001B5DF4">
        <w:t xml:space="preserve">erforderlichen </w:t>
      </w:r>
      <w:r w:rsidR="00D317C2" w:rsidRPr="001B5DF4">
        <w:t xml:space="preserve">und geeignet identifizierten </w:t>
      </w:r>
      <w:r w:rsidR="00D33F5A" w:rsidRPr="001B5DF4">
        <w:t>Sicherheitsmaßnahmen bestehen darin, dass</w:t>
      </w:r>
    </w:p>
    <w:p w14:paraId="6E13F8DE" w14:textId="0942AF3E" w:rsidR="00D33F5A" w:rsidRPr="001B5DF4" w:rsidRDefault="00D33F5A" w:rsidP="007A2FED">
      <w:pPr>
        <w:pStyle w:val="Paragraphedeliste"/>
        <w:numPr>
          <w:ilvl w:val="0"/>
          <w:numId w:val="26"/>
        </w:numPr>
        <w:tabs>
          <w:tab w:val="left" w:pos="1701"/>
        </w:tabs>
        <w:spacing w:before="60"/>
        <w:ind w:left="1559" w:right="-1" w:hanging="425"/>
        <w:contextualSpacing w:val="0"/>
        <w:jc w:val="both"/>
      </w:pPr>
      <w:r w:rsidRPr="001B5DF4">
        <w:t>das Öffnen auf ausdrücklich beschriebene Maßnahmen begrenzt wird,</w:t>
      </w:r>
    </w:p>
    <w:p w14:paraId="0F3F519D" w14:textId="01FBC2B6" w:rsidR="009A0283" w:rsidRPr="001B5DF4" w:rsidRDefault="009A0283" w:rsidP="007A2FED">
      <w:pPr>
        <w:pStyle w:val="Paragraphedeliste"/>
        <w:numPr>
          <w:ilvl w:val="0"/>
          <w:numId w:val="26"/>
        </w:numPr>
        <w:tabs>
          <w:tab w:val="left" w:pos="1701"/>
        </w:tabs>
        <w:spacing w:before="60"/>
        <w:ind w:left="1559" w:right="-1" w:hanging="425"/>
        <w:contextualSpacing w:val="0"/>
        <w:jc w:val="both"/>
      </w:pPr>
      <w:r w:rsidRPr="001B5DF4">
        <w:t>die Ladetanks vor dem Öffnen entspannt werden müssen,</w:t>
      </w:r>
    </w:p>
    <w:p w14:paraId="0B2ABC58" w14:textId="3EF51E84" w:rsidR="009A0283" w:rsidRPr="001B5DF4" w:rsidRDefault="009A0283" w:rsidP="007A2FED">
      <w:pPr>
        <w:pStyle w:val="Paragraphedeliste"/>
        <w:numPr>
          <w:ilvl w:val="0"/>
          <w:numId w:val="26"/>
        </w:numPr>
        <w:tabs>
          <w:tab w:val="left" w:pos="1701"/>
        </w:tabs>
        <w:spacing w:before="60"/>
        <w:ind w:left="1559" w:right="-1" w:hanging="425"/>
        <w:contextualSpacing w:val="0"/>
        <w:jc w:val="both"/>
      </w:pPr>
      <w:r w:rsidRPr="001B5DF4">
        <w:t xml:space="preserve">das Schiff nicht an die Landanlage angeschlossen </w:t>
      </w:r>
      <w:r w:rsidR="00525080" w:rsidRPr="001B5DF4">
        <w:t>sein darf</w:t>
      </w:r>
      <w:r w:rsidRPr="001B5DF4">
        <w:t xml:space="preserve"> oder die Absperr</w:t>
      </w:r>
      <w:r w:rsidR="00AE048C" w:rsidRPr="001B5DF4">
        <w:t>-</w:t>
      </w:r>
      <w:r w:rsidRPr="001B5DF4">
        <w:t xml:space="preserve">armaturen auf dem Schiff und an der Landanlage geschlossen </w:t>
      </w:r>
      <w:r w:rsidR="00525080" w:rsidRPr="001B5DF4">
        <w:t>werden müssen,</w:t>
      </w:r>
    </w:p>
    <w:p w14:paraId="01883A50" w14:textId="75119FE8" w:rsidR="00525080" w:rsidRPr="001B5DF4" w:rsidRDefault="00525080" w:rsidP="007A2FED">
      <w:pPr>
        <w:pStyle w:val="Paragraphedeliste"/>
        <w:numPr>
          <w:ilvl w:val="0"/>
          <w:numId w:val="26"/>
        </w:numPr>
        <w:tabs>
          <w:tab w:val="left" w:pos="1701"/>
        </w:tabs>
        <w:spacing w:before="60"/>
        <w:ind w:left="1559" w:right="-1" w:hanging="425"/>
        <w:contextualSpacing w:val="0"/>
        <w:jc w:val="both"/>
      </w:pPr>
      <w:r w:rsidRPr="001B5DF4">
        <w:t>bei Ladung, für die Explosionsschutz gefordert wird, das Öffnen der Ladetankluken nur zulässig ist, wenn die Ladetanks entladen sind und die Konzentration an entzündbaren Gasen im Ladetank unter 10 % der UEG der Ladung/Vorladung liegt</w:t>
      </w:r>
      <w:r w:rsidR="00AE048C" w:rsidRPr="001B5DF4">
        <w:t>,</w:t>
      </w:r>
    </w:p>
    <w:p w14:paraId="6231C755" w14:textId="0EF3F30E" w:rsidR="00525080" w:rsidRPr="001B5DF4" w:rsidRDefault="00947799" w:rsidP="007A2FED">
      <w:pPr>
        <w:pStyle w:val="Paragraphedeliste"/>
        <w:numPr>
          <w:ilvl w:val="0"/>
          <w:numId w:val="26"/>
        </w:numPr>
        <w:tabs>
          <w:tab w:val="left" w:pos="1701"/>
        </w:tabs>
        <w:spacing w:before="60"/>
        <w:ind w:left="1559" w:right="-1" w:hanging="425"/>
        <w:contextualSpacing w:val="0"/>
        <w:jc w:val="both"/>
      </w:pPr>
      <w:r w:rsidRPr="001B5DF4">
        <w:t>d</w:t>
      </w:r>
      <w:r w:rsidR="00C63C5F" w:rsidRPr="001B5DF4">
        <w:t>as Öffnen der Öffnungen bei Lad</w:t>
      </w:r>
      <w:r w:rsidRPr="001B5DF4">
        <w:t>ung, für die das Führen von blauen Kegeln/</w:t>
      </w:r>
      <w:r w:rsidR="00AE048C" w:rsidRPr="001B5DF4">
        <w:t xml:space="preserve"> </w:t>
      </w:r>
      <w:r w:rsidRPr="001B5DF4">
        <w:t>Lichtern vorgeschrieben ist, erst erfolgen darf, wenn</w:t>
      </w:r>
      <w:r w:rsidR="00C63C5F" w:rsidRPr="001B5DF4">
        <w:t xml:space="preserve"> das Laden seit mindestens 10 Minuten unterbrochen </w:t>
      </w:r>
      <w:r w:rsidRPr="001B5DF4">
        <w:t>wurde</w:t>
      </w:r>
      <w:r w:rsidR="00AE048C" w:rsidRPr="001B5DF4">
        <w:t>,</w:t>
      </w:r>
    </w:p>
    <w:p w14:paraId="2AB8F188" w14:textId="5F985CD3" w:rsidR="00445F92" w:rsidRPr="001B5DF4" w:rsidRDefault="00445F92" w:rsidP="007A2FED">
      <w:pPr>
        <w:pStyle w:val="Paragraphedeliste"/>
        <w:numPr>
          <w:ilvl w:val="0"/>
          <w:numId w:val="26"/>
        </w:numPr>
        <w:tabs>
          <w:tab w:val="left" w:pos="1701"/>
        </w:tabs>
        <w:spacing w:before="60"/>
        <w:ind w:left="1559" w:right="-1" w:hanging="425"/>
        <w:contextualSpacing w:val="0"/>
        <w:jc w:val="both"/>
      </w:pPr>
      <w:r w:rsidRPr="001B5DF4">
        <w:t>ein Austausch der Flammensperren in Öffnungen nur durch besonders geschulte</w:t>
      </w:r>
      <w:r w:rsidR="00D0646F" w:rsidRPr="001B5DF4">
        <w:t>s</w:t>
      </w:r>
      <w:r w:rsidRPr="001B5DF4">
        <w:t xml:space="preserve"> Personal erfolgen darf, und nur wenn die Ladetanks entladen sind und die Konzentration an entzündbaren Gasen im Ladetank unter 10 % der UEG der Ladung/Vorladung liegt</w:t>
      </w:r>
      <w:r w:rsidR="00AE048C" w:rsidRPr="001B5DF4">
        <w:t>,</w:t>
      </w:r>
    </w:p>
    <w:p w14:paraId="1416B1B2" w14:textId="7188BC9C" w:rsidR="00EE1682" w:rsidRPr="001B5DF4" w:rsidRDefault="00D0646F" w:rsidP="007A2FED">
      <w:pPr>
        <w:pStyle w:val="Paragraphedeliste"/>
        <w:numPr>
          <w:ilvl w:val="0"/>
          <w:numId w:val="26"/>
        </w:numPr>
        <w:tabs>
          <w:tab w:val="left" w:pos="1701"/>
        </w:tabs>
        <w:spacing w:before="60"/>
        <w:ind w:left="1559" w:right="-1" w:hanging="425"/>
        <w:contextualSpacing w:val="0"/>
        <w:jc w:val="both"/>
      </w:pPr>
      <w:r w:rsidRPr="001B5DF4">
        <w:t>d</w:t>
      </w:r>
      <w:r w:rsidR="00EE1682" w:rsidRPr="001B5DF4">
        <w:t>ie Tätigkeiten zum Öffnen von Öffnungen dürfen nur unter Verwendung von geeignetem funkenarmem Werkzeug durchgeführt werden</w:t>
      </w:r>
      <w:r w:rsidR="00AE048C" w:rsidRPr="001B5DF4">
        <w:t>,</w:t>
      </w:r>
    </w:p>
    <w:p w14:paraId="45ABB17C" w14:textId="3C292A2E" w:rsidR="009A0283" w:rsidRPr="001B5DF4" w:rsidRDefault="00D0646F" w:rsidP="007A2FED">
      <w:pPr>
        <w:pStyle w:val="Paragraphedeliste"/>
        <w:numPr>
          <w:ilvl w:val="0"/>
          <w:numId w:val="26"/>
        </w:numPr>
        <w:tabs>
          <w:tab w:val="left" w:pos="1701"/>
        </w:tabs>
        <w:spacing w:before="60"/>
        <w:ind w:left="1559" w:right="-1" w:hanging="425"/>
        <w:contextualSpacing w:val="0"/>
        <w:jc w:val="both"/>
      </w:pPr>
      <w:r w:rsidRPr="001B5DF4">
        <w:t>d</w:t>
      </w:r>
      <w:r w:rsidR="00EE1682" w:rsidRPr="001B5DF4">
        <w:t>ie Arbeitsanweisung zum Explosionsschutz gemäß Unterabschnitt 1.3.2.5 an Bord vorhanden sein und angewendet werden</w:t>
      </w:r>
      <w:r w:rsidR="00AE048C" w:rsidRPr="001B5DF4">
        <w:t xml:space="preserve"> muss,</w:t>
      </w:r>
    </w:p>
    <w:p w14:paraId="66C4C83F" w14:textId="39A7C3D9" w:rsidR="00D33F5A" w:rsidRPr="001B5DF4" w:rsidRDefault="00D33F5A" w:rsidP="007A2FED">
      <w:pPr>
        <w:pStyle w:val="Paragraphedeliste"/>
        <w:numPr>
          <w:ilvl w:val="0"/>
          <w:numId w:val="26"/>
        </w:numPr>
        <w:tabs>
          <w:tab w:val="left" w:pos="1701"/>
        </w:tabs>
        <w:spacing w:before="60"/>
        <w:ind w:left="1559" w:right="-1" w:hanging="425"/>
        <w:contextualSpacing w:val="0"/>
        <w:jc w:val="both"/>
      </w:pPr>
      <w:r w:rsidRPr="001B5DF4">
        <w:t>das Öffnen zeitlich auf das absolut notwendige Maß begrenzt wird,</w:t>
      </w:r>
    </w:p>
    <w:p w14:paraId="26430FCD" w14:textId="6F9B9260" w:rsidR="00D33F5A" w:rsidRPr="001B5DF4" w:rsidRDefault="00E01C20" w:rsidP="007A2FED">
      <w:pPr>
        <w:pStyle w:val="Paragraphedeliste"/>
        <w:numPr>
          <w:ilvl w:val="0"/>
          <w:numId w:val="26"/>
        </w:numPr>
        <w:tabs>
          <w:tab w:val="left" w:pos="1701"/>
        </w:tabs>
        <w:spacing w:before="60"/>
        <w:ind w:left="1559" w:right="-1" w:hanging="425"/>
        <w:contextualSpacing w:val="0"/>
        <w:jc w:val="both"/>
      </w:pPr>
      <w:r w:rsidRPr="001B5DF4">
        <w:t>die Personen, die Öffnungen öffnen oder sich in unmittelbarer Nähe einer Öffnung aufhalten, die in Unterabschnitt 3.2.3. 2 Tabelle C, Spalte (18) vorgeschriebene Ausrüstung verwenden müssen.</w:t>
      </w:r>
    </w:p>
    <w:p w14:paraId="75C1E910" w14:textId="77777777" w:rsidR="00590FC0" w:rsidRPr="001B5DF4" w:rsidRDefault="00590FC0" w:rsidP="007A2FED">
      <w:pPr>
        <w:tabs>
          <w:tab w:val="left" w:pos="1701"/>
        </w:tabs>
        <w:ind w:left="1134" w:right="-1"/>
        <w:jc w:val="both"/>
      </w:pPr>
    </w:p>
    <w:p w14:paraId="2B16F07E" w14:textId="64997DAC" w:rsidR="00EC58E6" w:rsidRDefault="00317892" w:rsidP="007A2FED">
      <w:pPr>
        <w:tabs>
          <w:tab w:val="left" w:pos="1701"/>
        </w:tabs>
        <w:ind w:left="1134" w:right="-1"/>
        <w:jc w:val="both"/>
      </w:pPr>
      <w:r>
        <w:t>26</w:t>
      </w:r>
      <w:r w:rsidR="00590FC0" w:rsidRPr="001B5DF4">
        <w:t>.</w:t>
      </w:r>
      <w:r w:rsidR="00590FC0" w:rsidRPr="001B5DF4">
        <w:tab/>
        <w:t>Dadurch, dass</w:t>
      </w:r>
      <w:r w:rsidR="001A5F58" w:rsidRPr="001B5DF4">
        <w:t xml:space="preserve"> </w:t>
      </w:r>
      <w:r w:rsidR="00D0481C" w:rsidRPr="001B5DF4">
        <w:t>die</w:t>
      </w:r>
      <w:r w:rsidR="00997599" w:rsidRPr="001B5DF4">
        <w:t xml:space="preserve"> </w:t>
      </w:r>
      <w:r w:rsidR="00D0481C" w:rsidRPr="001B5DF4">
        <w:t>Vorschriften</w:t>
      </w:r>
      <w:r w:rsidR="00590FC0" w:rsidRPr="001B5DF4">
        <w:t xml:space="preserve"> über das Öffnen von Öffnungen neu strukturiert werden und alle bekannten Anwendungsfälle einbezogen werden (was im ADN 2023 noch nicht der Fall ist), werden die Vorschriften leicht verständlich, eindeutig, vollziehbar und kontrollierbar.</w:t>
      </w:r>
      <w:r w:rsidR="00C124D5" w:rsidRPr="001B5DF4">
        <w:t xml:space="preserve"> Eine ergänzende individuelle Auslegung, um Regelungslücken zu füllen, ist nicht mehr erforderlich. Sicherheitstechnisch bedenkliche Behelfslösungen werden somit überflüssig gemacht.</w:t>
      </w:r>
      <w:r w:rsidR="005B2CE4" w:rsidRPr="001B5DF4">
        <w:t xml:space="preserve"> Es ist eindeutig festgelegt, bei welcher Tätigkeit welche Vorkehrungen getroffen werden müssen, um das Austreten von entzündbaren oder giftigen Gasen/Dämpfen aus den Ladetanks so gering wie möglich zu halten und um das an den Ladetanks tätige Personal (Schiffsbesatzung, Mitarbeiter der Landanlagen, externe Dienstleister)</w:t>
      </w:r>
      <w:r w:rsidR="0094739B" w:rsidRPr="001B5DF4">
        <w:t xml:space="preserve"> bestmöglich zu schützen.</w:t>
      </w:r>
    </w:p>
    <w:p w14:paraId="146E62FC" w14:textId="62E565BE" w:rsidR="00EC58E6" w:rsidRDefault="00EC58E6" w:rsidP="007A2FED">
      <w:pPr>
        <w:suppressAutoHyphens w:val="0"/>
        <w:spacing w:line="240" w:lineRule="auto"/>
        <w:ind w:right="-1"/>
      </w:pPr>
    </w:p>
    <w:p w14:paraId="6E1F4965" w14:textId="77777777" w:rsidR="00937E27" w:rsidRDefault="00937E27">
      <w:pPr>
        <w:suppressAutoHyphens w:val="0"/>
        <w:spacing w:line="240" w:lineRule="auto"/>
        <w:rPr>
          <w:b/>
          <w:bCs/>
          <w:sz w:val="28"/>
          <w:szCs w:val="28"/>
        </w:rPr>
      </w:pPr>
      <w:r>
        <w:rPr>
          <w:b/>
          <w:bCs/>
          <w:sz w:val="28"/>
          <w:szCs w:val="28"/>
        </w:rPr>
        <w:br w:type="page"/>
      </w:r>
    </w:p>
    <w:p w14:paraId="2A14D7FC" w14:textId="17FA085B" w:rsidR="0010490F" w:rsidRPr="001B5DF4" w:rsidRDefault="00E810F5" w:rsidP="007A2FED">
      <w:pPr>
        <w:tabs>
          <w:tab w:val="left" w:pos="1701"/>
        </w:tabs>
        <w:ind w:left="1134" w:right="-1" w:hanging="567"/>
        <w:jc w:val="both"/>
        <w:rPr>
          <w:b/>
          <w:bCs/>
          <w:sz w:val="28"/>
          <w:szCs w:val="28"/>
        </w:rPr>
      </w:pPr>
      <w:r w:rsidRPr="001B5DF4">
        <w:rPr>
          <w:b/>
          <w:bCs/>
          <w:sz w:val="28"/>
          <w:szCs w:val="28"/>
        </w:rPr>
        <w:lastRenderedPageBreak/>
        <w:t>I</w:t>
      </w:r>
      <w:r w:rsidR="00B15D12" w:rsidRPr="001B5DF4">
        <w:rPr>
          <w:b/>
          <w:bCs/>
          <w:sz w:val="28"/>
          <w:szCs w:val="28"/>
        </w:rPr>
        <w:t xml:space="preserve">V. </w:t>
      </w:r>
      <w:r w:rsidR="00AF55BE" w:rsidRPr="001B5DF4">
        <w:rPr>
          <w:b/>
          <w:bCs/>
          <w:sz w:val="28"/>
          <w:szCs w:val="28"/>
        </w:rPr>
        <w:tab/>
      </w:r>
      <w:r w:rsidR="00BB77E8" w:rsidRPr="001B5DF4">
        <w:rPr>
          <w:b/>
          <w:bCs/>
          <w:sz w:val="28"/>
          <w:szCs w:val="28"/>
        </w:rPr>
        <w:t>Umsetzbarkeit</w:t>
      </w:r>
    </w:p>
    <w:p w14:paraId="7CAE9996" w14:textId="77777777" w:rsidR="00B15D12" w:rsidRPr="00EC58E6" w:rsidRDefault="00B15D12" w:rsidP="007A2FED">
      <w:pPr>
        <w:tabs>
          <w:tab w:val="left" w:pos="1701"/>
        </w:tabs>
        <w:ind w:left="1134" w:right="-1"/>
        <w:jc w:val="both"/>
      </w:pPr>
    </w:p>
    <w:p w14:paraId="514714CA" w14:textId="1B39C13A" w:rsidR="00FA59DF" w:rsidRPr="00EC58E6" w:rsidRDefault="00317892" w:rsidP="007A2FED">
      <w:pPr>
        <w:tabs>
          <w:tab w:val="left" w:pos="1701"/>
        </w:tabs>
        <w:ind w:left="1134" w:right="-1"/>
        <w:jc w:val="both"/>
      </w:pPr>
      <w:r>
        <w:t>27</w:t>
      </w:r>
      <w:r w:rsidR="00500C1C" w:rsidRPr="00EC58E6">
        <w:t>.</w:t>
      </w:r>
      <w:r w:rsidR="00B15D12" w:rsidRPr="00EC58E6">
        <w:tab/>
      </w:r>
      <w:r w:rsidR="00F97157" w:rsidRPr="00EC58E6">
        <w:t xml:space="preserve">Es sind keine Probleme bei der Umsetzung zu erwarten, da in der Praxis </w:t>
      </w:r>
      <w:r w:rsidR="004A20F6" w:rsidRPr="00EC58E6">
        <w:t xml:space="preserve">– </w:t>
      </w:r>
      <w:r w:rsidR="00F97157" w:rsidRPr="00EC58E6">
        <w:t>je nach Auslegung der bestehenden Rechtstexte</w:t>
      </w:r>
      <w:r w:rsidR="004A20F6" w:rsidRPr="00EC58E6">
        <w:t xml:space="preserve"> – </w:t>
      </w:r>
      <w:r w:rsidR="009111BB" w:rsidRPr="00EC58E6">
        <w:t xml:space="preserve">vermutlich schon </w:t>
      </w:r>
      <w:r w:rsidR="00F97157" w:rsidRPr="00EC58E6">
        <w:t xml:space="preserve">so verfahren </w:t>
      </w:r>
      <w:r w:rsidR="009111BB" w:rsidRPr="00EC58E6">
        <w:t>wird</w:t>
      </w:r>
      <w:r w:rsidR="00F97157" w:rsidRPr="00EC58E6">
        <w:t>.</w:t>
      </w:r>
    </w:p>
    <w:p w14:paraId="2EF5689E" w14:textId="77777777" w:rsidR="00C124D5" w:rsidRPr="00EC58E6" w:rsidRDefault="00C124D5" w:rsidP="007A2FED">
      <w:pPr>
        <w:tabs>
          <w:tab w:val="left" w:pos="1701"/>
        </w:tabs>
        <w:ind w:left="1134" w:right="-1"/>
        <w:jc w:val="both"/>
      </w:pPr>
    </w:p>
    <w:p w14:paraId="17BB4A12" w14:textId="7298B860" w:rsidR="00C124D5" w:rsidRPr="00EC58E6" w:rsidRDefault="00317892" w:rsidP="007A2FED">
      <w:pPr>
        <w:tabs>
          <w:tab w:val="left" w:pos="1701"/>
        </w:tabs>
        <w:ind w:left="1134" w:right="-1"/>
        <w:jc w:val="both"/>
      </w:pPr>
      <w:r>
        <w:t>28</w:t>
      </w:r>
      <w:r w:rsidR="00C124D5" w:rsidRPr="00EC58E6">
        <w:t>.</w:t>
      </w:r>
      <w:r w:rsidR="00C124D5" w:rsidRPr="00EC58E6">
        <w:tab/>
        <w:t xml:space="preserve">Es sind keine Änderungen an den Ladetanks erforderlich. Die </w:t>
      </w:r>
      <w:r w:rsidR="009111BB" w:rsidRPr="00EC58E6">
        <w:t>Rechtsänderungen rufen somit keine Investitionskosten hervor.</w:t>
      </w:r>
    </w:p>
    <w:p w14:paraId="3ACBC98C" w14:textId="77777777" w:rsidR="00937E27" w:rsidRDefault="00937E27" w:rsidP="007A2FED">
      <w:pPr>
        <w:tabs>
          <w:tab w:val="left" w:pos="1701"/>
        </w:tabs>
        <w:ind w:left="1134" w:right="-1" w:hanging="567"/>
        <w:jc w:val="both"/>
        <w:rPr>
          <w:b/>
          <w:bCs/>
          <w:sz w:val="28"/>
          <w:szCs w:val="28"/>
        </w:rPr>
      </w:pPr>
    </w:p>
    <w:p w14:paraId="6A72D1CC" w14:textId="28A0C5AA" w:rsidR="00677890" w:rsidRPr="00EC58E6" w:rsidRDefault="00CA7E6D" w:rsidP="007A2FED">
      <w:pPr>
        <w:tabs>
          <w:tab w:val="left" w:pos="1701"/>
        </w:tabs>
        <w:ind w:left="1134" w:right="-1" w:hanging="567"/>
        <w:jc w:val="both"/>
        <w:rPr>
          <w:b/>
          <w:bCs/>
          <w:sz w:val="28"/>
          <w:szCs w:val="28"/>
        </w:rPr>
      </w:pPr>
      <w:r w:rsidRPr="00EC58E6">
        <w:rPr>
          <w:b/>
          <w:bCs/>
          <w:sz w:val="28"/>
          <w:szCs w:val="28"/>
        </w:rPr>
        <w:t>V.</w:t>
      </w:r>
      <w:r w:rsidR="00EC58E6">
        <w:rPr>
          <w:b/>
          <w:bCs/>
          <w:sz w:val="28"/>
          <w:szCs w:val="28"/>
        </w:rPr>
        <w:tab/>
      </w:r>
      <w:r w:rsidRPr="00EC58E6">
        <w:rPr>
          <w:b/>
          <w:bCs/>
          <w:sz w:val="28"/>
          <w:szCs w:val="28"/>
        </w:rPr>
        <w:t>Nachhaltigkeit</w:t>
      </w:r>
    </w:p>
    <w:p w14:paraId="51E77E0A" w14:textId="77777777" w:rsidR="009111BB" w:rsidRPr="00EC58E6" w:rsidRDefault="009111BB" w:rsidP="007A2FED">
      <w:pPr>
        <w:tabs>
          <w:tab w:val="left" w:pos="1701"/>
        </w:tabs>
        <w:ind w:left="1134" w:right="-1"/>
        <w:jc w:val="both"/>
      </w:pPr>
    </w:p>
    <w:p w14:paraId="38DB13EF" w14:textId="45290524" w:rsidR="005B2CE4" w:rsidRPr="00EC58E6" w:rsidRDefault="00317892" w:rsidP="007A2FED">
      <w:pPr>
        <w:tabs>
          <w:tab w:val="left" w:pos="1701"/>
        </w:tabs>
        <w:ind w:left="1134" w:right="-1"/>
        <w:jc w:val="both"/>
      </w:pPr>
      <w:r>
        <w:t>29</w:t>
      </w:r>
      <w:r w:rsidR="005B2CE4" w:rsidRPr="00EC58E6">
        <w:t>.</w:t>
      </w:r>
      <w:r w:rsidR="005B2CE4" w:rsidRPr="00EC58E6">
        <w:tab/>
        <w:t>Die Vorschriften über das Öffnen von Öffnungen</w:t>
      </w:r>
      <w:r w:rsidR="0094739B" w:rsidRPr="00EC58E6">
        <w:t xml:space="preserve"> könne</w:t>
      </w:r>
      <w:r w:rsidR="00226A0B" w:rsidRPr="00EC58E6">
        <w:t>n</w:t>
      </w:r>
      <w:r w:rsidR="0094739B" w:rsidRPr="00EC58E6">
        <w:t xml:space="preserve"> </w:t>
      </w:r>
      <w:r w:rsidR="000D5558" w:rsidRPr="00EC58E6">
        <w:t>insbesonder</w:t>
      </w:r>
      <w:r w:rsidR="00D317C2" w:rsidRPr="00EC58E6">
        <w:t>e</w:t>
      </w:r>
      <w:r w:rsidR="000D5558" w:rsidRPr="00EC58E6">
        <w:t xml:space="preserve"> </w:t>
      </w:r>
      <w:r w:rsidR="0094739B" w:rsidRPr="00EC58E6">
        <w:t>mit den folgenden Nachhaltigkeitszielen in Verbindung bebracht werden. (Siehe I</w:t>
      </w:r>
      <w:r w:rsidR="00CC3099" w:rsidRPr="00EC58E6">
        <w:t>NF.</w:t>
      </w:r>
      <w:r w:rsidR="0094739B" w:rsidRPr="00EC58E6">
        <w:t xml:space="preserve"> </w:t>
      </w:r>
      <w:r w:rsidR="00CC3099" w:rsidRPr="00EC58E6">
        <w:t>23</w:t>
      </w:r>
      <w:r w:rsidR="0094739B" w:rsidRPr="00EC58E6">
        <w:t xml:space="preserve"> zur Frühjahrssitzung 2023 der Gemeinsamen Tagung RID/ADR/ADN</w:t>
      </w:r>
      <w:r w:rsidR="0051536C" w:rsidRPr="00EC58E6">
        <w:t>):</w:t>
      </w:r>
    </w:p>
    <w:p w14:paraId="47988A8B" w14:textId="77777777" w:rsidR="009111BB" w:rsidRPr="00EC58E6" w:rsidRDefault="009111BB" w:rsidP="007A2FED">
      <w:pPr>
        <w:tabs>
          <w:tab w:val="left" w:pos="1701"/>
        </w:tabs>
        <w:ind w:left="1134" w:right="-1"/>
        <w:jc w:val="both"/>
      </w:pPr>
    </w:p>
    <w:p w14:paraId="4207E4B7" w14:textId="77777777" w:rsidR="00CC3099" w:rsidRPr="00EC58E6" w:rsidRDefault="00CC3099" w:rsidP="007A2FED">
      <w:pPr>
        <w:tabs>
          <w:tab w:val="left" w:pos="1701"/>
        </w:tabs>
        <w:ind w:left="1134" w:right="-1"/>
        <w:jc w:val="both"/>
        <w:rPr>
          <w:b/>
        </w:rPr>
      </w:pPr>
      <w:r w:rsidRPr="00EC58E6">
        <w:rPr>
          <w:b/>
        </w:rPr>
        <w:t>Ziel 3</w:t>
      </w:r>
      <w:r w:rsidR="003205B3" w:rsidRPr="00EC58E6">
        <w:rPr>
          <w:b/>
        </w:rPr>
        <w:t xml:space="preserve"> Gesundheit und Wohlergehen</w:t>
      </w:r>
    </w:p>
    <w:p w14:paraId="43DE21BD" w14:textId="77777777" w:rsidR="003205B3" w:rsidRPr="00EC58E6" w:rsidRDefault="003205B3" w:rsidP="007A2FED">
      <w:pPr>
        <w:tabs>
          <w:tab w:val="left" w:pos="1701"/>
        </w:tabs>
        <w:ind w:left="1134" w:right="-1"/>
        <w:jc w:val="both"/>
      </w:pPr>
    </w:p>
    <w:p w14:paraId="3BC120A9" w14:textId="306EDD8D" w:rsidR="00CC3099" w:rsidRPr="00EC58E6" w:rsidRDefault="00317892" w:rsidP="007A2FED">
      <w:pPr>
        <w:tabs>
          <w:tab w:val="left" w:pos="1701"/>
        </w:tabs>
        <w:ind w:left="1134" w:right="-1"/>
        <w:jc w:val="both"/>
      </w:pPr>
      <w:r>
        <w:t>30.</w:t>
      </w:r>
      <w:r>
        <w:tab/>
      </w:r>
      <w:r w:rsidR="000F3F68" w:rsidRPr="00EC58E6">
        <w:t xml:space="preserve">Die vorgeschlagenen Regeln </w:t>
      </w:r>
      <w:r w:rsidR="00F95A69" w:rsidRPr="00EC58E6">
        <w:t xml:space="preserve">gewährleisten einen sicheren Umgang mit gefährlichen Chemikalien während der Beförderung. </w:t>
      </w:r>
      <w:r w:rsidR="00CC3099" w:rsidRPr="00EC58E6">
        <w:t xml:space="preserve"> </w:t>
      </w:r>
      <w:r w:rsidR="00F95A69" w:rsidRPr="00EC58E6">
        <w:t>Die Beteiligten erhalten angemessene Informationen, wie mit den gefährlichen Gütern umzugehen ist.</w:t>
      </w:r>
    </w:p>
    <w:p w14:paraId="7B0EB46E" w14:textId="77777777" w:rsidR="00CC3099" w:rsidRPr="00EC58E6" w:rsidRDefault="00CC3099" w:rsidP="007A2FED">
      <w:pPr>
        <w:tabs>
          <w:tab w:val="left" w:pos="1701"/>
        </w:tabs>
        <w:ind w:left="1134" w:right="-1"/>
        <w:jc w:val="both"/>
      </w:pPr>
    </w:p>
    <w:p w14:paraId="7E2CD346" w14:textId="77777777" w:rsidR="00BA09B9" w:rsidRPr="00EC58E6" w:rsidRDefault="0051536C" w:rsidP="007A2FED">
      <w:pPr>
        <w:tabs>
          <w:tab w:val="left" w:pos="1701"/>
        </w:tabs>
        <w:ind w:left="1134" w:right="-1"/>
        <w:jc w:val="both"/>
        <w:rPr>
          <w:b/>
        </w:rPr>
      </w:pPr>
      <w:r w:rsidRPr="00EC58E6">
        <w:rPr>
          <w:b/>
        </w:rPr>
        <w:t xml:space="preserve">Ziel 6 </w:t>
      </w:r>
      <w:r w:rsidR="00BA09B9" w:rsidRPr="00EC58E6">
        <w:rPr>
          <w:b/>
        </w:rPr>
        <w:t>Sauberes Wasser und Sanitäreinrichtungen</w:t>
      </w:r>
    </w:p>
    <w:p w14:paraId="18B21340" w14:textId="77777777" w:rsidR="00CC3099" w:rsidRPr="00EC58E6" w:rsidRDefault="00CC3099" w:rsidP="007A2FED">
      <w:pPr>
        <w:tabs>
          <w:tab w:val="left" w:pos="1701"/>
        </w:tabs>
        <w:ind w:left="1134" w:right="-1"/>
        <w:jc w:val="both"/>
      </w:pPr>
    </w:p>
    <w:p w14:paraId="02994A9B" w14:textId="24E7848F" w:rsidR="00087575" w:rsidRPr="00EC58E6" w:rsidRDefault="00317892" w:rsidP="007A2FED">
      <w:pPr>
        <w:tabs>
          <w:tab w:val="left" w:pos="1701"/>
        </w:tabs>
        <w:ind w:left="1134" w:right="-1"/>
        <w:jc w:val="both"/>
      </w:pPr>
      <w:r>
        <w:t>31.</w:t>
      </w:r>
      <w:r>
        <w:tab/>
      </w:r>
      <w:r w:rsidR="00087575" w:rsidRPr="00EC58E6">
        <w:t xml:space="preserve">Mit den vorgeschlagenen Vorschriften wird ein Beitrag geleistet zur Vermeidung eines Eintrages gefährlicher Güter aus </w:t>
      </w:r>
      <w:r w:rsidR="00DD2083" w:rsidRPr="00EC58E6">
        <w:t>geöffneten</w:t>
      </w:r>
      <w:r w:rsidR="00087575" w:rsidRPr="00EC58E6">
        <w:t xml:space="preserve"> Ladetanks in die Wasserstraßen, um Gewässerverunreinigungen vorzubeugen.</w:t>
      </w:r>
    </w:p>
    <w:p w14:paraId="4DCFD34E" w14:textId="77777777" w:rsidR="00087575" w:rsidRPr="00EC58E6" w:rsidRDefault="00087575" w:rsidP="007A2FED">
      <w:pPr>
        <w:tabs>
          <w:tab w:val="left" w:pos="1701"/>
        </w:tabs>
        <w:ind w:left="1134" w:right="-1"/>
        <w:jc w:val="both"/>
      </w:pPr>
    </w:p>
    <w:p w14:paraId="38EA3D9E" w14:textId="77777777" w:rsidR="00CC3099" w:rsidRPr="00EC58E6" w:rsidRDefault="00CC3099" w:rsidP="007A2FED">
      <w:pPr>
        <w:tabs>
          <w:tab w:val="left" w:pos="1701"/>
        </w:tabs>
        <w:ind w:left="1134" w:right="-1"/>
        <w:jc w:val="both"/>
        <w:rPr>
          <w:b/>
        </w:rPr>
      </w:pPr>
      <w:r w:rsidRPr="00EC58E6">
        <w:rPr>
          <w:b/>
        </w:rPr>
        <w:t>Ziel 8</w:t>
      </w:r>
      <w:r w:rsidR="00BA09B9" w:rsidRPr="00EC58E6">
        <w:rPr>
          <w:b/>
        </w:rPr>
        <w:t xml:space="preserve"> Menschenwürdige Arbeit und </w:t>
      </w:r>
      <w:r w:rsidR="00DD2083" w:rsidRPr="00EC58E6">
        <w:rPr>
          <w:b/>
        </w:rPr>
        <w:t>Wirtschaftswachstum</w:t>
      </w:r>
    </w:p>
    <w:p w14:paraId="0D4A9E8F" w14:textId="77777777" w:rsidR="00BA09B9" w:rsidRPr="00EC58E6" w:rsidRDefault="00BA09B9" w:rsidP="007A2FED">
      <w:pPr>
        <w:tabs>
          <w:tab w:val="left" w:pos="1701"/>
        </w:tabs>
        <w:ind w:left="1134" w:right="-1"/>
        <w:jc w:val="both"/>
      </w:pPr>
    </w:p>
    <w:p w14:paraId="02B1845B" w14:textId="11F6DF1A" w:rsidR="00CC3099" w:rsidRPr="00EC58E6" w:rsidRDefault="00317892" w:rsidP="007A2FED">
      <w:pPr>
        <w:tabs>
          <w:tab w:val="left" w:pos="1701"/>
        </w:tabs>
        <w:ind w:left="1134" w:right="-1"/>
        <w:jc w:val="both"/>
      </w:pPr>
      <w:r>
        <w:t>32.</w:t>
      </w:r>
      <w:r>
        <w:tab/>
      </w:r>
      <w:r w:rsidR="00882A9B" w:rsidRPr="00EC58E6">
        <w:t xml:space="preserve">Alle Arbeitnehmer in den Vertragsparteien des ADN, die auf Binnentankschiffen beschäftigt sind, sowie alle Arbeitnehmer, die bei Befüllern und Entladern von </w:t>
      </w:r>
      <w:r w:rsidR="00DD2083" w:rsidRPr="00EC58E6">
        <w:t>Tankschiffen</w:t>
      </w:r>
      <w:r w:rsidR="00882A9B" w:rsidRPr="00EC58E6">
        <w:t xml:space="preserve"> beschäftigt sind, haben Zugang zu einem gleichwertigen Schutzniveau und zu den erforderlichen Informationen, wie sie</w:t>
      </w:r>
      <w:r w:rsidR="00B641B7" w:rsidRPr="00EC58E6">
        <w:t xml:space="preserve"> an ihrem Arbeitsplatz in Abhängigkeit von den gefährlichen Gütern, mit den sie umgehen, geeignete Schutzmaßnahmen ergreifen können.</w:t>
      </w:r>
    </w:p>
    <w:p w14:paraId="6F2F5792" w14:textId="77777777" w:rsidR="00BA09B9" w:rsidRPr="00EC58E6" w:rsidRDefault="00BA09B9" w:rsidP="007A2FED">
      <w:pPr>
        <w:tabs>
          <w:tab w:val="left" w:pos="1701"/>
        </w:tabs>
        <w:ind w:left="1134" w:right="-1"/>
        <w:jc w:val="both"/>
      </w:pPr>
    </w:p>
    <w:p w14:paraId="063F64F2" w14:textId="77777777" w:rsidR="0051536C" w:rsidRPr="00EC58E6" w:rsidRDefault="0051536C" w:rsidP="007A2FED">
      <w:pPr>
        <w:tabs>
          <w:tab w:val="left" w:pos="1701"/>
        </w:tabs>
        <w:ind w:left="1134" w:right="-1"/>
        <w:jc w:val="both"/>
        <w:rPr>
          <w:b/>
        </w:rPr>
      </w:pPr>
      <w:r w:rsidRPr="00EC58E6">
        <w:rPr>
          <w:b/>
        </w:rPr>
        <w:t xml:space="preserve">Ziel 17 </w:t>
      </w:r>
      <w:r w:rsidR="00D20077" w:rsidRPr="00EC58E6">
        <w:rPr>
          <w:b/>
        </w:rPr>
        <w:t>Partnerschaften zur Erreichung der Ziele</w:t>
      </w:r>
    </w:p>
    <w:p w14:paraId="4910477E" w14:textId="77777777" w:rsidR="00D20077" w:rsidRPr="00EC58E6" w:rsidRDefault="00D20077" w:rsidP="007A2FED">
      <w:pPr>
        <w:tabs>
          <w:tab w:val="left" w:pos="1701"/>
        </w:tabs>
        <w:ind w:left="1134" w:right="-1"/>
        <w:jc w:val="both"/>
      </w:pPr>
    </w:p>
    <w:p w14:paraId="109393BA" w14:textId="5B67E744" w:rsidR="0051536C" w:rsidRPr="00EC58E6" w:rsidRDefault="00317892" w:rsidP="007A2FED">
      <w:pPr>
        <w:tabs>
          <w:tab w:val="left" w:pos="1701"/>
        </w:tabs>
        <w:ind w:left="1134" w:right="-1"/>
        <w:jc w:val="both"/>
      </w:pPr>
      <w:r>
        <w:t>33.</w:t>
      </w:r>
      <w:r>
        <w:tab/>
      </w:r>
      <w:r w:rsidR="001F34A6" w:rsidRPr="00EC58E6">
        <w:t xml:space="preserve">Mit dem Verweis darauf, dass das Öffnen von Öffnungen, und damit die Freisetzung von schädlichen Gasen und Dämpfen aus den Ladetanks nach anderen Rechtsvorschriften verboten sein könnte, </w:t>
      </w:r>
      <w:r w:rsidR="00DD58C5" w:rsidRPr="00EC58E6">
        <w:t>um aus anderen Gründen als der Sicherheit der Beförderung Unfälle und Schäden für Personen oder die Umwelt zu verhindern, wird die Erreichung dieser Ziele partnerschaftlich respektiert und unterstützt.</w:t>
      </w:r>
    </w:p>
    <w:p w14:paraId="08971014" w14:textId="77777777" w:rsidR="003205B3" w:rsidRPr="001B5DF4" w:rsidRDefault="003205B3" w:rsidP="007A2FED">
      <w:pPr>
        <w:tabs>
          <w:tab w:val="left" w:pos="1701"/>
        </w:tabs>
        <w:ind w:left="1134" w:right="-1"/>
      </w:pPr>
    </w:p>
    <w:p w14:paraId="66019972" w14:textId="2389F311" w:rsidR="00226A0B" w:rsidRPr="001B5DF4" w:rsidRDefault="005B4493" w:rsidP="007A2FED">
      <w:pPr>
        <w:tabs>
          <w:tab w:val="left" w:pos="1701"/>
        </w:tabs>
        <w:ind w:left="1134" w:right="-1"/>
        <w:jc w:val="center"/>
      </w:pPr>
      <w:r w:rsidRPr="001B5DF4">
        <w:t>***</w:t>
      </w:r>
    </w:p>
    <w:sectPr w:rsidR="00226A0B" w:rsidRPr="001B5DF4" w:rsidSect="0067789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CE2E" w14:textId="77777777" w:rsidR="00221FB6" w:rsidRDefault="00221FB6">
      <w:pPr>
        <w:rPr>
          <w:szCs w:val="24"/>
        </w:rPr>
      </w:pPr>
    </w:p>
  </w:endnote>
  <w:endnote w:type="continuationSeparator" w:id="0">
    <w:p w14:paraId="673AAAAF" w14:textId="77777777" w:rsidR="00221FB6" w:rsidRDefault="00221FB6">
      <w:pPr>
        <w:rPr>
          <w:szCs w:val="24"/>
        </w:rPr>
      </w:pPr>
    </w:p>
  </w:endnote>
  <w:endnote w:type="continuationNotice" w:id="1">
    <w:p w14:paraId="7A9A93AE" w14:textId="77777777" w:rsidR="00221FB6" w:rsidRDefault="00221FB6">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DCE1" w14:textId="5D296FD0" w:rsidR="00D06FD8" w:rsidRPr="00D06FD8" w:rsidRDefault="00D06FD8" w:rsidP="00D06FD8">
    <w:pPr>
      <w:spacing w:line="240" w:lineRule="auto"/>
      <w:jc w:val="right"/>
      <w:rPr>
        <w:lang w:val="fr-FR"/>
      </w:rPr>
    </w:pPr>
    <w:bookmarkStart w:id="9" w:name="_Hlk133498059"/>
    <w:bookmarkStart w:id="10" w:name="_Hlk133498060"/>
    <w:bookmarkStart w:id="11" w:name="_Hlk137800583"/>
    <w:bookmarkStart w:id="12" w:name="_Hlk137800584"/>
    <w:proofErr w:type="gramStart"/>
    <w:r w:rsidRPr="00D06FD8">
      <w:rPr>
        <w:rFonts w:ascii="Arial" w:hAnsi="Arial"/>
        <w:sz w:val="12"/>
        <w:lang w:val="fr-FR"/>
      </w:rPr>
      <w:t>mm</w:t>
    </w:r>
    <w:proofErr w:type="gramEnd"/>
    <w:r w:rsidRPr="00D06FD8">
      <w:rPr>
        <w:rFonts w:ascii="Arial" w:hAnsi="Arial"/>
        <w:sz w:val="12"/>
        <w:lang w:val="fr-FR"/>
      </w:rPr>
      <w:t>/adn_wp15_ac2_2023_</w:t>
    </w:r>
    <w:r w:rsidR="008E71D0">
      <w:rPr>
        <w:rFonts w:ascii="Arial" w:hAnsi="Arial"/>
        <w:sz w:val="12"/>
        <w:lang w:val="fr-FR"/>
      </w:rPr>
      <w:t>47</w:t>
    </w:r>
    <w:r w:rsidRPr="00D06FD8">
      <w:rPr>
        <w:rFonts w:ascii="Arial" w:hAnsi="Arial"/>
        <w:sz w:val="12"/>
        <w:lang w:val="fr-FR"/>
      </w:rPr>
      <w:t>de</w:t>
    </w:r>
    <w:bookmarkEnd w:id="9"/>
    <w:bookmarkEnd w:id="10"/>
    <w:bookmarkEnd w:id="11"/>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5C13" w14:textId="36AC2C3C" w:rsidR="008E71D0" w:rsidRDefault="008E71D0" w:rsidP="008E71D0">
    <w:pPr>
      <w:spacing w:line="240" w:lineRule="auto"/>
      <w:jc w:val="right"/>
    </w:pPr>
    <w:proofErr w:type="gramStart"/>
    <w:r w:rsidRPr="00D06FD8">
      <w:rPr>
        <w:rFonts w:ascii="Arial" w:hAnsi="Arial"/>
        <w:sz w:val="12"/>
        <w:lang w:val="fr-FR"/>
      </w:rPr>
      <w:t>mm</w:t>
    </w:r>
    <w:proofErr w:type="gramEnd"/>
    <w:r w:rsidRPr="00D06FD8">
      <w:rPr>
        <w:rFonts w:ascii="Arial" w:hAnsi="Arial"/>
        <w:sz w:val="12"/>
        <w:lang w:val="fr-FR"/>
      </w:rPr>
      <w:t>/adn_wp15_ac2_2023_</w:t>
    </w:r>
    <w:r>
      <w:rPr>
        <w:rFonts w:ascii="Arial" w:hAnsi="Arial"/>
        <w:sz w:val="12"/>
        <w:lang w:val="fr-FR"/>
      </w:rPr>
      <w:t>47</w:t>
    </w:r>
    <w:r w:rsidRPr="00D06FD8">
      <w:rPr>
        <w:rFonts w:ascii="Arial" w:hAnsi="Arial"/>
        <w:sz w:val="12"/>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A8C4" w14:textId="77777777" w:rsidR="004920BF" w:rsidRDefault="004920BF">
    <w:pPr>
      <w:pStyle w:val="Pieddepage"/>
    </w:pPr>
    <w:r>
      <w:rPr>
        <w:noProof/>
        <w:snapToGrid/>
        <w:lang w:eastAsia="de-DE"/>
      </w:rPr>
      <mc:AlternateContent>
        <mc:Choice Requires="wps">
          <w:drawing>
            <wp:anchor distT="0" distB="0" distL="114300" distR="114300" simplePos="0" relativeHeight="251654656" behindDoc="0" locked="0" layoutInCell="0" allowOverlap="1" wp14:anchorId="21396BFE" wp14:editId="32F0AF90">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4498C" w14:textId="77777777" w:rsidR="004920BF" w:rsidRPr="00520EDF"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396BFE"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2DB4498C" w14:textId="77777777" w:rsidR="004920BF" w:rsidRPr="00520EDF"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B49C" w14:textId="77777777" w:rsidR="00221FB6" w:rsidRDefault="00221FB6">
      <w:pPr>
        <w:tabs>
          <w:tab w:val="right" w:pos="2155"/>
        </w:tabs>
        <w:spacing w:after="80"/>
        <w:ind w:left="680"/>
        <w:rPr>
          <w:szCs w:val="24"/>
          <w:u w:val="single"/>
        </w:rPr>
      </w:pPr>
      <w:r>
        <w:rPr>
          <w:szCs w:val="24"/>
          <w:u w:val="single"/>
        </w:rPr>
        <w:tab/>
      </w:r>
    </w:p>
  </w:footnote>
  <w:footnote w:type="continuationSeparator" w:id="0">
    <w:p w14:paraId="2215BD46" w14:textId="77777777" w:rsidR="00221FB6" w:rsidRDefault="00221FB6">
      <w:pPr>
        <w:tabs>
          <w:tab w:val="right" w:pos="2155"/>
        </w:tabs>
        <w:spacing w:after="80"/>
        <w:ind w:left="680"/>
        <w:rPr>
          <w:szCs w:val="24"/>
          <w:u w:val="single"/>
        </w:rPr>
      </w:pPr>
      <w:r>
        <w:rPr>
          <w:szCs w:val="24"/>
          <w:u w:val="single"/>
        </w:rPr>
        <w:tab/>
      </w:r>
    </w:p>
  </w:footnote>
  <w:footnote w:type="continuationNotice" w:id="1">
    <w:p w14:paraId="382AF5E0" w14:textId="77777777" w:rsidR="00221FB6" w:rsidRDefault="00221FB6">
      <w:pPr>
        <w:rPr>
          <w:szCs w:val="24"/>
        </w:rPr>
      </w:pPr>
    </w:p>
  </w:footnote>
  <w:footnote w:id="2">
    <w:p w14:paraId="56382B72" w14:textId="0EB79502" w:rsidR="005A1D82" w:rsidRDefault="005A1D82" w:rsidP="00264628">
      <w:pPr>
        <w:pStyle w:val="Notedebasdepage"/>
      </w:pPr>
    </w:p>
    <w:p w14:paraId="568BFB4E" w14:textId="35494065" w:rsidR="00264628" w:rsidRPr="00264628" w:rsidRDefault="00264628" w:rsidP="00264628">
      <w:pPr>
        <w:pStyle w:val="Notedebasdepage"/>
        <w:rPr>
          <w:sz w:val="16"/>
          <w:szCs w:val="16"/>
        </w:rPr>
      </w:pPr>
      <w:r w:rsidRPr="00264628">
        <w:rPr>
          <w:rStyle w:val="Appelnotedebasdep"/>
          <w:lang w:val="de-DE"/>
        </w:rPr>
        <w:tab/>
        <w:t>*</w:t>
      </w:r>
      <w:r w:rsidRPr="00264628">
        <w:rPr>
          <w:rStyle w:val="Appelnotedebasdep"/>
          <w:lang w:val="de-DE"/>
        </w:rPr>
        <w:tab/>
      </w:r>
      <w:r w:rsidRPr="00264628">
        <w:rPr>
          <w:sz w:val="16"/>
          <w:szCs w:val="16"/>
        </w:rPr>
        <w:t>Von der UNECE in Englisch, Französisch und Russisch unter dem Aktenzeichen ECE/TRANS/WP.15/AC.2/</w:t>
      </w:r>
      <w:r w:rsidR="008E71D0">
        <w:rPr>
          <w:sz w:val="16"/>
          <w:szCs w:val="16"/>
        </w:rPr>
        <w:t>47</w:t>
      </w:r>
      <w:r w:rsidRPr="00264628">
        <w:rPr>
          <w:sz w:val="16"/>
          <w:szCs w:val="16"/>
        </w:rPr>
        <w:t xml:space="preserve"> verteilt.</w:t>
      </w:r>
    </w:p>
  </w:footnote>
  <w:footnote w:id="3">
    <w:p w14:paraId="5334D0ED" w14:textId="66DC9DA7" w:rsidR="00264628" w:rsidRDefault="00264628" w:rsidP="00264628">
      <w:pPr>
        <w:pStyle w:val="Notedebasdepage"/>
        <w:rPr>
          <w:sz w:val="16"/>
          <w:szCs w:val="16"/>
        </w:rPr>
      </w:pPr>
      <w:r w:rsidRPr="00264628">
        <w:rPr>
          <w:rStyle w:val="Appelnotedebasdep"/>
          <w:lang w:val="de-DE"/>
        </w:rPr>
        <w:tab/>
        <w:t>**</w:t>
      </w:r>
      <w:r w:rsidRPr="00264628">
        <w:rPr>
          <w:rStyle w:val="Appelnotedebasdep"/>
          <w:lang w:val="de-DE"/>
        </w:rPr>
        <w:tab/>
      </w:r>
      <w:r w:rsidR="001E254A" w:rsidRPr="001E254A">
        <w:rPr>
          <w:snapToGrid/>
          <w:sz w:val="16"/>
          <w:szCs w:val="16"/>
          <w:lang w:val="fr-FR"/>
        </w:rPr>
        <w:t>A/77/6 (</w:t>
      </w:r>
      <w:proofErr w:type="spellStart"/>
      <w:r w:rsidR="001E254A">
        <w:rPr>
          <w:snapToGrid/>
          <w:sz w:val="16"/>
          <w:szCs w:val="16"/>
          <w:lang w:val="fr-FR"/>
        </w:rPr>
        <w:t>Kap</w:t>
      </w:r>
      <w:proofErr w:type="spellEnd"/>
      <w:r w:rsidR="001E254A" w:rsidRPr="001E254A">
        <w:rPr>
          <w:snapToGrid/>
          <w:sz w:val="16"/>
          <w:szCs w:val="16"/>
          <w:lang w:val="fr-FR"/>
        </w:rPr>
        <w:t>. 20) Tab</w:t>
      </w:r>
      <w:r w:rsidR="001E254A">
        <w:rPr>
          <w:snapToGrid/>
          <w:sz w:val="16"/>
          <w:szCs w:val="16"/>
          <w:lang w:val="fr-FR"/>
        </w:rPr>
        <w:t>elle</w:t>
      </w:r>
      <w:r w:rsidR="001E254A" w:rsidRPr="001E254A">
        <w:rPr>
          <w:snapToGrid/>
          <w:sz w:val="16"/>
          <w:szCs w:val="16"/>
          <w:lang w:val="fr-FR"/>
        </w:rPr>
        <w:t xml:space="preserve"> 20.6</w:t>
      </w:r>
      <w:r w:rsidR="00256050" w:rsidRPr="00256050">
        <w:rPr>
          <w:sz w:val="16"/>
          <w:szCs w:val="16"/>
        </w:rPr>
        <w:t>.</w:t>
      </w:r>
    </w:p>
    <w:p w14:paraId="01987A5B" w14:textId="5336B14C" w:rsidR="005A1D82" w:rsidRPr="005A1D82" w:rsidRDefault="005A1D82" w:rsidP="005A1D82">
      <w:pPr>
        <w:pStyle w:val="Notedebasdepage"/>
        <w:rPr>
          <w:sz w:val="16"/>
          <w:szCs w:val="16"/>
        </w:rPr>
      </w:pPr>
      <w:r w:rsidRPr="00264628">
        <w:rPr>
          <w:rStyle w:val="Appelnotedebasdep"/>
          <w:lang w:val="de-DE"/>
        </w:rPr>
        <w:tab/>
        <w:t>***</w:t>
      </w:r>
      <w:r w:rsidRPr="00264628">
        <w:rPr>
          <w:rStyle w:val="Appelnotedebasdep"/>
          <w:lang w:val="de-DE"/>
        </w:rPr>
        <w:tab/>
      </w:r>
      <w:r w:rsidRPr="005A1D82">
        <w:rPr>
          <w:sz w:val="16"/>
          <w:szCs w:val="16"/>
        </w:rPr>
        <w:t>Dieses Dokument wurde aufgrund unvorhergesehener Umstände verspätet eingereicht</w:t>
      </w:r>
      <w:r w:rsidRPr="005A1D82">
        <w:rPr>
          <w:sz w:val="16"/>
          <w:szCs w:val="16"/>
        </w:rPr>
        <w:t>.</w:t>
      </w:r>
    </w:p>
    <w:p w14:paraId="3E212B52" w14:textId="77777777" w:rsidR="005A1D82" w:rsidRPr="00264628" w:rsidRDefault="005A1D82" w:rsidP="00264628">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5B30" w14:textId="68B1AA4D" w:rsidR="004920BF" w:rsidRPr="00264628" w:rsidRDefault="004920BF">
    <w:pPr>
      <w:tabs>
        <w:tab w:val="center" w:pos="4320"/>
        <w:tab w:val="right" w:pos="8640"/>
      </w:tabs>
      <w:suppressAutoHyphens w:val="0"/>
      <w:spacing w:line="240" w:lineRule="auto"/>
      <w:rPr>
        <w:rFonts w:ascii="Arial" w:hAnsi="Arial"/>
        <w:sz w:val="16"/>
        <w:szCs w:val="24"/>
        <w:lang w:val="fr-FR"/>
      </w:rPr>
    </w:pPr>
    <w:r w:rsidRPr="00264628">
      <w:rPr>
        <w:rFonts w:ascii="Arial" w:hAnsi="Arial"/>
        <w:sz w:val="16"/>
        <w:szCs w:val="24"/>
        <w:lang w:val="fr-FR"/>
      </w:rPr>
      <w:t>CCNR-ZKR/ADN/WP.15/AC.2/202</w:t>
    </w:r>
    <w:r w:rsidR="005E6762">
      <w:rPr>
        <w:rFonts w:ascii="Arial" w:hAnsi="Arial"/>
        <w:sz w:val="16"/>
        <w:szCs w:val="24"/>
        <w:lang w:val="fr-FR"/>
      </w:rPr>
      <w:t>3/</w:t>
    </w:r>
    <w:r w:rsidR="008E71D0">
      <w:rPr>
        <w:rFonts w:ascii="Arial" w:hAnsi="Arial"/>
        <w:sz w:val="16"/>
        <w:szCs w:val="24"/>
        <w:lang w:val="fr-FR"/>
      </w:rPr>
      <w:t>47</w:t>
    </w:r>
  </w:p>
  <w:p w14:paraId="7D2C14CE" w14:textId="77777777" w:rsidR="004920BF" w:rsidRDefault="004920BF">
    <w:pPr>
      <w:tabs>
        <w:tab w:val="center" w:pos="4320"/>
        <w:tab w:val="right" w:pos="8640"/>
      </w:tabs>
      <w:suppressAutoHyphens w:val="0"/>
      <w:spacing w:line="240" w:lineRule="auto"/>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8</w:t>
    </w:r>
    <w:r>
      <w:rPr>
        <w:rFonts w:ascii="Arial" w:hAnsi="Arial"/>
        <w:sz w:val="16"/>
        <w:szCs w:val="2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67AD" w14:textId="0EBA2D33" w:rsidR="004920BF" w:rsidRPr="00264628" w:rsidRDefault="004920BF">
    <w:pPr>
      <w:tabs>
        <w:tab w:val="center" w:pos="4320"/>
        <w:tab w:val="right" w:pos="8640"/>
      </w:tabs>
      <w:suppressAutoHyphens w:val="0"/>
      <w:spacing w:line="240" w:lineRule="auto"/>
      <w:jc w:val="right"/>
      <w:rPr>
        <w:rFonts w:ascii="Arial" w:hAnsi="Arial"/>
        <w:sz w:val="16"/>
        <w:szCs w:val="24"/>
        <w:lang w:val="fr-FR"/>
      </w:rPr>
    </w:pPr>
    <w:r w:rsidRPr="00264628">
      <w:rPr>
        <w:rFonts w:ascii="Arial" w:hAnsi="Arial"/>
        <w:sz w:val="16"/>
        <w:szCs w:val="24"/>
        <w:lang w:val="fr-FR"/>
      </w:rPr>
      <w:t>CCNR-ZKR/ADN/WP.15/AC.2/</w:t>
    </w:r>
    <w:r w:rsidR="005E6762">
      <w:rPr>
        <w:rFonts w:ascii="Arial" w:hAnsi="Arial"/>
        <w:sz w:val="16"/>
        <w:szCs w:val="24"/>
        <w:lang w:val="fr-FR"/>
      </w:rPr>
      <w:t>2023/</w:t>
    </w:r>
    <w:r w:rsidR="008E71D0">
      <w:rPr>
        <w:rFonts w:ascii="Arial" w:hAnsi="Arial"/>
        <w:sz w:val="16"/>
        <w:szCs w:val="24"/>
        <w:lang w:val="fr-FR"/>
      </w:rPr>
      <w:t>47</w:t>
    </w:r>
  </w:p>
  <w:p w14:paraId="4856380E" w14:textId="77777777" w:rsidR="004920BF" w:rsidRDefault="004920BF">
    <w:pPr>
      <w:tabs>
        <w:tab w:val="center" w:pos="4320"/>
        <w:tab w:val="right" w:pos="8640"/>
      </w:tabs>
      <w:suppressAutoHyphens w:val="0"/>
      <w:spacing w:line="240" w:lineRule="auto"/>
      <w:jc w:val="right"/>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9</w:t>
    </w:r>
    <w:r>
      <w:rPr>
        <w:rFonts w:ascii="Arial" w:hAnsi="Arial"/>
        <w:sz w:val="16"/>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3"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45178B3"/>
    <w:multiLevelType w:val="hybridMultilevel"/>
    <w:tmpl w:val="5F7482AC"/>
    <w:lvl w:ilvl="0" w:tplc="FFFFFFFF">
      <w:start w:val="1"/>
      <w:numFmt w:val="bullet"/>
      <w:lvlText w:val=""/>
      <w:lvlJc w:val="left"/>
      <w:pPr>
        <w:ind w:left="1854" w:hanging="360"/>
      </w:pPr>
      <w:rPr>
        <w:rFonts w:ascii="Symbol" w:hAnsi="Symbol" w:hint="default"/>
      </w:rPr>
    </w:lvl>
    <w:lvl w:ilvl="1" w:tplc="37E4B0C4">
      <w:numFmt w:val="bullet"/>
      <w:lvlText w:val="-"/>
      <w:lvlJc w:val="left"/>
      <w:pPr>
        <w:ind w:left="2574" w:hanging="360"/>
      </w:pPr>
      <w:rPr>
        <w:rFonts w:ascii="Times New Roman" w:eastAsia="Times New Roman" w:hAnsi="Times New Roman" w:cs="Times New Roman" w:hint="default"/>
      </w:rPr>
    </w:lvl>
    <w:lvl w:ilvl="2" w:tplc="FFFFFFFF">
      <w:start w:val="1"/>
      <w:numFmt w:val="bullet"/>
      <w:lvlText w:val=""/>
      <w:lvlJc w:val="left"/>
      <w:pPr>
        <w:ind w:left="3294" w:hanging="360"/>
      </w:pPr>
      <w:rPr>
        <w:rFonts w:ascii="Symbol" w:hAnsi="Symbol"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1"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3"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5"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6"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8"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044473">
    <w:abstractNumId w:val="24"/>
  </w:num>
  <w:num w:numId="2" w16cid:durableId="1966110402">
    <w:abstractNumId w:val="12"/>
  </w:num>
  <w:num w:numId="3" w16cid:durableId="1310816896">
    <w:abstractNumId w:val="23"/>
  </w:num>
  <w:num w:numId="4" w16cid:durableId="205027539">
    <w:abstractNumId w:val="7"/>
  </w:num>
  <w:num w:numId="5" w16cid:durableId="2139030832">
    <w:abstractNumId w:val="11"/>
  </w:num>
  <w:num w:numId="6" w16cid:durableId="766733801">
    <w:abstractNumId w:val="19"/>
  </w:num>
  <w:num w:numId="7" w16cid:durableId="1818522967">
    <w:abstractNumId w:val="1"/>
  </w:num>
  <w:num w:numId="8" w16cid:durableId="1644583114">
    <w:abstractNumId w:val="3"/>
  </w:num>
  <w:num w:numId="9" w16cid:durableId="545408126">
    <w:abstractNumId w:val="4"/>
  </w:num>
  <w:num w:numId="10" w16cid:durableId="1724524233">
    <w:abstractNumId w:val="16"/>
  </w:num>
  <w:num w:numId="11" w16cid:durableId="441076060">
    <w:abstractNumId w:val="28"/>
  </w:num>
  <w:num w:numId="12" w16cid:durableId="1007363416">
    <w:abstractNumId w:val="30"/>
  </w:num>
  <w:num w:numId="13" w16cid:durableId="1938446205">
    <w:abstractNumId w:val="21"/>
  </w:num>
  <w:num w:numId="14" w16cid:durableId="695468152">
    <w:abstractNumId w:val="8"/>
  </w:num>
  <w:num w:numId="15" w16cid:durableId="879786085">
    <w:abstractNumId w:val="17"/>
  </w:num>
  <w:num w:numId="16" w16cid:durableId="838665442">
    <w:abstractNumId w:val="25"/>
  </w:num>
  <w:num w:numId="17" w16cid:durableId="438180540">
    <w:abstractNumId w:val="10"/>
  </w:num>
  <w:num w:numId="18" w16cid:durableId="315259929">
    <w:abstractNumId w:val="14"/>
  </w:num>
  <w:num w:numId="19" w16cid:durableId="133255963">
    <w:abstractNumId w:val="22"/>
  </w:num>
  <w:num w:numId="20" w16cid:durableId="1526283898">
    <w:abstractNumId w:val="29"/>
  </w:num>
  <w:num w:numId="21" w16cid:durableId="90013086">
    <w:abstractNumId w:val="9"/>
  </w:num>
  <w:num w:numId="22" w16cid:durableId="1310137814">
    <w:abstractNumId w:val="5"/>
  </w:num>
  <w:num w:numId="23" w16cid:durableId="1922523242">
    <w:abstractNumId w:val="6"/>
  </w:num>
  <w:num w:numId="24" w16cid:durableId="64304281">
    <w:abstractNumId w:val="27"/>
  </w:num>
  <w:num w:numId="25" w16cid:durableId="1085345634">
    <w:abstractNumId w:val="26"/>
  </w:num>
  <w:num w:numId="26" w16cid:durableId="185407471">
    <w:abstractNumId w:val="2"/>
  </w:num>
  <w:num w:numId="27" w16cid:durableId="1413966476">
    <w:abstractNumId w:val="13"/>
  </w:num>
  <w:num w:numId="28" w16cid:durableId="2013993732">
    <w:abstractNumId w:val="0"/>
  </w:num>
  <w:num w:numId="29" w16cid:durableId="952706642">
    <w:abstractNumId w:val="15"/>
  </w:num>
  <w:num w:numId="30" w16cid:durableId="1505241630">
    <w:abstractNumId w:val="18"/>
  </w:num>
  <w:num w:numId="31" w16cid:durableId="83009744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1967"/>
    <w:rsid w:val="0002688A"/>
    <w:rsid w:val="00040213"/>
    <w:rsid w:val="00047B4F"/>
    <w:rsid w:val="000505E5"/>
    <w:rsid w:val="00054000"/>
    <w:rsid w:val="00054417"/>
    <w:rsid w:val="00054522"/>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18D8"/>
    <w:rsid w:val="000D5558"/>
    <w:rsid w:val="000E1197"/>
    <w:rsid w:val="000E206E"/>
    <w:rsid w:val="000E245A"/>
    <w:rsid w:val="000E493D"/>
    <w:rsid w:val="000F0B87"/>
    <w:rsid w:val="000F3804"/>
    <w:rsid w:val="000F3F68"/>
    <w:rsid w:val="000F4134"/>
    <w:rsid w:val="000F526A"/>
    <w:rsid w:val="00100169"/>
    <w:rsid w:val="0010188E"/>
    <w:rsid w:val="0010285A"/>
    <w:rsid w:val="0010411B"/>
    <w:rsid w:val="001042F8"/>
    <w:rsid w:val="00104445"/>
    <w:rsid w:val="0010490F"/>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4E9E"/>
    <w:rsid w:val="00185403"/>
    <w:rsid w:val="00186EAF"/>
    <w:rsid w:val="0018778A"/>
    <w:rsid w:val="00187A1E"/>
    <w:rsid w:val="00192F4B"/>
    <w:rsid w:val="00194F7D"/>
    <w:rsid w:val="001A0C2A"/>
    <w:rsid w:val="001A11CC"/>
    <w:rsid w:val="001A140D"/>
    <w:rsid w:val="001A5F58"/>
    <w:rsid w:val="001B1A22"/>
    <w:rsid w:val="001B5DF4"/>
    <w:rsid w:val="001B68A2"/>
    <w:rsid w:val="001C1827"/>
    <w:rsid w:val="001C3F4A"/>
    <w:rsid w:val="001D4EF8"/>
    <w:rsid w:val="001D639C"/>
    <w:rsid w:val="001D6721"/>
    <w:rsid w:val="001D7195"/>
    <w:rsid w:val="001E254A"/>
    <w:rsid w:val="001E5ED7"/>
    <w:rsid w:val="001F00D6"/>
    <w:rsid w:val="001F1700"/>
    <w:rsid w:val="001F2464"/>
    <w:rsid w:val="001F34A6"/>
    <w:rsid w:val="002142CD"/>
    <w:rsid w:val="00216870"/>
    <w:rsid w:val="002179D8"/>
    <w:rsid w:val="00221FB6"/>
    <w:rsid w:val="00226A0B"/>
    <w:rsid w:val="0023397D"/>
    <w:rsid w:val="0023569D"/>
    <w:rsid w:val="00242ABA"/>
    <w:rsid w:val="002469B3"/>
    <w:rsid w:val="00252468"/>
    <w:rsid w:val="00255AA5"/>
    <w:rsid w:val="00255B42"/>
    <w:rsid w:val="00256050"/>
    <w:rsid w:val="0026439D"/>
    <w:rsid w:val="00264628"/>
    <w:rsid w:val="00267D98"/>
    <w:rsid w:val="002701F2"/>
    <w:rsid w:val="00272038"/>
    <w:rsid w:val="00275717"/>
    <w:rsid w:val="002773A3"/>
    <w:rsid w:val="00280D2B"/>
    <w:rsid w:val="00282133"/>
    <w:rsid w:val="0028250D"/>
    <w:rsid w:val="002A192E"/>
    <w:rsid w:val="002A2479"/>
    <w:rsid w:val="002A3F79"/>
    <w:rsid w:val="002A52FA"/>
    <w:rsid w:val="002A7856"/>
    <w:rsid w:val="002A7DE3"/>
    <w:rsid w:val="002B0FBD"/>
    <w:rsid w:val="002B59CE"/>
    <w:rsid w:val="002B6C46"/>
    <w:rsid w:val="002C206D"/>
    <w:rsid w:val="002C24EF"/>
    <w:rsid w:val="002C319D"/>
    <w:rsid w:val="002C5361"/>
    <w:rsid w:val="002C58EE"/>
    <w:rsid w:val="002C7C76"/>
    <w:rsid w:val="002D6515"/>
    <w:rsid w:val="002D7991"/>
    <w:rsid w:val="002E420A"/>
    <w:rsid w:val="002E6811"/>
    <w:rsid w:val="00302096"/>
    <w:rsid w:val="00302794"/>
    <w:rsid w:val="00307B57"/>
    <w:rsid w:val="00307F03"/>
    <w:rsid w:val="00310EE4"/>
    <w:rsid w:val="00311EE7"/>
    <w:rsid w:val="003159A0"/>
    <w:rsid w:val="00316840"/>
    <w:rsid w:val="00317892"/>
    <w:rsid w:val="003179A4"/>
    <w:rsid w:val="00317CB9"/>
    <w:rsid w:val="003205B3"/>
    <w:rsid w:val="00322AD8"/>
    <w:rsid w:val="00324ECC"/>
    <w:rsid w:val="0033107F"/>
    <w:rsid w:val="00331140"/>
    <w:rsid w:val="00331E51"/>
    <w:rsid w:val="003341CE"/>
    <w:rsid w:val="00336948"/>
    <w:rsid w:val="00340590"/>
    <w:rsid w:val="00341A4C"/>
    <w:rsid w:val="0034776F"/>
    <w:rsid w:val="003525C7"/>
    <w:rsid w:val="003563DA"/>
    <w:rsid w:val="00360227"/>
    <w:rsid w:val="00362B03"/>
    <w:rsid w:val="00362EB6"/>
    <w:rsid w:val="0036330C"/>
    <w:rsid w:val="003664BF"/>
    <w:rsid w:val="0036709E"/>
    <w:rsid w:val="00374701"/>
    <w:rsid w:val="00376F8D"/>
    <w:rsid w:val="00384261"/>
    <w:rsid w:val="003957FB"/>
    <w:rsid w:val="00396AD0"/>
    <w:rsid w:val="003A45B1"/>
    <w:rsid w:val="003A6C7E"/>
    <w:rsid w:val="003B2F10"/>
    <w:rsid w:val="003B4E6C"/>
    <w:rsid w:val="003B537E"/>
    <w:rsid w:val="003B5B54"/>
    <w:rsid w:val="003C0CCD"/>
    <w:rsid w:val="003C1156"/>
    <w:rsid w:val="003C23F4"/>
    <w:rsid w:val="003C298E"/>
    <w:rsid w:val="003C7B82"/>
    <w:rsid w:val="003E2D46"/>
    <w:rsid w:val="003E2E1E"/>
    <w:rsid w:val="003E5713"/>
    <w:rsid w:val="003E6494"/>
    <w:rsid w:val="003F35D1"/>
    <w:rsid w:val="003F39E4"/>
    <w:rsid w:val="003F41B4"/>
    <w:rsid w:val="003F5D6F"/>
    <w:rsid w:val="004027E1"/>
    <w:rsid w:val="00404F6E"/>
    <w:rsid w:val="004057E4"/>
    <w:rsid w:val="00405893"/>
    <w:rsid w:val="004060C5"/>
    <w:rsid w:val="004102C7"/>
    <w:rsid w:val="0042111B"/>
    <w:rsid w:val="0042217A"/>
    <w:rsid w:val="00422C51"/>
    <w:rsid w:val="004250F8"/>
    <w:rsid w:val="004301E1"/>
    <w:rsid w:val="004315E6"/>
    <w:rsid w:val="00431D2E"/>
    <w:rsid w:val="00433EDB"/>
    <w:rsid w:val="004352FA"/>
    <w:rsid w:val="00437B96"/>
    <w:rsid w:val="00445D42"/>
    <w:rsid w:val="00445F92"/>
    <w:rsid w:val="00445FB8"/>
    <w:rsid w:val="0045027F"/>
    <w:rsid w:val="0045180A"/>
    <w:rsid w:val="004528B3"/>
    <w:rsid w:val="00452B27"/>
    <w:rsid w:val="00453DAB"/>
    <w:rsid w:val="004551CF"/>
    <w:rsid w:val="00461E30"/>
    <w:rsid w:val="00464320"/>
    <w:rsid w:val="00466248"/>
    <w:rsid w:val="004667C1"/>
    <w:rsid w:val="00474D38"/>
    <w:rsid w:val="0047684D"/>
    <w:rsid w:val="004900F5"/>
    <w:rsid w:val="0049037C"/>
    <w:rsid w:val="00490650"/>
    <w:rsid w:val="00490E12"/>
    <w:rsid w:val="004920BF"/>
    <w:rsid w:val="00493450"/>
    <w:rsid w:val="00495139"/>
    <w:rsid w:val="004A20F6"/>
    <w:rsid w:val="004A2B2E"/>
    <w:rsid w:val="004A3A8D"/>
    <w:rsid w:val="004A5D9C"/>
    <w:rsid w:val="004B3978"/>
    <w:rsid w:val="004B4F1C"/>
    <w:rsid w:val="004B5F48"/>
    <w:rsid w:val="004C7267"/>
    <w:rsid w:val="004C7EA2"/>
    <w:rsid w:val="004D0FC3"/>
    <w:rsid w:val="004D123C"/>
    <w:rsid w:val="004D26AE"/>
    <w:rsid w:val="004E4B0C"/>
    <w:rsid w:val="004E6F5C"/>
    <w:rsid w:val="004E7E53"/>
    <w:rsid w:val="004F0733"/>
    <w:rsid w:val="004F2E0A"/>
    <w:rsid w:val="004F43C9"/>
    <w:rsid w:val="004F51E3"/>
    <w:rsid w:val="00500C1C"/>
    <w:rsid w:val="00501CEC"/>
    <w:rsid w:val="00501F38"/>
    <w:rsid w:val="00502705"/>
    <w:rsid w:val="005071F9"/>
    <w:rsid w:val="005076D7"/>
    <w:rsid w:val="00511083"/>
    <w:rsid w:val="00513B11"/>
    <w:rsid w:val="0051536C"/>
    <w:rsid w:val="00520EDF"/>
    <w:rsid w:val="005243CC"/>
    <w:rsid w:val="0052478E"/>
    <w:rsid w:val="00525080"/>
    <w:rsid w:val="00526F99"/>
    <w:rsid w:val="00541B7D"/>
    <w:rsid w:val="00543EBE"/>
    <w:rsid w:val="005456BA"/>
    <w:rsid w:val="00545C26"/>
    <w:rsid w:val="00547544"/>
    <w:rsid w:val="00547F5E"/>
    <w:rsid w:val="0056236B"/>
    <w:rsid w:val="005646BB"/>
    <w:rsid w:val="005736C8"/>
    <w:rsid w:val="00575F83"/>
    <w:rsid w:val="00576621"/>
    <w:rsid w:val="0058087E"/>
    <w:rsid w:val="005808BC"/>
    <w:rsid w:val="005828C3"/>
    <w:rsid w:val="00586DCC"/>
    <w:rsid w:val="00590FC0"/>
    <w:rsid w:val="005977A1"/>
    <w:rsid w:val="00597CD0"/>
    <w:rsid w:val="005A0230"/>
    <w:rsid w:val="005A1D82"/>
    <w:rsid w:val="005A26C7"/>
    <w:rsid w:val="005A4BD9"/>
    <w:rsid w:val="005A6537"/>
    <w:rsid w:val="005B2CE4"/>
    <w:rsid w:val="005B4493"/>
    <w:rsid w:val="005B6DE3"/>
    <w:rsid w:val="005B6FDF"/>
    <w:rsid w:val="005C0C86"/>
    <w:rsid w:val="005C2269"/>
    <w:rsid w:val="005C3775"/>
    <w:rsid w:val="005C56CE"/>
    <w:rsid w:val="005D2332"/>
    <w:rsid w:val="005D5AD5"/>
    <w:rsid w:val="005D6325"/>
    <w:rsid w:val="005D7941"/>
    <w:rsid w:val="005E4799"/>
    <w:rsid w:val="005E6437"/>
    <w:rsid w:val="005E6762"/>
    <w:rsid w:val="005F1B7A"/>
    <w:rsid w:val="005F3E6C"/>
    <w:rsid w:val="005F7764"/>
    <w:rsid w:val="006018C7"/>
    <w:rsid w:val="0060461A"/>
    <w:rsid w:val="00612514"/>
    <w:rsid w:val="00612757"/>
    <w:rsid w:val="00615116"/>
    <w:rsid w:val="00617235"/>
    <w:rsid w:val="00630376"/>
    <w:rsid w:val="00634906"/>
    <w:rsid w:val="00636A2C"/>
    <w:rsid w:val="00637726"/>
    <w:rsid w:val="006421DD"/>
    <w:rsid w:val="00642C5F"/>
    <w:rsid w:val="00645965"/>
    <w:rsid w:val="006473D2"/>
    <w:rsid w:val="006477B5"/>
    <w:rsid w:val="00651EE7"/>
    <w:rsid w:val="006534A4"/>
    <w:rsid w:val="00657A42"/>
    <w:rsid w:val="00660857"/>
    <w:rsid w:val="00662275"/>
    <w:rsid w:val="00663EFD"/>
    <w:rsid w:val="00665EB7"/>
    <w:rsid w:val="00670EF7"/>
    <w:rsid w:val="006774E5"/>
    <w:rsid w:val="00677890"/>
    <w:rsid w:val="00682C24"/>
    <w:rsid w:val="00683600"/>
    <w:rsid w:val="006852B0"/>
    <w:rsid w:val="0068783E"/>
    <w:rsid w:val="00695A78"/>
    <w:rsid w:val="00696BCC"/>
    <w:rsid w:val="006A007F"/>
    <w:rsid w:val="006A1271"/>
    <w:rsid w:val="006A2D54"/>
    <w:rsid w:val="006A50B7"/>
    <w:rsid w:val="006B2332"/>
    <w:rsid w:val="006B4EE9"/>
    <w:rsid w:val="006B787E"/>
    <w:rsid w:val="006B7E45"/>
    <w:rsid w:val="006C066C"/>
    <w:rsid w:val="006C095E"/>
    <w:rsid w:val="006C1B74"/>
    <w:rsid w:val="006C2F2D"/>
    <w:rsid w:val="006D1177"/>
    <w:rsid w:val="006D5371"/>
    <w:rsid w:val="006E161D"/>
    <w:rsid w:val="006E22A1"/>
    <w:rsid w:val="006E2C98"/>
    <w:rsid w:val="006E44E6"/>
    <w:rsid w:val="006E4D95"/>
    <w:rsid w:val="006E53A7"/>
    <w:rsid w:val="006E78FC"/>
    <w:rsid w:val="006F26B5"/>
    <w:rsid w:val="00700375"/>
    <w:rsid w:val="00701DA3"/>
    <w:rsid w:val="00703A40"/>
    <w:rsid w:val="00703C12"/>
    <w:rsid w:val="00704583"/>
    <w:rsid w:val="00705B5F"/>
    <w:rsid w:val="007060CE"/>
    <w:rsid w:val="0070721D"/>
    <w:rsid w:val="0071010E"/>
    <w:rsid w:val="00710B6F"/>
    <w:rsid w:val="007117FD"/>
    <w:rsid w:val="00720875"/>
    <w:rsid w:val="007234BA"/>
    <w:rsid w:val="007330A5"/>
    <w:rsid w:val="00736559"/>
    <w:rsid w:val="00736ADB"/>
    <w:rsid w:val="007373C3"/>
    <w:rsid w:val="0074223F"/>
    <w:rsid w:val="00743B6E"/>
    <w:rsid w:val="007500DB"/>
    <w:rsid w:val="00753D1D"/>
    <w:rsid w:val="00756255"/>
    <w:rsid w:val="00760EDE"/>
    <w:rsid w:val="00762963"/>
    <w:rsid w:val="007725FB"/>
    <w:rsid w:val="0077332E"/>
    <w:rsid w:val="0077386D"/>
    <w:rsid w:val="007739C2"/>
    <w:rsid w:val="007746C7"/>
    <w:rsid w:val="00774DF3"/>
    <w:rsid w:val="00775FCD"/>
    <w:rsid w:val="00780031"/>
    <w:rsid w:val="00783314"/>
    <w:rsid w:val="00784A9B"/>
    <w:rsid w:val="00785509"/>
    <w:rsid w:val="007858F7"/>
    <w:rsid w:val="00790154"/>
    <w:rsid w:val="00796CBF"/>
    <w:rsid w:val="00796EBD"/>
    <w:rsid w:val="007A04E2"/>
    <w:rsid w:val="007A27D5"/>
    <w:rsid w:val="007A2FED"/>
    <w:rsid w:val="007A4A05"/>
    <w:rsid w:val="007B2166"/>
    <w:rsid w:val="007B2734"/>
    <w:rsid w:val="007B3872"/>
    <w:rsid w:val="007B70DC"/>
    <w:rsid w:val="007B733A"/>
    <w:rsid w:val="007B7E49"/>
    <w:rsid w:val="007C068B"/>
    <w:rsid w:val="007C52BC"/>
    <w:rsid w:val="007D1070"/>
    <w:rsid w:val="007D367E"/>
    <w:rsid w:val="007D4382"/>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114A9"/>
    <w:rsid w:val="008126F5"/>
    <w:rsid w:val="0082162A"/>
    <w:rsid w:val="00821636"/>
    <w:rsid w:val="00821ECE"/>
    <w:rsid w:val="008237E3"/>
    <w:rsid w:val="00826DC1"/>
    <w:rsid w:val="00830524"/>
    <w:rsid w:val="0083770D"/>
    <w:rsid w:val="008411EB"/>
    <w:rsid w:val="00841D5C"/>
    <w:rsid w:val="00843BCA"/>
    <w:rsid w:val="0085221B"/>
    <w:rsid w:val="00855269"/>
    <w:rsid w:val="00857537"/>
    <w:rsid w:val="00861CEB"/>
    <w:rsid w:val="008642B4"/>
    <w:rsid w:val="008660F3"/>
    <w:rsid w:val="00867DE4"/>
    <w:rsid w:val="00870982"/>
    <w:rsid w:val="00873F26"/>
    <w:rsid w:val="00882A9B"/>
    <w:rsid w:val="00883386"/>
    <w:rsid w:val="00887D7E"/>
    <w:rsid w:val="00893026"/>
    <w:rsid w:val="00893BFE"/>
    <w:rsid w:val="008A018D"/>
    <w:rsid w:val="008A09C2"/>
    <w:rsid w:val="008A29C9"/>
    <w:rsid w:val="008A3E70"/>
    <w:rsid w:val="008A627B"/>
    <w:rsid w:val="008A6F70"/>
    <w:rsid w:val="008B1D0A"/>
    <w:rsid w:val="008B768D"/>
    <w:rsid w:val="008C1ADA"/>
    <w:rsid w:val="008C1BDD"/>
    <w:rsid w:val="008D2386"/>
    <w:rsid w:val="008D3A69"/>
    <w:rsid w:val="008D42E0"/>
    <w:rsid w:val="008D4CA3"/>
    <w:rsid w:val="008D6EB3"/>
    <w:rsid w:val="008D725F"/>
    <w:rsid w:val="008D7F64"/>
    <w:rsid w:val="008E1B5F"/>
    <w:rsid w:val="008E306F"/>
    <w:rsid w:val="008E3E6D"/>
    <w:rsid w:val="008E4DFC"/>
    <w:rsid w:val="008E71D0"/>
    <w:rsid w:val="008F4C65"/>
    <w:rsid w:val="009111BB"/>
    <w:rsid w:val="00912AE0"/>
    <w:rsid w:val="00913FDE"/>
    <w:rsid w:val="0092498B"/>
    <w:rsid w:val="00926CBA"/>
    <w:rsid w:val="00932333"/>
    <w:rsid w:val="00932F48"/>
    <w:rsid w:val="00937E27"/>
    <w:rsid w:val="00937F54"/>
    <w:rsid w:val="00940541"/>
    <w:rsid w:val="00940D2B"/>
    <w:rsid w:val="00941C5C"/>
    <w:rsid w:val="00944E02"/>
    <w:rsid w:val="0094739B"/>
    <w:rsid w:val="00947799"/>
    <w:rsid w:val="00951850"/>
    <w:rsid w:val="009521FE"/>
    <w:rsid w:val="00954256"/>
    <w:rsid w:val="00954869"/>
    <w:rsid w:val="009605EF"/>
    <w:rsid w:val="00960652"/>
    <w:rsid w:val="00960998"/>
    <w:rsid w:val="00960B28"/>
    <w:rsid w:val="009616B8"/>
    <w:rsid w:val="009618AC"/>
    <w:rsid w:val="00961D16"/>
    <w:rsid w:val="009654B4"/>
    <w:rsid w:val="0097154F"/>
    <w:rsid w:val="0097328D"/>
    <w:rsid w:val="009742A7"/>
    <w:rsid w:val="00977110"/>
    <w:rsid w:val="00980266"/>
    <w:rsid w:val="0098154A"/>
    <w:rsid w:val="009822C2"/>
    <w:rsid w:val="00982E96"/>
    <w:rsid w:val="009849E0"/>
    <w:rsid w:val="0099218A"/>
    <w:rsid w:val="009928BC"/>
    <w:rsid w:val="009948CB"/>
    <w:rsid w:val="00997599"/>
    <w:rsid w:val="009A0283"/>
    <w:rsid w:val="009A1657"/>
    <w:rsid w:val="009A5E17"/>
    <w:rsid w:val="009A7C9C"/>
    <w:rsid w:val="009B2309"/>
    <w:rsid w:val="009B66EC"/>
    <w:rsid w:val="009C1639"/>
    <w:rsid w:val="009C1A0F"/>
    <w:rsid w:val="009C3B59"/>
    <w:rsid w:val="009C695B"/>
    <w:rsid w:val="009D0A5D"/>
    <w:rsid w:val="009D151D"/>
    <w:rsid w:val="009D3020"/>
    <w:rsid w:val="009D6949"/>
    <w:rsid w:val="009F1FF4"/>
    <w:rsid w:val="009F2898"/>
    <w:rsid w:val="009F4FFF"/>
    <w:rsid w:val="009F5B87"/>
    <w:rsid w:val="00A057D9"/>
    <w:rsid w:val="00A13DCE"/>
    <w:rsid w:val="00A20F0F"/>
    <w:rsid w:val="00A240FF"/>
    <w:rsid w:val="00A249CD"/>
    <w:rsid w:val="00A344B1"/>
    <w:rsid w:val="00A3688D"/>
    <w:rsid w:val="00A42DD5"/>
    <w:rsid w:val="00A47AEC"/>
    <w:rsid w:val="00A51F99"/>
    <w:rsid w:val="00A5739A"/>
    <w:rsid w:val="00A62F0E"/>
    <w:rsid w:val="00A634E2"/>
    <w:rsid w:val="00A648B4"/>
    <w:rsid w:val="00A65E0B"/>
    <w:rsid w:val="00A6682F"/>
    <w:rsid w:val="00A703D0"/>
    <w:rsid w:val="00A830D6"/>
    <w:rsid w:val="00A865BE"/>
    <w:rsid w:val="00A87A40"/>
    <w:rsid w:val="00A950E6"/>
    <w:rsid w:val="00A95B45"/>
    <w:rsid w:val="00AA44DB"/>
    <w:rsid w:val="00AA4AEB"/>
    <w:rsid w:val="00AA4D9F"/>
    <w:rsid w:val="00AA539C"/>
    <w:rsid w:val="00AB0016"/>
    <w:rsid w:val="00AB03C1"/>
    <w:rsid w:val="00AB626F"/>
    <w:rsid w:val="00AC2036"/>
    <w:rsid w:val="00AC373C"/>
    <w:rsid w:val="00AC3886"/>
    <w:rsid w:val="00AC50A9"/>
    <w:rsid w:val="00AC6CE1"/>
    <w:rsid w:val="00AD7705"/>
    <w:rsid w:val="00AE048C"/>
    <w:rsid w:val="00AE16CB"/>
    <w:rsid w:val="00AE3337"/>
    <w:rsid w:val="00AE72CD"/>
    <w:rsid w:val="00AE7651"/>
    <w:rsid w:val="00AF0BF2"/>
    <w:rsid w:val="00AF1284"/>
    <w:rsid w:val="00AF1733"/>
    <w:rsid w:val="00AF1A7E"/>
    <w:rsid w:val="00AF3A54"/>
    <w:rsid w:val="00AF55BE"/>
    <w:rsid w:val="00B02F2C"/>
    <w:rsid w:val="00B051CC"/>
    <w:rsid w:val="00B15D12"/>
    <w:rsid w:val="00B176A3"/>
    <w:rsid w:val="00B22B65"/>
    <w:rsid w:val="00B27C70"/>
    <w:rsid w:val="00B27FCB"/>
    <w:rsid w:val="00B34398"/>
    <w:rsid w:val="00B36F17"/>
    <w:rsid w:val="00B42344"/>
    <w:rsid w:val="00B42FDD"/>
    <w:rsid w:val="00B47C9C"/>
    <w:rsid w:val="00B519B0"/>
    <w:rsid w:val="00B51A9A"/>
    <w:rsid w:val="00B5228D"/>
    <w:rsid w:val="00B543D3"/>
    <w:rsid w:val="00B55CB1"/>
    <w:rsid w:val="00B57940"/>
    <w:rsid w:val="00B626EA"/>
    <w:rsid w:val="00B637FE"/>
    <w:rsid w:val="00B641B7"/>
    <w:rsid w:val="00B71F3F"/>
    <w:rsid w:val="00B7373B"/>
    <w:rsid w:val="00B80362"/>
    <w:rsid w:val="00B87400"/>
    <w:rsid w:val="00B93894"/>
    <w:rsid w:val="00B96BC9"/>
    <w:rsid w:val="00BA09B9"/>
    <w:rsid w:val="00BB1817"/>
    <w:rsid w:val="00BB77E8"/>
    <w:rsid w:val="00BB7C53"/>
    <w:rsid w:val="00BC118F"/>
    <w:rsid w:val="00BC1E66"/>
    <w:rsid w:val="00BC2D0F"/>
    <w:rsid w:val="00BC7BFE"/>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4B0C"/>
    <w:rsid w:val="00C153F5"/>
    <w:rsid w:val="00C15CE6"/>
    <w:rsid w:val="00C170C4"/>
    <w:rsid w:val="00C1772A"/>
    <w:rsid w:val="00C22C55"/>
    <w:rsid w:val="00C26DC4"/>
    <w:rsid w:val="00C33C8B"/>
    <w:rsid w:val="00C40C8A"/>
    <w:rsid w:val="00C437AD"/>
    <w:rsid w:val="00C43835"/>
    <w:rsid w:val="00C43E56"/>
    <w:rsid w:val="00C46049"/>
    <w:rsid w:val="00C47BE7"/>
    <w:rsid w:val="00C530A9"/>
    <w:rsid w:val="00C554EE"/>
    <w:rsid w:val="00C63C5F"/>
    <w:rsid w:val="00C6578B"/>
    <w:rsid w:val="00C707F6"/>
    <w:rsid w:val="00C73182"/>
    <w:rsid w:val="00C80C0B"/>
    <w:rsid w:val="00C83210"/>
    <w:rsid w:val="00C852EC"/>
    <w:rsid w:val="00C86C69"/>
    <w:rsid w:val="00C91C70"/>
    <w:rsid w:val="00CA1C63"/>
    <w:rsid w:val="00CA5A7A"/>
    <w:rsid w:val="00CA7067"/>
    <w:rsid w:val="00CA7E6D"/>
    <w:rsid w:val="00CB3137"/>
    <w:rsid w:val="00CB66A9"/>
    <w:rsid w:val="00CB7081"/>
    <w:rsid w:val="00CC3099"/>
    <w:rsid w:val="00CC618C"/>
    <w:rsid w:val="00CD1222"/>
    <w:rsid w:val="00CD16C1"/>
    <w:rsid w:val="00CD6D39"/>
    <w:rsid w:val="00CE1FDE"/>
    <w:rsid w:val="00CE6312"/>
    <w:rsid w:val="00CE68F6"/>
    <w:rsid w:val="00CF3E87"/>
    <w:rsid w:val="00CF62AA"/>
    <w:rsid w:val="00D019AA"/>
    <w:rsid w:val="00D0481C"/>
    <w:rsid w:val="00D05712"/>
    <w:rsid w:val="00D0646F"/>
    <w:rsid w:val="00D06FD8"/>
    <w:rsid w:val="00D12380"/>
    <w:rsid w:val="00D1252B"/>
    <w:rsid w:val="00D12F8C"/>
    <w:rsid w:val="00D13906"/>
    <w:rsid w:val="00D14A03"/>
    <w:rsid w:val="00D14A8C"/>
    <w:rsid w:val="00D150C3"/>
    <w:rsid w:val="00D20077"/>
    <w:rsid w:val="00D24209"/>
    <w:rsid w:val="00D24808"/>
    <w:rsid w:val="00D26751"/>
    <w:rsid w:val="00D317C2"/>
    <w:rsid w:val="00D32497"/>
    <w:rsid w:val="00D33F5A"/>
    <w:rsid w:val="00D34321"/>
    <w:rsid w:val="00D37129"/>
    <w:rsid w:val="00D42145"/>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251A"/>
    <w:rsid w:val="00DB1A71"/>
    <w:rsid w:val="00DB4950"/>
    <w:rsid w:val="00DB577B"/>
    <w:rsid w:val="00DB585E"/>
    <w:rsid w:val="00DB6204"/>
    <w:rsid w:val="00DC1740"/>
    <w:rsid w:val="00DC4E2B"/>
    <w:rsid w:val="00DD04BC"/>
    <w:rsid w:val="00DD0AAD"/>
    <w:rsid w:val="00DD17F7"/>
    <w:rsid w:val="00DD2083"/>
    <w:rsid w:val="00DD58C5"/>
    <w:rsid w:val="00DD5F79"/>
    <w:rsid w:val="00DD605D"/>
    <w:rsid w:val="00DE423D"/>
    <w:rsid w:val="00DE666B"/>
    <w:rsid w:val="00DF1527"/>
    <w:rsid w:val="00E01C20"/>
    <w:rsid w:val="00E02C41"/>
    <w:rsid w:val="00E03892"/>
    <w:rsid w:val="00E069EE"/>
    <w:rsid w:val="00E0744E"/>
    <w:rsid w:val="00E13A66"/>
    <w:rsid w:val="00E15A53"/>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3605"/>
    <w:rsid w:val="00E810F5"/>
    <w:rsid w:val="00E848A5"/>
    <w:rsid w:val="00E921A3"/>
    <w:rsid w:val="00E924DF"/>
    <w:rsid w:val="00E9666A"/>
    <w:rsid w:val="00E97189"/>
    <w:rsid w:val="00EA5F15"/>
    <w:rsid w:val="00EA76EE"/>
    <w:rsid w:val="00EB67AD"/>
    <w:rsid w:val="00EC02FC"/>
    <w:rsid w:val="00EC51AD"/>
    <w:rsid w:val="00EC58E6"/>
    <w:rsid w:val="00ED2FDE"/>
    <w:rsid w:val="00ED3884"/>
    <w:rsid w:val="00ED5C15"/>
    <w:rsid w:val="00EE1682"/>
    <w:rsid w:val="00EE236B"/>
    <w:rsid w:val="00EE6C62"/>
    <w:rsid w:val="00EF0390"/>
    <w:rsid w:val="00EF338C"/>
    <w:rsid w:val="00EF5A9B"/>
    <w:rsid w:val="00F007DA"/>
    <w:rsid w:val="00F01EAE"/>
    <w:rsid w:val="00F0645F"/>
    <w:rsid w:val="00F07F38"/>
    <w:rsid w:val="00F10FB7"/>
    <w:rsid w:val="00F16DB1"/>
    <w:rsid w:val="00F17898"/>
    <w:rsid w:val="00F20EAD"/>
    <w:rsid w:val="00F23D0D"/>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42B1"/>
    <w:rsid w:val="00F95A69"/>
    <w:rsid w:val="00F95F50"/>
    <w:rsid w:val="00F97157"/>
    <w:rsid w:val="00F973E4"/>
    <w:rsid w:val="00FA01FF"/>
    <w:rsid w:val="00FA59DF"/>
    <w:rsid w:val="00FC0A01"/>
    <w:rsid w:val="00FC3F50"/>
    <w:rsid w:val="00FC6662"/>
    <w:rsid w:val="00FD09AD"/>
    <w:rsid w:val="00FD1C2A"/>
    <w:rsid w:val="00FD618C"/>
    <w:rsid w:val="00FD65FB"/>
    <w:rsid w:val="00FE1208"/>
    <w:rsid w:val="00FE2512"/>
    <w:rsid w:val="00FE5F7D"/>
    <w:rsid w:val="00FE677B"/>
    <w:rsid w:val="00FF118A"/>
    <w:rsid w:val="00FF6E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809EAE"/>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682"/>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fr-CH"/>
    </w:rPr>
  </w:style>
  <w:style w:type="character" w:styleId="Appeldenotedefin">
    <w:name w:val="endnote reference"/>
    <w:aliases w:val="1_G"/>
    <w:semiHidden/>
    <w:rPr>
      <w:rFonts w:ascii="Times New Roman" w:hAnsi="Times New Roman" w:cs="Times New Roman"/>
      <w:sz w:val="18"/>
      <w:vertAlign w:val="superscript"/>
      <w:lang w:val="fr-CH"/>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fr-CH"/>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vision">
    <w:name w:val="Revision"/>
    <w:hidden/>
    <w:semiHidden/>
    <w:rPr>
      <w:snapToGrid w:val="0"/>
      <w:lang w:val="fr-CH" w:eastAsia="fr-FR"/>
    </w:rPr>
  </w:style>
  <w:style w:type="character" w:customStyle="1" w:styleId="H1GChar">
    <w:name w:val="_ H_1_G Char"/>
    <w:locked/>
    <w:rPr>
      <w:b/>
      <w:sz w:val="24"/>
      <w:lang w:val="fr-CH"/>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fr-CH" w:eastAsia="fr-FR"/>
    </w:rPr>
  </w:style>
  <w:style w:type="character" w:customStyle="1" w:styleId="Titre2Car">
    <w:name w:val="Titre 2 Car"/>
    <w:link w:val="Titre2"/>
    <w:uiPriority w:val="9"/>
    <w:rsid w:val="007746C7"/>
    <w:rPr>
      <w:snapToGrid w:val="0"/>
      <w:lang w:val="fr-CH" w:eastAsia="fr-FR"/>
    </w:rPr>
  </w:style>
  <w:style w:type="character" w:customStyle="1" w:styleId="Titre3Car">
    <w:name w:val="Titre 3 Car"/>
    <w:link w:val="Titre3"/>
    <w:uiPriority w:val="9"/>
    <w:rsid w:val="007746C7"/>
    <w:rPr>
      <w:snapToGrid w:val="0"/>
      <w:lang w:val="fr-CH" w:eastAsia="fr-FR"/>
    </w:rPr>
  </w:style>
  <w:style w:type="character" w:customStyle="1" w:styleId="Titre4Car">
    <w:name w:val="Titre 4 Car"/>
    <w:link w:val="Titre4"/>
    <w:uiPriority w:val="9"/>
    <w:rsid w:val="007746C7"/>
    <w:rPr>
      <w:snapToGrid w:val="0"/>
      <w:lang w:val="fr-CH" w:eastAsia="fr-FR"/>
    </w:rPr>
  </w:style>
  <w:style w:type="character" w:customStyle="1" w:styleId="Titre5Car">
    <w:name w:val="Titre 5 Car"/>
    <w:link w:val="Titre5"/>
    <w:uiPriority w:val="9"/>
    <w:rsid w:val="007746C7"/>
    <w:rPr>
      <w:snapToGrid w:val="0"/>
      <w:lang w:val="fr-CH" w:eastAsia="fr-FR"/>
    </w:rPr>
  </w:style>
  <w:style w:type="character" w:customStyle="1" w:styleId="Titre6Car">
    <w:name w:val="Titre 6 Car"/>
    <w:link w:val="Titre6"/>
    <w:rsid w:val="007746C7"/>
    <w:rPr>
      <w:snapToGrid w:val="0"/>
      <w:lang w:val="fr-CH" w:eastAsia="fr-FR"/>
    </w:rPr>
  </w:style>
  <w:style w:type="character" w:customStyle="1" w:styleId="Titre7Car">
    <w:name w:val="Titre 7 Car"/>
    <w:link w:val="Titre7"/>
    <w:uiPriority w:val="9"/>
    <w:rsid w:val="007746C7"/>
    <w:rPr>
      <w:snapToGrid w:val="0"/>
      <w:lang w:val="fr-CH" w:eastAsia="fr-FR"/>
    </w:rPr>
  </w:style>
  <w:style w:type="character" w:customStyle="1" w:styleId="Titre8Car">
    <w:name w:val="Titre 8 Car"/>
    <w:link w:val="Titre8"/>
    <w:uiPriority w:val="9"/>
    <w:rsid w:val="007746C7"/>
    <w:rPr>
      <w:snapToGrid w:val="0"/>
      <w:lang w:val="fr-CH" w:eastAsia="fr-FR"/>
    </w:rPr>
  </w:style>
  <w:style w:type="character" w:customStyle="1" w:styleId="Titre9Car">
    <w:name w:val="Titre 9 Car"/>
    <w:link w:val="Titre9"/>
    <w:uiPriority w:val="9"/>
    <w:rsid w:val="007746C7"/>
    <w:rPr>
      <w:snapToGrid w:val="0"/>
      <w:lang w:val="fr-CH"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fr-CH"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79820BE-98E7-4863-8482-890E47830660}">
  <ds:schemaRefs>
    <ds:schemaRef ds:uri="http://schemas.openxmlformats.org/officeDocument/2006/bibliography"/>
  </ds:schemaRefs>
</ds:datastoreItem>
</file>

<file path=customXml/itemProps2.xml><?xml version="1.0" encoding="utf-8"?>
<ds:datastoreItem xmlns:ds="http://schemas.openxmlformats.org/officeDocument/2006/customXml" ds:itemID="{75D699B5-6979-4EC3-84E4-2D9ED9A419FA}"/>
</file>

<file path=customXml/itemProps3.xml><?xml version="1.0" encoding="utf-8"?>
<ds:datastoreItem xmlns:ds="http://schemas.openxmlformats.org/officeDocument/2006/customXml" ds:itemID="{9474FB96-0FC5-4976-9E27-4C26BED492E2}"/>
</file>

<file path=customXml/itemProps4.xml><?xml version="1.0" encoding="utf-8"?>
<ds:datastoreItem xmlns:ds="http://schemas.openxmlformats.org/officeDocument/2006/customXml" ds:itemID="{E2E03C3F-961B-4481-B025-A42DFD994170}"/>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18308</Characters>
  <Application>Microsoft Office Word</Application>
  <DocSecurity>0</DocSecurity>
  <Lines>152</Lines>
  <Paragraphs>42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ECE/TRANS/WP.15/AC.2/2011/20</vt:lpstr>
      <vt:lpstr>ECE/TRANS/WP.15/AC.2/2011/20</vt:lpstr>
      <vt:lpstr>ECE/TRANS/WP.15/AC.2/2011/20</vt:lpstr>
    </vt:vector>
  </TitlesOfParts>
  <Company>Kocarek Übersetzungen e.K.</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ECE/TRANS/WP.15/AC.2/2011/20</dc:title>
  <dc:subject>FINAL (1-2)</dc:subject>
  <dc:creator>www.kocarek-uebersetzungen.com</dc:creator>
  <cp:lastModifiedBy>Martine Moench</cp:lastModifiedBy>
  <cp:revision>2</cp:revision>
  <cp:lastPrinted>2022-05-10T09:41:00Z</cp:lastPrinted>
  <dcterms:created xsi:type="dcterms:W3CDTF">2023-06-16T08:02:00Z</dcterms:created>
  <dcterms:modified xsi:type="dcterms:W3CDTF">2023-06-16T08:02:00Z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