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0DC1" w14:textId="593CDBB5" w:rsidR="00264628" w:rsidRPr="00FE2E68" w:rsidRDefault="00264628" w:rsidP="00C93825">
      <w:pPr>
        <w:snapToGrid w:val="0"/>
        <w:spacing w:line="240" w:lineRule="auto"/>
        <w:ind w:left="5103" w:right="-286"/>
        <w:outlineLvl w:val="0"/>
        <w:rPr>
          <w:rFonts w:ascii="Arial" w:eastAsia="Arial" w:hAnsi="Arial" w:cs="Arial"/>
          <w:bCs/>
          <w:snapToGrid/>
          <w:szCs w:val="24"/>
        </w:rPr>
      </w:pPr>
      <w:r w:rsidRPr="00FE2E68">
        <w:rPr>
          <w:rFonts w:ascii="Arial" w:hAnsi="Arial"/>
          <w:noProof/>
          <w:snapToGrid/>
        </w:rPr>
        <w:drawing>
          <wp:anchor distT="0" distB="0" distL="114300" distR="114300" simplePos="0" relativeHeight="251659264" behindDoc="0" locked="0" layoutInCell="1" allowOverlap="1" wp14:anchorId="1CAF0B64" wp14:editId="0254CF54">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FE2E68">
        <w:rPr>
          <w:rFonts w:ascii="Arial" w:hAnsi="Arial"/>
          <w:snapToGrid/>
        </w:rPr>
        <w:t>CCNR-ZKR/ADN/WP.15/AC.2/2023/</w:t>
      </w:r>
      <w:r w:rsidR="009F1037" w:rsidRPr="00FE2E68">
        <w:rPr>
          <w:rFonts w:ascii="Arial" w:hAnsi="Arial"/>
          <w:snapToGrid/>
        </w:rPr>
        <w:t>41</w:t>
      </w:r>
    </w:p>
    <w:p w14:paraId="6645A371" w14:textId="77777777" w:rsidR="00264628" w:rsidRPr="00FE2E68" w:rsidRDefault="00264628" w:rsidP="00C93825">
      <w:pPr>
        <w:tabs>
          <w:tab w:val="left" w:pos="5670"/>
        </w:tabs>
        <w:suppressAutoHyphens w:val="0"/>
        <w:snapToGrid w:val="0"/>
        <w:spacing w:line="240" w:lineRule="auto"/>
        <w:ind w:left="5103"/>
        <w:rPr>
          <w:rFonts w:ascii="Arial" w:hAnsi="Arial" w:cs="Arial"/>
          <w:snapToGrid/>
          <w:sz w:val="16"/>
          <w:szCs w:val="24"/>
        </w:rPr>
      </w:pPr>
      <w:r w:rsidRPr="00FE2E68">
        <w:rPr>
          <w:rFonts w:ascii="Arial" w:hAnsi="Arial"/>
          <w:snapToGrid/>
          <w:sz w:val="16"/>
        </w:rPr>
        <w:t>Allgemeine Verteilung</w:t>
      </w:r>
    </w:p>
    <w:p w14:paraId="189C0955" w14:textId="4011C854" w:rsidR="00264628" w:rsidRPr="00FE2E68" w:rsidRDefault="00B14839" w:rsidP="00C93825">
      <w:pPr>
        <w:tabs>
          <w:tab w:val="right" w:pos="3856"/>
          <w:tab w:val="left" w:pos="5670"/>
        </w:tabs>
        <w:suppressAutoHyphens w:val="0"/>
        <w:snapToGrid w:val="0"/>
        <w:spacing w:line="240" w:lineRule="auto"/>
        <w:ind w:left="5103"/>
        <w:rPr>
          <w:rFonts w:ascii="Arial" w:hAnsi="Arial" w:cs="Arial"/>
          <w:snapToGrid/>
          <w:szCs w:val="24"/>
        </w:rPr>
      </w:pPr>
      <w:r w:rsidRPr="00FE2E68">
        <w:rPr>
          <w:rFonts w:ascii="Arial" w:hAnsi="Arial"/>
          <w:snapToGrid/>
        </w:rPr>
        <w:t>8</w:t>
      </w:r>
      <w:r w:rsidR="005167B6" w:rsidRPr="00FE2E68">
        <w:rPr>
          <w:rFonts w:ascii="Arial" w:hAnsi="Arial"/>
          <w:snapToGrid/>
        </w:rPr>
        <w:t xml:space="preserve">. </w:t>
      </w:r>
      <w:r w:rsidRPr="00FE2E68">
        <w:rPr>
          <w:rFonts w:ascii="Arial" w:hAnsi="Arial"/>
          <w:snapToGrid/>
        </w:rPr>
        <w:t>Juni</w:t>
      </w:r>
      <w:r w:rsidR="005167B6" w:rsidRPr="00FE2E68">
        <w:rPr>
          <w:rFonts w:ascii="Arial" w:hAnsi="Arial"/>
          <w:snapToGrid/>
        </w:rPr>
        <w:t xml:space="preserve"> 2023</w:t>
      </w:r>
    </w:p>
    <w:p w14:paraId="351ECF35" w14:textId="11950E87" w:rsidR="00264628" w:rsidRPr="00FE2E68" w:rsidRDefault="00264628" w:rsidP="00C93825">
      <w:pPr>
        <w:tabs>
          <w:tab w:val="right" w:pos="3856"/>
          <w:tab w:val="left" w:pos="5670"/>
        </w:tabs>
        <w:suppressAutoHyphens w:val="0"/>
        <w:snapToGrid w:val="0"/>
        <w:spacing w:line="240" w:lineRule="auto"/>
        <w:ind w:left="5103" w:right="565"/>
        <w:rPr>
          <w:rFonts w:ascii="Arial" w:eastAsia="Arial" w:hAnsi="Arial" w:cs="Arial"/>
          <w:snapToGrid/>
          <w:sz w:val="16"/>
          <w:szCs w:val="24"/>
        </w:rPr>
      </w:pPr>
      <w:proofErr w:type="spellStart"/>
      <w:r w:rsidRPr="00FE2E68">
        <w:rPr>
          <w:rFonts w:ascii="Arial" w:hAnsi="Arial"/>
          <w:snapToGrid/>
          <w:sz w:val="16"/>
        </w:rPr>
        <w:t>Or</w:t>
      </w:r>
      <w:proofErr w:type="spellEnd"/>
      <w:r w:rsidRPr="00FE2E68">
        <w:rPr>
          <w:rFonts w:ascii="Arial" w:hAnsi="Arial"/>
          <w:snapToGrid/>
          <w:sz w:val="16"/>
        </w:rPr>
        <w:t xml:space="preserve">. </w:t>
      </w:r>
      <w:r w:rsidR="00FE2E68">
        <w:rPr>
          <w:rFonts w:ascii="Arial" w:hAnsi="Arial"/>
          <w:snapToGrid/>
          <w:sz w:val="16"/>
        </w:rPr>
        <w:t>ENGLISCH</w:t>
      </w:r>
    </w:p>
    <w:p w14:paraId="79FFE91C" w14:textId="77777777" w:rsidR="00264628" w:rsidRPr="00FE2E68" w:rsidRDefault="00264628" w:rsidP="00264628">
      <w:pPr>
        <w:suppressAutoHyphens w:val="0"/>
        <w:snapToGrid w:val="0"/>
        <w:spacing w:line="240" w:lineRule="auto"/>
        <w:rPr>
          <w:rFonts w:ascii="Arial" w:hAnsi="Arial" w:cs="Arial"/>
          <w:snapToGrid/>
          <w:sz w:val="16"/>
          <w:szCs w:val="24"/>
          <w:lang w:eastAsia="de-DE"/>
        </w:rPr>
      </w:pPr>
    </w:p>
    <w:p w14:paraId="699ED49A" w14:textId="77777777" w:rsidR="00264628" w:rsidRPr="00FE2E68" w:rsidRDefault="00264628" w:rsidP="00264628">
      <w:pPr>
        <w:tabs>
          <w:tab w:val="left" w:pos="2977"/>
        </w:tabs>
        <w:suppressAutoHyphens w:val="0"/>
        <w:snapToGrid w:val="0"/>
        <w:spacing w:line="240" w:lineRule="auto"/>
        <w:ind w:left="3958"/>
        <w:rPr>
          <w:rFonts w:ascii="Arial" w:hAnsi="Arial"/>
          <w:snapToGrid/>
          <w:sz w:val="16"/>
        </w:rPr>
      </w:pPr>
      <w:r w:rsidRPr="00FE2E68">
        <w:rPr>
          <w:rFonts w:ascii="Arial" w:hAnsi="Arial"/>
          <w:snapToGrid/>
          <w:sz w:val="16"/>
        </w:rPr>
        <w:t>GEMEINSAME EXPERTENTAGUNG FÜR DIE DEM ÜBEREINKOMMEN ÜBER DIE INTERNATIONALE BEFÖRDERUNG VON GEFÄHRLICHEN GÜTERN AUF BINNENWASSERSTRAẞEN (ADN) BEIGEFÜGTE VERORDNUNG (SICHERHEITSAUSSCHUSS)</w:t>
      </w:r>
    </w:p>
    <w:p w14:paraId="0D4EF47C" w14:textId="77777777" w:rsidR="00264628" w:rsidRPr="00FE2E68" w:rsidRDefault="00264628" w:rsidP="00264628">
      <w:pPr>
        <w:tabs>
          <w:tab w:val="left" w:pos="2977"/>
        </w:tabs>
        <w:suppressAutoHyphens w:val="0"/>
        <w:snapToGrid w:val="0"/>
        <w:spacing w:line="240" w:lineRule="auto"/>
        <w:ind w:left="3960"/>
        <w:rPr>
          <w:rFonts w:ascii="Arial" w:hAnsi="Arial"/>
          <w:snapToGrid/>
          <w:sz w:val="16"/>
          <w:szCs w:val="24"/>
        </w:rPr>
      </w:pPr>
      <w:r w:rsidRPr="00FE2E68">
        <w:rPr>
          <w:rFonts w:ascii="Arial" w:hAnsi="Arial"/>
          <w:snapToGrid/>
          <w:sz w:val="16"/>
        </w:rPr>
        <w:t>(42. Tagung, Genf, 21. – 25. August 2023)</w:t>
      </w:r>
    </w:p>
    <w:p w14:paraId="2905F90A" w14:textId="531C049C" w:rsidR="00264628" w:rsidRPr="00FE2E68" w:rsidRDefault="00264628" w:rsidP="00264628">
      <w:pPr>
        <w:tabs>
          <w:tab w:val="left" w:pos="2977"/>
        </w:tabs>
        <w:suppressAutoHyphens w:val="0"/>
        <w:snapToGrid w:val="0"/>
        <w:spacing w:line="240" w:lineRule="auto"/>
        <w:ind w:left="3960"/>
        <w:rPr>
          <w:rFonts w:ascii="Arial" w:hAnsi="Arial" w:cs="Arial"/>
          <w:snapToGrid/>
          <w:sz w:val="16"/>
          <w:szCs w:val="16"/>
        </w:rPr>
      </w:pPr>
      <w:r w:rsidRPr="00FE2E68">
        <w:rPr>
          <w:rFonts w:ascii="Arial" w:hAnsi="Arial"/>
          <w:snapToGrid/>
          <w:sz w:val="16"/>
        </w:rPr>
        <w:t xml:space="preserve">Punkt </w:t>
      </w:r>
      <w:r w:rsidR="00803FC5" w:rsidRPr="00FE2E68">
        <w:rPr>
          <w:rFonts w:ascii="Arial" w:hAnsi="Arial"/>
          <w:snapToGrid/>
          <w:sz w:val="16"/>
        </w:rPr>
        <w:t>5)</w:t>
      </w:r>
      <w:r w:rsidRPr="00FE2E68">
        <w:rPr>
          <w:rFonts w:ascii="Arial" w:hAnsi="Arial"/>
          <w:snapToGrid/>
          <w:sz w:val="16"/>
        </w:rPr>
        <w:t xml:space="preserve"> </w:t>
      </w:r>
      <w:r w:rsidR="009764C0" w:rsidRPr="00FE2E68">
        <w:rPr>
          <w:rFonts w:ascii="Arial" w:hAnsi="Arial"/>
          <w:snapToGrid/>
          <w:sz w:val="16"/>
        </w:rPr>
        <w:t>der</w:t>
      </w:r>
      <w:r w:rsidRPr="00FE2E68">
        <w:rPr>
          <w:rFonts w:ascii="Arial" w:hAnsi="Arial"/>
          <w:snapToGrid/>
          <w:sz w:val="16"/>
        </w:rPr>
        <w:t xml:space="preserve"> vorläufigen Tagesordnung</w:t>
      </w:r>
    </w:p>
    <w:p w14:paraId="710343D3" w14:textId="61B6A11B" w:rsidR="003159A0" w:rsidRPr="00FE2E68" w:rsidRDefault="00803FC5" w:rsidP="00803FC5">
      <w:pPr>
        <w:suppressAutoHyphens w:val="0"/>
        <w:spacing w:line="240" w:lineRule="auto"/>
        <w:ind w:left="3969"/>
        <w:rPr>
          <w:rFonts w:ascii="Arial" w:hAnsi="Arial"/>
          <w:szCs w:val="24"/>
        </w:rPr>
      </w:pPr>
      <w:r w:rsidRPr="00FE2E68">
        <w:rPr>
          <w:rFonts w:ascii="Arial" w:hAnsi="Arial"/>
          <w:b/>
          <w:snapToGrid/>
          <w:sz w:val="16"/>
        </w:rPr>
        <w:t>Berichte informeller Arbeitsgruppen</w:t>
      </w:r>
    </w:p>
    <w:p w14:paraId="254DDC15" w14:textId="77777777" w:rsidR="00F007DA" w:rsidRPr="00FE2E68" w:rsidRDefault="00F007DA" w:rsidP="00264628">
      <w:pPr>
        <w:suppressAutoHyphens w:val="0"/>
        <w:spacing w:line="240" w:lineRule="auto"/>
        <w:rPr>
          <w:rFonts w:ascii="Arial" w:hAnsi="Arial"/>
          <w:szCs w:val="24"/>
        </w:rPr>
      </w:pPr>
    </w:p>
    <w:p w14:paraId="3556DA4E" w14:textId="2289D724" w:rsidR="00264628" w:rsidRPr="00FE2E68" w:rsidRDefault="00067306" w:rsidP="00067306">
      <w:pPr>
        <w:ind w:left="1134"/>
        <w:rPr>
          <w:sz w:val="28"/>
        </w:rPr>
      </w:pPr>
      <w:r w:rsidRPr="00FE2E68">
        <w:rPr>
          <w:b/>
          <w:snapToGrid/>
          <w:sz w:val="28"/>
        </w:rPr>
        <w:t>Bericht über die zweite Sitzung der Informellen Arbeitsgruppe „Instruktion für die Lade- und Löschraten“</w:t>
      </w:r>
    </w:p>
    <w:p w14:paraId="3EF00CC2" w14:textId="77777777" w:rsidR="00264628" w:rsidRPr="00FE2E68" w:rsidRDefault="00264628" w:rsidP="00264628"/>
    <w:p w14:paraId="4B7D0868" w14:textId="67EE1401" w:rsidR="00E069EE" w:rsidRPr="00FE2E68" w:rsidRDefault="00465A89" w:rsidP="007443A8">
      <w:pPr>
        <w:keepNext/>
        <w:keepLines/>
        <w:snapToGrid w:val="0"/>
        <w:ind w:left="1134" w:right="567"/>
      </w:pPr>
      <w:r w:rsidRPr="00FE2E68">
        <w:rPr>
          <w:b/>
          <w:snapToGrid/>
          <w:sz w:val="24"/>
          <w:szCs w:val="24"/>
        </w:rPr>
        <w:t>Vorgelegt</w:t>
      </w:r>
      <w:r w:rsidR="00264628" w:rsidRPr="00FE2E68">
        <w:rPr>
          <w:b/>
          <w:snapToGrid/>
          <w:sz w:val="24"/>
          <w:szCs w:val="24"/>
        </w:rPr>
        <w:t xml:space="preserve"> von </w:t>
      </w:r>
      <w:r w:rsidR="009F1037" w:rsidRPr="00FE2E68">
        <w:rPr>
          <w:b/>
          <w:snapToGrid/>
          <w:sz w:val="24"/>
          <w:szCs w:val="24"/>
        </w:rPr>
        <w:t>den Niederlanden</w:t>
      </w:r>
      <w:r w:rsidR="00264628" w:rsidRPr="00FE2E68">
        <w:rPr>
          <w:bCs/>
          <w:snapToGrid/>
          <w:sz w:val="24"/>
          <w:szCs w:val="24"/>
          <w:vertAlign w:val="superscript"/>
          <w:lang w:eastAsia="en-US"/>
        </w:rPr>
        <w:footnoteReference w:customMarkFollows="1" w:id="2"/>
        <w:t>*</w:t>
      </w:r>
      <w:r w:rsidR="00264628" w:rsidRPr="00FE2E68">
        <w:rPr>
          <w:snapToGrid/>
          <w:sz w:val="24"/>
          <w:szCs w:val="24"/>
          <w:vertAlign w:val="superscript"/>
        </w:rPr>
        <w:t>,</w:t>
      </w:r>
      <w:r w:rsidR="00C67076" w:rsidRPr="00FE2E68">
        <w:rPr>
          <w:snapToGrid/>
          <w:sz w:val="24"/>
          <w:szCs w:val="24"/>
          <w:vertAlign w:val="superscript"/>
        </w:rPr>
        <w:t xml:space="preserve"> </w:t>
      </w:r>
      <w:r w:rsidR="00264628" w:rsidRPr="00FE2E68">
        <w:rPr>
          <w:bCs/>
          <w:snapToGrid/>
          <w:sz w:val="24"/>
          <w:szCs w:val="24"/>
          <w:vertAlign w:val="superscript"/>
          <w:lang w:eastAsia="en-US"/>
        </w:rPr>
        <w:footnoteReference w:customMarkFollows="1" w:id="3"/>
        <w:t>**</w:t>
      </w:r>
      <w:r w:rsidR="00264628" w:rsidRPr="00FE2E68">
        <w:rPr>
          <w:bCs/>
          <w:snapToGrid/>
          <w:sz w:val="24"/>
          <w:szCs w:val="24"/>
          <w:lang w:eastAsia="en-US"/>
        </w:rPr>
        <w:tab/>
      </w:r>
    </w:p>
    <w:p w14:paraId="37E10DA0" w14:textId="77777777" w:rsidR="005F3E6C" w:rsidRPr="00FE2E68" w:rsidRDefault="005F3E6C" w:rsidP="00AF55BE">
      <w:pPr>
        <w:tabs>
          <w:tab w:val="left" w:pos="1701"/>
        </w:tabs>
        <w:ind w:left="1134" w:right="566"/>
        <w:jc w:val="both"/>
        <w:rPr>
          <w:b/>
          <w:bCs/>
        </w:rPr>
      </w:pPr>
    </w:p>
    <w:tbl>
      <w:tblPr>
        <w:tblStyle w:val="Grilledutableau1"/>
        <w:tblW w:w="0" w:type="auto"/>
        <w:jc w:val="center"/>
        <w:tblBorders>
          <w:insideH w:val="none" w:sz="0" w:space="0" w:color="auto"/>
        </w:tblBorders>
        <w:tblLook w:val="05E0" w:firstRow="1" w:lastRow="1" w:firstColumn="1" w:lastColumn="1" w:noHBand="0" w:noVBand="1"/>
      </w:tblPr>
      <w:tblGrid>
        <w:gridCol w:w="9061"/>
      </w:tblGrid>
      <w:tr w:rsidR="009F1037" w:rsidRPr="00FE2E68" w14:paraId="1CD13DB2" w14:textId="77777777" w:rsidTr="009F1037">
        <w:trPr>
          <w:jc w:val="center"/>
        </w:trPr>
        <w:tc>
          <w:tcPr>
            <w:tcW w:w="9061" w:type="dxa"/>
            <w:shd w:val="clear" w:color="auto" w:fill="auto"/>
          </w:tcPr>
          <w:p w14:paraId="66D2414A" w14:textId="1A267DA0" w:rsidR="009F1037" w:rsidRPr="00FE2E68" w:rsidRDefault="009F1037" w:rsidP="009F1037">
            <w:pPr>
              <w:spacing w:before="240" w:after="120"/>
              <w:ind w:left="255"/>
              <w:rPr>
                <w:i/>
                <w:sz w:val="24"/>
                <w:lang w:val="de-DE"/>
              </w:rPr>
            </w:pPr>
            <w:r w:rsidRPr="00FE2E68">
              <w:rPr>
                <w:i/>
                <w:sz w:val="24"/>
                <w:lang w:val="de-DE"/>
              </w:rPr>
              <w:t>Zusammenfassung</w:t>
            </w:r>
          </w:p>
          <w:p w14:paraId="2B1FA95F" w14:textId="50E34275" w:rsidR="009F1037" w:rsidRPr="00FE2E68" w:rsidRDefault="009F1037" w:rsidP="00F32D7E">
            <w:pPr>
              <w:spacing w:before="120"/>
              <w:ind w:left="275"/>
              <w:rPr>
                <w:lang w:val="de-DE"/>
              </w:rPr>
            </w:pPr>
            <w:r w:rsidRPr="00FE2E68">
              <w:rPr>
                <w:b/>
                <w:lang w:val="de-DE"/>
              </w:rPr>
              <w:t>Verbundene Dokumente:</w:t>
            </w:r>
            <w:r w:rsidRPr="00FE2E68">
              <w:rPr>
                <w:b/>
                <w:lang w:val="de-DE"/>
              </w:rPr>
              <w:tab/>
            </w:r>
            <w:r w:rsidRPr="00FE2E68">
              <w:rPr>
                <w:lang w:val="de-DE"/>
              </w:rPr>
              <w:t xml:space="preserve">Informelles Dokument INF.12 </w:t>
            </w:r>
            <w:r w:rsidR="00F32D7E" w:rsidRPr="00FE2E68">
              <w:rPr>
                <w:lang w:val="de-DE"/>
              </w:rPr>
              <w:t>der 34. Sitzung</w:t>
            </w:r>
            <w:r w:rsidRPr="00FE2E68">
              <w:rPr>
                <w:lang w:val="de-DE"/>
              </w:rPr>
              <w:t xml:space="preserve"> – (Niederlande)</w:t>
            </w:r>
          </w:p>
          <w:p w14:paraId="78B17428" w14:textId="76EB230C" w:rsidR="009F1037" w:rsidRPr="00FE2E68" w:rsidRDefault="009F1037" w:rsidP="009F1037">
            <w:pPr>
              <w:ind w:left="2825"/>
              <w:rPr>
                <w:lang w:val="de-DE"/>
              </w:rPr>
            </w:pPr>
            <w:r w:rsidRPr="00FE2E68">
              <w:rPr>
                <w:lang w:val="de-DE"/>
              </w:rPr>
              <w:t>ECE/TRANS/WP.15/AC.2/70 (</w:t>
            </w:r>
            <w:r w:rsidR="00F32D7E" w:rsidRPr="00FE2E68">
              <w:rPr>
                <w:lang w:val="de-DE"/>
              </w:rPr>
              <w:t>Abs.</w:t>
            </w:r>
            <w:r w:rsidRPr="00FE2E68">
              <w:rPr>
                <w:lang w:val="de-DE"/>
              </w:rPr>
              <w:t xml:space="preserve"> 16-17) – </w:t>
            </w:r>
            <w:r w:rsidR="001F2E06" w:rsidRPr="00FE2E68">
              <w:rPr>
                <w:lang w:val="de-DE"/>
              </w:rPr>
              <w:t>Protokoll der 34. Sitzung</w:t>
            </w:r>
          </w:p>
          <w:p w14:paraId="4AC209C8" w14:textId="56AD12AD" w:rsidR="009F1037" w:rsidRPr="00FE2E68" w:rsidRDefault="009F1037" w:rsidP="009F1037">
            <w:pPr>
              <w:ind w:left="2825"/>
              <w:rPr>
                <w:lang w:val="de-DE"/>
              </w:rPr>
            </w:pPr>
            <w:r w:rsidRPr="00FE2E68">
              <w:rPr>
                <w:lang w:val="de-DE"/>
              </w:rPr>
              <w:t xml:space="preserve">Informelles Dokument INF.9 </w:t>
            </w:r>
            <w:r w:rsidR="00F32D7E" w:rsidRPr="00FE2E68">
              <w:rPr>
                <w:lang w:val="de-DE"/>
              </w:rPr>
              <w:t xml:space="preserve">der 35. Sitzung </w:t>
            </w:r>
            <w:r w:rsidRPr="00FE2E68">
              <w:rPr>
                <w:lang w:val="de-DE"/>
              </w:rPr>
              <w:t>– (Niederlande)</w:t>
            </w:r>
          </w:p>
          <w:p w14:paraId="10FE2330" w14:textId="21889E3A" w:rsidR="009F1037" w:rsidRPr="00FE2E68" w:rsidRDefault="009F1037" w:rsidP="009F1037">
            <w:pPr>
              <w:ind w:left="2825"/>
              <w:rPr>
                <w:lang w:val="de-DE"/>
              </w:rPr>
            </w:pPr>
            <w:r w:rsidRPr="00FE2E68">
              <w:rPr>
                <w:lang w:val="de-DE"/>
              </w:rPr>
              <w:t>ECE/TRANS/WP.15/AC.2/72 (</w:t>
            </w:r>
            <w:r w:rsidR="00F32D7E" w:rsidRPr="00FE2E68">
              <w:rPr>
                <w:lang w:val="de-DE"/>
              </w:rPr>
              <w:t>Abs.</w:t>
            </w:r>
            <w:r w:rsidRPr="00FE2E68">
              <w:rPr>
                <w:lang w:val="de-DE"/>
              </w:rPr>
              <w:t xml:space="preserve"> 14-16) – </w:t>
            </w:r>
            <w:r w:rsidR="001F2E06" w:rsidRPr="00FE2E68">
              <w:rPr>
                <w:lang w:val="de-DE"/>
              </w:rPr>
              <w:t>Protokoll der 35. Sitzung</w:t>
            </w:r>
          </w:p>
          <w:p w14:paraId="0098A0A3" w14:textId="6A1DAEDD" w:rsidR="009F1037" w:rsidRPr="00FE2E68" w:rsidRDefault="009F1037" w:rsidP="009F1037">
            <w:pPr>
              <w:ind w:left="2825"/>
              <w:rPr>
                <w:lang w:val="de-DE"/>
              </w:rPr>
            </w:pPr>
            <w:r w:rsidRPr="00FE2E68">
              <w:rPr>
                <w:lang w:val="de-DE"/>
              </w:rPr>
              <w:t>ECE/TRANS/WP.15/AC.2/2020/37 – (Niederlande)</w:t>
            </w:r>
          </w:p>
          <w:p w14:paraId="7A574987" w14:textId="052E96D4" w:rsidR="009F1037" w:rsidRPr="00FE2E68" w:rsidRDefault="009F1037" w:rsidP="009F1037">
            <w:pPr>
              <w:ind w:left="2825"/>
              <w:rPr>
                <w:lang w:val="de-DE"/>
              </w:rPr>
            </w:pPr>
            <w:r w:rsidRPr="00FE2E68">
              <w:rPr>
                <w:lang w:val="de-DE"/>
              </w:rPr>
              <w:t>ECE/TRANS/WP.15/AC.2/76 (</w:t>
            </w:r>
            <w:r w:rsidR="00F32D7E" w:rsidRPr="00FE2E68">
              <w:rPr>
                <w:lang w:val="de-DE"/>
              </w:rPr>
              <w:t>Abs.</w:t>
            </w:r>
            <w:r w:rsidRPr="00FE2E68">
              <w:rPr>
                <w:lang w:val="de-DE"/>
              </w:rPr>
              <w:t xml:space="preserve">71-72) – </w:t>
            </w:r>
            <w:r w:rsidR="001F2E06" w:rsidRPr="00FE2E68">
              <w:rPr>
                <w:lang w:val="de-DE"/>
              </w:rPr>
              <w:t>Protokoll der 37. Sitzung</w:t>
            </w:r>
          </w:p>
          <w:p w14:paraId="01ACC8B8" w14:textId="5BB9E363" w:rsidR="009F1037" w:rsidRPr="00FE2E68" w:rsidRDefault="009F1037" w:rsidP="009F1037">
            <w:pPr>
              <w:ind w:left="2825"/>
              <w:rPr>
                <w:lang w:val="de-DE"/>
              </w:rPr>
            </w:pPr>
            <w:r w:rsidRPr="00FE2E68">
              <w:rPr>
                <w:lang w:val="de-DE"/>
              </w:rPr>
              <w:t>ECE TRANS/WP15/AC.2/2021/26 – (Niederlande)</w:t>
            </w:r>
          </w:p>
          <w:p w14:paraId="5C9CDF7B" w14:textId="72A8A59E" w:rsidR="009F1037" w:rsidRPr="00FE2E68" w:rsidRDefault="009F1037" w:rsidP="009F1037">
            <w:pPr>
              <w:ind w:left="2825"/>
              <w:rPr>
                <w:lang w:val="de-DE"/>
              </w:rPr>
            </w:pPr>
            <w:r w:rsidRPr="00FE2E68">
              <w:rPr>
                <w:lang w:val="de-DE"/>
              </w:rPr>
              <w:t>ECE/TRANS/WP.15/AC.2/78 (</w:t>
            </w:r>
            <w:r w:rsidR="00F32D7E" w:rsidRPr="00FE2E68">
              <w:rPr>
                <w:lang w:val="de-DE"/>
              </w:rPr>
              <w:t>Abs.</w:t>
            </w:r>
            <w:r w:rsidRPr="00FE2E68">
              <w:rPr>
                <w:lang w:val="de-DE"/>
              </w:rPr>
              <w:t xml:space="preserve">35-36) – </w:t>
            </w:r>
            <w:r w:rsidR="001F2E06" w:rsidRPr="00FE2E68">
              <w:rPr>
                <w:lang w:val="de-DE"/>
              </w:rPr>
              <w:t>Protokoll der 38. Sitzung</w:t>
            </w:r>
          </w:p>
          <w:p w14:paraId="09366B13" w14:textId="3333AB2B" w:rsidR="009F1037" w:rsidRPr="00FE2E68" w:rsidRDefault="009F1037" w:rsidP="009F1037">
            <w:pPr>
              <w:ind w:left="2825"/>
              <w:rPr>
                <w:lang w:val="de-DE"/>
              </w:rPr>
            </w:pPr>
            <w:r w:rsidRPr="00FE2E68">
              <w:rPr>
                <w:lang w:val="de-DE"/>
              </w:rPr>
              <w:t>ECE/TRANS/WP.15/AC.2/2022/14 – (Niederlande)</w:t>
            </w:r>
          </w:p>
          <w:p w14:paraId="07B665E9" w14:textId="67B3F18F" w:rsidR="009F1037" w:rsidRPr="00FE2E68" w:rsidRDefault="009F1037" w:rsidP="009F1037">
            <w:pPr>
              <w:ind w:left="2825"/>
              <w:rPr>
                <w:lang w:val="de-DE"/>
              </w:rPr>
            </w:pPr>
            <w:r w:rsidRPr="00FE2E68">
              <w:rPr>
                <w:lang w:val="de-DE"/>
              </w:rPr>
              <w:t>ECE/TRANS/WP.15/AC.2/80 (</w:t>
            </w:r>
            <w:r w:rsidR="00F32D7E" w:rsidRPr="00FE2E68">
              <w:rPr>
                <w:lang w:val="de-DE"/>
              </w:rPr>
              <w:t>Abs.</w:t>
            </w:r>
            <w:r w:rsidRPr="00FE2E68">
              <w:rPr>
                <w:lang w:val="de-DE"/>
              </w:rPr>
              <w:t xml:space="preserve">66) </w:t>
            </w:r>
            <w:r w:rsidR="00067306" w:rsidRPr="00FE2E68">
              <w:rPr>
                <w:lang w:val="de-DE"/>
              </w:rPr>
              <w:t>–</w:t>
            </w:r>
            <w:r w:rsidRPr="00FE2E68">
              <w:rPr>
                <w:lang w:val="de-DE"/>
              </w:rPr>
              <w:t xml:space="preserve"> </w:t>
            </w:r>
            <w:r w:rsidR="001F2E06" w:rsidRPr="00FE2E68">
              <w:rPr>
                <w:lang w:val="de-DE"/>
              </w:rPr>
              <w:t>Protokoll der 39. Sitzung</w:t>
            </w:r>
          </w:p>
          <w:p w14:paraId="7B706359" w14:textId="7414A511" w:rsidR="009F1037" w:rsidRPr="00FE2E68" w:rsidRDefault="009F1037" w:rsidP="009F1037">
            <w:pPr>
              <w:ind w:left="2825"/>
              <w:rPr>
                <w:lang w:val="de-DE"/>
              </w:rPr>
            </w:pPr>
            <w:r w:rsidRPr="00FE2E68">
              <w:rPr>
                <w:lang w:val="de-DE"/>
              </w:rPr>
              <w:t xml:space="preserve">Informelles Dokument INF.13 </w:t>
            </w:r>
            <w:r w:rsidR="00F32D7E" w:rsidRPr="00FE2E68">
              <w:rPr>
                <w:lang w:val="de-DE"/>
              </w:rPr>
              <w:t>der 40. Sitzung</w:t>
            </w:r>
            <w:r w:rsidRPr="00FE2E68">
              <w:rPr>
                <w:lang w:val="de-DE"/>
              </w:rPr>
              <w:t xml:space="preserve"> – (Niederlande)</w:t>
            </w:r>
          </w:p>
          <w:p w14:paraId="21A04705" w14:textId="25BF289F" w:rsidR="009F1037" w:rsidRPr="00FE2E68" w:rsidRDefault="009F1037" w:rsidP="009F1037">
            <w:pPr>
              <w:spacing w:after="120"/>
              <w:ind w:left="2825"/>
              <w:rPr>
                <w:i/>
                <w:sz w:val="24"/>
                <w:lang w:val="de-DE"/>
              </w:rPr>
            </w:pPr>
            <w:r w:rsidRPr="00FE2E68">
              <w:rPr>
                <w:lang w:val="de-DE"/>
              </w:rPr>
              <w:t>ECE/TRANS/WP.15/AC.2/82 (</w:t>
            </w:r>
            <w:r w:rsidR="00F32D7E" w:rsidRPr="00FE2E68">
              <w:rPr>
                <w:lang w:val="de-DE"/>
              </w:rPr>
              <w:t>Abs.</w:t>
            </w:r>
            <w:r w:rsidRPr="00FE2E68">
              <w:rPr>
                <w:lang w:val="de-DE"/>
              </w:rPr>
              <w:t xml:space="preserve">68) </w:t>
            </w:r>
            <w:r w:rsidR="00067306" w:rsidRPr="00FE2E68">
              <w:rPr>
                <w:lang w:val="de-DE"/>
              </w:rPr>
              <w:t>–</w:t>
            </w:r>
            <w:r w:rsidRPr="00FE2E68">
              <w:rPr>
                <w:lang w:val="de-DE"/>
              </w:rPr>
              <w:t xml:space="preserve"> </w:t>
            </w:r>
            <w:r w:rsidR="00F32D7E" w:rsidRPr="00FE2E68">
              <w:rPr>
                <w:lang w:val="de-DE"/>
              </w:rPr>
              <w:t>Protokoll der 40. Sitzung</w:t>
            </w:r>
          </w:p>
        </w:tc>
      </w:tr>
      <w:tr w:rsidR="009F1037" w:rsidRPr="00FE2E68" w14:paraId="6FDD85A2" w14:textId="77777777" w:rsidTr="009F1037">
        <w:trPr>
          <w:trHeight w:val="60"/>
          <w:jc w:val="center"/>
        </w:trPr>
        <w:tc>
          <w:tcPr>
            <w:tcW w:w="9061" w:type="dxa"/>
            <w:shd w:val="clear" w:color="auto" w:fill="auto"/>
          </w:tcPr>
          <w:p w14:paraId="223895F4" w14:textId="77777777" w:rsidR="009F1037" w:rsidRPr="00FE2E68" w:rsidRDefault="009F1037" w:rsidP="009F1037">
            <w:pPr>
              <w:rPr>
                <w:lang w:val="de-DE"/>
              </w:rPr>
            </w:pPr>
          </w:p>
        </w:tc>
      </w:tr>
    </w:tbl>
    <w:p w14:paraId="205C8972" w14:textId="77777777" w:rsidR="009F1037" w:rsidRPr="00FE2E68" w:rsidRDefault="009F1037" w:rsidP="009F1037">
      <w:pPr>
        <w:rPr>
          <w:snapToGrid/>
        </w:rPr>
      </w:pPr>
    </w:p>
    <w:p w14:paraId="15FAB245" w14:textId="77777777" w:rsidR="00F32D7E" w:rsidRPr="00FE2E68" w:rsidRDefault="00F32D7E">
      <w:pPr>
        <w:suppressAutoHyphens w:val="0"/>
        <w:spacing w:line="240" w:lineRule="auto"/>
        <w:rPr>
          <w:b/>
          <w:snapToGrid/>
          <w:sz w:val="28"/>
        </w:rPr>
      </w:pPr>
      <w:r w:rsidRPr="00FE2E68">
        <w:rPr>
          <w:b/>
          <w:snapToGrid/>
          <w:sz w:val="28"/>
        </w:rPr>
        <w:br w:type="page"/>
      </w:r>
    </w:p>
    <w:p w14:paraId="53999D30" w14:textId="430445E8" w:rsidR="009F1037" w:rsidRPr="00FE2E68" w:rsidRDefault="009F1037" w:rsidP="009F1037">
      <w:pPr>
        <w:keepNext/>
        <w:keepLines/>
        <w:tabs>
          <w:tab w:val="right" w:pos="851"/>
        </w:tabs>
        <w:spacing w:before="360" w:after="240" w:line="300" w:lineRule="exact"/>
        <w:ind w:left="1134" w:right="1134" w:hanging="1134"/>
        <w:rPr>
          <w:b/>
          <w:snapToGrid/>
          <w:sz w:val="28"/>
          <w:lang w:val="en-GB"/>
        </w:rPr>
      </w:pPr>
      <w:r w:rsidRPr="00FE2E68">
        <w:rPr>
          <w:b/>
          <w:snapToGrid/>
          <w:sz w:val="28"/>
        </w:rPr>
        <w:lastRenderedPageBreak/>
        <w:tab/>
      </w:r>
      <w:r w:rsidRPr="00FE2E68">
        <w:rPr>
          <w:b/>
          <w:snapToGrid/>
          <w:sz w:val="28"/>
        </w:rPr>
        <w:tab/>
      </w:r>
      <w:proofErr w:type="spellStart"/>
      <w:r w:rsidRPr="00FE2E68">
        <w:rPr>
          <w:b/>
          <w:snapToGrid/>
          <w:sz w:val="28"/>
          <w:lang w:val="en-GB"/>
        </w:rPr>
        <w:t>Einleitung</w:t>
      </w:r>
      <w:proofErr w:type="spellEnd"/>
    </w:p>
    <w:p w14:paraId="47300C56" w14:textId="4640C513" w:rsidR="009F1037" w:rsidRPr="00FE2E68" w:rsidRDefault="009F1037" w:rsidP="00D0635C">
      <w:pPr>
        <w:spacing w:after="120"/>
        <w:ind w:left="1134" w:right="1134"/>
        <w:jc w:val="both"/>
        <w:rPr>
          <w:snapToGrid/>
        </w:rPr>
      </w:pPr>
      <w:r w:rsidRPr="00FE2E68">
        <w:rPr>
          <w:snapToGrid/>
        </w:rPr>
        <w:t>1.</w:t>
      </w:r>
      <w:r w:rsidRPr="00FE2E68">
        <w:rPr>
          <w:snapToGrid/>
        </w:rPr>
        <w:tab/>
      </w:r>
      <w:r w:rsidR="00067306" w:rsidRPr="00FE2E68">
        <w:rPr>
          <w:snapToGrid/>
        </w:rPr>
        <w:t xml:space="preserve">Die informelle Arbeitsgruppe </w:t>
      </w:r>
      <w:r w:rsidR="00AB66EF" w:rsidRPr="00FE2E68">
        <w:rPr>
          <w:snapToGrid/>
        </w:rPr>
        <w:t xml:space="preserve">„Instruktion für die Lade- und Löschraten“ </w:t>
      </w:r>
      <w:r w:rsidR="00067306" w:rsidRPr="00FE2E68">
        <w:rPr>
          <w:snapToGrid/>
        </w:rPr>
        <w:t>hielt am 4. und 5. Mai 2023 in Utrecht ihre zweite Sitzung in einem hybriden Format ab.</w:t>
      </w:r>
      <w:r w:rsidRPr="00FE2E68">
        <w:rPr>
          <w:snapToGrid/>
        </w:rPr>
        <w:t xml:space="preserve"> </w:t>
      </w:r>
      <w:r w:rsidR="002B547E" w:rsidRPr="00FE2E68">
        <w:rPr>
          <w:snapToGrid/>
        </w:rPr>
        <w:t xml:space="preserve">An der Sitzung nahmen Mitglieder der österreichischen und der niederländischen Delegation sowie Vertreter des </w:t>
      </w:r>
      <w:r w:rsidR="00D0635C" w:rsidRPr="00FE2E68">
        <w:rPr>
          <w:snapToGrid/>
        </w:rPr>
        <w:t>Europäischen Rat</w:t>
      </w:r>
      <w:r w:rsidR="00AB66EF" w:rsidRPr="00FE2E68">
        <w:rPr>
          <w:snapToGrid/>
        </w:rPr>
        <w:t>e</w:t>
      </w:r>
      <w:r w:rsidR="00D0635C" w:rsidRPr="00FE2E68">
        <w:rPr>
          <w:snapToGrid/>
        </w:rPr>
        <w:t xml:space="preserve">s der Chemischen Industrieverbände </w:t>
      </w:r>
      <w:r w:rsidR="002B547E" w:rsidRPr="00FE2E68">
        <w:rPr>
          <w:snapToGrid/>
        </w:rPr>
        <w:t>(</w:t>
      </w:r>
      <w:proofErr w:type="spellStart"/>
      <w:r w:rsidR="002B547E" w:rsidRPr="00FE2E68">
        <w:rPr>
          <w:snapToGrid/>
        </w:rPr>
        <w:t>Cefic</w:t>
      </w:r>
      <w:proofErr w:type="spellEnd"/>
      <w:r w:rsidR="002B547E" w:rsidRPr="00FE2E68">
        <w:rPr>
          <w:snapToGrid/>
        </w:rPr>
        <w:t xml:space="preserve">), der </w:t>
      </w:r>
      <w:r w:rsidR="00D0635C" w:rsidRPr="00FE2E68">
        <w:rPr>
          <w:snapToGrid/>
        </w:rPr>
        <w:t xml:space="preserve">Europäischen Binnenschifffahrts-Union </w:t>
      </w:r>
      <w:r w:rsidR="002B547E" w:rsidRPr="00FE2E68">
        <w:rPr>
          <w:snapToGrid/>
        </w:rPr>
        <w:t xml:space="preserve">(EBU), der </w:t>
      </w:r>
      <w:r w:rsidR="00D0635C" w:rsidRPr="00FE2E68">
        <w:rPr>
          <w:snapToGrid/>
        </w:rPr>
        <w:t>Europäischen Schifferorganisation</w:t>
      </w:r>
      <w:r w:rsidR="002B547E" w:rsidRPr="00FE2E68">
        <w:rPr>
          <w:snapToGrid/>
        </w:rPr>
        <w:t xml:space="preserve"> (ESO), </w:t>
      </w:r>
      <w:proofErr w:type="spellStart"/>
      <w:r w:rsidR="002B547E" w:rsidRPr="00FE2E68">
        <w:rPr>
          <w:snapToGrid/>
        </w:rPr>
        <w:t>FuelsEurope</w:t>
      </w:r>
      <w:proofErr w:type="spellEnd"/>
      <w:r w:rsidR="002B547E" w:rsidRPr="00FE2E68">
        <w:rPr>
          <w:snapToGrid/>
        </w:rPr>
        <w:t xml:space="preserve">, </w:t>
      </w:r>
      <w:proofErr w:type="spellStart"/>
      <w:r w:rsidR="002B547E" w:rsidRPr="00FE2E68">
        <w:rPr>
          <w:snapToGrid/>
        </w:rPr>
        <w:t>Vemobin</w:t>
      </w:r>
      <w:proofErr w:type="spellEnd"/>
      <w:r w:rsidR="002B547E" w:rsidRPr="00FE2E68">
        <w:rPr>
          <w:snapToGrid/>
        </w:rPr>
        <w:t>, de</w:t>
      </w:r>
      <w:r w:rsidR="00D0635C" w:rsidRPr="00FE2E68">
        <w:rPr>
          <w:snapToGrid/>
        </w:rPr>
        <w:t>s</w:t>
      </w:r>
      <w:r w:rsidR="002B547E" w:rsidRPr="00FE2E68">
        <w:rPr>
          <w:snapToGrid/>
        </w:rPr>
        <w:t xml:space="preserve"> </w:t>
      </w:r>
      <w:r w:rsidR="00D0635C" w:rsidRPr="00FE2E68">
        <w:rPr>
          <w:snapToGrid/>
        </w:rPr>
        <w:t>Verbands der niederländischen Tanklagergesellschaften</w:t>
      </w:r>
      <w:r w:rsidR="002B547E" w:rsidRPr="00FE2E68">
        <w:rPr>
          <w:snapToGrid/>
        </w:rPr>
        <w:t xml:space="preserve"> (VOTOB) und von Bureau Veritas teil.</w:t>
      </w:r>
      <w:r w:rsidRPr="00FE2E68">
        <w:rPr>
          <w:snapToGrid/>
        </w:rPr>
        <w:t xml:space="preserve"> </w:t>
      </w:r>
      <w:r w:rsidR="00D0635C" w:rsidRPr="00FE2E68">
        <w:rPr>
          <w:snapToGrid/>
        </w:rPr>
        <w:t>Die informelle Arbeitsgruppe setzte ihre Diskussionen über die Punkte fort, die auf der neununddreißigsten Sitzung des ADN-Sicherheitsausschusses als Aufgabenstellung vereinbart worden waren.</w:t>
      </w:r>
    </w:p>
    <w:p w14:paraId="1956072D" w14:textId="1A336DC9" w:rsidR="009F1037" w:rsidRPr="00FE2E68" w:rsidRDefault="009F1037" w:rsidP="00E14DBA">
      <w:pPr>
        <w:spacing w:after="120"/>
        <w:ind w:left="1134" w:right="1134"/>
        <w:jc w:val="both"/>
        <w:rPr>
          <w:snapToGrid/>
        </w:rPr>
      </w:pPr>
      <w:r w:rsidRPr="00FE2E68">
        <w:rPr>
          <w:snapToGrid/>
        </w:rPr>
        <w:t>2.</w:t>
      </w:r>
      <w:r w:rsidRPr="00FE2E68">
        <w:rPr>
          <w:snapToGrid/>
        </w:rPr>
        <w:tab/>
      </w:r>
      <w:r w:rsidR="00D0635C" w:rsidRPr="00FE2E68">
        <w:rPr>
          <w:snapToGrid/>
        </w:rPr>
        <w:t>Der Vorsitzende (Niederlande) gab einen kurzen Rückblick auf die Diskussion der letzten Sitzung, in der die Gruppe vorgeschlagen hatte, durch die Einführung eines neuen Dokuments eine klare Unterscheidung zwischen den schiffsbezogenen Informationen und dem operativen Dokument zu treffen.</w:t>
      </w:r>
      <w:r w:rsidRPr="00FE2E68">
        <w:rPr>
          <w:snapToGrid/>
        </w:rPr>
        <w:t xml:space="preserve"> </w:t>
      </w:r>
      <w:r w:rsidR="00253F80" w:rsidRPr="00FE2E68">
        <w:rPr>
          <w:snapToGrid/>
        </w:rPr>
        <w:t xml:space="preserve">Das Dokument </w:t>
      </w:r>
      <w:r w:rsidR="00FD4382" w:rsidRPr="00FE2E68">
        <w:rPr>
          <w:snapToGrid/>
        </w:rPr>
        <w:t>„</w:t>
      </w:r>
      <w:r w:rsidR="0082484A" w:rsidRPr="00FE2E68">
        <w:rPr>
          <w:snapToGrid/>
        </w:rPr>
        <w:t>S</w:t>
      </w:r>
      <w:r w:rsidR="00253F80" w:rsidRPr="00FE2E68">
        <w:rPr>
          <w:snapToGrid/>
        </w:rPr>
        <w:t>chiffsbezogene Informationen</w:t>
      </w:r>
      <w:r w:rsidR="00FD4382" w:rsidRPr="00FE2E68">
        <w:rPr>
          <w:snapToGrid/>
        </w:rPr>
        <w:t>“</w:t>
      </w:r>
      <w:r w:rsidR="00253F80" w:rsidRPr="00FE2E68">
        <w:rPr>
          <w:snapToGrid/>
        </w:rPr>
        <w:t xml:space="preserve"> sollte die notwendigen Informationen über das Schiff </w:t>
      </w:r>
      <w:r w:rsidR="00FD4382" w:rsidRPr="00FE2E68">
        <w:rPr>
          <w:snapToGrid/>
        </w:rPr>
        <w:t>zur Erstellung der Instruktion für die Lade- und Löschraten enthalten</w:t>
      </w:r>
      <w:r w:rsidR="00253F80" w:rsidRPr="00FE2E68">
        <w:rPr>
          <w:snapToGrid/>
        </w:rPr>
        <w:t xml:space="preserve"> und könnte von einer anerkannten Klassifikationsgesellschaft bereitgestellt/genehmigt werden.</w:t>
      </w:r>
      <w:r w:rsidRPr="00FE2E68">
        <w:rPr>
          <w:snapToGrid/>
        </w:rPr>
        <w:t xml:space="preserve"> </w:t>
      </w:r>
      <w:r w:rsidR="00072317" w:rsidRPr="00FE2E68">
        <w:rPr>
          <w:snapToGrid/>
        </w:rPr>
        <w:t xml:space="preserve">Aus der Instruktion für die Lade- und Löschraten könnte somit ein operatives Dokument werden, das vom Beförderer zur Verfügung gestellt wird und Informationen über die maximale </w:t>
      </w:r>
      <w:r w:rsidR="00E35306" w:rsidRPr="00FE2E68">
        <w:rPr>
          <w:snapToGrid/>
        </w:rPr>
        <w:t>L</w:t>
      </w:r>
      <w:r w:rsidR="00072317" w:rsidRPr="00FE2E68">
        <w:rPr>
          <w:snapToGrid/>
        </w:rPr>
        <w:t xml:space="preserve">adegeschwindigkeit </w:t>
      </w:r>
      <w:r w:rsidR="00E35306" w:rsidRPr="00FE2E68">
        <w:rPr>
          <w:snapToGrid/>
        </w:rPr>
        <w:t xml:space="preserve">in der Anfangsphase </w:t>
      </w:r>
      <w:r w:rsidR="00072317" w:rsidRPr="00FE2E68">
        <w:rPr>
          <w:snapToGrid/>
        </w:rPr>
        <w:t xml:space="preserve">und die maximale </w:t>
      </w:r>
      <w:r w:rsidR="00E35306" w:rsidRPr="00FE2E68">
        <w:rPr>
          <w:snapToGrid/>
        </w:rPr>
        <w:t>L</w:t>
      </w:r>
      <w:r w:rsidR="00E14DBA" w:rsidRPr="00FE2E68">
        <w:rPr>
          <w:snapToGrid/>
        </w:rPr>
        <w:t>a</w:t>
      </w:r>
      <w:r w:rsidR="00072317" w:rsidRPr="00FE2E68">
        <w:rPr>
          <w:snapToGrid/>
        </w:rPr>
        <w:t xml:space="preserve">degeschwindigkeit </w:t>
      </w:r>
      <w:r w:rsidR="00E35306" w:rsidRPr="00FE2E68">
        <w:rPr>
          <w:snapToGrid/>
        </w:rPr>
        <w:t>in</w:t>
      </w:r>
      <w:r w:rsidR="00E14DBA" w:rsidRPr="00FE2E68">
        <w:rPr>
          <w:snapToGrid/>
        </w:rPr>
        <w:t xml:space="preserve"> der mittleren </w:t>
      </w:r>
      <w:r w:rsidR="00E35306" w:rsidRPr="00FE2E68">
        <w:rPr>
          <w:snapToGrid/>
        </w:rPr>
        <w:t>P</w:t>
      </w:r>
      <w:r w:rsidR="00E14DBA" w:rsidRPr="00FE2E68">
        <w:rPr>
          <w:snapToGrid/>
        </w:rPr>
        <w:t xml:space="preserve">hase </w:t>
      </w:r>
      <w:r w:rsidR="00072317" w:rsidRPr="00FE2E68">
        <w:rPr>
          <w:snapToGrid/>
        </w:rPr>
        <w:t>enthält.</w:t>
      </w:r>
      <w:r w:rsidRPr="00FE2E68">
        <w:rPr>
          <w:snapToGrid/>
        </w:rPr>
        <w:t xml:space="preserve"> </w:t>
      </w:r>
      <w:r w:rsidR="009D120B" w:rsidRPr="00FE2E68">
        <w:rPr>
          <w:snapToGrid/>
        </w:rPr>
        <w:t xml:space="preserve">Die Gruppe erinnerte daran, dass </w:t>
      </w:r>
      <w:r w:rsidR="000F4A10" w:rsidRPr="00FE2E68">
        <w:rPr>
          <w:snapToGrid/>
        </w:rPr>
        <w:t>in</w:t>
      </w:r>
      <w:r w:rsidR="009D120B" w:rsidRPr="00FE2E68">
        <w:rPr>
          <w:snapToGrid/>
        </w:rPr>
        <w:t xml:space="preserve"> der </w:t>
      </w:r>
      <w:r w:rsidR="002773D4" w:rsidRPr="00FE2E68">
        <w:rPr>
          <w:snapToGrid/>
        </w:rPr>
        <w:t>A</w:t>
      </w:r>
      <w:r w:rsidR="009D120B" w:rsidRPr="00FE2E68">
        <w:rPr>
          <w:snapToGrid/>
        </w:rPr>
        <w:t>nf</w:t>
      </w:r>
      <w:r w:rsidR="002773D4" w:rsidRPr="00FE2E68">
        <w:rPr>
          <w:snapToGrid/>
        </w:rPr>
        <w:t>a</w:t>
      </w:r>
      <w:r w:rsidR="009D120B" w:rsidRPr="00FE2E68">
        <w:rPr>
          <w:snapToGrid/>
        </w:rPr>
        <w:t>ng</w:t>
      </w:r>
      <w:r w:rsidR="002773D4" w:rsidRPr="00FE2E68">
        <w:rPr>
          <w:snapToGrid/>
        </w:rPr>
        <w:t>s</w:t>
      </w:r>
      <w:r w:rsidR="009D120B" w:rsidRPr="00FE2E68">
        <w:rPr>
          <w:snapToGrid/>
        </w:rPr>
        <w:t xml:space="preserve">phase vor allem die elektrostatische Aufladung zu berücksichtigen ist, während in der </w:t>
      </w:r>
      <w:r w:rsidR="000F4A10" w:rsidRPr="00FE2E68">
        <w:rPr>
          <w:snapToGrid/>
        </w:rPr>
        <w:t>m</w:t>
      </w:r>
      <w:r w:rsidR="009D120B" w:rsidRPr="00FE2E68">
        <w:rPr>
          <w:snapToGrid/>
        </w:rPr>
        <w:t>ittl</w:t>
      </w:r>
      <w:r w:rsidR="000F4A10" w:rsidRPr="00FE2E68">
        <w:rPr>
          <w:snapToGrid/>
        </w:rPr>
        <w:t>eren P</w:t>
      </w:r>
      <w:r w:rsidR="009D120B" w:rsidRPr="00FE2E68">
        <w:rPr>
          <w:snapToGrid/>
        </w:rPr>
        <w:t>hase der Aufbau eines Überdrucks zum unerwünschten Öffnen des Überdruckventils führen kann.</w:t>
      </w:r>
    </w:p>
    <w:p w14:paraId="145E0B36" w14:textId="07E67694" w:rsidR="009F1037" w:rsidRPr="00FE2E68" w:rsidRDefault="009F1037" w:rsidP="002773D4">
      <w:pPr>
        <w:keepNext/>
        <w:keepLines/>
        <w:tabs>
          <w:tab w:val="right" w:pos="851"/>
        </w:tabs>
        <w:spacing w:before="360" w:after="240" w:line="300" w:lineRule="exact"/>
        <w:ind w:left="1134" w:right="1134" w:hanging="1134"/>
        <w:rPr>
          <w:b/>
          <w:snapToGrid/>
          <w:sz w:val="28"/>
          <w:lang w:val="en-GB"/>
        </w:rPr>
      </w:pPr>
      <w:r w:rsidRPr="00FE2E68">
        <w:rPr>
          <w:b/>
          <w:snapToGrid/>
          <w:sz w:val="28"/>
        </w:rPr>
        <w:tab/>
      </w:r>
      <w:r w:rsidRPr="00FE2E68">
        <w:rPr>
          <w:b/>
          <w:snapToGrid/>
          <w:sz w:val="28"/>
          <w:lang w:val="en-GB"/>
        </w:rPr>
        <w:t>I.</w:t>
      </w:r>
      <w:r w:rsidRPr="00FE2E68">
        <w:rPr>
          <w:b/>
          <w:snapToGrid/>
          <w:sz w:val="28"/>
          <w:lang w:val="en-GB"/>
        </w:rPr>
        <w:tab/>
      </w:r>
      <w:r w:rsidR="002773D4" w:rsidRPr="00FE2E68">
        <w:rPr>
          <w:b/>
          <w:snapToGrid/>
          <w:sz w:val="28"/>
        </w:rPr>
        <w:t>Überprüfung der Berechnung</w:t>
      </w:r>
    </w:p>
    <w:p w14:paraId="76E0E37E" w14:textId="545CC116" w:rsidR="009F1037" w:rsidRPr="00FE2E68" w:rsidRDefault="009F1037" w:rsidP="00A718AF">
      <w:pPr>
        <w:spacing w:after="120"/>
        <w:ind w:left="1134" w:right="1134"/>
        <w:jc w:val="both"/>
        <w:rPr>
          <w:snapToGrid/>
        </w:rPr>
      </w:pPr>
      <w:r w:rsidRPr="00FE2E68">
        <w:rPr>
          <w:snapToGrid/>
        </w:rPr>
        <w:t>3.</w:t>
      </w:r>
      <w:r w:rsidRPr="00FE2E68">
        <w:rPr>
          <w:snapToGrid/>
        </w:rPr>
        <w:tab/>
      </w:r>
      <w:r w:rsidR="002773D4" w:rsidRPr="00FE2E68">
        <w:rPr>
          <w:snapToGrid/>
        </w:rPr>
        <w:t>Die Gruppe überprüfte die Absätze 9.3.2.25.9 und 9.3.3.25.9 sowie 7.2.4.16.15 ADN.</w:t>
      </w:r>
      <w:r w:rsidRPr="00FE2E68">
        <w:rPr>
          <w:snapToGrid/>
        </w:rPr>
        <w:t xml:space="preserve"> </w:t>
      </w:r>
      <w:r w:rsidR="002773D4" w:rsidRPr="00FE2E68">
        <w:rPr>
          <w:snapToGrid/>
        </w:rPr>
        <w:t xml:space="preserve">Der Vertreter von Bureau Veritas erläuterte, dass die Berechnung für die Verordnung über die Beförderung gefährlicher Güter auf dem Rhein (ADNR) vor etwa 20 Jahren entwickelt wurde, bevor </w:t>
      </w:r>
      <w:r w:rsidR="0055512D" w:rsidRPr="00FE2E68">
        <w:rPr>
          <w:snapToGrid/>
        </w:rPr>
        <w:t>das Laden</w:t>
      </w:r>
      <w:r w:rsidR="002773D4" w:rsidRPr="00FE2E68">
        <w:rPr>
          <w:snapToGrid/>
        </w:rPr>
        <w:t xml:space="preserve"> mit einer angeschlossenen </w:t>
      </w:r>
      <w:r w:rsidR="0055512D" w:rsidRPr="00FE2E68">
        <w:rPr>
          <w:snapToGrid/>
        </w:rPr>
        <w:t xml:space="preserve">Gasrückfuhrleitung </w:t>
      </w:r>
      <w:r w:rsidR="002773D4" w:rsidRPr="00FE2E68">
        <w:rPr>
          <w:snapToGrid/>
        </w:rPr>
        <w:t>üblich w</w:t>
      </w:r>
      <w:r w:rsidR="0055512D" w:rsidRPr="00FE2E68">
        <w:rPr>
          <w:snapToGrid/>
        </w:rPr>
        <w:t>u</w:t>
      </w:r>
      <w:r w:rsidR="002773D4" w:rsidRPr="00FE2E68">
        <w:rPr>
          <w:snapToGrid/>
        </w:rPr>
        <w:t>r</w:t>
      </w:r>
      <w:r w:rsidR="0055512D" w:rsidRPr="00FE2E68">
        <w:rPr>
          <w:snapToGrid/>
        </w:rPr>
        <w:t>de</w:t>
      </w:r>
      <w:r w:rsidR="002773D4" w:rsidRPr="00FE2E68">
        <w:rPr>
          <w:snapToGrid/>
        </w:rPr>
        <w:t>.</w:t>
      </w:r>
      <w:r w:rsidRPr="00FE2E68">
        <w:rPr>
          <w:snapToGrid/>
        </w:rPr>
        <w:t xml:space="preserve"> </w:t>
      </w:r>
      <w:r w:rsidR="00193B0E" w:rsidRPr="00FE2E68">
        <w:rPr>
          <w:snapToGrid/>
        </w:rPr>
        <w:t>Die Berechnung enthält Annahmen und Sicherheitsmargen für ein Verfahren, das seitdem bei immer mehr Ladevorgängen eingesetzt wird.</w:t>
      </w:r>
      <w:r w:rsidRPr="00FE2E68">
        <w:rPr>
          <w:snapToGrid/>
        </w:rPr>
        <w:t xml:space="preserve"> </w:t>
      </w:r>
      <w:r w:rsidR="00A9565D" w:rsidRPr="00FE2E68">
        <w:rPr>
          <w:snapToGrid/>
        </w:rPr>
        <w:t>Der Vertreter von Bureau Veritas erklärte, dass das bestehende Modell mit 50 Prozent Volumenanteil Ladungsdampf und 50 Prozent Volumenanteil Luft in der Praxis nicht immer korrekt ist.</w:t>
      </w:r>
      <w:r w:rsidRPr="00FE2E68">
        <w:rPr>
          <w:snapToGrid/>
        </w:rPr>
        <w:t xml:space="preserve"> </w:t>
      </w:r>
      <w:r w:rsidR="0031702D" w:rsidRPr="00FE2E68">
        <w:rPr>
          <w:snapToGrid/>
        </w:rPr>
        <w:t xml:space="preserve">Außerdem wies er darauf hin, dass </w:t>
      </w:r>
      <w:r w:rsidR="009473C5" w:rsidRPr="00FE2E68">
        <w:rPr>
          <w:snapToGrid/>
        </w:rPr>
        <w:t>für die</w:t>
      </w:r>
      <w:r w:rsidR="0031702D" w:rsidRPr="00FE2E68">
        <w:rPr>
          <w:snapToGrid/>
        </w:rPr>
        <w:t xml:space="preserve"> Berechnung </w:t>
      </w:r>
      <w:proofErr w:type="gramStart"/>
      <w:r w:rsidR="009473C5" w:rsidRPr="00FE2E68">
        <w:rPr>
          <w:snapToGrid/>
        </w:rPr>
        <w:t>voraussetzt</w:t>
      </w:r>
      <w:proofErr w:type="gramEnd"/>
      <w:r w:rsidR="009473C5" w:rsidRPr="00FE2E68">
        <w:rPr>
          <w:snapToGrid/>
        </w:rPr>
        <w:t xml:space="preserve"> werden muss</w:t>
      </w:r>
      <w:r w:rsidR="0031702D" w:rsidRPr="00FE2E68">
        <w:rPr>
          <w:snapToGrid/>
        </w:rPr>
        <w:t>, dass die Rück</w:t>
      </w:r>
      <w:r w:rsidR="009473C5" w:rsidRPr="00FE2E68">
        <w:rPr>
          <w:snapToGrid/>
        </w:rPr>
        <w:t>fuhr</w:t>
      </w:r>
      <w:r w:rsidR="0031702D" w:rsidRPr="00FE2E68">
        <w:rPr>
          <w:snapToGrid/>
        </w:rPr>
        <w:t xml:space="preserve">leitung </w:t>
      </w:r>
      <w:r w:rsidR="00AE7977" w:rsidRPr="00FE2E68">
        <w:rPr>
          <w:snapToGrid/>
        </w:rPr>
        <w:t>abgesperrt</w:t>
      </w:r>
      <w:r w:rsidR="0031702D" w:rsidRPr="00FE2E68">
        <w:rPr>
          <w:snapToGrid/>
        </w:rPr>
        <w:t xml:space="preserve"> ist.</w:t>
      </w:r>
      <w:r w:rsidRPr="00FE2E68">
        <w:rPr>
          <w:snapToGrid/>
        </w:rPr>
        <w:t xml:space="preserve"> </w:t>
      </w:r>
      <w:r w:rsidR="009473C5" w:rsidRPr="00FE2E68">
        <w:rPr>
          <w:snapToGrid/>
        </w:rPr>
        <w:t>Das Ergebnis der Berechnung ist also eine Ladegeschwindigkeit, die als sicher gilt.</w:t>
      </w:r>
      <w:r w:rsidRPr="00FE2E68">
        <w:rPr>
          <w:snapToGrid/>
        </w:rPr>
        <w:t xml:space="preserve"> </w:t>
      </w:r>
      <w:r w:rsidR="009473C5" w:rsidRPr="00FE2E68">
        <w:rPr>
          <w:snapToGrid/>
        </w:rPr>
        <w:t>Selbst bei geschlossene</w:t>
      </w:r>
      <w:r w:rsidR="00AE7977" w:rsidRPr="00FE2E68">
        <w:rPr>
          <w:snapToGrid/>
        </w:rPr>
        <w:t>m</w:t>
      </w:r>
      <w:r w:rsidR="009473C5" w:rsidRPr="00FE2E68">
        <w:rPr>
          <w:snapToGrid/>
        </w:rPr>
        <w:t xml:space="preserve"> Lad</w:t>
      </w:r>
      <w:r w:rsidR="00AE7977" w:rsidRPr="00FE2E68">
        <w:rPr>
          <w:snapToGrid/>
        </w:rPr>
        <w:t>e</w:t>
      </w:r>
      <w:r w:rsidR="009473C5" w:rsidRPr="00FE2E68">
        <w:rPr>
          <w:snapToGrid/>
        </w:rPr>
        <w:t>n, wenn die Dampfrück</w:t>
      </w:r>
      <w:r w:rsidR="0029506E" w:rsidRPr="00FE2E68">
        <w:rPr>
          <w:snapToGrid/>
        </w:rPr>
        <w:t>fuhr</w:t>
      </w:r>
      <w:r w:rsidR="009473C5" w:rsidRPr="00FE2E68">
        <w:rPr>
          <w:snapToGrid/>
        </w:rPr>
        <w:t xml:space="preserve">leitung plötzlich vollständig </w:t>
      </w:r>
      <w:r w:rsidR="00AE7977" w:rsidRPr="00FE2E68">
        <w:rPr>
          <w:snapToGrid/>
        </w:rPr>
        <w:t>unterbrochen</w:t>
      </w:r>
      <w:r w:rsidR="009473C5" w:rsidRPr="00FE2E68">
        <w:rPr>
          <w:snapToGrid/>
        </w:rPr>
        <w:t xml:space="preserve"> würde, </w:t>
      </w:r>
      <w:r w:rsidR="0029506E" w:rsidRPr="00FE2E68">
        <w:rPr>
          <w:snapToGrid/>
        </w:rPr>
        <w:t xml:space="preserve">gilt </w:t>
      </w:r>
      <w:r w:rsidR="009473C5" w:rsidRPr="00FE2E68">
        <w:rPr>
          <w:snapToGrid/>
        </w:rPr>
        <w:t>d</w:t>
      </w:r>
      <w:r w:rsidR="00AE7977" w:rsidRPr="00FE2E68">
        <w:rPr>
          <w:snapToGrid/>
        </w:rPr>
        <w:t xml:space="preserve">as </w:t>
      </w:r>
      <w:r w:rsidR="009473C5" w:rsidRPr="00FE2E68">
        <w:rPr>
          <w:snapToGrid/>
        </w:rPr>
        <w:t>Lad</w:t>
      </w:r>
      <w:r w:rsidR="00AE7977" w:rsidRPr="00FE2E68">
        <w:rPr>
          <w:snapToGrid/>
        </w:rPr>
        <w:t>e</w:t>
      </w:r>
      <w:r w:rsidR="009473C5" w:rsidRPr="00FE2E68">
        <w:rPr>
          <w:snapToGrid/>
        </w:rPr>
        <w:t>n</w:t>
      </w:r>
      <w:r w:rsidR="0029506E" w:rsidRPr="00FE2E68">
        <w:rPr>
          <w:snapToGrid/>
        </w:rPr>
        <w:t xml:space="preserve"> als</w:t>
      </w:r>
      <w:r w:rsidR="009473C5" w:rsidRPr="00FE2E68">
        <w:rPr>
          <w:snapToGrid/>
        </w:rPr>
        <w:t xml:space="preserve"> sicher.</w:t>
      </w:r>
    </w:p>
    <w:p w14:paraId="2C84408D" w14:textId="4FC4D8DA" w:rsidR="009F1037" w:rsidRPr="00FE2E68" w:rsidRDefault="009F1037" w:rsidP="00C80397">
      <w:pPr>
        <w:spacing w:after="120"/>
        <w:ind w:left="1134" w:right="1134"/>
        <w:jc w:val="both"/>
        <w:rPr>
          <w:snapToGrid/>
        </w:rPr>
      </w:pPr>
      <w:r w:rsidRPr="00FE2E68">
        <w:rPr>
          <w:snapToGrid/>
        </w:rPr>
        <w:t>4.</w:t>
      </w:r>
      <w:r w:rsidRPr="00FE2E68">
        <w:rPr>
          <w:snapToGrid/>
        </w:rPr>
        <w:tab/>
      </w:r>
      <w:r w:rsidR="00AE7977" w:rsidRPr="00FE2E68">
        <w:rPr>
          <w:snapToGrid/>
        </w:rPr>
        <w:t>Ein Lad</w:t>
      </w:r>
      <w:r w:rsidR="00270195" w:rsidRPr="00FE2E68">
        <w:rPr>
          <w:snapToGrid/>
        </w:rPr>
        <w:t>e</w:t>
      </w:r>
      <w:r w:rsidR="00AE7977" w:rsidRPr="00FE2E68">
        <w:rPr>
          <w:snapToGrid/>
        </w:rPr>
        <w:t xml:space="preserve">n mit einer höheren </w:t>
      </w:r>
      <w:r w:rsidR="00E14DBA" w:rsidRPr="00FE2E68">
        <w:rPr>
          <w:snapToGrid/>
        </w:rPr>
        <w:t xml:space="preserve">als der berechneten Geschwindigkeit </w:t>
      </w:r>
      <w:r w:rsidR="000F4A10" w:rsidRPr="00FE2E68">
        <w:rPr>
          <w:snapToGrid/>
        </w:rPr>
        <w:t>in</w:t>
      </w:r>
      <w:r w:rsidR="00E14DBA" w:rsidRPr="00FE2E68">
        <w:rPr>
          <w:snapToGrid/>
        </w:rPr>
        <w:t xml:space="preserve"> der </w:t>
      </w:r>
      <w:r w:rsidR="000F4A10" w:rsidRPr="00FE2E68">
        <w:rPr>
          <w:snapToGrid/>
        </w:rPr>
        <w:t>m</w:t>
      </w:r>
      <w:r w:rsidR="00E14DBA" w:rsidRPr="00FE2E68">
        <w:rPr>
          <w:snapToGrid/>
        </w:rPr>
        <w:t>ittl</w:t>
      </w:r>
      <w:r w:rsidR="000F4A10" w:rsidRPr="00FE2E68">
        <w:rPr>
          <w:snapToGrid/>
        </w:rPr>
        <w:t>eren Ladep</w:t>
      </w:r>
      <w:r w:rsidR="00E14DBA" w:rsidRPr="00FE2E68">
        <w:rPr>
          <w:snapToGrid/>
        </w:rPr>
        <w:t>hase</w:t>
      </w:r>
      <w:r w:rsidR="00AE7977" w:rsidRPr="00FE2E68">
        <w:rPr>
          <w:snapToGrid/>
        </w:rPr>
        <w:t xml:space="preserve"> würde zu einem allmählichen Druckaufbau in den Tanks führen, der schließlich zum Öffnen des Überdruckventils führen würde</w:t>
      </w:r>
      <w:r w:rsidR="00E14DBA" w:rsidRPr="00FE2E68">
        <w:rPr>
          <w:snapToGrid/>
        </w:rPr>
        <w:t>.</w:t>
      </w:r>
      <w:r w:rsidRPr="00FE2E68">
        <w:rPr>
          <w:snapToGrid/>
        </w:rPr>
        <w:t xml:space="preserve"> </w:t>
      </w:r>
      <w:r w:rsidR="000A7BEA" w:rsidRPr="00FE2E68">
        <w:rPr>
          <w:snapToGrid/>
        </w:rPr>
        <w:t>Es bestand Einigkeit darüber, dass bei normalen Ladevorgängen das Öffnen einer Sicherheitsvorrichtung wie des Überdruckventils vermieden werden sollte.</w:t>
      </w:r>
      <w:r w:rsidRPr="00FE2E68">
        <w:rPr>
          <w:snapToGrid/>
        </w:rPr>
        <w:t xml:space="preserve"> </w:t>
      </w:r>
      <w:r w:rsidR="00C80397" w:rsidRPr="00FE2E68">
        <w:rPr>
          <w:snapToGrid/>
        </w:rPr>
        <w:t>Die anwesenden Vertreter wiesen jedoch darauf hin, dass die Unterbrechung der Dampfrückfuhrleitung in der Praxis sehr selten vorkommt und in einem solchen Fall der Druckaufbau in den Tanks normalerweise lange vor dem Öffnen des Überdruckventils bemerkt werden sollte.</w:t>
      </w:r>
    </w:p>
    <w:p w14:paraId="68AD2ABA" w14:textId="11B7490B" w:rsidR="009F1037" w:rsidRPr="00FE2E68" w:rsidRDefault="009F1037" w:rsidP="00DE088A">
      <w:pPr>
        <w:spacing w:after="120"/>
        <w:ind w:left="1134" w:right="1134"/>
        <w:jc w:val="both"/>
        <w:rPr>
          <w:snapToGrid/>
        </w:rPr>
      </w:pPr>
      <w:r w:rsidRPr="00FE2E68">
        <w:rPr>
          <w:snapToGrid/>
        </w:rPr>
        <w:t>5.</w:t>
      </w:r>
      <w:r w:rsidRPr="00FE2E68">
        <w:rPr>
          <w:snapToGrid/>
        </w:rPr>
        <w:tab/>
      </w:r>
      <w:r w:rsidR="00DE088A" w:rsidRPr="00FE2E68">
        <w:rPr>
          <w:snapToGrid/>
        </w:rPr>
        <w:t xml:space="preserve">Die Vertreter von </w:t>
      </w:r>
      <w:proofErr w:type="spellStart"/>
      <w:r w:rsidR="00DE088A" w:rsidRPr="00FE2E68">
        <w:rPr>
          <w:snapToGrid/>
        </w:rPr>
        <w:t>FuelsEurope</w:t>
      </w:r>
      <w:proofErr w:type="spellEnd"/>
      <w:r w:rsidR="00DE088A" w:rsidRPr="00FE2E68">
        <w:rPr>
          <w:snapToGrid/>
        </w:rPr>
        <w:t xml:space="preserve"> und </w:t>
      </w:r>
      <w:proofErr w:type="spellStart"/>
      <w:r w:rsidR="00DE088A" w:rsidRPr="00FE2E68">
        <w:rPr>
          <w:snapToGrid/>
        </w:rPr>
        <w:t>Cefic</w:t>
      </w:r>
      <w:proofErr w:type="spellEnd"/>
      <w:r w:rsidR="00DE088A" w:rsidRPr="00FE2E68">
        <w:rPr>
          <w:snapToGrid/>
        </w:rPr>
        <w:t xml:space="preserve"> äußerten ihre Zweifel am Mehrwert der Berechnung, einschließlich der Dampfdichtedaten, für jeden einzelnen Ladevorgang.</w:t>
      </w:r>
      <w:r w:rsidRPr="00FE2E68">
        <w:rPr>
          <w:snapToGrid/>
        </w:rPr>
        <w:t xml:space="preserve"> </w:t>
      </w:r>
      <w:r w:rsidR="00DE088A" w:rsidRPr="00FE2E68">
        <w:rPr>
          <w:snapToGrid/>
        </w:rPr>
        <w:t>Zumal bei Gemischen die Dampfdichtedaten nicht immer bekannt sind.</w:t>
      </w:r>
    </w:p>
    <w:p w14:paraId="564D02AD" w14:textId="4224B072" w:rsidR="009F1037" w:rsidRPr="00FE2E68" w:rsidRDefault="009F1037" w:rsidP="00DE088A">
      <w:pPr>
        <w:spacing w:after="120"/>
        <w:ind w:left="1134" w:right="1134"/>
        <w:jc w:val="both"/>
        <w:rPr>
          <w:snapToGrid/>
        </w:rPr>
      </w:pPr>
      <w:r w:rsidRPr="00FE2E68">
        <w:rPr>
          <w:snapToGrid/>
        </w:rPr>
        <w:lastRenderedPageBreak/>
        <w:t>6.</w:t>
      </w:r>
      <w:r w:rsidRPr="00FE2E68">
        <w:rPr>
          <w:snapToGrid/>
        </w:rPr>
        <w:tab/>
      </w:r>
      <w:r w:rsidR="00DE088A" w:rsidRPr="00FE2E68">
        <w:rPr>
          <w:snapToGrid/>
        </w:rPr>
        <w:t>Neben der reduzierten Höchstgeschwindigkeit während des Ladens sieht das ADN drei weitere Maßnahmen vor, um den Aufbau von Druck (während des Ladens) zu verhindern:</w:t>
      </w:r>
      <w:r w:rsidRPr="00FE2E68">
        <w:rPr>
          <w:snapToGrid/>
        </w:rPr>
        <w:t xml:space="preserve"> </w:t>
      </w:r>
    </w:p>
    <w:p w14:paraId="636C9045" w14:textId="196FB9E0" w:rsidR="009F1037" w:rsidRPr="00FE2E68" w:rsidRDefault="00DE088A" w:rsidP="00590CD9">
      <w:pPr>
        <w:spacing w:after="120"/>
        <w:ind w:left="1134" w:right="1134" w:firstLine="567"/>
        <w:jc w:val="both"/>
        <w:rPr>
          <w:snapToGrid/>
        </w:rPr>
      </w:pPr>
      <w:r w:rsidRPr="00FE2E68">
        <w:rPr>
          <w:snapToGrid/>
        </w:rPr>
        <w:t>a)</w:t>
      </w:r>
      <w:r w:rsidR="009F1037" w:rsidRPr="00FE2E68">
        <w:rPr>
          <w:snapToGrid/>
        </w:rPr>
        <w:tab/>
      </w:r>
      <w:r w:rsidR="00502E81" w:rsidRPr="00FE2E68">
        <w:rPr>
          <w:snapToGrid/>
        </w:rPr>
        <w:t>Das ADN schreibt vor, dass jeder Tank mit eine</w:t>
      </w:r>
      <w:r w:rsidR="008E42F8" w:rsidRPr="00FE2E68">
        <w:rPr>
          <w:snapToGrid/>
        </w:rPr>
        <w:t>r</w:t>
      </w:r>
      <w:r w:rsidR="00502E81" w:rsidRPr="00FE2E68">
        <w:rPr>
          <w:snapToGrid/>
        </w:rPr>
        <w:t xml:space="preserve"> </w:t>
      </w:r>
      <w:r w:rsidR="008E42F8" w:rsidRPr="00FE2E68">
        <w:rPr>
          <w:snapToGrid/>
        </w:rPr>
        <w:t>Einrichtung</w:t>
      </w:r>
      <w:r w:rsidR="00502E81" w:rsidRPr="00FE2E68">
        <w:rPr>
          <w:snapToGrid/>
        </w:rPr>
        <w:t xml:space="preserve"> zu</w:t>
      </w:r>
      <w:r w:rsidR="008E42F8" w:rsidRPr="00FE2E68">
        <w:rPr>
          <w:snapToGrid/>
        </w:rPr>
        <w:t>m</w:t>
      </w:r>
      <w:r w:rsidR="00502E81" w:rsidRPr="00FE2E68">
        <w:rPr>
          <w:snapToGrid/>
        </w:rPr>
        <w:t xml:space="preserve"> Mess</w:t>
      </w:r>
      <w:r w:rsidR="008E42F8" w:rsidRPr="00FE2E68">
        <w:rPr>
          <w:snapToGrid/>
        </w:rPr>
        <w:t>e</w:t>
      </w:r>
      <w:r w:rsidR="00502E81" w:rsidRPr="00FE2E68">
        <w:rPr>
          <w:snapToGrid/>
        </w:rPr>
        <w:t xml:space="preserve">n des Drucks der Dampfphase im Innern des Ladetanks </w:t>
      </w:r>
      <w:r w:rsidR="008E42F8" w:rsidRPr="00FE2E68">
        <w:rPr>
          <w:snapToGrid/>
        </w:rPr>
        <w:t>versehen</w:t>
      </w:r>
      <w:r w:rsidR="00502E81" w:rsidRPr="00FE2E68">
        <w:rPr>
          <w:snapToGrid/>
        </w:rPr>
        <w:t xml:space="preserve"> sein muss (</w:t>
      </w:r>
      <w:r w:rsidR="008E42F8" w:rsidRPr="00FE2E68">
        <w:rPr>
          <w:snapToGrid/>
        </w:rPr>
        <w:t xml:space="preserve">Absätze </w:t>
      </w:r>
      <w:r w:rsidR="00502E81" w:rsidRPr="00FE2E68">
        <w:rPr>
          <w:snapToGrid/>
        </w:rPr>
        <w:t xml:space="preserve">9.3.2.21.1 </w:t>
      </w:r>
      <w:proofErr w:type="gramStart"/>
      <w:r w:rsidR="00502E81" w:rsidRPr="00FE2E68">
        <w:rPr>
          <w:snapToGrid/>
        </w:rPr>
        <w:t>e)/</w:t>
      </w:r>
      <w:proofErr w:type="gramEnd"/>
      <w:r w:rsidR="00502E81" w:rsidRPr="00FE2E68">
        <w:rPr>
          <w:snapToGrid/>
        </w:rPr>
        <w:t>9.3.3.21.1</w:t>
      </w:r>
      <w:r w:rsidR="008E42F8" w:rsidRPr="00FE2E68">
        <w:rPr>
          <w:snapToGrid/>
        </w:rPr>
        <w:t xml:space="preserve"> </w:t>
      </w:r>
      <w:r w:rsidR="00502E81" w:rsidRPr="00FE2E68">
        <w:rPr>
          <w:snapToGrid/>
        </w:rPr>
        <w:t>e)), d</w:t>
      </w:r>
      <w:r w:rsidR="008E42F8" w:rsidRPr="00FE2E68">
        <w:rPr>
          <w:snapToGrid/>
        </w:rPr>
        <w:t>ie</w:t>
      </w:r>
      <w:r w:rsidR="00502E81" w:rsidRPr="00FE2E68">
        <w:rPr>
          <w:snapToGrid/>
        </w:rPr>
        <w:t xml:space="preserve"> von einer Stelle aus ab</w:t>
      </w:r>
      <w:r w:rsidR="008E42F8" w:rsidRPr="00FE2E68">
        <w:rPr>
          <w:snapToGrid/>
        </w:rPr>
        <w:t>ge</w:t>
      </w:r>
      <w:r w:rsidR="00502E81" w:rsidRPr="00FE2E68">
        <w:rPr>
          <w:snapToGrid/>
        </w:rPr>
        <w:t>les</w:t>
      </w:r>
      <w:r w:rsidR="008E42F8" w:rsidRPr="00FE2E68">
        <w:rPr>
          <w:snapToGrid/>
        </w:rPr>
        <w:t>en werden kann</w:t>
      </w:r>
      <w:r w:rsidR="00502E81" w:rsidRPr="00FE2E68">
        <w:rPr>
          <w:snapToGrid/>
        </w:rPr>
        <w:t>, von der d</w:t>
      </w:r>
      <w:r w:rsidR="009B587E" w:rsidRPr="00FE2E68">
        <w:rPr>
          <w:snapToGrid/>
        </w:rPr>
        <w:t>as</w:t>
      </w:r>
      <w:r w:rsidR="00502E81" w:rsidRPr="00FE2E68">
        <w:rPr>
          <w:snapToGrid/>
        </w:rPr>
        <w:t xml:space="preserve"> Lade</w:t>
      </w:r>
      <w:r w:rsidR="009B587E" w:rsidRPr="00FE2E68">
        <w:rPr>
          <w:snapToGrid/>
        </w:rPr>
        <w:t>n und Löschen</w:t>
      </w:r>
      <w:r w:rsidR="00502E81" w:rsidRPr="00FE2E68">
        <w:rPr>
          <w:snapToGrid/>
        </w:rPr>
        <w:t xml:space="preserve"> unterbrochen werden k</w:t>
      </w:r>
      <w:r w:rsidR="009B587E" w:rsidRPr="00FE2E68">
        <w:rPr>
          <w:snapToGrid/>
        </w:rPr>
        <w:t>a</w:t>
      </w:r>
      <w:r w:rsidR="00502E81" w:rsidRPr="00FE2E68">
        <w:rPr>
          <w:snapToGrid/>
        </w:rPr>
        <w:t>nn</w:t>
      </w:r>
      <w:r w:rsidR="00CB0571" w:rsidRPr="00FE2E68">
        <w:rPr>
          <w:snapToGrid/>
        </w:rPr>
        <w:t xml:space="preserve"> (Absätze 9.3.2.21.3/9.3.3.21.3)</w:t>
      </w:r>
      <w:r w:rsidR="00502E81" w:rsidRPr="00FE2E68">
        <w:rPr>
          <w:snapToGrid/>
        </w:rPr>
        <w:t>;</w:t>
      </w:r>
      <w:r w:rsidR="009F1037" w:rsidRPr="00FE2E68">
        <w:rPr>
          <w:snapToGrid/>
        </w:rPr>
        <w:t xml:space="preserve"> </w:t>
      </w:r>
    </w:p>
    <w:p w14:paraId="56E796B5" w14:textId="65CA9A1C" w:rsidR="009F1037" w:rsidRPr="00FE2E68" w:rsidRDefault="00590CD9" w:rsidP="006B17AB">
      <w:pPr>
        <w:spacing w:after="120"/>
        <w:ind w:left="1134" w:right="1134" w:firstLine="567"/>
        <w:jc w:val="both"/>
        <w:rPr>
          <w:snapToGrid/>
        </w:rPr>
      </w:pPr>
      <w:r w:rsidRPr="00FE2E68">
        <w:rPr>
          <w:snapToGrid/>
        </w:rPr>
        <w:t>b)</w:t>
      </w:r>
      <w:r w:rsidR="009F1037" w:rsidRPr="00FE2E68">
        <w:rPr>
          <w:snapToGrid/>
        </w:rPr>
        <w:tab/>
      </w:r>
      <w:r w:rsidR="003434CA" w:rsidRPr="00FE2E68">
        <w:rPr>
          <w:snapToGrid/>
        </w:rPr>
        <w:t>Die Einrichtung löst einen Alarm aus, wenn ein Überdruck des 1,15-fachen des Öffnungsdrucks des Überdruckventils erreicht wird.</w:t>
      </w:r>
      <w:r w:rsidR="009F1037" w:rsidRPr="00FE2E68">
        <w:rPr>
          <w:snapToGrid/>
        </w:rPr>
        <w:t xml:space="preserve"> </w:t>
      </w:r>
      <w:r w:rsidR="00EB3E20" w:rsidRPr="00FE2E68">
        <w:rPr>
          <w:snapToGrid/>
        </w:rPr>
        <w:t xml:space="preserve">Dieser Alarm ist im Steuerhaus und an Deck optisch und akustisch wahrnehmbar und bewirkt eine sofortige Unterbrechung des Lade- oder Löschvorgangs (Absätze 9.3.2.21.7 </w:t>
      </w:r>
      <w:proofErr w:type="gramStart"/>
      <w:r w:rsidR="00EB3E20" w:rsidRPr="00FE2E68">
        <w:rPr>
          <w:snapToGrid/>
        </w:rPr>
        <w:t>a)/</w:t>
      </w:r>
      <w:proofErr w:type="gramEnd"/>
      <w:r w:rsidR="00EB3E20" w:rsidRPr="00FE2E68">
        <w:rPr>
          <w:snapToGrid/>
        </w:rPr>
        <w:t xml:space="preserve"> 9.3.3.21.7 a));</w:t>
      </w:r>
      <w:r w:rsidR="009F1037" w:rsidRPr="00FE2E68">
        <w:rPr>
          <w:snapToGrid/>
        </w:rPr>
        <w:t xml:space="preserve"> </w:t>
      </w:r>
    </w:p>
    <w:p w14:paraId="0D8D9053" w14:textId="12635912" w:rsidR="009F1037" w:rsidRPr="00FE2E68" w:rsidRDefault="009F1037" w:rsidP="00A2759A">
      <w:pPr>
        <w:spacing w:after="120"/>
        <w:ind w:left="1134" w:right="1134" w:firstLine="567"/>
        <w:jc w:val="both"/>
        <w:rPr>
          <w:snapToGrid/>
        </w:rPr>
      </w:pPr>
      <w:r w:rsidRPr="00FE2E68">
        <w:rPr>
          <w:snapToGrid/>
        </w:rPr>
        <w:t>(c)</w:t>
      </w:r>
      <w:r w:rsidRPr="00FE2E68">
        <w:rPr>
          <w:snapToGrid/>
        </w:rPr>
        <w:tab/>
      </w:r>
      <w:r w:rsidR="00BF6CB9" w:rsidRPr="00FE2E68">
        <w:rPr>
          <w:snapToGrid/>
        </w:rPr>
        <w:t>Für bestimmte Stoffe ist in Tabelle C vorgeschrieben, dass</w:t>
      </w:r>
      <w:r w:rsidR="00DA5AA4" w:rsidRPr="00FE2E68">
        <w:rPr>
          <w:snapToGrid/>
        </w:rPr>
        <w:t xml:space="preserve"> eine Einrichtung zum Messen des Drucks der </w:t>
      </w:r>
      <w:r w:rsidR="00B75725" w:rsidRPr="00FE2E68">
        <w:rPr>
          <w:snapToGrid/>
        </w:rPr>
        <w:t>Dampf</w:t>
      </w:r>
      <w:r w:rsidR="00DA5AA4" w:rsidRPr="00FE2E68">
        <w:rPr>
          <w:snapToGrid/>
        </w:rPr>
        <w:t xml:space="preserve">phase im Ladetank </w:t>
      </w:r>
      <w:r w:rsidR="00B75725" w:rsidRPr="00FE2E68">
        <w:rPr>
          <w:snapToGrid/>
        </w:rPr>
        <w:t>während der Fahrt bei 40 kPa (d. h. 10 kPa vor dem Öffnen des Überdruckventils) einen optischen und akustischen Alarm im Steuerhaus und an Deck auslös</w:t>
      </w:r>
      <w:r w:rsidR="00AB66EF" w:rsidRPr="00FE2E68">
        <w:rPr>
          <w:snapToGrid/>
        </w:rPr>
        <w:t>t</w:t>
      </w:r>
      <w:r w:rsidR="00BD34CD" w:rsidRPr="00FE2E68">
        <w:rPr>
          <w:snapToGrid/>
        </w:rPr>
        <w:t xml:space="preserve">. Bei Nichtquittieren erfolgt die Alarmierung automatisch in den Wohnungen und </w:t>
      </w:r>
      <w:r w:rsidR="00B75725" w:rsidRPr="00FE2E68">
        <w:rPr>
          <w:snapToGrid/>
        </w:rPr>
        <w:t>zeigt</w:t>
      </w:r>
      <w:r w:rsidR="00BD34CD" w:rsidRPr="00FE2E68">
        <w:rPr>
          <w:snapToGrid/>
        </w:rPr>
        <w:t xml:space="preserve"> an</w:t>
      </w:r>
      <w:r w:rsidR="00B75725" w:rsidRPr="00FE2E68">
        <w:rPr>
          <w:snapToGrid/>
        </w:rPr>
        <w:t>, dass d</w:t>
      </w:r>
      <w:r w:rsidR="00BD34CD" w:rsidRPr="00FE2E68">
        <w:rPr>
          <w:snapToGrid/>
        </w:rPr>
        <w:t>ie</w:t>
      </w:r>
      <w:r w:rsidR="00B75725" w:rsidRPr="00FE2E68">
        <w:rPr>
          <w:snapToGrid/>
        </w:rPr>
        <w:t xml:space="preserve"> </w:t>
      </w:r>
      <w:r w:rsidR="00BD34CD" w:rsidRPr="00FE2E68">
        <w:rPr>
          <w:snapToGrid/>
        </w:rPr>
        <w:t>Berieselungsanlage</w:t>
      </w:r>
      <w:r w:rsidR="00B75725" w:rsidRPr="00FE2E68">
        <w:rPr>
          <w:snapToGrid/>
        </w:rPr>
        <w:t xml:space="preserve"> </w:t>
      </w:r>
      <w:r w:rsidR="00A2759A" w:rsidRPr="00FE2E68">
        <w:rPr>
          <w:snapToGrid/>
        </w:rPr>
        <w:t>einzuschalten ist</w:t>
      </w:r>
      <w:r w:rsidR="00B75725" w:rsidRPr="00FE2E68">
        <w:rPr>
          <w:snapToGrid/>
        </w:rPr>
        <w:t>, bis der Druck in den Ladetanks auf 30 kPa fällt</w:t>
      </w:r>
      <w:r w:rsidR="00BD34CD" w:rsidRPr="00FE2E68">
        <w:rPr>
          <w:snapToGrid/>
        </w:rPr>
        <w:t>.</w:t>
      </w:r>
    </w:p>
    <w:p w14:paraId="0AE66937" w14:textId="58758E44" w:rsidR="009F1037" w:rsidRPr="00FE2E68" w:rsidRDefault="009F1037" w:rsidP="00D73262">
      <w:pPr>
        <w:spacing w:after="120"/>
        <w:ind w:left="1134" w:right="1134"/>
        <w:jc w:val="both"/>
        <w:rPr>
          <w:snapToGrid/>
        </w:rPr>
      </w:pPr>
      <w:r w:rsidRPr="00FE2E68">
        <w:rPr>
          <w:snapToGrid/>
        </w:rPr>
        <w:t>7.</w:t>
      </w:r>
      <w:r w:rsidRPr="00FE2E68">
        <w:rPr>
          <w:snapToGrid/>
        </w:rPr>
        <w:tab/>
      </w:r>
      <w:r w:rsidR="003960E2" w:rsidRPr="00FE2E68">
        <w:rPr>
          <w:snapToGrid/>
        </w:rPr>
        <w:t xml:space="preserve">In Anbetracht der Tatsache, dass </w:t>
      </w:r>
      <w:proofErr w:type="gramStart"/>
      <w:r w:rsidR="003960E2" w:rsidRPr="00FE2E68">
        <w:rPr>
          <w:snapToGrid/>
        </w:rPr>
        <w:t>es relativ</w:t>
      </w:r>
      <w:proofErr w:type="gramEnd"/>
      <w:r w:rsidR="003960E2" w:rsidRPr="00FE2E68">
        <w:rPr>
          <w:snapToGrid/>
        </w:rPr>
        <w:t xml:space="preserve"> lange dauern würde, bis sich der Druck </w:t>
      </w:r>
      <w:proofErr w:type="spellStart"/>
      <w:r w:rsidR="003960E2" w:rsidRPr="00FE2E68">
        <w:rPr>
          <w:snapToGrid/>
        </w:rPr>
        <w:t>so weit</w:t>
      </w:r>
      <w:proofErr w:type="spellEnd"/>
      <w:r w:rsidR="003960E2" w:rsidRPr="00FE2E68">
        <w:rPr>
          <w:snapToGrid/>
        </w:rPr>
        <w:t xml:space="preserve"> aufgebaut hat, dass sich das </w:t>
      </w:r>
      <w:bookmarkStart w:id="0" w:name="_Hlk138149123"/>
      <w:r w:rsidR="00CA6148" w:rsidRPr="00FE2E68">
        <w:rPr>
          <w:snapToGrid/>
        </w:rPr>
        <w:t>Überd</w:t>
      </w:r>
      <w:r w:rsidR="003960E2" w:rsidRPr="00FE2E68">
        <w:rPr>
          <w:snapToGrid/>
        </w:rPr>
        <w:t xml:space="preserve">ruckventil </w:t>
      </w:r>
      <w:bookmarkEnd w:id="0"/>
      <w:r w:rsidR="003960E2" w:rsidRPr="00FE2E68">
        <w:rPr>
          <w:snapToGrid/>
        </w:rPr>
        <w:t xml:space="preserve">öffnet, waren mehrere Teilnehmer der Meinung, dass die Besatzung dies lange vor dem Öffnen des </w:t>
      </w:r>
      <w:r w:rsidR="00F926CA" w:rsidRPr="00FE2E68">
        <w:rPr>
          <w:snapToGrid/>
        </w:rPr>
        <w:t xml:space="preserve">Überdruckventils </w:t>
      </w:r>
      <w:r w:rsidR="003960E2" w:rsidRPr="00FE2E68">
        <w:rPr>
          <w:snapToGrid/>
        </w:rPr>
        <w:t>bemerken würde.</w:t>
      </w:r>
      <w:r w:rsidRPr="00FE2E68">
        <w:rPr>
          <w:snapToGrid/>
        </w:rPr>
        <w:t xml:space="preserve"> </w:t>
      </w:r>
      <w:r w:rsidR="00A22AFD" w:rsidRPr="00FE2E68">
        <w:rPr>
          <w:snapToGrid/>
        </w:rPr>
        <w:t>Andere Teilnehmer wiesen darauf hin, dass bei der Beförderung giftiger Stoffe der „40 kPa“-Alarm auch während des Ladens verwendet wird, um die Besatzung zu warnen, falls es zu einem Druckanstieg kommt und die Besatzung dies nicht rechtzeitig bemerkt.</w:t>
      </w:r>
      <w:r w:rsidRPr="00FE2E68">
        <w:rPr>
          <w:snapToGrid/>
        </w:rPr>
        <w:t xml:space="preserve"> </w:t>
      </w:r>
      <w:r w:rsidR="00A22AFD" w:rsidRPr="00FE2E68">
        <w:rPr>
          <w:snapToGrid/>
        </w:rPr>
        <w:t xml:space="preserve">Es wurde </w:t>
      </w:r>
      <w:r w:rsidR="00D73262" w:rsidRPr="00FE2E68">
        <w:rPr>
          <w:snapToGrid/>
        </w:rPr>
        <w:t>gemutmaßt</w:t>
      </w:r>
      <w:r w:rsidR="00A22AFD" w:rsidRPr="00FE2E68">
        <w:rPr>
          <w:snapToGrid/>
        </w:rPr>
        <w:t>, dass die Vorschrift eines Alarms, der die Besatzung warnt, bevor sich das Überdruckventil öffnet, zu einer Erhöhung der Sicherheit führen könnte.</w:t>
      </w:r>
    </w:p>
    <w:p w14:paraId="445F2B23" w14:textId="05FA2CBA" w:rsidR="009F1037" w:rsidRPr="00FE2E68" w:rsidRDefault="009F1037" w:rsidP="000F4A10">
      <w:pPr>
        <w:spacing w:after="120"/>
        <w:ind w:left="1134" w:right="1134"/>
        <w:jc w:val="both"/>
        <w:rPr>
          <w:snapToGrid/>
        </w:rPr>
      </w:pPr>
      <w:r w:rsidRPr="00FE2E68">
        <w:rPr>
          <w:snapToGrid/>
        </w:rPr>
        <w:t>8.</w:t>
      </w:r>
      <w:r w:rsidRPr="00FE2E68">
        <w:rPr>
          <w:snapToGrid/>
        </w:rPr>
        <w:tab/>
      </w:r>
      <w:r w:rsidR="00F2383F" w:rsidRPr="00FE2E68">
        <w:rPr>
          <w:snapToGrid/>
        </w:rPr>
        <w:t xml:space="preserve">Die Teilnehmer kamen zu dem Schluss, dass das ADN mehrere Sicherheitsanforderungen enthält, um einen Druckanstieg während der </w:t>
      </w:r>
      <w:r w:rsidR="000F4A10" w:rsidRPr="00FE2E68">
        <w:rPr>
          <w:snapToGrid/>
        </w:rPr>
        <w:t>m</w:t>
      </w:r>
      <w:r w:rsidR="00F2383F" w:rsidRPr="00FE2E68">
        <w:rPr>
          <w:snapToGrid/>
        </w:rPr>
        <w:t>ittl</w:t>
      </w:r>
      <w:r w:rsidR="000F4A10" w:rsidRPr="00FE2E68">
        <w:rPr>
          <w:snapToGrid/>
        </w:rPr>
        <w:t>eren L</w:t>
      </w:r>
      <w:r w:rsidR="00F2383F" w:rsidRPr="00FE2E68">
        <w:rPr>
          <w:snapToGrid/>
        </w:rPr>
        <w:t>adephase zu verhindern.</w:t>
      </w:r>
      <w:r w:rsidRPr="00FE2E68">
        <w:rPr>
          <w:snapToGrid/>
        </w:rPr>
        <w:t xml:space="preserve"> </w:t>
      </w:r>
      <w:r w:rsidR="002B331B" w:rsidRPr="00FE2E68">
        <w:rPr>
          <w:snapToGrid/>
        </w:rPr>
        <w:t xml:space="preserve">Die Anwendung der Berechnung nach den Absätzen 9.3.2.25.9 und 9.3.3.25.9 zur Bestimmung der maximalen Ladegeschwindigkeit in der </w:t>
      </w:r>
      <w:r w:rsidR="000F4A10" w:rsidRPr="00FE2E68">
        <w:rPr>
          <w:snapToGrid/>
        </w:rPr>
        <w:t>m</w:t>
      </w:r>
      <w:r w:rsidR="002B331B" w:rsidRPr="00FE2E68">
        <w:rPr>
          <w:snapToGrid/>
        </w:rPr>
        <w:t>ittl</w:t>
      </w:r>
      <w:r w:rsidR="000F4A10" w:rsidRPr="00FE2E68">
        <w:rPr>
          <w:snapToGrid/>
        </w:rPr>
        <w:t>eren P</w:t>
      </w:r>
      <w:r w:rsidR="002B331B" w:rsidRPr="00FE2E68">
        <w:rPr>
          <w:snapToGrid/>
        </w:rPr>
        <w:t>hase führt zu einer verringerten maximalen Ladegeschwindigkeit, während andere Sicherheitsmaßnahmen vorhanden sind</w:t>
      </w:r>
      <w:r w:rsidR="007C29ED" w:rsidRPr="00FE2E68">
        <w:rPr>
          <w:snapToGrid/>
        </w:rPr>
        <w:t>.</w:t>
      </w:r>
      <w:r w:rsidRPr="00FE2E68">
        <w:rPr>
          <w:snapToGrid/>
        </w:rPr>
        <w:t xml:space="preserve"> </w:t>
      </w:r>
      <w:r w:rsidR="007C29ED" w:rsidRPr="00FE2E68">
        <w:rPr>
          <w:snapToGrid/>
        </w:rPr>
        <w:t>Die Gruppe möchte den ADN-Sicherheitsausschuss bitten, eine Trennung der Berechnung von der Instruktion zu prüfen.</w:t>
      </w:r>
      <w:r w:rsidRPr="00FE2E68">
        <w:rPr>
          <w:snapToGrid/>
        </w:rPr>
        <w:t xml:space="preserve"> </w:t>
      </w:r>
      <w:r w:rsidR="008149D8" w:rsidRPr="00FE2E68">
        <w:rPr>
          <w:snapToGrid/>
        </w:rPr>
        <w:t xml:space="preserve">Nach Ansicht der Gruppe könnte die Berechnung </w:t>
      </w:r>
      <w:r w:rsidR="00E672B3" w:rsidRPr="00FE2E68">
        <w:rPr>
          <w:snapToGrid/>
        </w:rPr>
        <w:t>aber</w:t>
      </w:r>
      <w:r w:rsidR="008149D8" w:rsidRPr="00FE2E68">
        <w:rPr>
          <w:snapToGrid/>
        </w:rPr>
        <w:t xml:space="preserve"> wertvolle Informationen für die Konstruktion des Schiffes liefern und Teil des Dokuments </w:t>
      </w:r>
      <w:r w:rsidR="006842E5" w:rsidRPr="00FE2E68">
        <w:rPr>
          <w:snapToGrid/>
        </w:rPr>
        <w:t>„</w:t>
      </w:r>
      <w:r w:rsidR="008149D8" w:rsidRPr="00FE2E68">
        <w:rPr>
          <w:snapToGrid/>
        </w:rPr>
        <w:t>Schiffsbezogene Informationen</w:t>
      </w:r>
      <w:r w:rsidR="006842E5" w:rsidRPr="00FE2E68">
        <w:rPr>
          <w:snapToGrid/>
        </w:rPr>
        <w:t>“</w:t>
      </w:r>
      <w:r w:rsidR="008149D8" w:rsidRPr="00FE2E68">
        <w:rPr>
          <w:snapToGrid/>
        </w:rPr>
        <w:t xml:space="preserve"> sein.</w:t>
      </w:r>
      <w:r w:rsidRPr="00FE2E68">
        <w:rPr>
          <w:snapToGrid/>
        </w:rPr>
        <w:t xml:space="preserve"> </w:t>
      </w:r>
      <w:r w:rsidR="0082484A" w:rsidRPr="00FE2E68">
        <w:rPr>
          <w:snapToGrid/>
        </w:rPr>
        <w:t xml:space="preserve">Für die Erstellung der Instruktion für die Lade- und Löschraten zieht es die Gruppe jedoch vor, dem Internationalen Sicherheitsleitfaden für </w:t>
      </w:r>
      <w:r w:rsidR="00CB5CE0" w:rsidRPr="00FE2E68">
        <w:rPr>
          <w:snapToGrid/>
        </w:rPr>
        <w:t xml:space="preserve">die Binnentankschifffahrt und Binnenterminals (ISGINTT) </w:t>
      </w:r>
      <w:r w:rsidR="0082484A" w:rsidRPr="00FE2E68">
        <w:rPr>
          <w:snapToGrid/>
        </w:rPr>
        <w:t>zu folgen (1 m/s für die Ladegeschwindigkeit in der Anfangsphase und 7 m/s für die Ladegeschwindigkeit in der mittleren Phase).</w:t>
      </w:r>
    </w:p>
    <w:p w14:paraId="1206B47C" w14:textId="348CA7CB" w:rsidR="009F1037" w:rsidRPr="00FE2E68" w:rsidRDefault="009F1037" w:rsidP="00275AAC">
      <w:pPr>
        <w:spacing w:after="120"/>
        <w:ind w:left="1134" w:right="1134"/>
        <w:jc w:val="both"/>
        <w:rPr>
          <w:snapToGrid/>
        </w:rPr>
      </w:pPr>
      <w:r w:rsidRPr="00FE2E68">
        <w:rPr>
          <w:snapToGrid/>
        </w:rPr>
        <w:t>9.</w:t>
      </w:r>
      <w:r w:rsidRPr="00FE2E68">
        <w:rPr>
          <w:snapToGrid/>
        </w:rPr>
        <w:tab/>
      </w:r>
      <w:r w:rsidR="00016083" w:rsidRPr="00FE2E68">
        <w:rPr>
          <w:snapToGrid/>
        </w:rPr>
        <w:t xml:space="preserve">Die Frage, ob das ADN derzeit ausreichende Sicherheitsmaßnahmen vorsieht, um das Öffnen des </w:t>
      </w:r>
      <w:r w:rsidR="00275AAC" w:rsidRPr="00FE2E68">
        <w:rPr>
          <w:snapToGrid/>
        </w:rPr>
        <w:t>Überdruck</w:t>
      </w:r>
      <w:r w:rsidR="00016083" w:rsidRPr="00FE2E68">
        <w:rPr>
          <w:snapToGrid/>
        </w:rPr>
        <w:t xml:space="preserve">ventils während des Ladens zu verhindern, oder ob der </w:t>
      </w:r>
      <w:r w:rsidR="00DF66A0" w:rsidRPr="00FE2E68">
        <w:rPr>
          <w:snapToGrid/>
        </w:rPr>
        <w:t>„</w:t>
      </w:r>
      <w:r w:rsidR="00016083" w:rsidRPr="00FE2E68">
        <w:rPr>
          <w:snapToGrid/>
        </w:rPr>
        <w:t>40 kPa</w:t>
      </w:r>
      <w:r w:rsidR="00DF66A0" w:rsidRPr="00FE2E68">
        <w:rPr>
          <w:snapToGrid/>
        </w:rPr>
        <w:t>“</w:t>
      </w:r>
      <w:r w:rsidR="00016083" w:rsidRPr="00FE2E68">
        <w:rPr>
          <w:snapToGrid/>
        </w:rPr>
        <w:t>-Alarm für alle Ladevorgänge vorgeschrieben werden sollte, wurde von der Gruppe nicht abschließend beantwortet.</w:t>
      </w:r>
    </w:p>
    <w:p w14:paraId="27A2A91E" w14:textId="77777777" w:rsidR="002C74D3" w:rsidRDefault="002C74D3">
      <w:pPr>
        <w:suppressAutoHyphens w:val="0"/>
        <w:spacing w:line="240" w:lineRule="auto"/>
        <w:rPr>
          <w:snapToGrid/>
        </w:rPr>
      </w:pPr>
      <w:r>
        <w:rPr>
          <w:snapToGrid/>
        </w:rPr>
        <w:br w:type="page"/>
      </w:r>
    </w:p>
    <w:p w14:paraId="2646B990" w14:textId="17801497" w:rsidR="009F1037" w:rsidRPr="00FE2E68" w:rsidRDefault="009F1037" w:rsidP="001E7477">
      <w:pPr>
        <w:spacing w:after="120"/>
        <w:ind w:left="1134" w:right="1134"/>
        <w:jc w:val="both"/>
        <w:rPr>
          <w:snapToGrid/>
        </w:rPr>
      </w:pPr>
      <w:r w:rsidRPr="00FE2E68">
        <w:rPr>
          <w:snapToGrid/>
        </w:rPr>
        <w:lastRenderedPageBreak/>
        <w:t>10.</w:t>
      </w:r>
      <w:r w:rsidRPr="00FE2E68">
        <w:rPr>
          <w:snapToGrid/>
        </w:rPr>
        <w:tab/>
      </w:r>
      <w:r w:rsidR="00275AAC" w:rsidRPr="00FE2E68">
        <w:rPr>
          <w:snapToGrid/>
        </w:rPr>
        <w:t>In Bezug auf die Ladegeschwindigkeit in der Anfangsphase wiesen einige Mitglieder der Gruppe darauf hin, dass der ISGINTT eine maximale Ladegeschwindigkeit von 1 m/s nur für Stoffe vorsieht, bei denen die Gefahr einer elektrostatischen Aufladung besteht, d. h. eine Kombination aus schlechter Leitfähigkeit und einem niedrigen Flammpunkt.</w:t>
      </w:r>
      <w:r w:rsidRPr="00FE2E68">
        <w:rPr>
          <w:snapToGrid/>
        </w:rPr>
        <w:t xml:space="preserve"> </w:t>
      </w:r>
      <w:r w:rsidR="00275AAC" w:rsidRPr="00FE2E68">
        <w:rPr>
          <w:snapToGrid/>
        </w:rPr>
        <w:t>Für Stoffe, bei denen diese Gefahr nicht besteht, könnten in der Anfangsphase höhere Ladegeschwindigkeiten zugelassen werden.</w:t>
      </w:r>
      <w:r w:rsidRPr="00FE2E68">
        <w:rPr>
          <w:snapToGrid/>
        </w:rPr>
        <w:t xml:space="preserve"> </w:t>
      </w:r>
      <w:r w:rsidR="00235F2C" w:rsidRPr="00FE2E68">
        <w:rPr>
          <w:snapToGrid/>
        </w:rPr>
        <w:t xml:space="preserve">Die Gruppe diskutierte kurz über die Schwierigkeit, das Konzept der elektrostatischen Aufladung in das ADN aufzunehmen, und </w:t>
      </w:r>
      <w:r w:rsidR="001E7477" w:rsidRPr="00FE2E68">
        <w:rPr>
          <w:snapToGrid/>
        </w:rPr>
        <w:t>kam überein,</w:t>
      </w:r>
      <w:r w:rsidR="00235F2C" w:rsidRPr="00FE2E68">
        <w:rPr>
          <w:snapToGrid/>
        </w:rPr>
        <w:t xml:space="preserve"> sich vorerst auf die Entwicklung der </w:t>
      </w:r>
      <w:r w:rsidR="00FB1A11" w:rsidRPr="00FE2E68">
        <w:rPr>
          <w:snapToGrid/>
        </w:rPr>
        <w:t xml:space="preserve">Instruktion für die Lade- und Löschraten </w:t>
      </w:r>
      <w:r w:rsidR="001E7477" w:rsidRPr="00FE2E68">
        <w:rPr>
          <w:snapToGrid/>
        </w:rPr>
        <w:t xml:space="preserve">zu </w:t>
      </w:r>
      <w:r w:rsidR="00235F2C" w:rsidRPr="00FE2E68">
        <w:rPr>
          <w:snapToGrid/>
        </w:rPr>
        <w:t>konzentrieren.</w:t>
      </w:r>
    </w:p>
    <w:p w14:paraId="02498BDA" w14:textId="138167D0" w:rsidR="009F1037" w:rsidRPr="00FE2E68" w:rsidRDefault="009F1037" w:rsidP="001E7477">
      <w:pPr>
        <w:keepNext/>
        <w:keepLines/>
        <w:tabs>
          <w:tab w:val="right" w:pos="851"/>
        </w:tabs>
        <w:spacing w:before="360" w:after="240" w:line="300" w:lineRule="exact"/>
        <w:ind w:left="1134" w:right="1134" w:hanging="1134"/>
        <w:rPr>
          <w:b/>
          <w:snapToGrid/>
          <w:sz w:val="28"/>
        </w:rPr>
      </w:pPr>
      <w:r w:rsidRPr="00FE2E68">
        <w:rPr>
          <w:b/>
          <w:snapToGrid/>
          <w:sz w:val="28"/>
        </w:rPr>
        <w:tab/>
        <w:t>II.</w:t>
      </w:r>
      <w:r w:rsidRPr="00FE2E68">
        <w:rPr>
          <w:b/>
          <w:snapToGrid/>
          <w:sz w:val="28"/>
        </w:rPr>
        <w:tab/>
      </w:r>
      <w:r w:rsidR="001E7477" w:rsidRPr="00FE2E68">
        <w:rPr>
          <w:b/>
          <w:snapToGrid/>
          <w:sz w:val="28"/>
        </w:rPr>
        <w:t>Zulassungszeugnis</w:t>
      </w:r>
    </w:p>
    <w:p w14:paraId="5A86E90F" w14:textId="2B0DC090" w:rsidR="009F1037" w:rsidRPr="00FE2E68" w:rsidRDefault="009F1037" w:rsidP="005219FE">
      <w:pPr>
        <w:spacing w:after="120"/>
        <w:ind w:left="1134" w:right="1134"/>
        <w:jc w:val="both"/>
        <w:rPr>
          <w:snapToGrid/>
        </w:rPr>
      </w:pPr>
      <w:r w:rsidRPr="00FE2E68">
        <w:rPr>
          <w:snapToGrid/>
        </w:rPr>
        <w:t>11.</w:t>
      </w:r>
      <w:r w:rsidRPr="00FE2E68">
        <w:rPr>
          <w:snapToGrid/>
        </w:rPr>
        <w:tab/>
      </w:r>
      <w:r w:rsidR="001E7477" w:rsidRPr="00FE2E68">
        <w:rPr>
          <w:snapToGrid/>
        </w:rPr>
        <w:t>Die Gruppe diskutierte, ob die maximale Lade- und Löschrate Bestandteil des Zulassungszeugnisses sein sollte.</w:t>
      </w:r>
      <w:r w:rsidRPr="00FE2E68">
        <w:rPr>
          <w:snapToGrid/>
        </w:rPr>
        <w:t xml:space="preserve"> </w:t>
      </w:r>
      <w:r w:rsidR="001E7477" w:rsidRPr="00FE2E68">
        <w:rPr>
          <w:snapToGrid/>
        </w:rPr>
        <w:t xml:space="preserve">Derzeit enthält das Zulassungszeugnis entweder eine </w:t>
      </w:r>
      <w:r w:rsidR="00F23D0B" w:rsidRPr="00FE2E68">
        <w:rPr>
          <w:snapToGrid/>
        </w:rPr>
        <w:t>einzelne</w:t>
      </w:r>
      <w:r w:rsidR="001E7477" w:rsidRPr="00FE2E68">
        <w:rPr>
          <w:snapToGrid/>
        </w:rPr>
        <w:t xml:space="preserve"> Zahl (m</w:t>
      </w:r>
      <w:r w:rsidR="001E7477" w:rsidRPr="00FE2E68">
        <w:rPr>
          <w:snapToGrid/>
          <w:vertAlign w:val="superscript"/>
        </w:rPr>
        <w:t>3</w:t>
      </w:r>
      <w:r w:rsidR="001E7477" w:rsidRPr="00FE2E68">
        <w:rPr>
          <w:snapToGrid/>
        </w:rPr>
        <w:t>/h) oder den Hinweis auf die Instruktion für die Lade- und Löschraten.</w:t>
      </w:r>
      <w:r w:rsidRPr="00FE2E68">
        <w:rPr>
          <w:snapToGrid/>
        </w:rPr>
        <w:t xml:space="preserve"> </w:t>
      </w:r>
      <w:r w:rsidR="007603F6" w:rsidRPr="00FE2E68">
        <w:rPr>
          <w:snapToGrid/>
        </w:rPr>
        <w:t xml:space="preserve">Da die Gruppe feststellte, dass unterschiedliche Anfangs- und Mittelladeraten verwendet werden sollten, dass diese Raten unterschiedlich sein können, wenn ein oder mehrere Tanks gleichzeitig beladen werden, und dass die maximale </w:t>
      </w:r>
      <w:proofErr w:type="spellStart"/>
      <w:r w:rsidR="007603F6" w:rsidRPr="00FE2E68">
        <w:rPr>
          <w:snapToGrid/>
        </w:rPr>
        <w:t>Laderate</w:t>
      </w:r>
      <w:proofErr w:type="spellEnd"/>
      <w:r w:rsidR="007603F6" w:rsidRPr="00FE2E68">
        <w:rPr>
          <w:snapToGrid/>
        </w:rPr>
        <w:t xml:space="preserve"> (derzeit) vom (Dampfdruck der) zu ladenden </w:t>
      </w:r>
      <w:r w:rsidR="009D229B" w:rsidRPr="00FE2E68">
        <w:rPr>
          <w:snapToGrid/>
        </w:rPr>
        <w:t>Stoffes</w:t>
      </w:r>
      <w:r w:rsidR="007603F6" w:rsidRPr="00FE2E68">
        <w:rPr>
          <w:snapToGrid/>
        </w:rPr>
        <w:t xml:space="preserve"> abhängt, konnte die Gruppe </w:t>
      </w:r>
      <w:r w:rsidR="00683A8C" w:rsidRPr="00FE2E68">
        <w:rPr>
          <w:snapToGrid/>
        </w:rPr>
        <w:t xml:space="preserve">abgesehen von Schiffen des Typs N offen und </w:t>
      </w:r>
      <w:proofErr w:type="spellStart"/>
      <w:r w:rsidR="00683A8C" w:rsidRPr="00FE2E68">
        <w:rPr>
          <w:snapToGrid/>
        </w:rPr>
        <w:t>Bilgenentölungsbooten</w:t>
      </w:r>
      <w:proofErr w:type="spellEnd"/>
      <w:r w:rsidR="00683A8C" w:rsidRPr="00FE2E68">
        <w:rPr>
          <w:snapToGrid/>
        </w:rPr>
        <w:t xml:space="preserve"> </w:t>
      </w:r>
      <w:r w:rsidR="007603F6" w:rsidRPr="00FE2E68">
        <w:rPr>
          <w:snapToGrid/>
        </w:rPr>
        <w:t xml:space="preserve">keine anderen Schiffe finden, für die eine </w:t>
      </w:r>
      <w:r w:rsidR="00F23D0B" w:rsidRPr="00FE2E68">
        <w:rPr>
          <w:snapToGrid/>
        </w:rPr>
        <w:t>einzelne</w:t>
      </w:r>
      <w:r w:rsidR="007603F6" w:rsidRPr="00FE2E68">
        <w:rPr>
          <w:snapToGrid/>
        </w:rPr>
        <w:t xml:space="preserve"> Zahl relevant sein könnte.</w:t>
      </w:r>
    </w:p>
    <w:p w14:paraId="04A7CD81" w14:textId="46AB28E4" w:rsidR="009F1037" w:rsidRPr="00FE2E68" w:rsidRDefault="009F1037" w:rsidP="00833A4A">
      <w:pPr>
        <w:spacing w:after="120"/>
        <w:ind w:left="1134" w:right="1134"/>
        <w:jc w:val="both"/>
        <w:rPr>
          <w:snapToGrid/>
        </w:rPr>
      </w:pPr>
      <w:r w:rsidRPr="00FE2E68">
        <w:rPr>
          <w:snapToGrid/>
        </w:rPr>
        <w:t>12.</w:t>
      </w:r>
      <w:r w:rsidRPr="00FE2E68">
        <w:rPr>
          <w:snapToGrid/>
        </w:rPr>
        <w:tab/>
      </w:r>
      <w:r w:rsidR="002552F0" w:rsidRPr="00FE2E68">
        <w:rPr>
          <w:snapToGrid/>
        </w:rPr>
        <w:t xml:space="preserve">Da das Zulassungszeugnis von den zuständigen Behörden oder von anerkannten Klassifikationsgesellschaften im Namen der zuständigen Behörden ausgestellt wird, ist die Gruppe der Ansicht, dass </w:t>
      </w:r>
      <w:r w:rsidR="00833A4A" w:rsidRPr="00FE2E68">
        <w:rPr>
          <w:snapToGrid/>
        </w:rPr>
        <w:t>das derzeitige Muster des Zeugnisses nicht geändert werden muss</w:t>
      </w:r>
      <w:r w:rsidR="002552F0" w:rsidRPr="00FE2E68">
        <w:rPr>
          <w:snapToGrid/>
        </w:rPr>
        <w:t>.</w:t>
      </w:r>
    </w:p>
    <w:p w14:paraId="34838B4E" w14:textId="46E1C9B5" w:rsidR="009F1037" w:rsidRPr="00FE2E68" w:rsidRDefault="009F1037" w:rsidP="002021DC">
      <w:pPr>
        <w:keepNext/>
        <w:keepLines/>
        <w:tabs>
          <w:tab w:val="right" w:pos="851"/>
        </w:tabs>
        <w:spacing w:before="360" w:after="240" w:line="300" w:lineRule="exact"/>
        <w:ind w:left="1134" w:right="1134" w:hanging="1134"/>
        <w:rPr>
          <w:b/>
          <w:snapToGrid/>
          <w:sz w:val="28"/>
        </w:rPr>
      </w:pPr>
      <w:r w:rsidRPr="00FE2E68">
        <w:rPr>
          <w:b/>
          <w:snapToGrid/>
          <w:sz w:val="28"/>
        </w:rPr>
        <w:tab/>
        <w:t>III.</w:t>
      </w:r>
      <w:r w:rsidRPr="00FE2E68">
        <w:rPr>
          <w:b/>
          <w:snapToGrid/>
          <w:sz w:val="28"/>
        </w:rPr>
        <w:tab/>
      </w:r>
      <w:r w:rsidR="0040520A" w:rsidRPr="00FE2E68">
        <w:rPr>
          <w:b/>
          <w:snapToGrid/>
          <w:sz w:val="28"/>
        </w:rPr>
        <w:t xml:space="preserve">Überlegungen zum Inhalt der </w:t>
      </w:r>
      <w:r w:rsidR="002021DC" w:rsidRPr="00FE2E68">
        <w:rPr>
          <w:b/>
          <w:snapToGrid/>
          <w:sz w:val="28"/>
        </w:rPr>
        <w:t>Instruktion für die Lade- und Löschraten</w:t>
      </w:r>
    </w:p>
    <w:p w14:paraId="35840714" w14:textId="028A03C7" w:rsidR="009F1037" w:rsidRPr="00FE2E68" w:rsidRDefault="009F1037" w:rsidP="00C15303">
      <w:pPr>
        <w:spacing w:after="120"/>
        <w:ind w:left="1134" w:right="1134"/>
        <w:jc w:val="both"/>
        <w:rPr>
          <w:snapToGrid/>
        </w:rPr>
      </w:pPr>
      <w:r w:rsidRPr="00FE2E68">
        <w:rPr>
          <w:snapToGrid/>
        </w:rPr>
        <w:t>13.</w:t>
      </w:r>
      <w:r w:rsidRPr="00FE2E68">
        <w:rPr>
          <w:snapToGrid/>
        </w:rPr>
        <w:tab/>
      </w:r>
      <w:r w:rsidR="002021DC" w:rsidRPr="00FE2E68">
        <w:rPr>
          <w:snapToGrid/>
        </w:rPr>
        <w:t xml:space="preserve">Es wurde festgestellt, dass ein harmonisiertes Format für die </w:t>
      </w:r>
      <w:bookmarkStart w:id="1" w:name="_Hlk138164802"/>
      <w:r w:rsidR="001B3B1C" w:rsidRPr="00FE2E68">
        <w:rPr>
          <w:snapToGrid/>
        </w:rPr>
        <w:t>Instruktion für die Lade- und Löschraten</w:t>
      </w:r>
      <w:r w:rsidR="002021DC" w:rsidRPr="00FE2E68">
        <w:rPr>
          <w:snapToGrid/>
        </w:rPr>
        <w:t xml:space="preserve"> </w:t>
      </w:r>
      <w:bookmarkEnd w:id="1"/>
      <w:r w:rsidR="002021DC" w:rsidRPr="00FE2E68">
        <w:rPr>
          <w:snapToGrid/>
        </w:rPr>
        <w:t xml:space="preserve">den Schiffsführern und den für das Laden und Löschen verantwortlichen Personen helfen könnte, sich auf sichere </w:t>
      </w:r>
      <w:r w:rsidR="0099369E" w:rsidRPr="00FE2E68">
        <w:rPr>
          <w:snapToGrid/>
        </w:rPr>
        <w:t xml:space="preserve">tatsächliche </w:t>
      </w:r>
      <w:r w:rsidR="001B3B1C" w:rsidRPr="00FE2E68">
        <w:rPr>
          <w:snapToGrid/>
        </w:rPr>
        <w:t>Lade</w:t>
      </w:r>
      <w:r w:rsidR="002021DC" w:rsidRPr="00FE2E68">
        <w:rPr>
          <w:snapToGrid/>
        </w:rPr>
        <w:t xml:space="preserve">- und </w:t>
      </w:r>
      <w:r w:rsidR="001B3B1C" w:rsidRPr="00FE2E68">
        <w:rPr>
          <w:snapToGrid/>
        </w:rPr>
        <w:t>Lösch</w:t>
      </w:r>
      <w:r w:rsidR="002021DC" w:rsidRPr="00FE2E68">
        <w:rPr>
          <w:snapToGrid/>
        </w:rPr>
        <w:t>geschwindigkeiten zu einigen.</w:t>
      </w:r>
      <w:r w:rsidRPr="00FE2E68">
        <w:rPr>
          <w:snapToGrid/>
        </w:rPr>
        <w:t xml:space="preserve"> </w:t>
      </w:r>
      <w:r w:rsidR="0099369E" w:rsidRPr="00FE2E68">
        <w:rPr>
          <w:snapToGrid/>
        </w:rPr>
        <w:t>Ein solches Format würde dazu führen, dass niedrigere tatsächliche Ladegeschwindigkeiten leichter akzeptiert werden, um ein sicheres Verfahren zu gewährleisten.</w:t>
      </w:r>
      <w:r w:rsidRPr="00FE2E68">
        <w:rPr>
          <w:snapToGrid/>
        </w:rPr>
        <w:t xml:space="preserve"> </w:t>
      </w:r>
      <w:r w:rsidR="00C15303" w:rsidRPr="00FE2E68">
        <w:rPr>
          <w:snapToGrid/>
        </w:rPr>
        <w:t>Die Vertreter haben darum gebeten, dass ein solches</w:t>
      </w:r>
      <w:r w:rsidR="00F23D0B" w:rsidRPr="00FE2E68">
        <w:rPr>
          <w:snapToGrid/>
        </w:rPr>
        <w:t xml:space="preserve"> –</w:t>
      </w:r>
      <w:r w:rsidR="00C15303" w:rsidRPr="00FE2E68">
        <w:rPr>
          <w:snapToGrid/>
        </w:rPr>
        <w:t xml:space="preserve"> vorzugsweise international harmonisiertes </w:t>
      </w:r>
      <w:r w:rsidR="00F23D0B" w:rsidRPr="00FE2E68">
        <w:rPr>
          <w:snapToGrid/>
        </w:rPr>
        <w:t xml:space="preserve">– </w:t>
      </w:r>
      <w:r w:rsidR="00C15303" w:rsidRPr="00FE2E68">
        <w:rPr>
          <w:snapToGrid/>
        </w:rPr>
        <w:t>Format durch das ADN festgelegt wird.</w:t>
      </w:r>
    </w:p>
    <w:p w14:paraId="251058A5" w14:textId="669C0B11" w:rsidR="009F1037" w:rsidRPr="00FE2E68" w:rsidRDefault="009F1037" w:rsidP="009176D4">
      <w:pPr>
        <w:spacing w:after="120"/>
        <w:ind w:left="1134" w:right="1134"/>
        <w:jc w:val="both"/>
        <w:rPr>
          <w:snapToGrid/>
        </w:rPr>
      </w:pPr>
      <w:r w:rsidRPr="00FE2E68">
        <w:rPr>
          <w:snapToGrid/>
        </w:rPr>
        <w:t>14.</w:t>
      </w:r>
      <w:r w:rsidRPr="00FE2E68">
        <w:rPr>
          <w:snapToGrid/>
        </w:rPr>
        <w:tab/>
      </w:r>
      <w:r w:rsidR="00A73A81" w:rsidRPr="00FE2E68">
        <w:rPr>
          <w:snapToGrid/>
        </w:rPr>
        <w:t>Hierfür wurden zwei Optionen genannt.</w:t>
      </w:r>
      <w:r w:rsidRPr="00FE2E68">
        <w:rPr>
          <w:snapToGrid/>
        </w:rPr>
        <w:t xml:space="preserve"> </w:t>
      </w:r>
      <w:r w:rsidR="00A73A81" w:rsidRPr="00FE2E68">
        <w:rPr>
          <w:snapToGrid/>
        </w:rPr>
        <w:t xml:space="preserve">Entweder könnte das Muster für die </w:t>
      </w:r>
      <w:r w:rsidR="00952C45" w:rsidRPr="00FE2E68">
        <w:rPr>
          <w:snapToGrid/>
        </w:rPr>
        <w:t xml:space="preserve">Instruktion für die Lade- und Löschraten </w:t>
      </w:r>
      <w:r w:rsidR="00A73A81" w:rsidRPr="00FE2E68">
        <w:rPr>
          <w:snapToGrid/>
        </w:rPr>
        <w:t xml:space="preserve">in die Liste der in Kapitel 8.6 beschriebenen Muster aufgenommen werden, oder das Muster </w:t>
      </w:r>
      <w:r w:rsidR="009176D4" w:rsidRPr="00FE2E68">
        <w:rPr>
          <w:snapToGrid/>
        </w:rPr>
        <w:t>der</w:t>
      </w:r>
      <w:r w:rsidR="00A73A81" w:rsidRPr="00FE2E68">
        <w:rPr>
          <w:snapToGrid/>
        </w:rPr>
        <w:t xml:space="preserve"> </w:t>
      </w:r>
      <w:bookmarkStart w:id="2" w:name="_Hlk138165684"/>
      <w:r w:rsidR="007B307B" w:rsidRPr="00FE2E68">
        <w:rPr>
          <w:snapToGrid/>
        </w:rPr>
        <w:t>Instruktion für die Lade- und Löschraten</w:t>
      </w:r>
      <w:bookmarkEnd w:id="2"/>
      <w:r w:rsidR="007B307B" w:rsidRPr="00FE2E68">
        <w:rPr>
          <w:snapToGrid/>
        </w:rPr>
        <w:t xml:space="preserve"> </w:t>
      </w:r>
      <w:r w:rsidR="00A73A81" w:rsidRPr="00FE2E68">
        <w:rPr>
          <w:snapToGrid/>
        </w:rPr>
        <w:t>könnte, ähnlich wie d</w:t>
      </w:r>
      <w:r w:rsidR="009176D4" w:rsidRPr="00FE2E68">
        <w:rPr>
          <w:snapToGrid/>
        </w:rPr>
        <w:t>as</w:t>
      </w:r>
      <w:r w:rsidR="00A73A81" w:rsidRPr="00FE2E68">
        <w:rPr>
          <w:snapToGrid/>
        </w:rPr>
        <w:t xml:space="preserve"> standardisierte Muster</w:t>
      </w:r>
      <w:r w:rsidR="009176D4" w:rsidRPr="00FE2E68">
        <w:rPr>
          <w:snapToGrid/>
        </w:rPr>
        <w:t xml:space="preserve"> der K</w:t>
      </w:r>
      <w:r w:rsidR="007B307B" w:rsidRPr="00FE2E68">
        <w:rPr>
          <w:snapToGrid/>
        </w:rPr>
        <w:t>ontroll</w:t>
      </w:r>
      <w:r w:rsidR="00A73A81" w:rsidRPr="00FE2E68">
        <w:rPr>
          <w:snapToGrid/>
        </w:rPr>
        <w:t xml:space="preserve">listen </w:t>
      </w:r>
      <w:r w:rsidR="009176D4" w:rsidRPr="00FE2E68">
        <w:rPr>
          <w:snapToGrid/>
        </w:rPr>
        <w:t xml:space="preserve">nach Absatz </w:t>
      </w:r>
      <w:r w:rsidR="00A73A81" w:rsidRPr="00FE2E68">
        <w:rPr>
          <w:snapToGrid/>
        </w:rPr>
        <w:t>1.8.1.2.1, vom Verwaltungsausschuss angenommen und auf die Website der UNECE gestellt werden.</w:t>
      </w:r>
    </w:p>
    <w:p w14:paraId="2E84EF8E" w14:textId="77777777" w:rsidR="00FF36F3" w:rsidRDefault="00FF36F3">
      <w:pPr>
        <w:suppressAutoHyphens w:val="0"/>
        <w:spacing w:line="240" w:lineRule="auto"/>
        <w:rPr>
          <w:snapToGrid/>
        </w:rPr>
      </w:pPr>
      <w:r>
        <w:rPr>
          <w:snapToGrid/>
        </w:rPr>
        <w:br w:type="page"/>
      </w:r>
    </w:p>
    <w:p w14:paraId="7F256544" w14:textId="5655A417" w:rsidR="009F1037" w:rsidRPr="00FE2E68" w:rsidRDefault="009F1037" w:rsidP="00AD466E">
      <w:pPr>
        <w:spacing w:after="120"/>
        <w:ind w:left="1134" w:right="1134"/>
        <w:jc w:val="both"/>
        <w:rPr>
          <w:snapToGrid/>
        </w:rPr>
      </w:pPr>
      <w:r w:rsidRPr="00FE2E68">
        <w:rPr>
          <w:snapToGrid/>
        </w:rPr>
        <w:lastRenderedPageBreak/>
        <w:t>15.</w:t>
      </w:r>
      <w:r w:rsidRPr="00FE2E68">
        <w:rPr>
          <w:snapToGrid/>
        </w:rPr>
        <w:tab/>
      </w:r>
      <w:r w:rsidR="009176D4" w:rsidRPr="00FE2E68">
        <w:rPr>
          <w:snapToGrid/>
        </w:rPr>
        <w:t xml:space="preserve">Was den Inhalt des harmonisierten Formats anbelangt, so sollte es Informationen </w:t>
      </w:r>
      <w:r w:rsidR="00C93C4E" w:rsidRPr="00FE2E68">
        <w:rPr>
          <w:snapToGrid/>
        </w:rPr>
        <w:t>zu</w:t>
      </w:r>
      <w:r w:rsidR="009176D4" w:rsidRPr="00FE2E68">
        <w:rPr>
          <w:snapToGrid/>
        </w:rPr>
        <w:t>r Bestimmung der maximalen sicheren Lade- und Lösch</w:t>
      </w:r>
      <w:r w:rsidR="00F23D0B" w:rsidRPr="00FE2E68">
        <w:rPr>
          <w:snapToGrid/>
        </w:rPr>
        <w:t>rat</w:t>
      </w:r>
      <w:r w:rsidR="00C93C4E" w:rsidRPr="00FE2E68">
        <w:rPr>
          <w:snapToGrid/>
        </w:rPr>
        <w:t>e</w:t>
      </w:r>
      <w:r w:rsidR="00F23D0B" w:rsidRPr="00FE2E68">
        <w:rPr>
          <w:snapToGrid/>
        </w:rPr>
        <w:t>n</w:t>
      </w:r>
      <w:r w:rsidR="009176D4" w:rsidRPr="00FE2E68">
        <w:rPr>
          <w:snapToGrid/>
        </w:rPr>
        <w:t xml:space="preserve"> in den verschiedenen Phasen des Vorgangs </w:t>
      </w:r>
      <w:r w:rsidR="00C93C4E" w:rsidRPr="00FE2E68">
        <w:rPr>
          <w:snapToGrid/>
        </w:rPr>
        <w:t>enthalten</w:t>
      </w:r>
      <w:r w:rsidR="009176D4" w:rsidRPr="00FE2E68">
        <w:rPr>
          <w:snapToGrid/>
        </w:rPr>
        <w:t>.</w:t>
      </w:r>
      <w:r w:rsidRPr="00FE2E68">
        <w:rPr>
          <w:snapToGrid/>
        </w:rPr>
        <w:t xml:space="preserve"> </w:t>
      </w:r>
      <w:r w:rsidR="007D1279" w:rsidRPr="00FE2E68">
        <w:rPr>
          <w:snapToGrid/>
        </w:rPr>
        <w:t>So sollte es zumindest eine Tabelle für die Anfangsphase enthalten, die für eine unterschiedliche Anzahl von Tanks die Menge in m</w:t>
      </w:r>
      <w:r w:rsidR="007D1279" w:rsidRPr="00FE2E68">
        <w:rPr>
          <w:snapToGrid/>
          <w:vertAlign w:val="superscript"/>
        </w:rPr>
        <w:t>3</w:t>
      </w:r>
      <w:r w:rsidR="007D1279" w:rsidRPr="00FE2E68">
        <w:rPr>
          <w:snapToGrid/>
        </w:rPr>
        <w:t>/h angibt, die einem Ladestrom von 1 m/s entspricht, die Menge, die für das Laden mit der reduzierten Geschwindigkeit erforderlich ist, die Zeit, die für den Abschluss dieser Phase benötigt wird, und die Höhe in cm (pro Tank), die für den Abschluss dieser Phase erforderlich ist.</w:t>
      </w:r>
      <w:r w:rsidRPr="00FE2E68">
        <w:rPr>
          <w:snapToGrid/>
        </w:rPr>
        <w:t xml:space="preserve"> </w:t>
      </w:r>
      <w:r w:rsidR="007D1279" w:rsidRPr="00FE2E68">
        <w:rPr>
          <w:snapToGrid/>
        </w:rPr>
        <w:t>Es sollte zudem eine Tabelle für die mittlere Phase enthalten, die für eine unterschiedliche Anzahl von Tanks die Menge in m</w:t>
      </w:r>
      <w:r w:rsidR="007D1279" w:rsidRPr="00FE2E68">
        <w:rPr>
          <w:snapToGrid/>
          <w:vertAlign w:val="superscript"/>
        </w:rPr>
        <w:t>3</w:t>
      </w:r>
      <w:r w:rsidR="007D1279" w:rsidRPr="00FE2E68">
        <w:rPr>
          <w:snapToGrid/>
        </w:rPr>
        <w:t>/h angibt, die einem Ladestrom von 7 m/s entspricht.</w:t>
      </w:r>
    </w:p>
    <w:p w14:paraId="58AACBCD" w14:textId="08BABC71" w:rsidR="009F1037" w:rsidRPr="00FE2E68" w:rsidRDefault="009F1037" w:rsidP="00AD466E">
      <w:pPr>
        <w:spacing w:after="120"/>
        <w:ind w:left="1134" w:right="1134"/>
        <w:jc w:val="both"/>
        <w:rPr>
          <w:snapToGrid/>
        </w:rPr>
      </w:pPr>
      <w:r w:rsidRPr="00FE2E68">
        <w:rPr>
          <w:snapToGrid/>
        </w:rPr>
        <w:t>16.</w:t>
      </w:r>
      <w:r w:rsidRPr="00FE2E68">
        <w:rPr>
          <w:snapToGrid/>
        </w:rPr>
        <w:tab/>
      </w:r>
      <w:r w:rsidR="00AD466E" w:rsidRPr="00FE2E68">
        <w:rPr>
          <w:snapToGrid/>
        </w:rPr>
        <w:t>Die Gruppe konnte sich nicht einigen, ob die Instruktion für die Lade- und Löschraten „so einfach wie möglich“ sein und nur diese beiden Tabellen enthalten sollte, oder ob erläuternde Bemerkungen zur elektrostatischen Aufladung hinzugefügt werden sollten.</w:t>
      </w:r>
    </w:p>
    <w:p w14:paraId="2B59591B" w14:textId="57BEF2AD" w:rsidR="009F1037" w:rsidRPr="00FE2E68" w:rsidRDefault="009F1037" w:rsidP="003B7C06">
      <w:pPr>
        <w:spacing w:after="120"/>
        <w:ind w:left="1134" w:right="1134"/>
        <w:jc w:val="both"/>
        <w:rPr>
          <w:snapToGrid/>
        </w:rPr>
      </w:pPr>
      <w:r w:rsidRPr="00FE2E68">
        <w:rPr>
          <w:snapToGrid/>
        </w:rPr>
        <w:t>17.</w:t>
      </w:r>
      <w:r w:rsidRPr="00FE2E68">
        <w:rPr>
          <w:snapToGrid/>
        </w:rPr>
        <w:tab/>
      </w:r>
      <w:r w:rsidR="003B7C06" w:rsidRPr="00FE2E68">
        <w:rPr>
          <w:snapToGrid/>
        </w:rPr>
        <w:t xml:space="preserve">Die Gruppe bittet den ADN-Sicherheitsausschuss zu prüfen, welche der beiden Optionen </w:t>
      </w:r>
      <w:r w:rsidR="00D141D4" w:rsidRPr="00FE2E68">
        <w:rPr>
          <w:snapToGrid/>
        </w:rPr>
        <w:t>(</w:t>
      </w:r>
      <w:r w:rsidR="003B7C06" w:rsidRPr="00FE2E68">
        <w:rPr>
          <w:snapToGrid/>
        </w:rPr>
        <w:t>oder möglicherweise eine dritte Option, die von der Gruppe nicht diskutiert wurde</w:t>
      </w:r>
      <w:r w:rsidR="00D141D4" w:rsidRPr="00FE2E68">
        <w:rPr>
          <w:snapToGrid/>
        </w:rPr>
        <w:t>)</w:t>
      </w:r>
      <w:r w:rsidR="003B7C06" w:rsidRPr="00FE2E68">
        <w:rPr>
          <w:snapToGrid/>
        </w:rPr>
        <w:t xml:space="preserve"> aus Sicht des Ausschusses die bessere wäre, um das Format für die Instruktion für die Lade- und Löschraten international zu harmonisieren.</w:t>
      </w:r>
    </w:p>
    <w:p w14:paraId="1DBC2E49" w14:textId="6C8CC551" w:rsidR="009F1037" w:rsidRPr="00FE2E68" w:rsidRDefault="009F1037" w:rsidP="008B3C16">
      <w:pPr>
        <w:spacing w:after="120"/>
        <w:ind w:left="1134" w:right="1134"/>
        <w:jc w:val="both"/>
        <w:rPr>
          <w:snapToGrid/>
        </w:rPr>
      </w:pPr>
      <w:r w:rsidRPr="00FE2E68">
        <w:rPr>
          <w:snapToGrid/>
        </w:rPr>
        <w:t>18.</w:t>
      </w:r>
      <w:r w:rsidRPr="00FE2E68">
        <w:rPr>
          <w:snapToGrid/>
        </w:rPr>
        <w:tab/>
      </w:r>
      <w:r w:rsidR="008B3C16" w:rsidRPr="00FE2E68">
        <w:rPr>
          <w:snapToGrid/>
        </w:rPr>
        <w:t>Auf der nächsten Sitzung möchte die Gruppe ihre Arbeit fortsetzen.</w:t>
      </w:r>
      <w:r w:rsidRPr="00FE2E68">
        <w:rPr>
          <w:snapToGrid/>
        </w:rPr>
        <w:t xml:space="preserve"> </w:t>
      </w:r>
      <w:r w:rsidR="008B3C16" w:rsidRPr="00FE2E68">
        <w:rPr>
          <w:snapToGrid/>
        </w:rPr>
        <w:t xml:space="preserve">Die Gruppe </w:t>
      </w:r>
      <w:r w:rsidR="00D141D4" w:rsidRPr="00FE2E68">
        <w:rPr>
          <w:snapToGrid/>
        </w:rPr>
        <w:t>beabsichtigt,</w:t>
      </w:r>
      <w:r w:rsidR="008B3C16" w:rsidRPr="00FE2E68">
        <w:rPr>
          <w:snapToGrid/>
        </w:rPr>
        <w:t xml:space="preserve"> Änderungen für das ADN ausarbeiten, die die Ergebnisse der Diskussion in den ersten beiden Sitzungen und die Vorgaben des ADN-Sicherheitsausschusses widerspiegeln.</w:t>
      </w:r>
    </w:p>
    <w:p w14:paraId="57487950" w14:textId="44D6E873" w:rsidR="009F1037" w:rsidRPr="00FE2E68" w:rsidRDefault="009F1037" w:rsidP="008B3C16">
      <w:pPr>
        <w:keepNext/>
        <w:keepLines/>
        <w:tabs>
          <w:tab w:val="right" w:pos="851"/>
        </w:tabs>
        <w:spacing w:before="360" w:after="240" w:line="300" w:lineRule="exact"/>
        <w:ind w:left="1134" w:right="1134" w:hanging="1134"/>
        <w:rPr>
          <w:b/>
          <w:snapToGrid/>
          <w:sz w:val="28"/>
        </w:rPr>
      </w:pPr>
      <w:r w:rsidRPr="00FE2E68">
        <w:rPr>
          <w:b/>
          <w:snapToGrid/>
          <w:sz w:val="28"/>
        </w:rPr>
        <w:tab/>
      </w:r>
      <w:r w:rsidR="008B3C16" w:rsidRPr="00FE2E68">
        <w:rPr>
          <w:b/>
          <w:snapToGrid/>
          <w:sz w:val="28"/>
        </w:rPr>
        <w:t>IV.</w:t>
      </w:r>
      <w:r w:rsidRPr="00FE2E68">
        <w:rPr>
          <w:b/>
          <w:snapToGrid/>
          <w:sz w:val="28"/>
        </w:rPr>
        <w:tab/>
      </w:r>
      <w:r w:rsidR="008B3C16" w:rsidRPr="00FE2E68">
        <w:rPr>
          <w:b/>
          <w:snapToGrid/>
          <w:sz w:val="28"/>
        </w:rPr>
        <w:t>Zu ergreifende Maßnahmen</w:t>
      </w:r>
    </w:p>
    <w:p w14:paraId="1262E741" w14:textId="3C5F0F1C" w:rsidR="009F1037" w:rsidRPr="00FE2E68" w:rsidRDefault="009F1037" w:rsidP="003346FA">
      <w:pPr>
        <w:spacing w:after="120"/>
        <w:ind w:left="1134" w:right="1134"/>
        <w:jc w:val="both"/>
        <w:rPr>
          <w:snapToGrid/>
        </w:rPr>
      </w:pPr>
      <w:r w:rsidRPr="00FE2E68">
        <w:rPr>
          <w:snapToGrid/>
        </w:rPr>
        <w:t>19.</w:t>
      </w:r>
      <w:r w:rsidRPr="00FE2E68">
        <w:rPr>
          <w:snapToGrid/>
        </w:rPr>
        <w:tab/>
      </w:r>
      <w:r w:rsidR="008B3C16" w:rsidRPr="00FE2E68">
        <w:rPr>
          <w:snapToGrid/>
        </w:rPr>
        <w:t xml:space="preserve">Der ADN-Sicherheitsausschuss wird gebeten, den Bericht der informellen Arbeitsgruppe, insbesondere die Absätze 8 und 17, zu prüfen und </w:t>
      </w:r>
      <w:r w:rsidR="0053285B" w:rsidRPr="00FE2E68">
        <w:rPr>
          <w:snapToGrid/>
        </w:rPr>
        <w:t>die aus seiner Sicht notwendigen Maßnahmen zu ergreifen</w:t>
      </w:r>
      <w:r w:rsidR="008B3C16" w:rsidRPr="00FE2E68">
        <w:rPr>
          <w:snapToGrid/>
        </w:rPr>
        <w:t>.</w:t>
      </w:r>
    </w:p>
    <w:p w14:paraId="775D0EF4" w14:textId="77777777" w:rsidR="007443A8" w:rsidRPr="00FE2E68" w:rsidRDefault="007443A8" w:rsidP="00406418">
      <w:pPr>
        <w:tabs>
          <w:tab w:val="left" w:pos="1701"/>
        </w:tabs>
        <w:ind w:left="1134" w:right="566"/>
      </w:pPr>
    </w:p>
    <w:p w14:paraId="6FD45A5F" w14:textId="1FFF56BC" w:rsidR="007443A8" w:rsidRPr="00CE7AFE" w:rsidRDefault="007443A8" w:rsidP="007443A8">
      <w:pPr>
        <w:tabs>
          <w:tab w:val="left" w:pos="1701"/>
        </w:tabs>
        <w:ind w:left="1134" w:right="566"/>
        <w:jc w:val="center"/>
      </w:pPr>
      <w:r w:rsidRPr="00FE2E68">
        <w:t>***</w:t>
      </w:r>
    </w:p>
    <w:sectPr w:rsidR="007443A8" w:rsidRPr="00CE7AFE" w:rsidSect="009F1037">
      <w:headerReference w:type="even" r:id="rId9"/>
      <w:headerReference w:type="default" r:id="rId10"/>
      <w:footerReference w:type="even" r:id="rId11"/>
      <w:footerReference w:type="default" r:id="rId12"/>
      <w:endnotePr>
        <w:numFmt w:val="decimal"/>
      </w:endnotePr>
      <w:pgSz w:w="11907" w:h="16840" w:code="9"/>
      <w:pgMar w:top="1701" w:right="1418" w:bottom="992" w:left="1418"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6805" w14:textId="77777777" w:rsidR="00F5373A" w:rsidRDefault="00F5373A">
      <w:pPr>
        <w:rPr>
          <w:szCs w:val="24"/>
        </w:rPr>
      </w:pPr>
    </w:p>
  </w:endnote>
  <w:endnote w:type="continuationSeparator" w:id="0">
    <w:p w14:paraId="1EB8495D" w14:textId="77777777" w:rsidR="00F5373A" w:rsidRDefault="00F5373A">
      <w:pPr>
        <w:rPr>
          <w:szCs w:val="24"/>
        </w:rPr>
      </w:pPr>
    </w:p>
  </w:endnote>
  <w:endnote w:type="continuationNotice" w:id="1">
    <w:p w14:paraId="0B80E488" w14:textId="77777777" w:rsidR="00F5373A" w:rsidRDefault="00F5373A">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F444" w14:textId="096F8B77" w:rsidR="000F4229" w:rsidRPr="00597043" w:rsidRDefault="000F4229" w:rsidP="00597043">
    <w:pPr>
      <w:spacing w:line="240" w:lineRule="auto"/>
      <w:jc w:val="right"/>
      <w:rPr>
        <w:lang w:val="fr-FR"/>
      </w:rPr>
    </w:pPr>
    <w:proofErr w:type="spellStart"/>
    <w:proofErr w:type="gramStart"/>
    <w:r>
      <w:rPr>
        <w:rFonts w:ascii="Arial" w:hAnsi="Arial"/>
        <w:sz w:val="12"/>
        <w:lang w:val="fr-FR"/>
      </w:rPr>
      <w:t>m</w:t>
    </w:r>
    <w:r w:rsidRPr="000F4229">
      <w:rPr>
        <w:rFonts w:ascii="Arial" w:hAnsi="Arial"/>
        <w:sz w:val="12"/>
        <w:lang w:val="fr-FR"/>
      </w:rPr>
      <w:t>m</w:t>
    </w:r>
    <w:proofErr w:type="gramEnd"/>
    <w:r>
      <w:rPr>
        <w:rFonts w:ascii="Arial" w:hAnsi="Arial"/>
        <w:sz w:val="12"/>
        <w:lang w:val="fr-FR"/>
      </w:rPr>
      <w:t>_ba</w:t>
    </w:r>
    <w:proofErr w:type="spellEnd"/>
    <w:r w:rsidRPr="000F4229">
      <w:rPr>
        <w:rFonts w:ascii="Arial" w:hAnsi="Arial"/>
        <w:sz w:val="12"/>
        <w:lang w:val="fr-FR"/>
      </w:rPr>
      <w:t>/adn_wp15_ac2_2023_</w:t>
    </w:r>
    <w:r>
      <w:rPr>
        <w:rFonts w:ascii="Arial" w:hAnsi="Arial"/>
        <w:sz w:val="12"/>
        <w:lang w:val="fr-FR"/>
      </w:rPr>
      <w:t>41</w:t>
    </w:r>
    <w:r w:rsidRPr="000F4229">
      <w:rPr>
        <w:rFonts w:ascii="Arial" w:hAnsi="Arial"/>
        <w:sz w:val="12"/>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8D5F" w14:textId="35900C60" w:rsidR="000F4229" w:rsidRPr="00597043" w:rsidRDefault="00597043" w:rsidP="00597043">
    <w:pPr>
      <w:spacing w:line="240" w:lineRule="auto"/>
      <w:jc w:val="right"/>
      <w:rPr>
        <w:lang w:val="fr-FR"/>
      </w:rPr>
    </w:pPr>
    <w:proofErr w:type="spellStart"/>
    <w:proofErr w:type="gramStart"/>
    <w:r>
      <w:rPr>
        <w:rFonts w:ascii="Arial" w:hAnsi="Arial"/>
        <w:sz w:val="12"/>
        <w:lang w:val="fr-FR"/>
      </w:rPr>
      <w:t>m</w:t>
    </w:r>
    <w:r w:rsidRPr="000F4229">
      <w:rPr>
        <w:rFonts w:ascii="Arial" w:hAnsi="Arial"/>
        <w:sz w:val="12"/>
        <w:lang w:val="fr-FR"/>
      </w:rPr>
      <w:t>m</w:t>
    </w:r>
    <w:proofErr w:type="gramEnd"/>
    <w:r>
      <w:rPr>
        <w:rFonts w:ascii="Arial" w:hAnsi="Arial"/>
        <w:sz w:val="12"/>
        <w:lang w:val="fr-FR"/>
      </w:rPr>
      <w:t>_ba</w:t>
    </w:r>
    <w:proofErr w:type="spellEnd"/>
    <w:r w:rsidRPr="000F4229">
      <w:rPr>
        <w:rFonts w:ascii="Arial" w:hAnsi="Arial"/>
        <w:sz w:val="12"/>
        <w:lang w:val="fr-FR"/>
      </w:rPr>
      <w:t>/adn_wp15_ac2_2023_</w:t>
    </w:r>
    <w:r>
      <w:rPr>
        <w:rFonts w:ascii="Arial" w:hAnsi="Arial"/>
        <w:sz w:val="12"/>
        <w:lang w:val="fr-FR"/>
      </w:rPr>
      <w:t>41</w:t>
    </w:r>
    <w:r w:rsidRPr="000F4229">
      <w:rPr>
        <w:rFonts w:ascii="Arial" w:hAnsi="Arial"/>
        <w:sz w:val="12"/>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A54A" w14:textId="77777777" w:rsidR="00F5373A" w:rsidRDefault="00F5373A">
      <w:pPr>
        <w:tabs>
          <w:tab w:val="right" w:pos="2155"/>
        </w:tabs>
        <w:spacing w:after="80"/>
        <w:ind w:left="680"/>
        <w:rPr>
          <w:szCs w:val="24"/>
          <w:u w:val="single"/>
        </w:rPr>
      </w:pPr>
      <w:r>
        <w:rPr>
          <w:szCs w:val="24"/>
          <w:u w:val="single"/>
        </w:rPr>
        <w:tab/>
      </w:r>
    </w:p>
  </w:footnote>
  <w:footnote w:type="continuationSeparator" w:id="0">
    <w:p w14:paraId="675EEAB5" w14:textId="77777777" w:rsidR="00F5373A" w:rsidRDefault="00F5373A">
      <w:pPr>
        <w:tabs>
          <w:tab w:val="right" w:pos="2155"/>
        </w:tabs>
        <w:spacing w:after="80"/>
        <w:ind w:left="680"/>
        <w:rPr>
          <w:szCs w:val="24"/>
          <w:u w:val="single"/>
        </w:rPr>
      </w:pPr>
      <w:r>
        <w:rPr>
          <w:szCs w:val="24"/>
          <w:u w:val="single"/>
        </w:rPr>
        <w:tab/>
      </w:r>
    </w:p>
  </w:footnote>
  <w:footnote w:type="continuationNotice" w:id="1">
    <w:p w14:paraId="3AEC5C1F" w14:textId="77777777" w:rsidR="00F5373A" w:rsidRDefault="00F5373A">
      <w:pPr>
        <w:rPr>
          <w:szCs w:val="24"/>
        </w:rPr>
      </w:pPr>
    </w:p>
  </w:footnote>
  <w:footnote w:id="2">
    <w:p w14:paraId="40E479D1" w14:textId="606B82A6" w:rsidR="00264628" w:rsidRPr="00264628" w:rsidRDefault="00264628" w:rsidP="00C2498B">
      <w:pPr>
        <w:pStyle w:val="Notedebasdepage"/>
        <w:ind w:right="282"/>
        <w:rPr>
          <w:sz w:val="16"/>
          <w:szCs w:val="16"/>
        </w:rPr>
      </w:pPr>
      <w:r>
        <w:rPr>
          <w:rStyle w:val="Appelnotedebasdep"/>
        </w:rPr>
        <w:tab/>
        <w:t>*</w:t>
      </w:r>
      <w:r>
        <w:rPr>
          <w:rStyle w:val="Appelnotedebasdep"/>
        </w:rPr>
        <w:tab/>
      </w:r>
      <w:r>
        <w:rPr>
          <w:sz w:val="16"/>
        </w:rPr>
        <w:t>Von der UNECE in Englisch, Französisch und Russisch unter dem Aktenzeichen ECE/TRANS/WP.15/AC.2/</w:t>
      </w:r>
      <w:r w:rsidR="00B14839">
        <w:rPr>
          <w:sz w:val="16"/>
        </w:rPr>
        <w:t>2023/</w:t>
      </w:r>
      <w:r w:rsidR="002C74D3">
        <w:rPr>
          <w:sz w:val="16"/>
        </w:rPr>
        <w:t>‘&amp;</w:t>
      </w:r>
      <w:r>
        <w:rPr>
          <w:sz w:val="16"/>
        </w:rPr>
        <w:t xml:space="preserve"> verteilt.</w:t>
      </w:r>
    </w:p>
  </w:footnote>
  <w:footnote w:id="3">
    <w:p w14:paraId="18222A22" w14:textId="0E45B0B0" w:rsidR="00264628" w:rsidRPr="00592BFE" w:rsidRDefault="00264628" w:rsidP="00C2498B">
      <w:pPr>
        <w:pStyle w:val="Notedebasdepage"/>
        <w:ind w:right="282"/>
        <w:rPr>
          <w:sz w:val="16"/>
          <w:szCs w:val="16"/>
          <w:lang w:val="en-US"/>
        </w:rPr>
      </w:pPr>
      <w:r w:rsidRPr="00D33AE9">
        <w:rPr>
          <w:rStyle w:val="Appelnotedebasdep"/>
        </w:rPr>
        <w:tab/>
      </w:r>
      <w:r w:rsidRPr="00592BFE">
        <w:rPr>
          <w:rStyle w:val="Appelnotedebasdep"/>
          <w:lang w:val="en-US"/>
        </w:rPr>
        <w:t>**</w:t>
      </w:r>
      <w:r w:rsidRPr="00592BFE">
        <w:rPr>
          <w:rStyle w:val="Appelnotedebasdep"/>
          <w:lang w:val="en-US"/>
        </w:rPr>
        <w:tab/>
      </w:r>
      <w:r w:rsidR="00592BFE" w:rsidRPr="00592BFE">
        <w:rPr>
          <w:sz w:val="16"/>
        </w:rPr>
        <w:t>A/77/6 (Kap. 20) Tabelle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A709" w14:textId="77777777" w:rsidR="000F4229" w:rsidRDefault="000F4229" w:rsidP="000F4229">
    <w:pPr>
      <w:spacing w:line="240" w:lineRule="auto"/>
      <w:rPr>
        <w:rFonts w:ascii="Arial" w:hAnsi="Arial"/>
        <w:sz w:val="16"/>
        <w:szCs w:val="16"/>
        <w:lang w:val="fr-FR"/>
      </w:rPr>
    </w:pPr>
    <w:r w:rsidRPr="000F4229">
      <w:rPr>
        <w:rFonts w:ascii="Arial" w:hAnsi="Arial"/>
        <w:sz w:val="16"/>
        <w:szCs w:val="16"/>
        <w:lang w:val="fr-FR"/>
      </w:rPr>
      <w:t>CCNR-ZKR/ADN/WP.15/AC.2/2023/</w:t>
    </w:r>
    <w:r>
      <w:rPr>
        <w:rFonts w:ascii="Arial" w:hAnsi="Arial"/>
        <w:sz w:val="16"/>
        <w:szCs w:val="16"/>
        <w:lang w:val="fr-FR"/>
      </w:rPr>
      <w:t>41</w:t>
    </w:r>
  </w:p>
  <w:p w14:paraId="63616976" w14:textId="23C0E800" w:rsidR="000F4229" w:rsidRDefault="000F4229" w:rsidP="000F4229">
    <w:pPr>
      <w:spacing w:line="240" w:lineRule="auto"/>
    </w:pPr>
    <w:r w:rsidRPr="000F4229">
      <w:rPr>
        <w:rFonts w:ascii="Arial" w:hAnsi="Arial"/>
        <w:sz w:val="16"/>
        <w:szCs w:val="16"/>
      </w:rPr>
      <w:t xml:space="preserve">Seite </w:t>
    </w:r>
    <w:r w:rsidRPr="000F4229">
      <w:rPr>
        <w:rFonts w:ascii="Arial" w:hAnsi="Arial"/>
        <w:sz w:val="16"/>
        <w:szCs w:val="16"/>
      </w:rPr>
      <w:fldChar w:fldCharType="begin"/>
    </w:r>
    <w:r w:rsidRPr="000F4229">
      <w:rPr>
        <w:rFonts w:ascii="Arial" w:hAnsi="Arial"/>
        <w:sz w:val="16"/>
        <w:szCs w:val="16"/>
      </w:rPr>
      <w:instrText xml:space="preserve"> PAGE  \* MERGEFORMAT </w:instrText>
    </w:r>
    <w:r w:rsidRPr="000F4229">
      <w:rPr>
        <w:rFonts w:ascii="Arial" w:hAnsi="Arial"/>
        <w:sz w:val="16"/>
        <w:szCs w:val="16"/>
      </w:rPr>
      <w:fldChar w:fldCharType="separate"/>
    </w:r>
    <w:r w:rsidRPr="000F4229">
      <w:rPr>
        <w:rFonts w:ascii="Arial" w:hAnsi="Arial"/>
        <w:sz w:val="16"/>
        <w:szCs w:val="16"/>
      </w:rPr>
      <w:t>2</w:t>
    </w:r>
    <w:r w:rsidRPr="000F4229">
      <w:rPr>
        <w:rFonts w:ascii="Arial" w:hAnsi="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C72B" w14:textId="77777777" w:rsidR="000F4229" w:rsidRDefault="000F4229" w:rsidP="000F4229">
    <w:pPr>
      <w:spacing w:line="240" w:lineRule="auto"/>
      <w:jc w:val="right"/>
      <w:rPr>
        <w:rFonts w:ascii="Arial" w:hAnsi="Arial"/>
        <w:sz w:val="16"/>
        <w:szCs w:val="16"/>
        <w:lang w:val="fr-FR"/>
      </w:rPr>
    </w:pPr>
    <w:r w:rsidRPr="000F4229">
      <w:rPr>
        <w:rFonts w:ascii="Arial" w:hAnsi="Arial"/>
        <w:sz w:val="16"/>
        <w:szCs w:val="16"/>
        <w:lang w:val="fr-FR"/>
      </w:rPr>
      <w:t>CCNR-ZKR/ADN/WP.15/AC.2/2023/</w:t>
    </w:r>
    <w:r>
      <w:rPr>
        <w:rFonts w:ascii="Arial" w:hAnsi="Arial"/>
        <w:sz w:val="16"/>
        <w:szCs w:val="16"/>
        <w:lang w:val="fr-FR"/>
      </w:rPr>
      <w:t>41</w:t>
    </w:r>
  </w:p>
  <w:p w14:paraId="6B70366C" w14:textId="02CAF98F" w:rsidR="000F4229" w:rsidRDefault="000F4229" w:rsidP="000F4229">
    <w:pPr>
      <w:spacing w:line="240" w:lineRule="auto"/>
      <w:jc w:val="right"/>
    </w:pPr>
    <w:r w:rsidRPr="000F4229">
      <w:rPr>
        <w:rFonts w:ascii="Arial" w:hAnsi="Arial"/>
        <w:sz w:val="16"/>
        <w:szCs w:val="16"/>
      </w:rPr>
      <w:t xml:space="preserve">Seite </w:t>
    </w:r>
    <w:r w:rsidRPr="000F4229">
      <w:rPr>
        <w:rFonts w:ascii="Arial" w:hAnsi="Arial"/>
        <w:sz w:val="16"/>
        <w:szCs w:val="16"/>
      </w:rPr>
      <w:fldChar w:fldCharType="begin"/>
    </w:r>
    <w:r w:rsidRPr="000F4229">
      <w:rPr>
        <w:rFonts w:ascii="Arial" w:hAnsi="Arial"/>
        <w:sz w:val="16"/>
        <w:szCs w:val="16"/>
      </w:rPr>
      <w:instrText xml:space="preserve"> PAGE  \* MERGEFORMAT </w:instrText>
    </w:r>
    <w:r w:rsidRPr="000F4229">
      <w:rPr>
        <w:rFonts w:ascii="Arial" w:hAnsi="Arial"/>
        <w:sz w:val="16"/>
        <w:szCs w:val="16"/>
      </w:rPr>
      <w:fldChar w:fldCharType="separate"/>
    </w:r>
    <w:r>
      <w:rPr>
        <w:rFonts w:ascii="Arial" w:hAnsi="Arial"/>
        <w:sz w:val="16"/>
        <w:szCs w:val="16"/>
      </w:rPr>
      <w:t>4</w:t>
    </w:r>
    <w:r w:rsidRPr="000F4229">
      <w:rPr>
        <w:rFonts w:ascii="Arial" w:hAnsi="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F0C"/>
    <w:multiLevelType w:val="hybridMultilevel"/>
    <w:tmpl w:val="D17E5C08"/>
    <w:lvl w:ilvl="0" w:tplc="840E776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15:restartNumberingAfterBreak="0">
    <w:nsid w:val="06726CC4"/>
    <w:multiLevelType w:val="hybridMultilevel"/>
    <w:tmpl w:val="BC660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7D5D6F"/>
    <w:multiLevelType w:val="hybridMultilevel"/>
    <w:tmpl w:val="65980E6A"/>
    <w:lvl w:ilvl="0" w:tplc="29CA8762">
      <w:start w:val="5"/>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 w15:restartNumberingAfterBreak="0">
    <w:nsid w:val="08E273B4"/>
    <w:multiLevelType w:val="hybridMultilevel"/>
    <w:tmpl w:val="536004E6"/>
    <w:lvl w:ilvl="0" w:tplc="44D4FC86">
      <w:numFmt w:val="bullet"/>
      <w:lvlText w:val="-"/>
      <w:lvlJc w:val="left"/>
      <w:pPr>
        <w:ind w:left="720" w:hanging="360"/>
      </w:pPr>
      <w:rPr>
        <w:rFonts w:ascii="Times New Roman" w:eastAsia="Times New Roman" w:hAnsi="Times New Roman" w:cs="Times New Roman"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B57E45"/>
    <w:multiLevelType w:val="hybridMultilevel"/>
    <w:tmpl w:val="CC7A144C"/>
    <w:lvl w:ilvl="0" w:tplc="04070001">
      <w:start w:val="1"/>
      <w:numFmt w:val="bullet"/>
      <w:lvlText w:val=""/>
      <w:lvlJc w:val="left"/>
      <w:pPr>
        <w:ind w:left="720" w:hanging="360"/>
      </w:pPr>
      <w:rPr>
        <w:rFonts w:ascii="Symbol"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56EB4"/>
    <w:multiLevelType w:val="hybridMultilevel"/>
    <w:tmpl w:val="5C9AFD2E"/>
    <w:lvl w:ilvl="0" w:tplc="C5E68F6A">
      <w:start w:val="5"/>
      <w:numFmt w:val="bullet"/>
      <w:lvlText w:val="-"/>
      <w:lvlJc w:val="left"/>
      <w:pPr>
        <w:ind w:left="1854" w:hanging="360"/>
      </w:pPr>
      <w:rPr>
        <w:rFonts w:ascii="Times New Roman" w:eastAsia="Times New Roman" w:hAnsi="Times New Roman"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15:restartNumberingAfterBreak="0">
    <w:nsid w:val="188675B9"/>
    <w:multiLevelType w:val="hybridMultilevel"/>
    <w:tmpl w:val="0D26BDF6"/>
    <w:lvl w:ilvl="0" w:tplc="04070001">
      <w:start w:val="1"/>
      <w:numFmt w:val="bullet"/>
      <w:lvlText w:val=""/>
      <w:lvlJc w:val="left"/>
      <w:pPr>
        <w:ind w:left="1854" w:hanging="360"/>
      </w:pPr>
      <w:rPr>
        <w:rFonts w:ascii="Symbol" w:hAnsi="Symbol" w:hint="default"/>
      </w:rPr>
    </w:lvl>
    <w:lvl w:ilvl="1" w:tplc="04070001">
      <w:start w:val="1"/>
      <w:numFmt w:val="bullet"/>
      <w:lvlText w:val=""/>
      <w:lvlJc w:val="left"/>
      <w:pPr>
        <w:ind w:left="2574" w:hanging="360"/>
      </w:pPr>
      <w:rPr>
        <w:rFonts w:ascii="Symbol" w:hAnsi="Symbol"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7" w15:restartNumberingAfterBreak="0">
    <w:nsid w:val="2A78065C"/>
    <w:multiLevelType w:val="hybridMultilevel"/>
    <w:tmpl w:val="F2ECE80E"/>
    <w:lvl w:ilvl="0" w:tplc="8C9CD4EC">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296C16"/>
    <w:multiLevelType w:val="hybridMultilevel"/>
    <w:tmpl w:val="DDA0FC50"/>
    <w:lvl w:ilvl="0" w:tplc="3FFABFC8">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 w15:restartNumberingAfterBreak="0">
    <w:nsid w:val="32AF1ED1"/>
    <w:multiLevelType w:val="hybridMultilevel"/>
    <w:tmpl w:val="EED28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933D2D"/>
    <w:multiLevelType w:val="hybridMultilevel"/>
    <w:tmpl w:val="4000A490"/>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37237352"/>
    <w:multiLevelType w:val="hybridMultilevel"/>
    <w:tmpl w:val="F31AB494"/>
    <w:lvl w:ilvl="0" w:tplc="97DEB40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3A1577D2"/>
    <w:multiLevelType w:val="hybridMultilevel"/>
    <w:tmpl w:val="A216ABA8"/>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14" w15:restartNumberingAfterBreak="0">
    <w:nsid w:val="40926D1D"/>
    <w:multiLevelType w:val="hybridMultilevel"/>
    <w:tmpl w:val="6A12BF6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66268B0"/>
    <w:multiLevelType w:val="hybridMultilevel"/>
    <w:tmpl w:val="F2BA8428"/>
    <w:lvl w:ilvl="0" w:tplc="9440F95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0C3C66"/>
    <w:multiLevelType w:val="hybridMultilevel"/>
    <w:tmpl w:val="53C66AC6"/>
    <w:lvl w:ilvl="0" w:tplc="2AB016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065E22"/>
    <w:multiLevelType w:val="hybridMultilevel"/>
    <w:tmpl w:val="176E3B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EB21C28"/>
    <w:multiLevelType w:val="hybridMultilevel"/>
    <w:tmpl w:val="B6927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3B3751"/>
    <w:multiLevelType w:val="hybridMultilevel"/>
    <w:tmpl w:val="1EF61334"/>
    <w:lvl w:ilvl="0" w:tplc="A004534C">
      <w:start w:val="1"/>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0" w15:restartNumberingAfterBreak="0">
    <w:nsid w:val="673D61B8"/>
    <w:multiLevelType w:val="hybridMultilevel"/>
    <w:tmpl w:val="2278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22" w15:restartNumberingAfterBreak="0">
    <w:nsid w:val="6F6A72FF"/>
    <w:multiLevelType w:val="hybridMultilevel"/>
    <w:tmpl w:val="457C1BEC"/>
    <w:lvl w:ilvl="0" w:tplc="BC8CD030">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3" w15:restartNumberingAfterBreak="0">
    <w:nsid w:val="700B3697"/>
    <w:multiLevelType w:val="hybridMultilevel"/>
    <w:tmpl w:val="ED78A5FC"/>
    <w:lvl w:ilvl="0" w:tplc="9F4CBC80">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4" w15:restartNumberingAfterBreak="0">
    <w:nsid w:val="79656822"/>
    <w:multiLevelType w:val="hybridMultilevel"/>
    <w:tmpl w:val="7E6A4AAA"/>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7B286EE6"/>
    <w:multiLevelType w:val="hybridMultilevel"/>
    <w:tmpl w:val="7A800D0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6" w15:restartNumberingAfterBreak="0">
    <w:nsid w:val="7DA33858"/>
    <w:multiLevelType w:val="hybridMultilevel"/>
    <w:tmpl w:val="90C8EF98"/>
    <w:lvl w:ilvl="0" w:tplc="9440F95A">
      <w:numFmt w:val="bullet"/>
      <w:lvlText w:val="-"/>
      <w:lvlJc w:val="left"/>
      <w:pPr>
        <w:ind w:left="720" w:hanging="360"/>
      </w:pPr>
      <w:rPr>
        <w:rFonts w:ascii="Calibri" w:eastAsia="Calibri" w:hAnsi="Calibri" w:cs="Calibri"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5007990">
    <w:abstractNumId w:val="21"/>
  </w:num>
  <w:num w:numId="2" w16cid:durableId="266545573">
    <w:abstractNumId w:val="13"/>
  </w:num>
  <w:num w:numId="3" w16cid:durableId="1269507011">
    <w:abstractNumId w:val="20"/>
  </w:num>
  <w:num w:numId="4" w16cid:durableId="1644888365">
    <w:abstractNumId w:val="7"/>
  </w:num>
  <w:num w:numId="5" w16cid:durableId="516120477">
    <w:abstractNumId w:val="12"/>
  </w:num>
  <w:num w:numId="6" w16cid:durableId="1122454980">
    <w:abstractNumId w:val="17"/>
  </w:num>
  <w:num w:numId="7" w16cid:durableId="534661634">
    <w:abstractNumId w:val="1"/>
  </w:num>
  <w:num w:numId="8" w16cid:durableId="1625766731">
    <w:abstractNumId w:val="3"/>
  </w:num>
  <w:num w:numId="9" w16cid:durableId="1005479167">
    <w:abstractNumId w:val="4"/>
  </w:num>
  <w:num w:numId="10" w16cid:durableId="252209513">
    <w:abstractNumId w:val="15"/>
  </w:num>
  <w:num w:numId="11" w16cid:durableId="1907958656">
    <w:abstractNumId w:val="24"/>
  </w:num>
  <w:num w:numId="12" w16cid:durableId="31468403">
    <w:abstractNumId w:val="26"/>
  </w:num>
  <w:num w:numId="13" w16cid:durableId="1206603210">
    <w:abstractNumId w:val="18"/>
  </w:num>
  <w:num w:numId="14" w16cid:durableId="1025594121">
    <w:abstractNumId w:val="9"/>
  </w:num>
  <w:num w:numId="15" w16cid:durableId="1657301739">
    <w:abstractNumId w:val="16"/>
  </w:num>
  <w:num w:numId="16" w16cid:durableId="1105464548">
    <w:abstractNumId w:val="23"/>
  </w:num>
  <w:num w:numId="17" w16cid:durableId="302927851">
    <w:abstractNumId w:val="11"/>
  </w:num>
  <w:num w:numId="18" w16cid:durableId="457187972">
    <w:abstractNumId w:val="14"/>
  </w:num>
  <w:num w:numId="19" w16cid:durableId="985814412">
    <w:abstractNumId w:val="19"/>
  </w:num>
  <w:num w:numId="20" w16cid:durableId="1463378375">
    <w:abstractNumId w:val="25"/>
  </w:num>
  <w:num w:numId="21" w16cid:durableId="850994097">
    <w:abstractNumId w:val="10"/>
  </w:num>
  <w:num w:numId="22" w16cid:durableId="1609581845">
    <w:abstractNumId w:val="6"/>
  </w:num>
  <w:num w:numId="23" w16cid:durableId="960577501">
    <w:abstractNumId w:val="2"/>
  </w:num>
  <w:num w:numId="24" w16cid:durableId="45224699">
    <w:abstractNumId w:val="5"/>
  </w:num>
  <w:num w:numId="25" w16cid:durableId="661011401">
    <w:abstractNumId w:val="0"/>
  </w:num>
  <w:num w:numId="26" w16cid:durableId="1549103333">
    <w:abstractNumId w:val="22"/>
  </w:num>
  <w:num w:numId="27" w16cid:durableId="389733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1"/>
    <w:rsid w:val="0000105D"/>
    <w:rsid w:val="00006E45"/>
    <w:rsid w:val="0001227F"/>
    <w:rsid w:val="000148AF"/>
    <w:rsid w:val="00016083"/>
    <w:rsid w:val="00021967"/>
    <w:rsid w:val="00023642"/>
    <w:rsid w:val="0002480F"/>
    <w:rsid w:val="0002688A"/>
    <w:rsid w:val="00034E73"/>
    <w:rsid w:val="00040213"/>
    <w:rsid w:val="00047B4F"/>
    <w:rsid w:val="000505E5"/>
    <w:rsid w:val="00054000"/>
    <w:rsid w:val="00054417"/>
    <w:rsid w:val="00054522"/>
    <w:rsid w:val="00056434"/>
    <w:rsid w:val="000669CD"/>
    <w:rsid w:val="00066D20"/>
    <w:rsid w:val="00066FB8"/>
    <w:rsid w:val="00067306"/>
    <w:rsid w:val="00072317"/>
    <w:rsid w:val="000728DD"/>
    <w:rsid w:val="0007391F"/>
    <w:rsid w:val="000800A0"/>
    <w:rsid w:val="00080604"/>
    <w:rsid w:val="00081DAE"/>
    <w:rsid w:val="00087575"/>
    <w:rsid w:val="00091C02"/>
    <w:rsid w:val="000940F4"/>
    <w:rsid w:val="00094678"/>
    <w:rsid w:val="00096963"/>
    <w:rsid w:val="00096ECF"/>
    <w:rsid w:val="00097827"/>
    <w:rsid w:val="000A23E2"/>
    <w:rsid w:val="000A4834"/>
    <w:rsid w:val="000A5196"/>
    <w:rsid w:val="000A61D3"/>
    <w:rsid w:val="000A6F32"/>
    <w:rsid w:val="000A7BEA"/>
    <w:rsid w:val="000A7C63"/>
    <w:rsid w:val="000B4486"/>
    <w:rsid w:val="000B531A"/>
    <w:rsid w:val="000C57E8"/>
    <w:rsid w:val="000C7A53"/>
    <w:rsid w:val="000D18D8"/>
    <w:rsid w:val="000D5558"/>
    <w:rsid w:val="000D6A96"/>
    <w:rsid w:val="000E1197"/>
    <w:rsid w:val="000E206E"/>
    <w:rsid w:val="000E245A"/>
    <w:rsid w:val="000E288B"/>
    <w:rsid w:val="000E493D"/>
    <w:rsid w:val="000F0B87"/>
    <w:rsid w:val="000F3804"/>
    <w:rsid w:val="000F3F68"/>
    <w:rsid w:val="000F4134"/>
    <w:rsid w:val="000F4229"/>
    <w:rsid w:val="000F4A10"/>
    <w:rsid w:val="000F526A"/>
    <w:rsid w:val="000F723C"/>
    <w:rsid w:val="00100169"/>
    <w:rsid w:val="0010188E"/>
    <w:rsid w:val="0010285A"/>
    <w:rsid w:val="0010411B"/>
    <w:rsid w:val="001042F8"/>
    <w:rsid w:val="00104445"/>
    <w:rsid w:val="0010490F"/>
    <w:rsid w:val="00112200"/>
    <w:rsid w:val="0011280B"/>
    <w:rsid w:val="00113033"/>
    <w:rsid w:val="0011353C"/>
    <w:rsid w:val="00120A62"/>
    <w:rsid w:val="00120DE5"/>
    <w:rsid w:val="001219A7"/>
    <w:rsid w:val="00122491"/>
    <w:rsid w:val="00122C2D"/>
    <w:rsid w:val="00125155"/>
    <w:rsid w:val="001277FE"/>
    <w:rsid w:val="00130C48"/>
    <w:rsid w:val="00131B7B"/>
    <w:rsid w:val="00132AAD"/>
    <w:rsid w:val="00133C0C"/>
    <w:rsid w:val="001350FD"/>
    <w:rsid w:val="001354AC"/>
    <w:rsid w:val="00135E95"/>
    <w:rsid w:val="00136C6C"/>
    <w:rsid w:val="001372A5"/>
    <w:rsid w:val="00143DBF"/>
    <w:rsid w:val="00144D78"/>
    <w:rsid w:val="00147A7E"/>
    <w:rsid w:val="00150257"/>
    <w:rsid w:val="00151BC9"/>
    <w:rsid w:val="00152E54"/>
    <w:rsid w:val="00154F4B"/>
    <w:rsid w:val="00156FA7"/>
    <w:rsid w:val="00157614"/>
    <w:rsid w:val="00157FC7"/>
    <w:rsid w:val="001607F6"/>
    <w:rsid w:val="001616F5"/>
    <w:rsid w:val="0016198C"/>
    <w:rsid w:val="00162D05"/>
    <w:rsid w:val="001645B6"/>
    <w:rsid w:val="0017256D"/>
    <w:rsid w:val="001745D5"/>
    <w:rsid w:val="00180DB9"/>
    <w:rsid w:val="00180F33"/>
    <w:rsid w:val="00184E9E"/>
    <w:rsid w:val="00185403"/>
    <w:rsid w:val="00186EAF"/>
    <w:rsid w:val="0018778A"/>
    <w:rsid w:val="00187A1E"/>
    <w:rsid w:val="00192F4B"/>
    <w:rsid w:val="00193B0E"/>
    <w:rsid w:val="00194F7D"/>
    <w:rsid w:val="001A0C2A"/>
    <w:rsid w:val="001A11CC"/>
    <w:rsid w:val="001A140D"/>
    <w:rsid w:val="001A1814"/>
    <w:rsid w:val="001A5F58"/>
    <w:rsid w:val="001B1A22"/>
    <w:rsid w:val="001B3B1C"/>
    <w:rsid w:val="001B3BD9"/>
    <w:rsid w:val="001B68A2"/>
    <w:rsid w:val="001C1827"/>
    <w:rsid w:val="001C3F4A"/>
    <w:rsid w:val="001C50BC"/>
    <w:rsid w:val="001C5EB5"/>
    <w:rsid w:val="001D0198"/>
    <w:rsid w:val="001D4EF8"/>
    <w:rsid w:val="001D51D6"/>
    <w:rsid w:val="001D639C"/>
    <w:rsid w:val="001D6721"/>
    <w:rsid w:val="001D7195"/>
    <w:rsid w:val="001E38B7"/>
    <w:rsid w:val="001E41FC"/>
    <w:rsid w:val="001E5ED7"/>
    <w:rsid w:val="001E7477"/>
    <w:rsid w:val="001F00D6"/>
    <w:rsid w:val="001F1700"/>
    <w:rsid w:val="001F2009"/>
    <w:rsid w:val="001F2464"/>
    <w:rsid w:val="001F2E06"/>
    <w:rsid w:val="001F34A6"/>
    <w:rsid w:val="001F7E06"/>
    <w:rsid w:val="002021DC"/>
    <w:rsid w:val="00207CCB"/>
    <w:rsid w:val="002142CD"/>
    <w:rsid w:val="00216870"/>
    <w:rsid w:val="002179D8"/>
    <w:rsid w:val="002214CB"/>
    <w:rsid w:val="00221BA4"/>
    <w:rsid w:val="00226A0B"/>
    <w:rsid w:val="00233821"/>
    <w:rsid w:val="0023397D"/>
    <w:rsid w:val="0023569D"/>
    <w:rsid w:val="00235F2C"/>
    <w:rsid w:val="00237DF7"/>
    <w:rsid w:val="00242ABA"/>
    <w:rsid w:val="0024482F"/>
    <w:rsid w:val="002469B3"/>
    <w:rsid w:val="002501A0"/>
    <w:rsid w:val="00252468"/>
    <w:rsid w:val="00253F80"/>
    <w:rsid w:val="002552F0"/>
    <w:rsid w:val="00255AA5"/>
    <w:rsid w:val="00255B42"/>
    <w:rsid w:val="00256050"/>
    <w:rsid w:val="00260E3B"/>
    <w:rsid w:val="0026439D"/>
    <w:rsid w:val="00264628"/>
    <w:rsid w:val="00267D98"/>
    <w:rsid w:val="00270195"/>
    <w:rsid w:val="002701F2"/>
    <w:rsid w:val="00272038"/>
    <w:rsid w:val="00272C3C"/>
    <w:rsid w:val="00275717"/>
    <w:rsid w:val="00275AAC"/>
    <w:rsid w:val="002773A3"/>
    <w:rsid w:val="002773D4"/>
    <w:rsid w:val="00280D2B"/>
    <w:rsid w:val="00282133"/>
    <w:rsid w:val="0028250D"/>
    <w:rsid w:val="00285D70"/>
    <w:rsid w:val="00292AA1"/>
    <w:rsid w:val="0029506E"/>
    <w:rsid w:val="002A2479"/>
    <w:rsid w:val="002A3631"/>
    <w:rsid w:val="002A3F79"/>
    <w:rsid w:val="002A52FA"/>
    <w:rsid w:val="002A7856"/>
    <w:rsid w:val="002A7DE3"/>
    <w:rsid w:val="002B0FBD"/>
    <w:rsid w:val="002B13F7"/>
    <w:rsid w:val="002B331B"/>
    <w:rsid w:val="002B547E"/>
    <w:rsid w:val="002B59CE"/>
    <w:rsid w:val="002B6C2E"/>
    <w:rsid w:val="002B6C46"/>
    <w:rsid w:val="002C206D"/>
    <w:rsid w:val="002C24EF"/>
    <w:rsid w:val="002C319D"/>
    <w:rsid w:val="002C5361"/>
    <w:rsid w:val="002C58EE"/>
    <w:rsid w:val="002C74D3"/>
    <w:rsid w:val="002C7C76"/>
    <w:rsid w:val="002D6515"/>
    <w:rsid w:val="002D7991"/>
    <w:rsid w:val="002E0A2F"/>
    <w:rsid w:val="002E420A"/>
    <w:rsid w:val="002E6811"/>
    <w:rsid w:val="00302096"/>
    <w:rsid w:val="00302794"/>
    <w:rsid w:val="00307B57"/>
    <w:rsid w:val="00307BAF"/>
    <w:rsid w:val="00307F03"/>
    <w:rsid w:val="00310EE4"/>
    <w:rsid w:val="00311EE7"/>
    <w:rsid w:val="0031342D"/>
    <w:rsid w:val="003159A0"/>
    <w:rsid w:val="00316840"/>
    <w:rsid w:val="0031702D"/>
    <w:rsid w:val="003179A4"/>
    <w:rsid w:val="003205B3"/>
    <w:rsid w:val="00322AD8"/>
    <w:rsid w:val="00323995"/>
    <w:rsid w:val="00324ECC"/>
    <w:rsid w:val="0033107F"/>
    <w:rsid w:val="00331140"/>
    <w:rsid w:val="00331E51"/>
    <w:rsid w:val="003341CE"/>
    <w:rsid w:val="003346FA"/>
    <w:rsid w:val="00336056"/>
    <w:rsid w:val="00336948"/>
    <w:rsid w:val="00340590"/>
    <w:rsid w:val="00341A4C"/>
    <w:rsid w:val="003434CA"/>
    <w:rsid w:val="0034776F"/>
    <w:rsid w:val="003479C0"/>
    <w:rsid w:val="00351972"/>
    <w:rsid w:val="003525C7"/>
    <w:rsid w:val="00353B59"/>
    <w:rsid w:val="003563DA"/>
    <w:rsid w:val="00357C45"/>
    <w:rsid w:val="00360227"/>
    <w:rsid w:val="00362571"/>
    <w:rsid w:val="00362B03"/>
    <w:rsid w:val="00362EB6"/>
    <w:rsid w:val="0036330C"/>
    <w:rsid w:val="00363EE1"/>
    <w:rsid w:val="003664BF"/>
    <w:rsid w:val="0036709E"/>
    <w:rsid w:val="00374701"/>
    <w:rsid w:val="00376F8D"/>
    <w:rsid w:val="00384261"/>
    <w:rsid w:val="003957FB"/>
    <w:rsid w:val="003960E2"/>
    <w:rsid w:val="00396AD0"/>
    <w:rsid w:val="003A45B1"/>
    <w:rsid w:val="003A6C7E"/>
    <w:rsid w:val="003B0436"/>
    <w:rsid w:val="003B2F10"/>
    <w:rsid w:val="003B315D"/>
    <w:rsid w:val="003B4E6C"/>
    <w:rsid w:val="003B537E"/>
    <w:rsid w:val="003B5A5D"/>
    <w:rsid w:val="003B5B54"/>
    <w:rsid w:val="003B7C06"/>
    <w:rsid w:val="003C0CCD"/>
    <w:rsid w:val="003C1156"/>
    <w:rsid w:val="003C23F4"/>
    <w:rsid w:val="003C24D6"/>
    <w:rsid w:val="003C298E"/>
    <w:rsid w:val="003C7B82"/>
    <w:rsid w:val="003E2D46"/>
    <w:rsid w:val="003E2E1E"/>
    <w:rsid w:val="003E2F0F"/>
    <w:rsid w:val="003E5713"/>
    <w:rsid w:val="003E6494"/>
    <w:rsid w:val="003F35D1"/>
    <w:rsid w:val="003F39E4"/>
    <w:rsid w:val="003F41B4"/>
    <w:rsid w:val="003F472E"/>
    <w:rsid w:val="003F5D6F"/>
    <w:rsid w:val="004027E1"/>
    <w:rsid w:val="00404F6E"/>
    <w:rsid w:val="0040520A"/>
    <w:rsid w:val="004057E4"/>
    <w:rsid w:val="004060C5"/>
    <w:rsid w:val="00406418"/>
    <w:rsid w:val="004102C7"/>
    <w:rsid w:val="00411F13"/>
    <w:rsid w:val="0042111B"/>
    <w:rsid w:val="0042217A"/>
    <w:rsid w:val="00422C51"/>
    <w:rsid w:val="004250F8"/>
    <w:rsid w:val="004301E1"/>
    <w:rsid w:val="004315E6"/>
    <w:rsid w:val="00431D2E"/>
    <w:rsid w:val="00433EDB"/>
    <w:rsid w:val="004352FA"/>
    <w:rsid w:val="00437B96"/>
    <w:rsid w:val="0044342A"/>
    <w:rsid w:val="00445D42"/>
    <w:rsid w:val="00445F92"/>
    <w:rsid w:val="00445FB8"/>
    <w:rsid w:val="0045027F"/>
    <w:rsid w:val="0045180A"/>
    <w:rsid w:val="004528B3"/>
    <w:rsid w:val="00452B27"/>
    <w:rsid w:val="00453DAB"/>
    <w:rsid w:val="004551CF"/>
    <w:rsid w:val="00461E30"/>
    <w:rsid w:val="00464320"/>
    <w:rsid w:val="00465A89"/>
    <w:rsid w:val="00466248"/>
    <w:rsid w:val="004667C1"/>
    <w:rsid w:val="00474D38"/>
    <w:rsid w:val="0047684D"/>
    <w:rsid w:val="004900F5"/>
    <w:rsid w:val="0049037C"/>
    <w:rsid w:val="00490E12"/>
    <w:rsid w:val="004920BF"/>
    <w:rsid w:val="00493450"/>
    <w:rsid w:val="00495139"/>
    <w:rsid w:val="004A083E"/>
    <w:rsid w:val="004A20F6"/>
    <w:rsid w:val="004A2B2E"/>
    <w:rsid w:val="004A3A8D"/>
    <w:rsid w:val="004A5D9C"/>
    <w:rsid w:val="004A6B42"/>
    <w:rsid w:val="004B3978"/>
    <w:rsid w:val="004B4A35"/>
    <w:rsid w:val="004B4F1C"/>
    <w:rsid w:val="004B5F48"/>
    <w:rsid w:val="004C7267"/>
    <w:rsid w:val="004C7EA2"/>
    <w:rsid w:val="004D0FC3"/>
    <w:rsid w:val="004D123C"/>
    <w:rsid w:val="004D26AE"/>
    <w:rsid w:val="004D459F"/>
    <w:rsid w:val="004E4B0C"/>
    <w:rsid w:val="004E5A12"/>
    <w:rsid w:val="004E6F5C"/>
    <w:rsid w:val="004E7E53"/>
    <w:rsid w:val="004F0733"/>
    <w:rsid w:val="004F2E0A"/>
    <w:rsid w:val="004F43C9"/>
    <w:rsid w:val="004F51E3"/>
    <w:rsid w:val="00500C1C"/>
    <w:rsid w:val="00501CEC"/>
    <w:rsid w:val="00501F38"/>
    <w:rsid w:val="00502705"/>
    <w:rsid w:val="00502E81"/>
    <w:rsid w:val="005071F9"/>
    <w:rsid w:val="005076D7"/>
    <w:rsid w:val="00511083"/>
    <w:rsid w:val="00513B11"/>
    <w:rsid w:val="00514E8F"/>
    <w:rsid w:val="0051536C"/>
    <w:rsid w:val="00516108"/>
    <w:rsid w:val="005167B6"/>
    <w:rsid w:val="00520EDF"/>
    <w:rsid w:val="005219FE"/>
    <w:rsid w:val="005243CC"/>
    <w:rsid w:val="0052478E"/>
    <w:rsid w:val="00525014"/>
    <w:rsid w:val="00525080"/>
    <w:rsid w:val="00526F99"/>
    <w:rsid w:val="0053285B"/>
    <w:rsid w:val="00537F5C"/>
    <w:rsid w:val="00541B7D"/>
    <w:rsid w:val="00543EBE"/>
    <w:rsid w:val="005456BA"/>
    <w:rsid w:val="00545C26"/>
    <w:rsid w:val="00547544"/>
    <w:rsid w:val="00547F5E"/>
    <w:rsid w:val="00553556"/>
    <w:rsid w:val="005548E5"/>
    <w:rsid w:val="0055512D"/>
    <w:rsid w:val="0056236B"/>
    <w:rsid w:val="005646BB"/>
    <w:rsid w:val="005736C8"/>
    <w:rsid w:val="00575F83"/>
    <w:rsid w:val="00576621"/>
    <w:rsid w:val="0058087E"/>
    <w:rsid w:val="005808BC"/>
    <w:rsid w:val="005828C3"/>
    <w:rsid w:val="00586DCC"/>
    <w:rsid w:val="00590CD9"/>
    <w:rsid w:val="00590FC0"/>
    <w:rsid w:val="00592BFE"/>
    <w:rsid w:val="00597043"/>
    <w:rsid w:val="005977A1"/>
    <w:rsid w:val="00597CD0"/>
    <w:rsid w:val="005A0230"/>
    <w:rsid w:val="005A26C7"/>
    <w:rsid w:val="005A4BD9"/>
    <w:rsid w:val="005A6537"/>
    <w:rsid w:val="005B2CE4"/>
    <w:rsid w:val="005B4493"/>
    <w:rsid w:val="005B6DE3"/>
    <w:rsid w:val="005B6FDF"/>
    <w:rsid w:val="005C0C86"/>
    <w:rsid w:val="005C2269"/>
    <w:rsid w:val="005C3775"/>
    <w:rsid w:val="005C56CE"/>
    <w:rsid w:val="005D03CC"/>
    <w:rsid w:val="005D2332"/>
    <w:rsid w:val="005D5AD5"/>
    <w:rsid w:val="005D6325"/>
    <w:rsid w:val="005D7941"/>
    <w:rsid w:val="005E4799"/>
    <w:rsid w:val="005E6437"/>
    <w:rsid w:val="005E6762"/>
    <w:rsid w:val="005F1B7A"/>
    <w:rsid w:val="005F3E6C"/>
    <w:rsid w:val="005F7764"/>
    <w:rsid w:val="006018C7"/>
    <w:rsid w:val="0060461A"/>
    <w:rsid w:val="00612514"/>
    <w:rsid w:val="00612757"/>
    <w:rsid w:val="00612F32"/>
    <w:rsid w:val="00615116"/>
    <w:rsid w:val="006165B2"/>
    <w:rsid w:val="00617235"/>
    <w:rsid w:val="00630376"/>
    <w:rsid w:val="00636A2C"/>
    <w:rsid w:val="00637726"/>
    <w:rsid w:val="006421DD"/>
    <w:rsid w:val="00642C5F"/>
    <w:rsid w:val="00643673"/>
    <w:rsid w:val="00645965"/>
    <w:rsid w:val="006473D2"/>
    <w:rsid w:val="006477B5"/>
    <w:rsid w:val="00651EE7"/>
    <w:rsid w:val="006534A4"/>
    <w:rsid w:val="00654B27"/>
    <w:rsid w:val="00657A42"/>
    <w:rsid w:val="00660857"/>
    <w:rsid w:val="00662275"/>
    <w:rsid w:val="00665EB7"/>
    <w:rsid w:val="00670EF7"/>
    <w:rsid w:val="006774E5"/>
    <w:rsid w:val="00677890"/>
    <w:rsid w:val="00682C24"/>
    <w:rsid w:val="00683600"/>
    <w:rsid w:val="00683A8C"/>
    <w:rsid w:val="006842E5"/>
    <w:rsid w:val="00684E23"/>
    <w:rsid w:val="006852B0"/>
    <w:rsid w:val="0068783E"/>
    <w:rsid w:val="00695A78"/>
    <w:rsid w:val="00696BCC"/>
    <w:rsid w:val="006971FA"/>
    <w:rsid w:val="006A007F"/>
    <w:rsid w:val="006A1271"/>
    <w:rsid w:val="006A2D54"/>
    <w:rsid w:val="006A4C54"/>
    <w:rsid w:val="006A50B7"/>
    <w:rsid w:val="006A5C02"/>
    <w:rsid w:val="006B17AB"/>
    <w:rsid w:val="006B2332"/>
    <w:rsid w:val="006B4EE9"/>
    <w:rsid w:val="006B787E"/>
    <w:rsid w:val="006B7E45"/>
    <w:rsid w:val="006C066C"/>
    <w:rsid w:val="006C095E"/>
    <w:rsid w:val="006C1B74"/>
    <w:rsid w:val="006C2A3E"/>
    <w:rsid w:val="006C2F2D"/>
    <w:rsid w:val="006C5E4B"/>
    <w:rsid w:val="006D1177"/>
    <w:rsid w:val="006D4FD0"/>
    <w:rsid w:val="006D5371"/>
    <w:rsid w:val="006E161D"/>
    <w:rsid w:val="006E22A1"/>
    <w:rsid w:val="006E2C98"/>
    <w:rsid w:val="006E3B97"/>
    <w:rsid w:val="006E44E6"/>
    <w:rsid w:val="006E4D95"/>
    <w:rsid w:val="006E53A7"/>
    <w:rsid w:val="006E6C67"/>
    <w:rsid w:val="006E78FC"/>
    <w:rsid w:val="006F26B5"/>
    <w:rsid w:val="00700375"/>
    <w:rsid w:val="00701DA3"/>
    <w:rsid w:val="00703A40"/>
    <w:rsid w:val="00703C12"/>
    <w:rsid w:val="00704583"/>
    <w:rsid w:val="00705B5F"/>
    <w:rsid w:val="007060CE"/>
    <w:rsid w:val="0070721D"/>
    <w:rsid w:val="0071010E"/>
    <w:rsid w:val="00710B6F"/>
    <w:rsid w:val="007117FD"/>
    <w:rsid w:val="00720875"/>
    <w:rsid w:val="007234BA"/>
    <w:rsid w:val="00726448"/>
    <w:rsid w:val="007330A5"/>
    <w:rsid w:val="00736559"/>
    <w:rsid w:val="00736ADB"/>
    <w:rsid w:val="007373C3"/>
    <w:rsid w:val="0074223F"/>
    <w:rsid w:val="00743B6E"/>
    <w:rsid w:val="007443A8"/>
    <w:rsid w:val="007500DB"/>
    <w:rsid w:val="00753D1D"/>
    <w:rsid w:val="00756255"/>
    <w:rsid w:val="007603F6"/>
    <w:rsid w:val="00760EDE"/>
    <w:rsid w:val="00762963"/>
    <w:rsid w:val="007725FB"/>
    <w:rsid w:val="0077332E"/>
    <w:rsid w:val="0077386D"/>
    <w:rsid w:val="007739C2"/>
    <w:rsid w:val="007746C7"/>
    <w:rsid w:val="00774DF3"/>
    <w:rsid w:val="00775B1F"/>
    <w:rsid w:val="00775FCD"/>
    <w:rsid w:val="00780031"/>
    <w:rsid w:val="00783314"/>
    <w:rsid w:val="00784A9B"/>
    <w:rsid w:val="00785509"/>
    <w:rsid w:val="007858F7"/>
    <w:rsid w:val="00790154"/>
    <w:rsid w:val="00791580"/>
    <w:rsid w:val="00796CBF"/>
    <w:rsid w:val="00796EBD"/>
    <w:rsid w:val="007A04E2"/>
    <w:rsid w:val="007A27D5"/>
    <w:rsid w:val="007A37A9"/>
    <w:rsid w:val="007A4A05"/>
    <w:rsid w:val="007B2166"/>
    <w:rsid w:val="007B2734"/>
    <w:rsid w:val="007B307B"/>
    <w:rsid w:val="007B3872"/>
    <w:rsid w:val="007B60F8"/>
    <w:rsid w:val="007B733A"/>
    <w:rsid w:val="007B7E49"/>
    <w:rsid w:val="007C068B"/>
    <w:rsid w:val="007C29ED"/>
    <w:rsid w:val="007C52BC"/>
    <w:rsid w:val="007C5E08"/>
    <w:rsid w:val="007D1070"/>
    <w:rsid w:val="007D1279"/>
    <w:rsid w:val="007D367E"/>
    <w:rsid w:val="007D4382"/>
    <w:rsid w:val="007D4B58"/>
    <w:rsid w:val="007D4EA5"/>
    <w:rsid w:val="007E0E00"/>
    <w:rsid w:val="007E1E55"/>
    <w:rsid w:val="007E280D"/>
    <w:rsid w:val="007E307F"/>
    <w:rsid w:val="007E3D28"/>
    <w:rsid w:val="007E4827"/>
    <w:rsid w:val="007E6071"/>
    <w:rsid w:val="007F1098"/>
    <w:rsid w:val="007F1113"/>
    <w:rsid w:val="007F1573"/>
    <w:rsid w:val="007F18A0"/>
    <w:rsid w:val="007F683E"/>
    <w:rsid w:val="007F6D90"/>
    <w:rsid w:val="007F781E"/>
    <w:rsid w:val="00803A5D"/>
    <w:rsid w:val="00803EED"/>
    <w:rsid w:val="00803FC5"/>
    <w:rsid w:val="00804F05"/>
    <w:rsid w:val="00810184"/>
    <w:rsid w:val="008114A9"/>
    <w:rsid w:val="008126F5"/>
    <w:rsid w:val="008149D8"/>
    <w:rsid w:val="0082162A"/>
    <w:rsid w:val="00821636"/>
    <w:rsid w:val="00821ECE"/>
    <w:rsid w:val="008237E3"/>
    <w:rsid w:val="008243D4"/>
    <w:rsid w:val="0082484A"/>
    <w:rsid w:val="00826DC1"/>
    <w:rsid w:val="00830524"/>
    <w:rsid w:val="00833A4A"/>
    <w:rsid w:val="00836CCD"/>
    <w:rsid w:val="0083770D"/>
    <w:rsid w:val="008411EB"/>
    <w:rsid w:val="00841D5C"/>
    <w:rsid w:val="00843BCA"/>
    <w:rsid w:val="0085221B"/>
    <w:rsid w:val="00855269"/>
    <w:rsid w:val="00857537"/>
    <w:rsid w:val="00861CEB"/>
    <w:rsid w:val="00863FB7"/>
    <w:rsid w:val="008642B4"/>
    <w:rsid w:val="008660F3"/>
    <w:rsid w:val="00867DE4"/>
    <w:rsid w:val="00870982"/>
    <w:rsid w:val="008719D7"/>
    <w:rsid w:val="00873F26"/>
    <w:rsid w:val="00882A9B"/>
    <w:rsid w:val="00883386"/>
    <w:rsid w:val="00887D7E"/>
    <w:rsid w:val="00892596"/>
    <w:rsid w:val="00893026"/>
    <w:rsid w:val="00893BFE"/>
    <w:rsid w:val="008A09C2"/>
    <w:rsid w:val="008A3E70"/>
    <w:rsid w:val="008A4715"/>
    <w:rsid w:val="008A627B"/>
    <w:rsid w:val="008A6F70"/>
    <w:rsid w:val="008B1D0A"/>
    <w:rsid w:val="008B3096"/>
    <w:rsid w:val="008B3C16"/>
    <w:rsid w:val="008B3DD4"/>
    <w:rsid w:val="008B768D"/>
    <w:rsid w:val="008C1ADA"/>
    <w:rsid w:val="008C1BDD"/>
    <w:rsid w:val="008D2386"/>
    <w:rsid w:val="008D3A69"/>
    <w:rsid w:val="008D42E0"/>
    <w:rsid w:val="008D4CA3"/>
    <w:rsid w:val="008D6EB3"/>
    <w:rsid w:val="008D725F"/>
    <w:rsid w:val="008D7F64"/>
    <w:rsid w:val="008E1B5F"/>
    <w:rsid w:val="008E306F"/>
    <w:rsid w:val="008E3E6D"/>
    <w:rsid w:val="008E42F8"/>
    <w:rsid w:val="008E4DFC"/>
    <w:rsid w:val="008F3F18"/>
    <w:rsid w:val="008F4C65"/>
    <w:rsid w:val="00903F34"/>
    <w:rsid w:val="009111BB"/>
    <w:rsid w:val="00912AE0"/>
    <w:rsid w:val="00913FDE"/>
    <w:rsid w:val="009176D4"/>
    <w:rsid w:val="0092498B"/>
    <w:rsid w:val="00926CBA"/>
    <w:rsid w:val="00932333"/>
    <w:rsid w:val="00932F48"/>
    <w:rsid w:val="00937F54"/>
    <w:rsid w:val="00940541"/>
    <w:rsid w:val="00940D2B"/>
    <w:rsid w:val="00941C5C"/>
    <w:rsid w:val="00944E02"/>
    <w:rsid w:val="0094739B"/>
    <w:rsid w:val="009473C5"/>
    <w:rsid w:val="00947799"/>
    <w:rsid w:val="00951850"/>
    <w:rsid w:val="009521FE"/>
    <w:rsid w:val="00952C45"/>
    <w:rsid w:val="00954256"/>
    <w:rsid w:val="00954869"/>
    <w:rsid w:val="009605EF"/>
    <w:rsid w:val="00960652"/>
    <w:rsid w:val="00960998"/>
    <w:rsid w:val="00960B28"/>
    <w:rsid w:val="009616B8"/>
    <w:rsid w:val="009618AC"/>
    <w:rsid w:val="00961D16"/>
    <w:rsid w:val="009654B4"/>
    <w:rsid w:val="0097154F"/>
    <w:rsid w:val="0097328D"/>
    <w:rsid w:val="009742A7"/>
    <w:rsid w:val="009764C0"/>
    <w:rsid w:val="00977110"/>
    <w:rsid w:val="00980266"/>
    <w:rsid w:val="0098154A"/>
    <w:rsid w:val="009822C2"/>
    <w:rsid w:val="00982E96"/>
    <w:rsid w:val="009849E0"/>
    <w:rsid w:val="0099218A"/>
    <w:rsid w:val="009928BC"/>
    <w:rsid w:val="0099369E"/>
    <w:rsid w:val="009948CB"/>
    <w:rsid w:val="00995DAB"/>
    <w:rsid w:val="00997599"/>
    <w:rsid w:val="009A0283"/>
    <w:rsid w:val="009A5E17"/>
    <w:rsid w:val="009A7C9C"/>
    <w:rsid w:val="009B2309"/>
    <w:rsid w:val="009B587E"/>
    <w:rsid w:val="009B66EC"/>
    <w:rsid w:val="009C1639"/>
    <w:rsid w:val="009C1A0F"/>
    <w:rsid w:val="009C3B59"/>
    <w:rsid w:val="009C695B"/>
    <w:rsid w:val="009D0A5D"/>
    <w:rsid w:val="009D120B"/>
    <w:rsid w:val="009D151D"/>
    <w:rsid w:val="009D174F"/>
    <w:rsid w:val="009D2110"/>
    <w:rsid w:val="009D229B"/>
    <w:rsid w:val="009D2FDD"/>
    <w:rsid w:val="009D3020"/>
    <w:rsid w:val="009D6949"/>
    <w:rsid w:val="009E1FE4"/>
    <w:rsid w:val="009F1037"/>
    <w:rsid w:val="009F1FF4"/>
    <w:rsid w:val="009F2898"/>
    <w:rsid w:val="009F4FFF"/>
    <w:rsid w:val="009F5B87"/>
    <w:rsid w:val="00A057D9"/>
    <w:rsid w:val="00A13DCE"/>
    <w:rsid w:val="00A20F0F"/>
    <w:rsid w:val="00A22AFD"/>
    <w:rsid w:val="00A240FF"/>
    <w:rsid w:val="00A249CD"/>
    <w:rsid w:val="00A24BD8"/>
    <w:rsid w:val="00A2759A"/>
    <w:rsid w:val="00A30511"/>
    <w:rsid w:val="00A344B1"/>
    <w:rsid w:val="00A3688D"/>
    <w:rsid w:val="00A42DD5"/>
    <w:rsid w:val="00A47AEC"/>
    <w:rsid w:val="00A503EA"/>
    <w:rsid w:val="00A51F99"/>
    <w:rsid w:val="00A5739A"/>
    <w:rsid w:val="00A61A1D"/>
    <w:rsid w:val="00A62F0E"/>
    <w:rsid w:val="00A634E2"/>
    <w:rsid w:val="00A648B4"/>
    <w:rsid w:val="00A65E0B"/>
    <w:rsid w:val="00A67B67"/>
    <w:rsid w:val="00A703D0"/>
    <w:rsid w:val="00A718AF"/>
    <w:rsid w:val="00A73A81"/>
    <w:rsid w:val="00A830D6"/>
    <w:rsid w:val="00A865BE"/>
    <w:rsid w:val="00A87A40"/>
    <w:rsid w:val="00A9215B"/>
    <w:rsid w:val="00A950E6"/>
    <w:rsid w:val="00A9565D"/>
    <w:rsid w:val="00A95B45"/>
    <w:rsid w:val="00AA2C13"/>
    <w:rsid w:val="00AA44DB"/>
    <w:rsid w:val="00AA4AEB"/>
    <w:rsid w:val="00AA4D9F"/>
    <w:rsid w:val="00AA539C"/>
    <w:rsid w:val="00AB0016"/>
    <w:rsid w:val="00AB03C1"/>
    <w:rsid w:val="00AB626F"/>
    <w:rsid w:val="00AB66EF"/>
    <w:rsid w:val="00AC2036"/>
    <w:rsid w:val="00AC373C"/>
    <w:rsid w:val="00AC3886"/>
    <w:rsid w:val="00AC50A9"/>
    <w:rsid w:val="00AC6CE1"/>
    <w:rsid w:val="00AD466E"/>
    <w:rsid w:val="00AD5625"/>
    <w:rsid w:val="00AD7705"/>
    <w:rsid w:val="00AE048C"/>
    <w:rsid w:val="00AE16CB"/>
    <w:rsid w:val="00AE3337"/>
    <w:rsid w:val="00AE72CD"/>
    <w:rsid w:val="00AE7651"/>
    <w:rsid w:val="00AE7977"/>
    <w:rsid w:val="00AF0538"/>
    <w:rsid w:val="00AF0BF2"/>
    <w:rsid w:val="00AF1284"/>
    <w:rsid w:val="00AF1733"/>
    <w:rsid w:val="00AF1A7E"/>
    <w:rsid w:val="00AF3A54"/>
    <w:rsid w:val="00AF55BE"/>
    <w:rsid w:val="00B02F2C"/>
    <w:rsid w:val="00B051CC"/>
    <w:rsid w:val="00B14839"/>
    <w:rsid w:val="00B15D12"/>
    <w:rsid w:val="00B176A3"/>
    <w:rsid w:val="00B22B65"/>
    <w:rsid w:val="00B2634E"/>
    <w:rsid w:val="00B27C70"/>
    <w:rsid w:val="00B27FCB"/>
    <w:rsid w:val="00B34398"/>
    <w:rsid w:val="00B36F17"/>
    <w:rsid w:val="00B42344"/>
    <w:rsid w:val="00B42FDD"/>
    <w:rsid w:val="00B43D95"/>
    <w:rsid w:val="00B47C9C"/>
    <w:rsid w:val="00B519B0"/>
    <w:rsid w:val="00B5228D"/>
    <w:rsid w:val="00B543D3"/>
    <w:rsid w:val="00B55CB1"/>
    <w:rsid w:val="00B57940"/>
    <w:rsid w:val="00B626EA"/>
    <w:rsid w:val="00B637FE"/>
    <w:rsid w:val="00B641B7"/>
    <w:rsid w:val="00B7373B"/>
    <w:rsid w:val="00B74B2F"/>
    <w:rsid w:val="00B75725"/>
    <w:rsid w:val="00B80362"/>
    <w:rsid w:val="00B87400"/>
    <w:rsid w:val="00B91521"/>
    <w:rsid w:val="00B93894"/>
    <w:rsid w:val="00B94F4F"/>
    <w:rsid w:val="00B96BC9"/>
    <w:rsid w:val="00BA09B9"/>
    <w:rsid w:val="00BB1817"/>
    <w:rsid w:val="00BB77E8"/>
    <w:rsid w:val="00BB7945"/>
    <w:rsid w:val="00BB7C53"/>
    <w:rsid w:val="00BC0C10"/>
    <w:rsid w:val="00BC118F"/>
    <w:rsid w:val="00BC1E66"/>
    <w:rsid w:val="00BC7BFE"/>
    <w:rsid w:val="00BD0AF7"/>
    <w:rsid w:val="00BD1585"/>
    <w:rsid w:val="00BD296E"/>
    <w:rsid w:val="00BD3101"/>
    <w:rsid w:val="00BD34CD"/>
    <w:rsid w:val="00BD388B"/>
    <w:rsid w:val="00BE02F0"/>
    <w:rsid w:val="00BE41F9"/>
    <w:rsid w:val="00BE5EDF"/>
    <w:rsid w:val="00BE7100"/>
    <w:rsid w:val="00BE75AE"/>
    <w:rsid w:val="00BE7E26"/>
    <w:rsid w:val="00BE7E78"/>
    <w:rsid w:val="00BF0CF1"/>
    <w:rsid w:val="00BF14FC"/>
    <w:rsid w:val="00BF349B"/>
    <w:rsid w:val="00BF6CB9"/>
    <w:rsid w:val="00C00CE0"/>
    <w:rsid w:val="00C0364E"/>
    <w:rsid w:val="00C079D9"/>
    <w:rsid w:val="00C124D5"/>
    <w:rsid w:val="00C14B0C"/>
    <w:rsid w:val="00C15303"/>
    <w:rsid w:val="00C153F5"/>
    <w:rsid w:val="00C15CE6"/>
    <w:rsid w:val="00C170C4"/>
    <w:rsid w:val="00C1772A"/>
    <w:rsid w:val="00C17D72"/>
    <w:rsid w:val="00C22C55"/>
    <w:rsid w:val="00C2498B"/>
    <w:rsid w:val="00C26DC4"/>
    <w:rsid w:val="00C33C8B"/>
    <w:rsid w:val="00C3791A"/>
    <w:rsid w:val="00C40C8A"/>
    <w:rsid w:val="00C43835"/>
    <w:rsid w:val="00C43E56"/>
    <w:rsid w:val="00C46049"/>
    <w:rsid w:val="00C47BE7"/>
    <w:rsid w:val="00C530A9"/>
    <w:rsid w:val="00C554EE"/>
    <w:rsid w:val="00C6238E"/>
    <w:rsid w:val="00C63C5F"/>
    <w:rsid w:val="00C6578B"/>
    <w:rsid w:val="00C65D87"/>
    <w:rsid w:val="00C67076"/>
    <w:rsid w:val="00C707F6"/>
    <w:rsid w:val="00C73182"/>
    <w:rsid w:val="00C80397"/>
    <w:rsid w:val="00C80C0B"/>
    <w:rsid w:val="00C81B4F"/>
    <w:rsid w:val="00C83210"/>
    <w:rsid w:val="00C852EC"/>
    <w:rsid w:val="00C86C69"/>
    <w:rsid w:val="00C91C70"/>
    <w:rsid w:val="00C93825"/>
    <w:rsid w:val="00C93C4E"/>
    <w:rsid w:val="00C93F70"/>
    <w:rsid w:val="00C97D51"/>
    <w:rsid w:val="00CA1C63"/>
    <w:rsid w:val="00CA5A7A"/>
    <w:rsid w:val="00CA6148"/>
    <w:rsid w:val="00CA7067"/>
    <w:rsid w:val="00CA7E6D"/>
    <w:rsid w:val="00CB0571"/>
    <w:rsid w:val="00CB0C4C"/>
    <w:rsid w:val="00CB1E48"/>
    <w:rsid w:val="00CB3137"/>
    <w:rsid w:val="00CB5CE0"/>
    <w:rsid w:val="00CB66A9"/>
    <w:rsid w:val="00CB7081"/>
    <w:rsid w:val="00CC3099"/>
    <w:rsid w:val="00CC618C"/>
    <w:rsid w:val="00CD1222"/>
    <w:rsid w:val="00CD16C1"/>
    <w:rsid w:val="00CD26DE"/>
    <w:rsid w:val="00CD5052"/>
    <w:rsid w:val="00CD6D39"/>
    <w:rsid w:val="00CE1FDE"/>
    <w:rsid w:val="00CE6312"/>
    <w:rsid w:val="00CE68F6"/>
    <w:rsid w:val="00CE7AFE"/>
    <w:rsid w:val="00CF3E87"/>
    <w:rsid w:val="00CF62AA"/>
    <w:rsid w:val="00CF635C"/>
    <w:rsid w:val="00D019AA"/>
    <w:rsid w:val="00D01E82"/>
    <w:rsid w:val="00D0481C"/>
    <w:rsid w:val="00D05712"/>
    <w:rsid w:val="00D0635C"/>
    <w:rsid w:val="00D0646F"/>
    <w:rsid w:val="00D0794D"/>
    <w:rsid w:val="00D12380"/>
    <w:rsid w:val="00D1252B"/>
    <w:rsid w:val="00D12F8C"/>
    <w:rsid w:val="00D13906"/>
    <w:rsid w:val="00D141D4"/>
    <w:rsid w:val="00D14A03"/>
    <w:rsid w:val="00D14A8C"/>
    <w:rsid w:val="00D150C3"/>
    <w:rsid w:val="00D20077"/>
    <w:rsid w:val="00D24209"/>
    <w:rsid w:val="00D24808"/>
    <w:rsid w:val="00D26751"/>
    <w:rsid w:val="00D317C2"/>
    <w:rsid w:val="00D32497"/>
    <w:rsid w:val="00D33011"/>
    <w:rsid w:val="00D33AE9"/>
    <w:rsid w:val="00D33F5A"/>
    <w:rsid w:val="00D34321"/>
    <w:rsid w:val="00D37129"/>
    <w:rsid w:val="00D42145"/>
    <w:rsid w:val="00D60242"/>
    <w:rsid w:val="00D625E3"/>
    <w:rsid w:val="00D63AEF"/>
    <w:rsid w:val="00D7179F"/>
    <w:rsid w:val="00D73262"/>
    <w:rsid w:val="00D739F2"/>
    <w:rsid w:val="00D814A7"/>
    <w:rsid w:val="00D82436"/>
    <w:rsid w:val="00D82CF9"/>
    <w:rsid w:val="00D83CA9"/>
    <w:rsid w:val="00D84638"/>
    <w:rsid w:val="00D84C17"/>
    <w:rsid w:val="00D8537C"/>
    <w:rsid w:val="00D868D3"/>
    <w:rsid w:val="00D907A7"/>
    <w:rsid w:val="00D91F18"/>
    <w:rsid w:val="00DA0941"/>
    <w:rsid w:val="00DA251A"/>
    <w:rsid w:val="00DA5AA4"/>
    <w:rsid w:val="00DB1A71"/>
    <w:rsid w:val="00DB4950"/>
    <w:rsid w:val="00DB577B"/>
    <w:rsid w:val="00DB585E"/>
    <w:rsid w:val="00DB6204"/>
    <w:rsid w:val="00DC1740"/>
    <w:rsid w:val="00DD04BC"/>
    <w:rsid w:val="00DD0AAD"/>
    <w:rsid w:val="00DD17F7"/>
    <w:rsid w:val="00DD58C5"/>
    <w:rsid w:val="00DD5F79"/>
    <w:rsid w:val="00DD605D"/>
    <w:rsid w:val="00DE088A"/>
    <w:rsid w:val="00DE423D"/>
    <w:rsid w:val="00DE666B"/>
    <w:rsid w:val="00DF1527"/>
    <w:rsid w:val="00DF66A0"/>
    <w:rsid w:val="00E00E95"/>
    <w:rsid w:val="00E01C20"/>
    <w:rsid w:val="00E02C41"/>
    <w:rsid w:val="00E03892"/>
    <w:rsid w:val="00E069EE"/>
    <w:rsid w:val="00E0744E"/>
    <w:rsid w:val="00E13A66"/>
    <w:rsid w:val="00E14DBA"/>
    <w:rsid w:val="00E15A53"/>
    <w:rsid w:val="00E23D04"/>
    <w:rsid w:val="00E26685"/>
    <w:rsid w:val="00E308B6"/>
    <w:rsid w:val="00E30B11"/>
    <w:rsid w:val="00E30B41"/>
    <w:rsid w:val="00E32132"/>
    <w:rsid w:val="00E32965"/>
    <w:rsid w:val="00E32FB1"/>
    <w:rsid w:val="00E35306"/>
    <w:rsid w:val="00E3611D"/>
    <w:rsid w:val="00E42136"/>
    <w:rsid w:val="00E5463F"/>
    <w:rsid w:val="00E55A6E"/>
    <w:rsid w:val="00E62F74"/>
    <w:rsid w:val="00E66452"/>
    <w:rsid w:val="00E672B3"/>
    <w:rsid w:val="00E71372"/>
    <w:rsid w:val="00E73605"/>
    <w:rsid w:val="00E810F5"/>
    <w:rsid w:val="00E848A5"/>
    <w:rsid w:val="00E921A3"/>
    <w:rsid w:val="00E924DF"/>
    <w:rsid w:val="00E9666A"/>
    <w:rsid w:val="00E97189"/>
    <w:rsid w:val="00EA1A24"/>
    <w:rsid w:val="00EA5F15"/>
    <w:rsid w:val="00EA76EE"/>
    <w:rsid w:val="00EB3E20"/>
    <w:rsid w:val="00EB67AD"/>
    <w:rsid w:val="00EC02FC"/>
    <w:rsid w:val="00EC3058"/>
    <w:rsid w:val="00EC51AD"/>
    <w:rsid w:val="00ED2FDE"/>
    <w:rsid w:val="00ED3884"/>
    <w:rsid w:val="00ED505F"/>
    <w:rsid w:val="00ED5C15"/>
    <w:rsid w:val="00EE1682"/>
    <w:rsid w:val="00EE236B"/>
    <w:rsid w:val="00EE6C62"/>
    <w:rsid w:val="00EF0390"/>
    <w:rsid w:val="00EF338C"/>
    <w:rsid w:val="00EF5A9B"/>
    <w:rsid w:val="00EF6B1A"/>
    <w:rsid w:val="00F007DA"/>
    <w:rsid w:val="00F010C7"/>
    <w:rsid w:val="00F01EAE"/>
    <w:rsid w:val="00F0645F"/>
    <w:rsid w:val="00F07F38"/>
    <w:rsid w:val="00F10FB7"/>
    <w:rsid w:val="00F12369"/>
    <w:rsid w:val="00F142AE"/>
    <w:rsid w:val="00F16DB1"/>
    <w:rsid w:val="00F172ED"/>
    <w:rsid w:val="00F17898"/>
    <w:rsid w:val="00F20EAD"/>
    <w:rsid w:val="00F2383F"/>
    <w:rsid w:val="00F23D0B"/>
    <w:rsid w:val="00F23D0D"/>
    <w:rsid w:val="00F27D22"/>
    <w:rsid w:val="00F32D7E"/>
    <w:rsid w:val="00F5373A"/>
    <w:rsid w:val="00F5374B"/>
    <w:rsid w:val="00F553EB"/>
    <w:rsid w:val="00F6037A"/>
    <w:rsid w:val="00F61718"/>
    <w:rsid w:val="00F650ED"/>
    <w:rsid w:val="00F651F5"/>
    <w:rsid w:val="00F670E2"/>
    <w:rsid w:val="00F70673"/>
    <w:rsid w:val="00F721F9"/>
    <w:rsid w:val="00F7236C"/>
    <w:rsid w:val="00F72780"/>
    <w:rsid w:val="00F7312D"/>
    <w:rsid w:val="00F73772"/>
    <w:rsid w:val="00F744FC"/>
    <w:rsid w:val="00F83379"/>
    <w:rsid w:val="00F840A1"/>
    <w:rsid w:val="00F871E1"/>
    <w:rsid w:val="00F926CA"/>
    <w:rsid w:val="00F942B1"/>
    <w:rsid w:val="00F95A69"/>
    <w:rsid w:val="00F95F50"/>
    <w:rsid w:val="00F97157"/>
    <w:rsid w:val="00F973E4"/>
    <w:rsid w:val="00FA01FF"/>
    <w:rsid w:val="00FA59DF"/>
    <w:rsid w:val="00FB1A11"/>
    <w:rsid w:val="00FC0A01"/>
    <w:rsid w:val="00FC11B0"/>
    <w:rsid w:val="00FC3F50"/>
    <w:rsid w:val="00FC6662"/>
    <w:rsid w:val="00FD09AD"/>
    <w:rsid w:val="00FD1C2A"/>
    <w:rsid w:val="00FD4382"/>
    <w:rsid w:val="00FD457C"/>
    <w:rsid w:val="00FD618C"/>
    <w:rsid w:val="00FD65FB"/>
    <w:rsid w:val="00FD7F42"/>
    <w:rsid w:val="00FE1208"/>
    <w:rsid w:val="00FE2512"/>
    <w:rsid w:val="00FE2E68"/>
    <w:rsid w:val="00FE5F7D"/>
    <w:rsid w:val="00FE677B"/>
    <w:rsid w:val="00FF118A"/>
    <w:rsid w:val="00FF36F3"/>
    <w:rsid w:val="00FF6E7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55EF1A"/>
  <w15:docId w15:val="{BA4EAF8F-8373-4101-A83B-824BD9D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2AE"/>
    <w:pPr>
      <w:suppressAutoHyphens/>
      <w:spacing w:line="240" w:lineRule="atLeast"/>
    </w:pPr>
    <w:rPr>
      <w:snapToGrid w:val="0"/>
      <w:lang w:eastAsia="fr-FR"/>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uiPriority w:val="9"/>
    <w:qFormat/>
    <w:pPr>
      <w:outlineLvl w:val="1"/>
    </w:pPr>
  </w:style>
  <w:style w:type="paragraph" w:styleId="Titre3">
    <w:name w:val="heading 3"/>
    <w:basedOn w:val="Normal"/>
    <w:next w:val="Normal"/>
    <w:link w:val="Titre3Car"/>
    <w:uiPriority w:val="9"/>
    <w:qFormat/>
    <w:pPr>
      <w:outlineLvl w:val="2"/>
    </w:pPr>
  </w:style>
  <w:style w:type="paragraph" w:styleId="Titre4">
    <w:name w:val="heading 4"/>
    <w:basedOn w:val="Normal"/>
    <w:next w:val="Normal"/>
    <w:link w:val="Titre4Car"/>
    <w:uiPriority w:val="9"/>
    <w:qFormat/>
    <w:pPr>
      <w:outlineLvl w:val="3"/>
    </w:pPr>
  </w:style>
  <w:style w:type="paragraph" w:styleId="Titre5">
    <w:name w:val="heading 5"/>
    <w:basedOn w:val="Normal"/>
    <w:next w:val="Normal"/>
    <w:link w:val="Titre5Car"/>
    <w:uiPriority w:val="9"/>
    <w:qFormat/>
    <w:pPr>
      <w:outlineLvl w:val="4"/>
    </w:pPr>
  </w:style>
  <w:style w:type="paragraph" w:styleId="Titre6">
    <w:name w:val="heading 6"/>
    <w:basedOn w:val="Normal"/>
    <w:next w:val="Normal"/>
    <w:link w:val="Titre6Car"/>
    <w:qFormat/>
    <w:pPr>
      <w:outlineLvl w:val="5"/>
    </w:pPr>
  </w:style>
  <w:style w:type="paragraph" w:styleId="Titre7">
    <w:name w:val="heading 7"/>
    <w:basedOn w:val="Normal"/>
    <w:next w:val="Normal"/>
    <w:link w:val="Titre7Car"/>
    <w:uiPriority w:val="9"/>
    <w:qFormat/>
    <w:pPr>
      <w:outlineLvl w:val="6"/>
    </w:pPr>
  </w:style>
  <w:style w:type="paragraph" w:styleId="Titre8">
    <w:name w:val="heading 8"/>
    <w:basedOn w:val="Normal"/>
    <w:next w:val="Normal"/>
    <w:link w:val="Titre8Car"/>
    <w:uiPriority w:val="9"/>
    <w:qFormat/>
    <w:pPr>
      <w:outlineLvl w:val="7"/>
    </w:pPr>
  </w:style>
  <w:style w:type="paragraph" w:styleId="Titre9">
    <w:name w:val="heading 9"/>
    <w:basedOn w:val="Normal"/>
    <w:next w:val="Normal"/>
    <w:link w:val="Titre9Car"/>
    <w:uiPriority w:val="9"/>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Appelnotedebasdep">
    <w:name w:val="footnote reference"/>
    <w:aliases w:val="4_G,Footnote Reference/"/>
    <w:qFormat/>
    <w:rPr>
      <w:rFonts w:ascii="Times New Roman" w:hAnsi="Times New Roman"/>
      <w:sz w:val="18"/>
      <w:vertAlign w:val="superscript"/>
      <w:lang w:val="de-DE"/>
    </w:rPr>
  </w:style>
  <w:style w:type="character" w:styleId="Appeldenotedefin">
    <w:name w:val="endnote reference"/>
    <w:aliases w:val="1_G"/>
    <w:semiHidden/>
    <w:rPr>
      <w:rFonts w:ascii="Times New Roman" w:hAnsi="Times New Roman" w:cs="Times New Roman"/>
      <w:sz w:val="18"/>
      <w:vertAlign w:val="superscript"/>
      <w:lang w:val="de-DE"/>
    </w:rPr>
  </w:style>
  <w:style w:type="paragraph" w:styleId="En-tte">
    <w:name w:val="header"/>
    <w:aliases w:val="6_G"/>
    <w:basedOn w:val="Normal"/>
    <w:next w:val="Normal"/>
    <w:pPr>
      <w:pBdr>
        <w:bottom w:val="single" w:sz="4" w:space="4" w:color="auto"/>
      </w:pBdr>
      <w:spacing w:line="240" w:lineRule="auto"/>
    </w:pPr>
    <w:rPr>
      <w:b/>
      <w:sz w:val="18"/>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paragraph" w:styleId="Notedefin">
    <w:name w:val="endnote text"/>
    <w:aliases w:val="2_G"/>
    <w:basedOn w:val="Notedebasdepage"/>
    <w:semiHidden/>
  </w:style>
  <w:style w:type="character" w:styleId="Numrodepage">
    <w:name w:val="page number"/>
    <w:aliases w:val="7_G"/>
    <w:rPr>
      <w:rFonts w:ascii="Times New Roman" w:hAnsi="Times New Roman"/>
      <w:b/>
      <w:sz w:val="18"/>
      <w:lang w:val="de-DE"/>
    </w:rPr>
  </w:style>
  <w:style w:type="paragraph" w:styleId="Pieddepage">
    <w:name w:val="footer"/>
    <w:aliases w:val="3_G"/>
    <w:basedOn w:val="Normal"/>
    <w:next w:val="Normal"/>
    <w:pPr>
      <w:spacing w:line="240" w:lineRule="auto"/>
    </w:pPr>
    <w:rPr>
      <w:sz w:val="16"/>
    </w:rPr>
  </w:style>
  <w:style w:type="character" w:styleId="Lienhypertexte">
    <w:name w:val="Hyperlink"/>
    <w:rPr>
      <w:color w:val="auto"/>
      <w:u w:val="none"/>
    </w:rPr>
  </w:style>
  <w:style w:type="character" w:customStyle="1" w:styleId="BesuchterHyperlink1">
    <w:name w:val="BesuchterHyperlink1"/>
    <w:rPr>
      <w:color w:val="auto"/>
      <w:u w:val="none"/>
    </w:rPr>
  </w:style>
  <w:style w:type="paragraph" w:customStyle="1" w:styleId="Default">
    <w:name w:val="Default"/>
    <w:pPr>
      <w:autoSpaceDE w:val="0"/>
      <w:autoSpaceDN w:val="0"/>
      <w:adjustRightInd w:val="0"/>
    </w:pPr>
    <w:rPr>
      <w:color w:val="000000"/>
      <w:sz w:val="24"/>
      <w:szCs w:val="24"/>
      <w:lang w:eastAsia="fr-FR"/>
    </w:rPr>
  </w:style>
  <w:style w:type="table" w:styleId="Grilledutableau">
    <w:name w:val="Table Grid"/>
    <w:basedOn w:val="TableauNormal"/>
    <w:pPr>
      <w:suppressAutoHyphens/>
      <w:spacing w:line="240" w:lineRule="atLeast"/>
    </w:pPr>
    <w:rPr>
      <w:snapToGrid w:val="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pPr>
      <w:spacing w:line="240" w:lineRule="auto"/>
    </w:pPr>
    <w:rPr>
      <w:sz w:val="16"/>
      <w:szCs w:val="16"/>
    </w:rPr>
  </w:style>
  <w:style w:type="character" w:customStyle="1" w:styleId="CarCar">
    <w:name w:val="Car Car"/>
    <w:locked/>
    <w:rPr>
      <w:rFonts w:ascii="Times New Roman" w:hAnsi="Times New Roman"/>
      <w:sz w:val="16"/>
      <w:lang w:val="de-DE"/>
    </w:rPr>
  </w:style>
  <w:style w:type="paragraph" w:styleId="Rvision">
    <w:name w:val="Revision"/>
    <w:hidden/>
    <w:semiHidden/>
    <w:rPr>
      <w:snapToGrid w:val="0"/>
      <w:lang w:eastAsia="fr-FR"/>
    </w:rPr>
  </w:style>
  <w:style w:type="character" w:customStyle="1" w:styleId="H1GChar">
    <w:name w:val="_ H_1_G Char"/>
    <w:locked/>
    <w:rPr>
      <w:b/>
      <w:sz w:val="24"/>
      <w:lang w:val="de-DE"/>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style>
  <w:style w:type="paragraph" w:styleId="Objetducommentaire">
    <w:name w:val="annotation subject"/>
    <w:basedOn w:val="Commentaire"/>
    <w:next w:val="Commentaire"/>
    <w:semiHidden/>
    <w:rPr>
      <w:b/>
      <w:bCs/>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Times New Roman" w:hAnsi="Times New Roman" w:cs="Times New Roman"/>
      <w:noProof/>
      <w:color w:val="808080"/>
      <w:sz w:val="28"/>
    </w:rPr>
  </w:style>
  <w:style w:type="character" w:customStyle="1" w:styleId="tw4winInternal">
    <w:name w:val="tw4winInternal"/>
    <w:rPr>
      <w:rFonts w:ascii="Times New Roman" w:hAnsi="Times New Roman" w:cs="Times New Roman"/>
      <w:noProof/>
      <w:color w:val="FF0000"/>
      <w:sz w:val="28"/>
    </w:rPr>
  </w:style>
  <w:style w:type="character" w:customStyle="1" w:styleId="DONOTTRANSLATE">
    <w:name w:val="DO_NOT_TRANSLATE"/>
    <w:rPr>
      <w:rFonts w:ascii="Courier New" w:hAnsi="Courier New"/>
      <w:noProof/>
      <w:color w:val="800000"/>
    </w:rPr>
  </w:style>
  <w:style w:type="paragraph" w:styleId="Textebrut">
    <w:name w:val="Plain Text"/>
    <w:basedOn w:val="Normal"/>
    <w:link w:val="TextebrutCar"/>
    <w:uiPriority w:val="99"/>
    <w:unhideWhenUsed/>
    <w:rsid w:val="008D7F64"/>
    <w:pPr>
      <w:suppressAutoHyphens w:val="0"/>
      <w:spacing w:line="240" w:lineRule="auto"/>
    </w:pPr>
    <w:rPr>
      <w:rFonts w:ascii="Calibri" w:eastAsia="Calibri" w:hAnsi="Calibri"/>
      <w:snapToGrid/>
      <w:sz w:val="22"/>
      <w:szCs w:val="21"/>
      <w:lang w:eastAsia="en-US"/>
    </w:rPr>
  </w:style>
  <w:style w:type="character" w:customStyle="1" w:styleId="TextebrutCar">
    <w:name w:val="Texte brut Car"/>
    <w:link w:val="Textebrut"/>
    <w:uiPriority w:val="99"/>
    <w:rsid w:val="008D7F64"/>
    <w:rPr>
      <w:rFonts w:ascii="Calibri" w:eastAsia="Calibri" w:hAnsi="Calibri"/>
      <w:sz w:val="22"/>
      <w:szCs w:val="21"/>
      <w:lang w:eastAsia="en-US"/>
    </w:rPr>
  </w:style>
  <w:style w:type="character" w:customStyle="1" w:styleId="Titre1Car">
    <w:name w:val="Titre 1 Car"/>
    <w:aliases w:val="Table_G Car"/>
    <w:link w:val="Titre1"/>
    <w:uiPriority w:val="9"/>
    <w:rsid w:val="007746C7"/>
    <w:rPr>
      <w:snapToGrid w:val="0"/>
      <w:lang w:val="de-DE" w:eastAsia="fr-FR"/>
    </w:rPr>
  </w:style>
  <w:style w:type="character" w:customStyle="1" w:styleId="Titre2Car">
    <w:name w:val="Titre 2 Car"/>
    <w:link w:val="Titre2"/>
    <w:uiPriority w:val="9"/>
    <w:rsid w:val="007746C7"/>
    <w:rPr>
      <w:snapToGrid w:val="0"/>
      <w:lang w:val="de-DE" w:eastAsia="fr-FR"/>
    </w:rPr>
  </w:style>
  <w:style w:type="character" w:customStyle="1" w:styleId="Titre3Car">
    <w:name w:val="Titre 3 Car"/>
    <w:link w:val="Titre3"/>
    <w:uiPriority w:val="9"/>
    <w:rsid w:val="007746C7"/>
    <w:rPr>
      <w:snapToGrid w:val="0"/>
      <w:lang w:val="de-DE" w:eastAsia="fr-FR"/>
    </w:rPr>
  </w:style>
  <w:style w:type="character" w:customStyle="1" w:styleId="Titre4Car">
    <w:name w:val="Titre 4 Car"/>
    <w:link w:val="Titre4"/>
    <w:uiPriority w:val="9"/>
    <w:rsid w:val="007746C7"/>
    <w:rPr>
      <w:snapToGrid w:val="0"/>
      <w:lang w:val="de-DE" w:eastAsia="fr-FR"/>
    </w:rPr>
  </w:style>
  <w:style w:type="character" w:customStyle="1" w:styleId="Titre5Car">
    <w:name w:val="Titre 5 Car"/>
    <w:link w:val="Titre5"/>
    <w:uiPriority w:val="9"/>
    <w:rsid w:val="007746C7"/>
    <w:rPr>
      <w:snapToGrid w:val="0"/>
      <w:lang w:val="de-DE" w:eastAsia="fr-FR"/>
    </w:rPr>
  </w:style>
  <w:style w:type="character" w:customStyle="1" w:styleId="Titre6Car">
    <w:name w:val="Titre 6 Car"/>
    <w:link w:val="Titre6"/>
    <w:rsid w:val="007746C7"/>
    <w:rPr>
      <w:snapToGrid w:val="0"/>
      <w:lang w:val="de-DE" w:eastAsia="fr-FR"/>
    </w:rPr>
  </w:style>
  <w:style w:type="character" w:customStyle="1" w:styleId="Titre7Car">
    <w:name w:val="Titre 7 Car"/>
    <w:link w:val="Titre7"/>
    <w:uiPriority w:val="9"/>
    <w:rsid w:val="007746C7"/>
    <w:rPr>
      <w:snapToGrid w:val="0"/>
      <w:lang w:val="de-DE" w:eastAsia="fr-FR"/>
    </w:rPr>
  </w:style>
  <w:style w:type="character" w:customStyle="1" w:styleId="Titre8Car">
    <w:name w:val="Titre 8 Car"/>
    <w:link w:val="Titre8"/>
    <w:uiPriority w:val="9"/>
    <w:rsid w:val="007746C7"/>
    <w:rPr>
      <w:snapToGrid w:val="0"/>
      <w:lang w:val="de-DE" w:eastAsia="fr-FR"/>
    </w:rPr>
  </w:style>
  <w:style w:type="character" w:customStyle="1" w:styleId="Titre9Car">
    <w:name w:val="Titre 9 Car"/>
    <w:link w:val="Titre9"/>
    <w:uiPriority w:val="9"/>
    <w:rsid w:val="007746C7"/>
    <w:rPr>
      <w:snapToGrid w:val="0"/>
      <w:lang w:val="de-DE" w:eastAsia="fr-FR"/>
    </w:rPr>
  </w:style>
  <w:style w:type="paragraph" w:customStyle="1" w:styleId="ADN11">
    <w:name w:val="ADN_1_1"/>
    <w:basedOn w:val="Normal"/>
    <w:rsid w:val="007B2166"/>
    <w:pPr>
      <w:widowControl w:val="0"/>
      <w:suppressAutoHyphens w:val="0"/>
      <w:overflowPunct w:val="0"/>
      <w:autoSpaceDE w:val="0"/>
      <w:autoSpaceDN w:val="0"/>
      <w:adjustRightInd w:val="0"/>
      <w:ind w:left="1134" w:hanging="1134"/>
      <w:jc w:val="both"/>
      <w:textAlignment w:val="baseline"/>
    </w:pPr>
    <w:rPr>
      <w:rFonts w:ascii="Arial" w:hAnsi="Arial"/>
      <w:b/>
      <w:snapToGrid/>
      <w:sz w:val="18"/>
      <w:szCs w:val="18"/>
    </w:rPr>
  </w:style>
  <w:style w:type="paragraph" w:styleId="Paragraphedeliste">
    <w:name w:val="List Paragraph"/>
    <w:basedOn w:val="Normal"/>
    <w:uiPriority w:val="34"/>
    <w:qFormat/>
    <w:rsid w:val="00720875"/>
    <w:pPr>
      <w:ind w:left="720"/>
      <w:contextualSpacing/>
    </w:pPr>
  </w:style>
  <w:style w:type="character" w:customStyle="1" w:styleId="CommentaireCar">
    <w:name w:val="Commentaire Car"/>
    <w:basedOn w:val="Policepardfaut"/>
    <w:link w:val="Commentaire"/>
    <w:uiPriority w:val="99"/>
    <w:semiHidden/>
    <w:rsid w:val="001F2464"/>
    <w:rPr>
      <w:snapToGrid w:val="0"/>
      <w:lang w:val="de-DE" w:eastAsia="fr-FR"/>
    </w:rPr>
  </w:style>
  <w:style w:type="paragraph" w:styleId="NormalWeb">
    <w:name w:val="Normal (Web)"/>
    <w:basedOn w:val="Normal"/>
    <w:uiPriority w:val="99"/>
    <w:unhideWhenUsed/>
    <w:rsid w:val="00C153F5"/>
    <w:pPr>
      <w:suppressAutoHyphens w:val="0"/>
      <w:spacing w:before="100" w:beforeAutospacing="1" w:after="100" w:afterAutospacing="1" w:line="240" w:lineRule="auto"/>
    </w:pPr>
    <w:rPr>
      <w:snapToGrid/>
      <w:sz w:val="24"/>
      <w:szCs w:val="24"/>
      <w:lang w:eastAsia="zh-CN"/>
    </w:rPr>
  </w:style>
  <w:style w:type="character" w:customStyle="1" w:styleId="NotedebasdepageCar">
    <w:name w:val="Note de bas de page Car"/>
    <w:aliases w:val="5_G Car"/>
    <w:basedOn w:val="Policepardfaut"/>
    <w:link w:val="Notedebasdepage"/>
    <w:rsid w:val="003205B3"/>
    <w:rPr>
      <w:snapToGrid w:val="0"/>
      <w:sz w:val="18"/>
      <w:lang w:val="de-DE" w:eastAsia="fr-FR"/>
    </w:rPr>
  </w:style>
  <w:style w:type="table" w:customStyle="1" w:styleId="Grilledutableau1">
    <w:name w:val="Grille du tableau1"/>
    <w:basedOn w:val="TableauNormal"/>
    <w:next w:val="Grilledutableau"/>
    <w:rsid w:val="009F103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ranslatable">
    <w:name w:val="Translatable"/>
    <w:basedOn w:val="Policepardfaut"/>
    <w:rsid w:val="00067306"/>
    <w:rPr>
      <w:b/>
      <w:snapToGrid w:val="0"/>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332">
      <w:bodyDiv w:val="1"/>
      <w:marLeft w:val="0"/>
      <w:marRight w:val="0"/>
      <w:marTop w:val="0"/>
      <w:marBottom w:val="0"/>
      <w:divBdr>
        <w:top w:val="none" w:sz="0" w:space="0" w:color="auto"/>
        <w:left w:val="none" w:sz="0" w:space="0" w:color="auto"/>
        <w:bottom w:val="none" w:sz="0" w:space="0" w:color="auto"/>
        <w:right w:val="none" w:sz="0" w:space="0" w:color="auto"/>
      </w:divBdr>
    </w:div>
    <w:div w:id="27921804">
      <w:bodyDiv w:val="1"/>
      <w:marLeft w:val="0"/>
      <w:marRight w:val="0"/>
      <w:marTop w:val="0"/>
      <w:marBottom w:val="0"/>
      <w:divBdr>
        <w:top w:val="none" w:sz="0" w:space="0" w:color="auto"/>
        <w:left w:val="none" w:sz="0" w:space="0" w:color="auto"/>
        <w:bottom w:val="none" w:sz="0" w:space="0" w:color="auto"/>
        <w:right w:val="none" w:sz="0" w:space="0" w:color="auto"/>
      </w:divBdr>
    </w:div>
    <w:div w:id="254943302">
      <w:bodyDiv w:val="1"/>
      <w:marLeft w:val="0"/>
      <w:marRight w:val="0"/>
      <w:marTop w:val="0"/>
      <w:marBottom w:val="0"/>
      <w:divBdr>
        <w:top w:val="none" w:sz="0" w:space="0" w:color="auto"/>
        <w:left w:val="none" w:sz="0" w:space="0" w:color="auto"/>
        <w:bottom w:val="none" w:sz="0" w:space="0" w:color="auto"/>
        <w:right w:val="none" w:sz="0" w:space="0" w:color="auto"/>
      </w:divBdr>
    </w:div>
    <w:div w:id="432357212">
      <w:bodyDiv w:val="1"/>
      <w:marLeft w:val="0"/>
      <w:marRight w:val="0"/>
      <w:marTop w:val="0"/>
      <w:marBottom w:val="0"/>
      <w:divBdr>
        <w:top w:val="none" w:sz="0" w:space="0" w:color="auto"/>
        <w:left w:val="none" w:sz="0" w:space="0" w:color="auto"/>
        <w:bottom w:val="none" w:sz="0" w:space="0" w:color="auto"/>
        <w:right w:val="none" w:sz="0" w:space="0" w:color="auto"/>
      </w:divBdr>
    </w:div>
    <w:div w:id="471365945">
      <w:bodyDiv w:val="1"/>
      <w:marLeft w:val="0"/>
      <w:marRight w:val="0"/>
      <w:marTop w:val="0"/>
      <w:marBottom w:val="0"/>
      <w:divBdr>
        <w:top w:val="none" w:sz="0" w:space="0" w:color="auto"/>
        <w:left w:val="none" w:sz="0" w:space="0" w:color="auto"/>
        <w:bottom w:val="none" w:sz="0" w:space="0" w:color="auto"/>
        <w:right w:val="none" w:sz="0" w:space="0" w:color="auto"/>
      </w:divBdr>
    </w:div>
    <w:div w:id="522861919">
      <w:bodyDiv w:val="1"/>
      <w:marLeft w:val="0"/>
      <w:marRight w:val="0"/>
      <w:marTop w:val="0"/>
      <w:marBottom w:val="0"/>
      <w:divBdr>
        <w:top w:val="none" w:sz="0" w:space="0" w:color="auto"/>
        <w:left w:val="none" w:sz="0" w:space="0" w:color="auto"/>
        <w:bottom w:val="none" w:sz="0" w:space="0" w:color="auto"/>
        <w:right w:val="none" w:sz="0" w:space="0" w:color="auto"/>
      </w:divBdr>
    </w:div>
    <w:div w:id="706374674">
      <w:bodyDiv w:val="1"/>
      <w:marLeft w:val="0"/>
      <w:marRight w:val="0"/>
      <w:marTop w:val="0"/>
      <w:marBottom w:val="0"/>
      <w:divBdr>
        <w:top w:val="none" w:sz="0" w:space="0" w:color="auto"/>
        <w:left w:val="none" w:sz="0" w:space="0" w:color="auto"/>
        <w:bottom w:val="none" w:sz="0" w:space="0" w:color="auto"/>
        <w:right w:val="none" w:sz="0" w:space="0" w:color="auto"/>
      </w:divBdr>
    </w:div>
    <w:div w:id="707149326">
      <w:bodyDiv w:val="1"/>
      <w:marLeft w:val="0"/>
      <w:marRight w:val="0"/>
      <w:marTop w:val="0"/>
      <w:marBottom w:val="0"/>
      <w:divBdr>
        <w:top w:val="none" w:sz="0" w:space="0" w:color="auto"/>
        <w:left w:val="none" w:sz="0" w:space="0" w:color="auto"/>
        <w:bottom w:val="none" w:sz="0" w:space="0" w:color="auto"/>
        <w:right w:val="none" w:sz="0" w:space="0" w:color="auto"/>
      </w:divBdr>
    </w:div>
    <w:div w:id="1194462551">
      <w:bodyDiv w:val="1"/>
      <w:marLeft w:val="0"/>
      <w:marRight w:val="0"/>
      <w:marTop w:val="0"/>
      <w:marBottom w:val="0"/>
      <w:divBdr>
        <w:top w:val="none" w:sz="0" w:space="0" w:color="auto"/>
        <w:left w:val="none" w:sz="0" w:space="0" w:color="auto"/>
        <w:bottom w:val="none" w:sz="0" w:space="0" w:color="auto"/>
        <w:right w:val="none" w:sz="0" w:space="0" w:color="auto"/>
      </w:divBdr>
    </w:div>
    <w:div w:id="1820463668">
      <w:bodyDiv w:val="1"/>
      <w:marLeft w:val="0"/>
      <w:marRight w:val="0"/>
      <w:marTop w:val="0"/>
      <w:marBottom w:val="0"/>
      <w:divBdr>
        <w:top w:val="none" w:sz="0" w:space="0" w:color="auto"/>
        <w:left w:val="none" w:sz="0" w:space="0" w:color="auto"/>
        <w:bottom w:val="none" w:sz="0" w:space="0" w:color="auto"/>
        <w:right w:val="none" w:sz="0" w:space="0" w:color="auto"/>
      </w:divBdr>
    </w:div>
    <w:div w:id="1942178702">
      <w:bodyDiv w:val="1"/>
      <w:marLeft w:val="0"/>
      <w:marRight w:val="0"/>
      <w:marTop w:val="0"/>
      <w:marBottom w:val="0"/>
      <w:divBdr>
        <w:top w:val="none" w:sz="0" w:space="0" w:color="auto"/>
        <w:left w:val="none" w:sz="0" w:space="0" w:color="auto"/>
        <w:bottom w:val="none" w:sz="0" w:space="0" w:color="auto"/>
        <w:right w:val="none" w:sz="0" w:space="0" w:color="auto"/>
      </w:divBdr>
    </w:div>
    <w:div w:id="2045599424">
      <w:bodyDiv w:val="1"/>
      <w:marLeft w:val="0"/>
      <w:marRight w:val="0"/>
      <w:marTop w:val="0"/>
      <w:marBottom w:val="0"/>
      <w:divBdr>
        <w:top w:val="none" w:sz="0" w:space="0" w:color="auto"/>
        <w:left w:val="none" w:sz="0" w:space="0" w:color="auto"/>
        <w:bottom w:val="none" w:sz="0" w:space="0" w:color="auto"/>
        <w:right w:val="none" w:sz="0" w:space="0" w:color="auto"/>
      </w:divBdr>
    </w:div>
    <w:div w:id="213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0D694DE-F3F8-4931-851D-9B6C8AA49245}">
  <ds:schemaRefs>
    <ds:schemaRef ds:uri="http://schemas.openxmlformats.org/officeDocument/2006/bibliography"/>
  </ds:schemaRefs>
</ds:datastoreItem>
</file>

<file path=customXml/itemProps2.xml><?xml version="1.0" encoding="utf-8"?>
<ds:datastoreItem xmlns:ds="http://schemas.openxmlformats.org/officeDocument/2006/customXml" ds:itemID="{B2230583-F5A1-49A1-BE5E-1F4544B79AC2}"/>
</file>

<file path=customXml/itemProps3.xml><?xml version="1.0" encoding="utf-8"?>
<ds:datastoreItem xmlns:ds="http://schemas.openxmlformats.org/officeDocument/2006/customXml" ds:itemID="{6DD61B3A-8249-4F85-A2BA-75DD1F181519}"/>
</file>

<file path=customXml/itemProps4.xml><?xml version="1.0" encoding="utf-8"?>
<ds:datastoreItem xmlns:ds="http://schemas.openxmlformats.org/officeDocument/2006/customXml" ds:itemID="{6FCCD94B-4E59-4076-B99F-9C77ED0B39BE}"/>
</file>

<file path=docProps/app.xml><?xml version="1.0" encoding="utf-8"?>
<Properties xmlns="http://schemas.openxmlformats.org/officeDocument/2006/extended-properties" xmlns:vt="http://schemas.openxmlformats.org/officeDocument/2006/docPropsVTypes">
  <Template>Normal</Template>
  <TotalTime>0</TotalTime>
  <Pages>5</Pages>
  <Words>1731</Words>
  <Characters>11147</Characters>
  <Application>Microsoft Office Word</Application>
  <DocSecurity>0</DocSecurity>
  <Lines>92</Lines>
  <Paragraphs>25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ECE/TRANS/WP.15/AC.2/2011/20</vt:lpstr>
      <vt:lpstr>ECE/TRANS/WP.15/AC.2/2011/20</vt:lpstr>
      <vt:lpstr>ECE/TRANS/WP.15/AC.2/2011/20</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die zweite Sitzung der Informellen Arbeitsgruppe „Instruktion für die Lade- und Löschraten“</dc:title>
  <dc:subject/>
  <dc:creator>Martine Moench</dc:creator>
  <cp:lastModifiedBy>Martine Moench</cp:lastModifiedBy>
  <cp:revision>2</cp:revision>
  <cp:lastPrinted>2022-05-10T09:41:00Z</cp:lastPrinted>
  <dcterms:created xsi:type="dcterms:W3CDTF">2023-06-23T15:26:00Z</dcterms:created>
  <dcterms:modified xsi:type="dcterms:W3CDTF">2023-06-23T15:26:00Z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ACKERMK@BASFAD.BASF.NET</vt:lpwstr>
  </property>
  <property fmtid="{D5CDD505-2E9C-101B-9397-08002B2CF9AE}" pid="5" name="MSIP_Label_c8c00982-80e1-41e6-a03a-12f4ca954faf_SetDate">
    <vt:lpwstr>2021-07-02T11:33:23.5877585Z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494fc9a7-ab4d-4ce8-aa8f-9a33c01d37db</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ACKERMK@BASFAD.BASF.NET</vt:lpwstr>
  </property>
  <property fmtid="{D5CDD505-2E9C-101B-9397-08002B2CF9AE}" pid="13" name="MSIP_Label_06530cf4-8573-4c29-a912-bbcdac835909_SetDate">
    <vt:lpwstr>2021-07-02T11:33:23.5877585Z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494fc9a7-ab4d-4ce8-aa8f-9a33c01d37db</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Sensitivity">
    <vt:lpwstr>Internal Unprotected</vt:lpwstr>
  </property>
  <property fmtid="{D5CDD505-2E9C-101B-9397-08002B2CF9AE}" pid="20" name="Classification_to_AIP">
    <vt:i4>0</vt:i4>
  </property>
  <property fmtid="{D5CDD505-2E9C-101B-9397-08002B2CF9AE}" pid="21" name="_ReviewCycleID">
    <vt:i4>183522599</vt:i4>
  </property>
  <property fmtid="{D5CDD505-2E9C-101B-9397-08002B2CF9AE}" pid="22" name="_NewReviewCycle">
    <vt:lpwstr/>
  </property>
  <property fmtid="{D5CDD505-2E9C-101B-9397-08002B2CF9AE}" pid="23" name="ContentTypeId">
    <vt:lpwstr>0x0101003B8422D08C252547BB1CFA7F78E2CB83</vt:lpwstr>
  </property>
</Properties>
</file>