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DFDB9E" w14:textId="77777777" w:rsidTr="00B20551">
        <w:trPr>
          <w:cantSplit/>
          <w:trHeight w:hRule="exact" w:val="851"/>
        </w:trPr>
        <w:tc>
          <w:tcPr>
            <w:tcW w:w="1276" w:type="dxa"/>
            <w:tcBorders>
              <w:bottom w:val="single" w:sz="4" w:space="0" w:color="auto"/>
            </w:tcBorders>
            <w:vAlign w:val="bottom"/>
          </w:tcPr>
          <w:p w14:paraId="6B2961F6" w14:textId="77777777" w:rsidR="009E6CB7" w:rsidRDefault="009E6CB7" w:rsidP="00B20551">
            <w:pPr>
              <w:spacing w:after="80"/>
            </w:pPr>
          </w:p>
        </w:tc>
        <w:tc>
          <w:tcPr>
            <w:tcW w:w="2268" w:type="dxa"/>
            <w:tcBorders>
              <w:bottom w:val="single" w:sz="4" w:space="0" w:color="auto"/>
            </w:tcBorders>
            <w:vAlign w:val="bottom"/>
          </w:tcPr>
          <w:p w14:paraId="2D9FFEF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065460" w14:textId="1B284DA0" w:rsidR="009E6CB7" w:rsidRPr="00D47EEA" w:rsidRDefault="00005146" w:rsidP="00005146">
            <w:pPr>
              <w:jc w:val="right"/>
            </w:pPr>
            <w:r w:rsidRPr="00005146">
              <w:rPr>
                <w:sz w:val="40"/>
              </w:rPr>
              <w:t>ECE</w:t>
            </w:r>
            <w:r>
              <w:t>/MP.EIA/IC/2023/7</w:t>
            </w:r>
          </w:p>
        </w:tc>
      </w:tr>
      <w:tr w:rsidR="009E6CB7" w14:paraId="3D10EAFA" w14:textId="77777777" w:rsidTr="00B20551">
        <w:trPr>
          <w:cantSplit/>
          <w:trHeight w:hRule="exact" w:val="2835"/>
        </w:trPr>
        <w:tc>
          <w:tcPr>
            <w:tcW w:w="1276" w:type="dxa"/>
            <w:tcBorders>
              <w:top w:val="single" w:sz="4" w:space="0" w:color="auto"/>
              <w:bottom w:val="single" w:sz="12" w:space="0" w:color="auto"/>
            </w:tcBorders>
          </w:tcPr>
          <w:p w14:paraId="3DF8EFE0" w14:textId="77777777" w:rsidR="009E6CB7" w:rsidRDefault="00686A48" w:rsidP="00B20551">
            <w:pPr>
              <w:spacing w:before="120"/>
            </w:pPr>
            <w:r>
              <w:rPr>
                <w:noProof/>
                <w:lang w:val="fr-CH" w:eastAsia="fr-CH"/>
              </w:rPr>
              <w:drawing>
                <wp:inline distT="0" distB="0" distL="0" distR="0" wp14:anchorId="773A8760" wp14:editId="1B6875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17360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29E0B4" w14:textId="77777777" w:rsidR="009E6CB7" w:rsidRDefault="00005146" w:rsidP="00005146">
            <w:pPr>
              <w:spacing w:before="240" w:line="240" w:lineRule="exact"/>
            </w:pPr>
            <w:r>
              <w:t>Distr.: General</w:t>
            </w:r>
          </w:p>
          <w:p w14:paraId="57317BAC" w14:textId="10987EB8" w:rsidR="00005146" w:rsidRDefault="00372518" w:rsidP="00005146">
            <w:pPr>
              <w:spacing w:line="240" w:lineRule="exact"/>
            </w:pPr>
            <w:r>
              <w:t>30</w:t>
            </w:r>
            <w:r w:rsidR="00005146">
              <w:t xml:space="preserve"> May 2023</w:t>
            </w:r>
          </w:p>
          <w:p w14:paraId="77183E75" w14:textId="77777777" w:rsidR="00005146" w:rsidRDefault="00005146" w:rsidP="00005146">
            <w:pPr>
              <w:spacing w:line="240" w:lineRule="exact"/>
            </w:pPr>
          </w:p>
          <w:p w14:paraId="1F8143C0" w14:textId="07B96DBA" w:rsidR="00005146" w:rsidRDefault="00005146" w:rsidP="00005146">
            <w:pPr>
              <w:spacing w:line="240" w:lineRule="exact"/>
            </w:pPr>
            <w:r>
              <w:t>English</w:t>
            </w:r>
            <w:r w:rsidR="00BC41BF">
              <w:t xml:space="preserve"> only</w:t>
            </w:r>
          </w:p>
        </w:tc>
      </w:tr>
    </w:tbl>
    <w:p w14:paraId="2CA7CE43" w14:textId="77777777" w:rsidR="00005146" w:rsidRPr="00FA03D5" w:rsidRDefault="00005146" w:rsidP="009E5A6B">
      <w:pPr>
        <w:spacing w:before="120"/>
        <w:rPr>
          <w:b/>
          <w:sz w:val="28"/>
          <w:szCs w:val="28"/>
        </w:rPr>
      </w:pPr>
      <w:r w:rsidRPr="00FA03D5">
        <w:rPr>
          <w:b/>
          <w:sz w:val="28"/>
          <w:szCs w:val="28"/>
        </w:rPr>
        <w:t>Economic Commission for Europe</w:t>
      </w:r>
    </w:p>
    <w:p w14:paraId="3CA0ABA5" w14:textId="77777777" w:rsidR="00005146" w:rsidRPr="00FA03D5" w:rsidRDefault="00005146"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7AE5A178" w14:textId="77777777" w:rsidR="00005146" w:rsidRPr="00FA03D5" w:rsidRDefault="00005146"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56707234" w14:textId="77777777" w:rsidR="00005146" w:rsidRPr="004D2832" w:rsidRDefault="00005146" w:rsidP="009E5A6B">
      <w:pPr>
        <w:spacing w:before="120"/>
        <w:rPr>
          <w:b/>
          <w:sz w:val="24"/>
          <w:szCs w:val="24"/>
        </w:rPr>
      </w:pPr>
      <w:r w:rsidRPr="00EC308D">
        <w:rPr>
          <w:b/>
          <w:sz w:val="24"/>
          <w:szCs w:val="24"/>
        </w:rPr>
        <w:t>Implementation</w:t>
      </w:r>
      <w:r w:rsidRPr="004D2832">
        <w:rPr>
          <w:b/>
          <w:sz w:val="24"/>
          <w:szCs w:val="24"/>
        </w:rPr>
        <w:t xml:space="preserve"> Committee</w:t>
      </w:r>
    </w:p>
    <w:p w14:paraId="4A35786C" w14:textId="77777777" w:rsidR="00BC41BF" w:rsidRPr="007314BE" w:rsidRDefault="00BC41BF" w:rsidP="00BC41BF">
      <w:pPr>
        <w:suppressAutoHyphens/>
        <w:spacing w:before="120"/>
        <w:rPr>
          <w:b/>
        </w:rPr>
      </w:pPr>
      <w:r w:rsidRPr="007314BE">
        <w:rPr>
          <w:b/>
        </w:rPr>
        <w:t>Fifty-s</w:t>
      </w:r>
      <w:r>
        <w:rPr>
          <w:b/>
        </w:rPr>
        <w:t>eventh</w:t>
      </w:r>
      <w:r w:rsidRPr="007314BE">
        <w:rPr>
          <w:b/>
        </w:rPr>
        <w:t xml:space="preserve"> session</w:t>
      </w:r>
    </w:p>
    <w:p w14:paraId="0059B289" w14:textId="77777777" w:rsidR="00BC41BF" w:rsidRPr="007314BE" w:rsidRDefault="00BC41BF" w:rsidP="00BC41BF">
      <w:pPr>
        <w:suppressAutoHyphens/>
      </w:pPr>
      <w:r w:rsidRPr="007314BE">
        <w:t>Geneva, 2</w:t>
      </w:r>
      <w:r>
        <w:t>9 August</w:t>
      </w:r>
      <w:r w:rsidRPr="007314BE">
        <w:t>–</w:t>
      </w:r>
      <w:r>
        <w:t>1 September</w:t>
      </w:r>
      <w:r w:rsidRPr="007314BE">
        <w:t xml:space="preserve"> 2023</w:t>
      </w:r>
    </w:p>
    <w:p w14:paraId="0C22E972" w14:textId="77777777" w:rsidR="00BC41BF" w:rsidRPr="007314BE" w:rsidRDefault="00BC41BF" w:rsidP="00BC41BF">
      <w:pPr>
        <w:suppressAutoHyphens/>
      </w:pPr>
      <w:r w:rsidRPr="007314BE">
        <w:t>Item 1 of the provisional agenda</w:t>
      </w:r>
    </w:p>
    <w:p w14:paraId="32626C52" w14:textId="77777777" w:rsidR="00BC41BF" w:rsidRPr="007314BE" w:rsidRDefault="00BC41BF" w:rsidP="00BC41BF">
      <w:pPr>
        <w:suppressAutoHyphens/>
        <w:rPr>
          <w:b/>
          <w:bCs/>
        </w:rPr>
      </w:pPr>
      <w:r w:rsidRPr="007314BE">
        <w:rPr>
          <w:b/>
          <w:bCs/>
        </w:rPr>
        <w:t>Adoption of the agenda</w:t>
      </w:r>
    </w:p>
    <w:p w14:paraId="04E24699" w14:textId="77777777" w:rsidR="00BC41BF" w:rsidRPr="007314BE" w:rsidRDefault="00BC41BF" w:rsidP="00BC41BF">
      <w:pPr>
        <w:pStyle w:val="HChG"/>
      </w:pPr>
      <w:r w:rsidRPr="007314BE">
        <w:tab/>
      </w:r>
      <w:r w:rsidRPr="007314BE">
        <w:tab/>
      </w:r>
      <w:r w:rsidRPr="00BC41BF">
        <w:t>Annotated</w:t>
      </w:r>
      <w:r w:rsidRPr="007314BE">
        <w:t xml:space="preserve"> provisional agenda for the fifty-s</w:t>
      </w:r>
      <w:r>
        <w:t>even</w:t>
      </w:r>
      <w:r w:rsidRPr="007314BE">
        <w:t>th session</w:t>
      </w:r>
    </w:p>
    <w:p w14:paraId="77BB0461" w14:textId="77777777" w:rsidR="00BC41BF" w:rsidRDefault="00BC41BF" w:rsidP="00BC41BF">
      <w:pPr>
        <w:pStyle w:val="H1G"/>
      </w:pPr>
      <w:r w:rsidRPr="007314BE">
        <w:tab/>
      </w:r>
      <w:r w:rsidRPr="007314BE">
        <w:tab/>
        <w:t>To be held at the Palais des Nations, Geneva, starting at 10 a.m.</w:t>
      </w:r>
      <w:r w:rsidRPr="007314BE">
        <w:br/>
        <w:t>on Tuesday, 2</w:t>
      </w:r>
      <w:r>
        <w:t>9</w:t>
      </w:r>
      <w:r w:rsidRPr="007314BE">
        <w:t xml:space="preserve"> </w:t>
      </w:r>
      <w:r>
        <w:t>August</w:t>
      </w:r>
      <w:r w:rsidRPr="007314BE">
        <w:t xml:space="preserve"> 2023</w:t>
      </w:r>
      <w:r w:rsidRPr="003B5523">
        <w:rPr>
          <w:b w:val="0"/>
          <w:bCs/>
          <w:vertAlign w:val="superscript"/>
        </w:rPr>
        <w:footnoteReference w:customMarkFollows="1" w:id="2"/>
        <w:t>*</w:t>
      </w:r>
    </w:p>
    <w:p w14:paraId="3ED3533C" w14:textId="4A08C9E4" w:rsidR="00BC41BF" w:rsidRPr="007314BE" w:rsidRDefault="00BC41BF" w:rsidP="00BC41BF">
      <w:pPr>
        <w:pStyle w:val="HChG"/>
      </w:pPr>
      <w:r>
        <w:tab/>
      </w:r>
      <w:r w:rsidRPr="007314BE">
        <w:t>I.</w:t>
      </w:r>
      <w:r w:rsidRPr="007314BE">
        <w:tab/>
        <w:t>Provisional agenda</w:t>
      </w:r>
    </w:p>
    <w:p w14:paraId="4C2D0BE6" w14:textId="77777777" w:rsidR="00BC41BF" w:rsidRPr="007314BE" w:rsidRDefault="00BC41BF" w:rsidP="00BC41BF">
      <w:pPr>
        <w:pStyle w:val="SingleTxtG"/>
      </w:pPr>
      <w:r w:rsidRPr="007314BE">
        <w:t>1.</w:t>
      </w:r>
      <w:r w:rsidRPr="007314BE">
        <w:tab/>
        <w:t>Adoption of the agenda.</w:t>
      </w:r>
    </w:p>
    <w:p w14:paraId="772E4DFE" w14:textId="77777777" w:rsidR="00BC41BF" w:rsidRPr="007314BE" w:rsidRDefault="00BC41BF" w:rsidP="00BC41BF">
      <w:pPr>
        <w:pStyle w:val="SingleTxtG"/>
      </w:pPr>
      <w:r w:rsidRPr="007314BE">
        <w:t>2.</w:t>
      </w:r>
      <w:r w:rsidRPr="007314BE">
        <w:tab/>
        <w:t>Preparations for the next sessions of the Meetings of the Parties</w:t>
      </w:r>
      <w:r>
        <w:t>.</w:t>
      </w:r>
    </w:p>
    <w:p w14:paraId="46730880" w14:textId="77777777" w:rsidR="00BC41BF" w:rsidRPr="007314BE" w:rsidRDefault="00BC41BF" w:rsidP="00BC41BF">
      <w:pPr>
        <w:pStyle w:val="SingleTxtG"/>
      </w:pPr>
      <w:r w:rsidRPr="007314BE">
        <w:t>3.</w:t>
      </w:r>
      <w:r w:rsidRPr="007314BE">
        <w:tab/>
        <w:t>Follow-up to decisions VIII/4 a–</w:t>
      </w:r>
      <w:r>
        <w:t>e</w:t>
      </w:r>
      <w:r w:rsidRPr="007314BE">
        <w:t>.</w:t>
      </w:r>
    </w:p>
    <w:p w14:paraId="461A00D3" w14:textId="77777777" w:rsidR="00BC41BF" w:rsidRPr="007314BE" w:rsidRDefault="00BC41BF" w:rsidP="00BC41BF">
      <w:pPr>
        <w:pStyle w:val="SingleTxtG"/>
      </w:pPr>
      <w:r w:rsidRPr="007314BE">
        <w:t>4.</w:t>
      </w:r>
      <w:r w:rsidRPr="007314BE">
        <w:tab/>
        <w:t>Submissions.</w:t>
      </w:r>
    </w:p>
    <w:p w14:paraId="6E9E6ED3" w14:textId="77777777" w:rsidR="00BC41BF" w:rsidRPr="007314BE" w:rsidRDefault="00BC41BF" w:rsidP="00BC41BF">
      <w:pPr>
        <w:pStyle w:val="SingleTxtG"/>
      </w:pPr>
      <w:r w:rsidRPr="007314BE">
        <w:t>5.</w:t>
      </w:r>
      <w:r w:rsidRPr="007314BE">
        <w:tab/>
        <w:t>Committee initiatives.</w:t>
      </w:r>
    </w:p>
    <w:p w14:paraId="4F0E7C21" w14:textId="77777777" w:rsidR="00BC41BF" w:rsidRPr="007314BE" w:rsidRDefault="00BC41BF" w:rsidP="00BC41BF">
      <w:pPr>
        <w:pStyle w:val="SingleTxtG"/>
      </w:pPr>
      <w:r w:rsidRPr="007314BE">
        <w:t>6.</w:t>
      </w:r>
      <w:r w:rsidRPr="007314BE">
        <w:tab/>
        <w:t>Information gathering.</w:t>
      </w:r>
    </w:p>
    <w:p w14:paraId="79BCD1FB" w14:textId="77777777" w:rsidR="00BC41BF" w:rsidRPr="007314BE" w:rsidRDefault="00BC41BF" w:rsidP="00BC41BF">
      <w:pPr>
        <w:pStyle w:val="SingleTxtG"/>
      </w:pPr>
      <w:r w:rsidRPr="007314BE">
        <w:t>7.</w:t>
      </w:r>
      <w:r w:rsidRPr="007314BE">
        <w:tab/>
        <w:t>Review of implementation.</w:t>
      </w:r>
    </w:p>
    <w:p w14:paraId="5BD07BC6" w14:textId="77777777" w:rsidR="00BC41BF" w:rsidRPr="007314BE" w:rsidRDefault="00BC41BF" w:rsidP="00BC41BF">
      <w:pPr>
        <w:pStyle w:val="SingleTxtG"/>
      </w:pPr>
      <w:r w:rsidRPr="007314BE">
        <w:t>8.</w:t>
      </w:r>
      <w:r w:rsidRPr="007314BE">
        <w:tab/>
        <w:t>Structure, functions and operating rules.</w:t>
      </w:r>
    </w:p>
    <w:p w14:paraId="682942DA" w14:textId="77777777" w:rsidR="00BC41BF" w:rsidRPr="007314BE" w:rsidRDefault="00BC41BF" w:rsidP="00BC41BF">
      <w:pPr>
        <w:pStyle w:val="SingleTxtG"/>
      </w:pPr>
      <w:r w:rsidRPr="007314BE">
        <w:lastRenderedPageBreak/>
        <w:t>9.</w:t>
      </w:r>
      <w:r w:rsidRPr="007314BE">
        <w:tab/>
        <w:t>Other business.</w:t>
      </w:r>
    </w:p>
    <w:p w14:paraId="11F6A2EE" w14:textId="77777777" w:rsidR="00BC41BF" w:rsidRPr="007314BE" w:rsidRDefault="00BC41BF" w:rsidP="00BC41BF">
      <w:pPr>
        <w:pStyle w:val="SingleTxtG"/>
      </w:pPr>
      <w:r w:rsidRPr="007314BE">
        <w:t>10.</w:t>
      </w:r>
      <w:r w:rsidRPr="007314BE">
        <w:tab/>
        <w:t>Presentation of the main decisions taken and closing of the session.</w:t>
      </w:r>
    </w:p>
    <w:p w14:paraId="3DD52FFF" w14:textId="77777777" w:rsidR="00BC41BF" w:rsidRPr="007314BE" w:rsidRDefault="00BC41BF" w:rsidP="00BC41BF">
      <w:pPr>
        <w:pStyle w:val="HChG"/>
      </w:pPr>
      <w:r w:rsidRPr="007314BE">
        <w:tab/>
        <w:t>II.</w:t>
      </w:r>
      <w:r w:rsidRPr="007314BE">
        <w:tab/>
        <w:t>Annotations to the provisional agenda</w:t>
      </w:r>
    </w:p>
    <w:p w14:paraId="369F1192" w14:textId="77777777" w:rsidR="00BC41BF" w:rsidRPr="007314BE" w:rsidRDefault="00BC41BF" w:rsidP="00BC41BF">
      <w:pPr>
        <w:pStyle w:val="H1G"/>
      </w:pPr>
      <w:r w:rsidRPr="007314BE">
        <w:tab/>
        <w:t>1.</w:t>
      </w:r>
      <w:r w:rsidRPr="007314BE">
        <w:tab/>
        <w:t>Adoption of the agenda</w:t>
      </w:r>
    </w:p>
    <w:p w14:paraId="0F71CFE8" w14:textId="77777777" w:rsidR="00BC41BF" w:rsidRPr="007314BE" w:rsidRDefault="00BC41BF" w:rsidP="00BC41BF">
      <w:pPr>
        <w:pStyle w:val="SingleTxtG"/>
      </w:pPr>
      <w:r w:rsidRPr="007314BE">
        <w:t>1.</w:t>
      </w:r>
      <w:r w:rsidRPr="007314BE">
        <w:tab/>
        <w:t>The present provisional agenda was prepared by the secretariat to the Convention on Environmental Impact Assessment in a Transboundary Context (Espoo Convention) and its Protocol on Strategic Environmental Assessment in agreement with the Implementation Committee Chair, in accordance with rule 9 of the Implementation Committee’s operating rules.</w:t>
      </w:r>
      <w:r w:rsidRPr="007314BE">
        <w:rPr>
          <w:sz w:val="18"/>
          <w:vertAlign w:val="superscript"/>
        </w:rPr>
        <w:footnoteReference w:id="3"/>
      </w:r>
      <w:r w:rsidRPr="007314BE">
        <w:t xml:space="preserve"> The Implementation Committee under the Convention and the Protocol will be invited to adopt the present agenda.</w:t>
      </w:r>
    </w:p>
    <w:p w14:paraId="1C419DCC" w14:textId="77777777" w:rsidR="00BC41BF" w:rsidRPr="007314BE" w:rsidRDefault="00BC41BF" w:rsidP="00BC41BF">
      <w:pPr>
        <w:pStyle w:val="H1G"/>
      </w:pPr>
      <w:r w:rsidRPr="007314BE">
        <w:tab/>
        <w:t>2.</w:t>
      </w:r>
      <w:r w:rsidRPr="007314BE">
        <w:tab/>
      </w:r>
      <w:r w:rsidRPr="007314BE">
        <w:tab/>
        <w:t>Preparations for the next sessions of the Meetings of the Parties</w:t>
      </w:r>
    </w:p>
    <w:p w14:paraId="1C4F5C86" w14:textId="77777777" w:rsidR="00BC41BF" w:rsidRPr="007314BE" w:rsidRDefault="00BC41BF" w:rsidP="00BC41BF">
      <w:pPr>
        <w:pStyle w:val="SingleTxtG"/>
      </w:pPr>
      <w:r w:rsidRPr="007314BE">
        <w:t>2.</w:t>
      </w:r>
      <w:r w:rsidRPr="007314BE">
        <w:tab/>
        <w:t xml:space="preserve">Discussions under agenda item 2 will not be open to observers, unless the Committee decides otherwise, </w:t>
      </w:r>
      <w:proofErr w:type="gramStart"/>
      <w:r w:rsidRPr="007314BE">
        <w:t>further</w:t>
      </w:r>
      <w:proofErr w:type="gramEnd"/>
      <w:r w:rsidRPr="007314BE">
        <w:t xml:space="preserve"> to rule 17 (1) of </w:t>
      </w:r>
      <w:r>
        <w:t>its</w:t>
      </w:r>
      <w:r w:rsidRPr="007314BE">
        <w:t xml:space="preserve"> operating rules.</w:t>
      </w:r>
      <w:r>
        <w:t xml:space="preserve"> </w:t>
      </w:r>
      <w:bookmarkStart w:id="0" w:name="_Hlk8833563"/>
    </w:p>
    <w:bookmarkEnd w:id="0"/>
    <w:p w14:paraId="2B9D4A1C" w14:textId="77777777" w:rsidR="00BC41BF" w:rsidRPr="007314BE" w:rsidRDefault="00BC41BF" w:rsidP="00BC41BF">
      <w:pPr>
        <w:pStyle w:val="SingleTxtG"/>
      </w:pPr>
      <w:r w:rsidRPr="007314BE">
        <w:t>3.</w:t>
      </w:r>
      <w:r w:rsidRPr="007314BE">
        <w:tab/>
        <w:t>In accordance with its structure and functions</w:t>
      </w:r>
      <w:r w:rsidRPr="007314BE">
        <w:rPr>
          <w:sz w:val="18"/>
          <w:vertAlign w:val="superscript"/>
        </w:rPr>
        <w:footnoteReference w:id="4"/>
      </w:r>
      <w:r w:rsidRPr="007314BE">
        <w:t xml:space="preserve"> and its operating rules, the Committee is expected to continue</w:t>
      </w:r>
      <w:r>
        <w:t xml:space="preserve"> and finalize</w:t>
      </w:r>
      <w:r w:rsidRPr="007314BE">
        <w:t xml:space="preserve"> its preparations for the ninth session of the Meeting of the Parties to the Convention and the fifth session of the Meeting of the Parties to the Convention serving as the Meeting of the Parties to the Protocol (Geneva, 12–15 December 2023). </w:t>
      </w:r>
      <w:r>
        <w:t>In particular, the Committee is expected to complete the Committee’s report on its activities during the 2021–2023 intersessional period and to finalize</w:t>
      </w:r>
      <w:r w:rsidRPr="007314BE">
        <w:t xml:space="preserve"> the draft decisions on the review of compliance with the Convention and the Protocol, </w:t>
      </w:r>
      <w:r>
        <w:t>considering possible comments from the delegations at the twelfth meeting of the Working Group on Environmental Impact Assessment and Strategic Environmental Assessment (Geneva, 13</w:t>
      </w:r>
      <w:r w:rsidRPr="007314BE">
        <w:t>–</w:t>
      </w:r>
      <w:r>
        <w:t xml:space="preserve">15 June 2023) and any other information received, as it deems appropriate.  </w:t>
      </w:r>
    </w:p>
    <w:p w14:paraId="4C30EE4F" w14:textId="77777777" w:rsidR="00BC41BF" w:rsidRPr="007314BE" w:rsidRDefault="00BC41BF" w:rsidP="00BC41BF">
      <w:pPr>
        <w:pStyle w:val="H1G"/>
      </w:pPr>
      <w:r w:rsidRPr="007314BE">
        <w:tab/>
        <w:t>3.</w:t>
      </w:r>
      <w:r w:rsidRPr="007314BE">
        <w:tab/>
        <w:t>Follow-up to decisions VIII/4 a–</w:t>
      </w:r>
      <w:r>
        <w:t>e</w:t>
      </w:r>
      <w:r w:rsidRPr="007314BE">
        <w:rPr>
          <w:b w:val="0"/>
          <w:bCs/>
          <w:sz w:val="18"/>
          <w:vertAlign w:val="superscript"/>
        </w:rPr>
        <w:footnoteReference w:id="5"/>
      </w:r>
    </w:p>
    <w:p w14:paraId="0C333A3F" w14:textId="77777777" w:rsidR="00BC41BF" w:rsidRPr="007314BE" w:rsidRDefault="00BC41BF" w:rsidP="00BC41BF">
      <w:pPr>
        <w:pStyle w:val="SingleTxtG"/>
      </w:pPr>
      <w:r w:rsidRPr="007314BE">
        <w:t>4.</w:t>
      </w:r>
      <w:r w:rsidRPr="007314BE">
        <w:tab/>
        <w:t xml:space="preserve">Discussions under agenda item 3 will not be open to observers, unless the Committee decides otherwise, </w:t>
      </w:r>
      <w:proofErr w:type="gramStart"/>
      <w:r w:rsidRPr="007314BE">
        <w:t>further</w:t>
      </w:r>
      <w:proofErr w:type="gramEnd"/>
      <w:r w:rsidRPr="007314BE">
        <w:t xml:space="preserve"> to rule 17 (1) of its operating rules.</w:t>
      </w:r>
    </w:p>
    <w:p w14:paraId="244E4BCB" w14:textId="77777777" w:rsidR="00BC41BF" w:rsidRPr="007314BE" w:rsidRDefault="00BC41BF" w:rsidP="00BC41BF">
      <w:pPr>
        <w:pStyle w:val="SingleTxtG"/>
      </w:pPr>
      <w:r w:rsidRPr="007314BE">
        <w:t>5.</w:t>
      </w:r>
      <w:r w:rsidRPr="007314BE">
        <w:tab/>
        <w:t>The Committee is expected to follow up on actions to be taken by the concerned Parties further to:</w:t>
      </w:r>
    </w:p>
    <w:p w14:paraId="6ABE7A78" w14:textId="77777777" w:rsidR="00BC41BF" w:rsidRPr="007314BE" w:rsidRDefault="00BC41BF" w:rsidP="00BC41BF">
      <w:pPr>
        <w:pStyle w:val="SingleTxtG"/>
        <w:ind w:firstLine="567"/>
      </w:pPr>
      <w:r w:rsidRPr="007314BE">
        <w:t>(a)</w:t>
      </w:r>
      <w:r w:rsidRPr="007314BE">
        <w:tab/>
        <w:t xml:space="preserve">Decision VIII/4a on compliance by Armenia with its obligations under the Convention in respect of its national </w:t>
      </w:r>
      <w:proofErr w:type="gramStart"/>
      <w:r w:rsidRPr="007314BE">
        <w:t>legislation;</w:t>
      </w:r>
      <w:proofErr w:type="gramEnd"/>
    </w:p>
    <w:p w14:paraId="286D31A0" w14:textId="77777777" w:rsidR="00BC41BF" w:rsidRPr="007314BE" w:rsidRDefault="00BC41BF" w:rsidP="00BC41BF">
      <w:pPr>
        <w:pStyle w:val="SingleTxtG"/>
        <w:ind w:firstLine="567"/>
      </w:pPr>
      <w:r w:rsidRPr="007314BE">
        <w:t>(b)</w:t>
      </w:r>
      <w:r w:rsidRPr="007314BE">
        <w:tab/>
        <w:t xml:space="preserve">Decision VIII/4b on compliance by Azerbaijan with its obligations under the Convention in respect of its national </w:t>
      </w:r>
      <w:proofErr w:type="gramStart"/>
      <w:r w:rsidRPr="007314BE">
        <w:t>legislation;</w:t>
      </w:r>
      <w:proofErr w:type="gramEnd"/>
    </w:p>
    <w:p w14:paraId="00158D69" w14:textId="77777777" w:rsidR="00BC41BF" w:rsidRDefault="00BC41BF" w:rsidP="00BC41BF">
      <w:pPr>
        <w:pStyle w:val="SingleTxtG"/>
        <w:ind w:firstLine="567"/>
        <w:rPr>
          <w:sz w:val="18"/>
          <w:vertAlign w:val="superscript"/>
        </w:rPr>
      </w:pPr>
      <w:r w:rsidRPr="007314BE">
        <w:t>(c)</w:t>
      </w:r>
      <w:r w:rsidRPr="007314BE">
        <w:tab/>
        <w:t xml:space="preserve">Decision VIII/4c on compliance by Belarus with its obligations under the Convention in respect of the Belarusian nuclear power plant in </w:t>
      </w:r>
      <w:proofErr w:type="spellStart"/>
      <w:proofErr w:type="gramStart"/>
      <w:r w:rsidRPr="007314BE">
        <w:t>Ostrovets</w:t>
      </w:r>
      <w:proofErr w:type="spellEnd"/>
      <w:r>
        <w:t>;</w:t>
      </w:r>
      <w:proofErr w:type="gramEnd"/>
      <w:r w:rsidRPr="007314BE">
        <w:rPr>
          <w:sz w:val="18"/>
          <w:vertAlign w:val="superscript"/>
        </w:rPr>
        <w:t xml:space="preserve"> </w:t>
      </w:r>
    </w:p>
    <w:p w14:paraId="55DEB728" w14:textId="77777777" w:rsidR="00BC41BF" w:rsidRDefault="00BC41BF" w:rsidP="00BC41BF">
      <w:pPr>
        <w:pStyle w:val="SingleTxtG"/>
        <w:ind w:firstLine="567"/>
      </w:pPr>
      <w:r w:rsidRPr="00C17D4A">
        <w:t>(d)</w:t>
      </w:r>
      <w:r w:rsidRPr="00C17D4A">
        <w:tab/>
        <w:t xml:space="preserve">Decision VIII/4d on </w:t>
      </w:r>
      <w:r>
        <w:t xml:space="preserve">compliance by Ukraine with its obligations under the Convention in respect of the Danube-Black Sea Deep Water Navigation Canal in the Ukrainian sector of the Danube </w:t>
      </w:r>
      <w:proofErr w:type="gramStart"/>
      <w:r>
        <w:t>Delta;</w:t>
      </w:r>
      <w:proofErr w:type="gramEnd"/>
    </w:p>
    <w:p w14:paraId="7B534029" w14:textId="4E361F19" w:rsidR="00BC41BF" w:rsidRPr="00051382" w:rsidRDefault="00BC41BF" w:rsidP="00BC41BF">
      <w:pPr>
        <w:pStyle w:val="SingleTxtG"/>
        <w:ind w:firstLine="567"/>
      </w:pPr>
      <w:r w:rsidRPr="00051382">
        <w:lastRenderedPageBreak/>
        <w:t>(e)</w:t>
      </w:r>
      <w:r w:rsidRPr="00051382">
        <w:tab/>
        <w:t>Decision VIII/4e on compliance by</w:t>
      </w:r>
      <w:r>
        <w:t xml:space="preserve"> Ukraine with its obligations under the Convention in respect of the extension of the lifetime of units 1 and 2 of Rivne nuclear power plant.</w:t>
      </w:r>
    </w:p>
    <w:p w14:paraId="43D14F71" w14:textId="77777777" w:rsidR="00BC41BF" w:rsidRPr="007314BE" w:rsidRDefault="00BC41BF" w:rsidP="00BC41BF">
      <w:pPr>
        <w:pStyle w:val="H1G"/>
      </w:pPr>
      <w:r w:rsidRPr="00051382">
        <w:tab/>
      </w:r>
      <w:r w:rsidRPr="007314BE">
        <w:t>4.</w:t>
      </w:r>
      <w:r w:rsidRPr="007314BE">
        <w:tab/>
        <w:t>Submissions</w:t>
      </w:r>
    </w:p>
    <w:p w14:paraId="4FE18747" w14:textId="77777777" w:rsidR="00BC41BF" w:rsidRPr="007314BE" w:rsidRDefault="00BC41BF" w:rsidP="00BC41BF">
      <w:pPr>
        <w:pStyle w:val="SingleTxtG"/>
      </w:pPr>
      <w:r w:rsidRPr="007314BE">
        <w:t>6.</w:t>
      </w:r>
      <w:r w:rsidRPr="007314BE">
        <w:tab/>
        <w:t xml:space="preserve">Discussions under agenda item 4 will not be open to observers, unless the Committee decides otherwise, </w:t>
      </w:r>
      <w:proofErr w:type="gramStart"/>
      <w:r w:rsidRPr="007314BE">
        <w:t>further</w:t>
      </w:r>
      <w:proofErr w:type="gramEnd"/>
      <w:r w:rsidRPr="007314BE">
        <w:t xml:space="preserve"> to rule 17 (1) of its operating rules.</w:t>
      </w:r>
    </w:p>
    <w:p w14:paraId="1A0F97D8" w14:textId="77777777" w:rsidR="00BC41BF" w:rsidRDefault="00BC41BF" w:rsidP="00BC41BF">
      <w:pPr>
        <w:pStyle w:val="SingleTxtG"/>
      </w:pPr>
      <w:r w:rsidRPr="007314BE">
        <w:t>7.</w:t>
      </w:r>
      <w:r w:rsidRPr="007314BE">
        <w:tab/>
        <w:t xml:space="preserve">The Committee will </w:t>
      </w:r>
      <w:r>
        <w:t>begin its consideration of the submission by Belarus expressing concerns about compliance by Poland with its obligations under the Convention with respect to the construction of a barrier on the territory of the transboundary United Nations Educational, Scientific and Cultural Organization (UNESCO) World Heritage Site “</w:t>
      </w:r>
      <w:proofErr w:type="spellStart"/>
      <w:r>
        <w:t>Bialowieza</w:t>
      </w:r>
      <w:proofErr w:type="spellEnd"/>
      <w:r>
        <w:t xml:space="preserve"> Forest”, dated 12 April 2023. </w:t>
      </w:r>
    </w:p>
    <w:p w14:paraId="63410645" w14:textId="77777777" w:rsidR="00BC41BF" w:rsidRPr="007314BE" w:rsidRDefault="00BC41BF" w:rsidP="00BC41BF">
      <w:pPr>
        <w:pStyle w:val="SingleTxtG"/>
      </w:pPr>
      <w:r w:rsidRPr="007314BE">
        <w:t>8.</w:t>
      </w:r>
      <w:r w:rsidRPr="007314BE">
        <w:tab/>
        <w:t>The Committee will also examine any submissions by Parties received since the Committee’s previous session.</w:t>
      </w:r>
    </w:p>
    <w:p w14:paraId="509A65E0" w14:textId="77777777" w:rsidR="00BC41BF" w:rsidRPr="007314BE" w:rsidRDefault="00BC41BF" w:rsidP="00BC41BF">
      <w:pPr>
        <w:pStyle w:val="H1G"/>
      </w:pPr>
      <w:r w:rsidRPr="007314BE">
        <w:tab/>
        <w:t>5.</w:t>
      </w:r>
      <w:r w:rsidRPr="007314BE">
        <w:tab/>
        <w:t>Committee initiatives</w:t>
      </w:r>
    </w:p>
    <w:p w14:paraId="4E430FED" w14:textId="77777777" w:rsidR="00BC41BF" w:rsidRPr="007314BE" w:rsidRDefault="00BC41BF" w:rsidP="00BC41BF">
      <w:pPr>
        <w:pStyle w:val="SingleTxtG"/>
      </w:pPr>
      <w:r w:rsidRPr="007314BE">
        <w:t>9.</w:t>
      </w:r>
      <w:r w:rsidRPr="007314BE">
        <w:tab/>
        <w:t>Discussions under agenda item 5 will not be open to observers, unless the Committee decides otherwise, in accordance with rule 17 (1) of its operating rules.</w:t>
      </w:r>
    </w:p>
    <w:p w14:paraId="7DC6D0DC" w14:textId="77777777" w:rsidR="00BC41BF" w:rsidRDefault="00BC41BF" w:rsidP="00BC41BF">
      <w:pPr>
        <w:pStyle w:val="SingleTxtG"/>
      </w:pPr>
      <w:r w:rsidRPr="007314BE">
        <w:t>10.</w:t>
      </w:r>
      <w:r w:rsidRPr="007314BE">
        <w:tab/>
      </w:r>
      <w:r>
        <w:t>Further to the informal consultations with Ukraine at the Committee’s fifty-sixth session (Geneva, 2–5 May 2023),</w:t>
      </w:r>
      <w:r>
        <w:rPr>
          <w:rStyle w:val="FootnoteReference"/>
        </w:rPr>
        <w:footnoteReference w:id="6"/>
      </w:r>
      <w:r>
        <w:t xml:space="preserve"> the Committee will continue the consideration of its initiative</w:t>
      </w:r>
      <w:r w:rsidRPr="005B312A">
        <w:rPr>
          <w:rFonts w:eastAsia="SimSun"/>
        </w:rPr>
        <w:t xml:space="preserve"> concerning the construction of a large tourism complex (</w:t>
      </w:r>
      <w:proofErr w:type="spellStart"/>
      <w:r w:rsidRPr="005B312A">
        <w:rPr>
          <w:rFonts w:eastAsia="SimSun"/>
        </w:rPr>
        <w:t>Svydovets</w:t>
      </w:r>
      <w:proofErr w:type="spellEnd"/>
      <w:r w:rsidRPr="005B312A">
        <w:rPr>
          <w:rFonts w:eastAsia="SimSun"/>
        </w:rPr>
        <w:t xml:space="preserve"> mountains, Ukraine) close to the borders with Hungary and Romania</w:t>
      </w:r>
      <w:r>
        <w:rPr>
          <w:rFonts w:eastAsia="SimSun"/>
        </w:rPr>
        <w:t xml:space="preserve">. </w:t>
      </w:r>
    </w:p>
    <w:p w14:paraId="4F4778FD" w14:textId="0D53D1CF" w:rsidR="00BC41BF" w:rsidRPr="007314BE" w:rsidRDefault="00BC41BF" w:rsidP="00BC41BF">
      <w:pPr>
        <w:pStyle w:val="SingleTxtG"/>
      </w:pPr>
      <w:r>
        <w:t>11.</w:t>
      </w:r>
      <w:r>
        <w:rPr>
          <w:rFonts w:eastAsia="SimSun"/>
        </w:rPr>
        <w:tab/>
      </w:r>
      <w:r>
        <w:t xml:space="preserve">Further to the opening of a </w:t>
      </w:r>
      <w:proofErr w:type="gramStart"/>
      <w:r>
        <w:t>Committee</w:t>
      </w:r>
      <w:proofErr w:type="gramEnd"/>
      <w:r>
        <w:t xml:space="preserve"> initiative at the Committee’s fifty-sixth session </w:t>
      </w:r>
      <w:r w:rsidRPr="007314BE">
        <w:t>regarding the</w:t>
      </w:r>
      <w:r>
        <w:t xml:space="preserve"> national</w:t>
      </w:r>
      <w:r w:rsidRPr="007314BE">
        <w:t xml:space="preserve"> legislation of Belarus </w:t>
      </w:r>
      <w:r>
        <w:t>to</w:t>
      </w:r>
      <w:r w:rsidRPr="007314BE">
        <w:t xml:space="preserve"> implement the Convention</w:t>
      </w:r>
      <w:r>
        <w:t>,</w:t>
      </w:r>
      <w:r>
        <w:rPr>
          <w:rStyle w:val="FootnoteReference"/>
        </w:rPr>
        <w:footnoteReference w:id="7"/>
      </w:r>
      <w:r>
        <w:t xml:space="preserve"> the </w:t>
      </w:r>
      <w:r w:rsidRPr="007314BE">
        <w:t>Committee is expected to finalize its draft findings and recommendations on compliance by Bel</w:t>
      </w:r>
      <w:r>
        <w:t xml:space="preserve">arus </w:t>
      </w:r>
      <w:r w:rsidRPr="007314BE">
        <w:t>with its obligations</w:t>
      </w:r>
      <w:r>
        <w:t xml:space="preserve"> under the Convention</w:t>
      </w:r>
      <w:r w:rsidRPr="007314BE">
        <w:t>, taking into account the comments and representations requested from the Part</w:t>
      </w:r>
      <w:r>
        <w:t>y concerned</w:t>
      </w:r>
      <w:r w:rsidRPr="007314BE">
        <w:t xml:space="preserve"> by 31 </w:t>
      </w:r>
      <w:r>
        <w:t>July</w:t>
      </w:r>
      <w:r w:rsidRPr="007314BE">
        <w:t xml:space="preserve"> 2023.</w:t>
      </w:r>
    </w:p>
    <w:p w14:paraId="03F95F80" w14:textId="77777777" w:rsidR="00BC41BF" w:rsidRPr="007314BE" w:rsidRDefault="00BC41BF" w:rsidP="00BC41BF">
      <w:pPr>
        <w:pStyle w:val="H1G"/>
      </w:pPr>
      <w:r w:rsidRPr="007314BE">
        <w:tab/>
        <w:t>6.</w:t>
      </w:r>
      <w:r w:rsidRPr="007314BE">
        <w:tab/>
      </w:r>
      <w:r w:rsidRPr="007314BE">
        <w:tab/>
        <w:t>Information gathering</w:t>
      </w:r>
    </w:p>
    <w:p w14:paraId="10D15FF5" w14:textId="77777777" w:rsidR="00BC41BF" w:rsidRPr="007314BE" w:rsidRDefault="00BC41BF" w:rsidP="00BC41BF">
      <w:pPr>
        <w:pStyle w:val="SingleTxtG"/>
      </w:pPr>
      <w:r w:rsidRPr="007314BE">
        <w:t>1</w:t>
      </w:r>
      <w:r>
        <w:t>2</w:t>
      </w:r>
      <w:r w:rsidRPr="007314BE">
        <w:t>.</w:t>
      </w:r>
      <w:r w:rsidRPr="007314BE">
        <w:tab/>
        <w:t>Discussions under agenda item 6 will not be open to observers, unless the Committee decides otherwise, in accordance with rule 17 (1) of its operating rules.</w:t>
      </w:r>
    </w:p>
    <w:p w14:paraId="4B5B0528" w14:textId="77777777" w:rsidR="00BC41BF" w:rsidRDefault="00BC41BF" w:rsidP="00BC41BF">
      <w:pPr>
        <w:pStyle w:val="SingleTxtG"/>
        <w:rPr>
          <w:rFonts w:eastAsia="SimSun"/>
          <w:lang w:eastAsia="en-US"/>
        </w:rPr>
      </w:pPr>
      <w:r w:rsidRPr="007314BE">
        <w:t>1</w:t>
      </w:r>
      <w:r>
        <w:t>3</w:t>
      </w:r>
      <w:r w:rsidRPr="007314BE">
        <w:t>.</w:t>
      </w:r>
      <w:r w:rsidRPr="007314BE">
        <w:tab/>
      </w:r>
      <w:r>
        <w:t>Following the informal consultations with Ukraine at the Committee’s fifty-sixth session,</w:t>
      </w:r>
      <w:r>
        <w:rPr>
          <w:rStyle w:val="FootnoteReference"/>
        </w:rPr>
        <w:footnoteReference w:id="8"/>
      </w:r>
      <w:r>
        <w:t xml:space="preserve"> </w:t>
      </w:r>
      <w:r>
        <w:rPr>
          <w:rFonts w:eastAsia="SimSun"/>
          <w:lang w:eastAsia="en-US"/>
        </w:rPr>
        <w:t xml:space="preserve">the Committee will continue its consideration of the information it has gathered concerning the planned construction of nuclear reactors 3 and 4 of Khmelnitsky nuclear power plant in Ukraine and concerning activities at </w:t>
      </w:r>
      <w:proofErr w:type="spellStart"/>
      <w:r>
        <w:rPr>
          <w:rFonts w:eastAsia="SimSun"/>
          <w:lang w:eastAsia="en-US"/>
        </w:rPr>
        <w:t>Muzhiyevo</w:t>
      </w:r>
      <w:proofErr w:type="spellEnd"/>
      <w:r>
        <w:rPr>
          <w:rFonts w:eastAsia="SimSun"/>
          <w:lang w:eastAsia="en-US"/>
        </w:rPr>
        <w:t xml:space="preserve"> goldmine in Ukraine.</w:t>
      </w:r>
    </w:p>
    <w:p w14:paraId="7DE1B07C" w14:textId="77777777" w:rsidR="00BC41BF" w:rsidRPr="007314BE" w:rsidRDefault="00BC41BF" w:rsidP="00BC41BF">
      <w:pPr>
        <w:pStyle w:val="SingleTxtG"/>
      </w:pPr>
      <w:r>
        <w:rPr>
          <w:rFonts w:eastAsia="SimSun"/>
          <w:lang w:eastAsia="en-US"/>
        </w:rPr>
        <w:t>14.</w:t>
      </w:r>
      <w:r>
        <w:rPr>
          <w:rFonts w:eastAsia="SimSun"/>
          <w:lang w:eastAsia="en-US"/>
        </w:rPr>
        <w:tab/>
        <w:t xml:space="preserve"> </w:t>
      </w:r>
      <w:r w:rsidRPr="007314BE">
        <w:t xml:space="preserve">The Committee will </w:t>
      </w:r>
      <w:r>
        <w:t xml:space="preserve">also </w:t>
      </w:r>
      <w:r w:rsidRPr="007314BE">
        <w:t xml:space="preserve">continue its consideration of the information it has gathered concerning the lifetime extension of </w:t>
      </w:r>
      <w:proofErr w:type="spellStart"/>
      <w:r w:rsidRPr="007314BE">
        <w:t>Borssele</w:t>
      </w:r>
      <w:proofErr w:type="spellEnd"/>
      <w:r w:rsidRPr="007314BE">
        <w:t xml:space="preserve"> nuclear power plant (Netherlands)</w:t>
      </w:r>
      <w:r>
        <w:t xml:space="preserve">, the </w:t>
      </w:r>
      <w:r w:rsidRPr="005B312A">
        <w:rPr>
          <w:rFonts w:eastAsia="SimSun"/>
          <w:lang w:eastAsia="en-US"/>
        </w:rPr>
        <w:t xml:space="preserve">lifetime extension of 12 power units located at Rivne, South-Ukrainian, </w:t>
      </w:r>
      <w:proofErr w:type="spellStart"/>
      <w:r w:rsidRPr="005B312A">
        <w:rPr>
          <w:rFonts w:eastAsia="SimSun"/>
          <w:lang w:eastAsia="en-US"/>
        </w:rPr>
        <w:t>Zaporizhzhya</w:t>
      </w:r>
      <w:proofErr w:type="spellEnd"/>
      <w:r w:rsidRPr="005B312A">
        <w:rPr>
          <w:rFonts w:eastAsia="SimSun"/>
          <w:lang w:eastAsia="en-US"/>
        </w:rPr>
        <w:t xml:space="preserve"> and Khmelnitsky nuclear power plants </w:t>
      </w:r>
      <w:r>
        <w:rPr>
          <w:rFonts w:eastAsia="SimSun"/>
          <w:lang w:eastAsia="en-US"/>
        </w:rPr>
        <w:t>(</w:t>
      </w:r>
      <w:r w:rsidRPr="005B312A">
        <w:rPr>
          <w:rFonts w:eastAsia="SimSun"/>
          <w:lang w:eastAsia="en-US"/>
        </w:rPr>
        <w:t>Ukraine</w:t>
      </w:r>
      <w:r>
        <w:rPr>
          <w:rFonts w:eastAsia="SimSun"/>
          <w:lang w:eastAsia="en-US"/>
        </w:rPr>
        <w:t xml:space="preserve">) and </w:t>
      </w:r>
      <w:r w:rsidRPr="007314BE">
        <w:t xml:space="preserve">32 units of </w:t>
      </w:r>
      <w:proofErr w:type="spellStart"/>
      <w:r w:rsidRPr="007314BE">
        <w:t>Blayais</w:t>
      </w:r>
      <w:proofErr w:type="spellEnd"/>
      <w:r w:rsidRPr="007314BE">
        <w:t xml:space="preserve">, </w:t>
      </w:r>
      <w:proofErr w:type="spellStart"/>
      <w:r w:rsidRPr="007314BE">
        <w:t>Bugey</w:t>
      </w:r>
      <w:proofErr w:type="spellEnd"/>
      <w:r w:rsidRPr="007314BE">
        <w:t xml:space="preserve">, </w:t>
      </w:r>
      <w:proofErr w:type="spellStart"/>
      <w:r w:rsidRPr="007314BE">
        <w:t>Chinon</w:t>
      </w:r>
      <w:proofErr w:type="spellEnd"/>
      <w:r w:rsidRPr="007314BE">
        <w:t xml:space="preserve">, </w:t>
      </w:r>
      <w:proofErr w:type="spellStart"/>
      <w:r w:rsidRPr="007314BE">
        <w:t>Cruas</w:t>
      </w:r>
      <w:proofErr w:type="spellEnd"/>
      <w:r w:rsidRPr="007314BE">
        <w:t xml:space="preserve">, </w:t>
      </w:r>
      <w:proofErr w:type="spellStart"/>
      <w:r w:rsidRPr="007314BE">
        <w:t>Dampierre</w:t>
      </w:r>
      <w:proofErr w:type="spellEnd"/>
      <w:r w:rsidRPr="007314BE">
        <w:t xml:space="preserve">, </w:t>
      </w:r>
      <w:proofErr w:type="spellStart"/>
      <w:r w:rsidRPr="007314BE">
        <w:t>Gravelines</w:t>
      </w:r>
      <w:proofErr w:type="spellEnd"/>
      <w:r w:rsidRPr="007314BE">
        <w:t xml:space="preserve">, St. Laurent and </w:t>
      </w:r>
      <w:proofErr w:type="spellStart"/>
      <w:r w:rsidRPr="007314BE">
        <w:t>Tricastin</w:t>
      </w:r>
      <w:proofErr w:type="spellEnd"/>
      <w:r w:rsidRPr="007314BE" w:rsidDel="00B7436C">
        <w:t xml:space="preserve"> </w:t>
      </w:r>
      <w:r w:rsidRPr="007314BE">
        <w:t>nuclear power plants (France)</w:t>
      </w:r>
      <w:r>
        <w:t>.</w:t>
      </w:r>
    </w:p>
    <w:p w14:paraId="563C86E6" w14:textId="77777777" w:rsidR="00BC41BF" w:rsidRDefault="00BC41BF" w:rsidP="00BC41BF">
      <w:pPr>
        <w:pStyle w:val="H1G"/>
      </w:pPr>
      <w:r w:rsidRPr="007314BE">
        <w:tab/>
        <w:t>7.</w:t>
      </w:r>
      <w:r w:rsidRPr="007314BE">
        <w:tab/>
        <w:t>Review of implementation</w:t>
      </w:r>
    </w:p>
    <w:p w14:paraId="6B0FF726" w14:textId="77777777" w:rsidR="00BC41BF" w:rsidRPr="007314BE" w:rsidRDefault="00BC41BF" w:rsidP="00BC41BF">
      <w:pPr>
        <w:pStyle w:val="SingleTxtG"/>
      </w:pPr>
      <w:r>
        <w:t>15.</w:t>
      </w:r>
      <w:r>
        <w:tab/>
      </w:r>
      <w:r w:rsidRPr="007314BE">
        <w:t xml:space="preserve">Discussions under agenda item </w:t>
      </w:r>
      <w:r>
        <w:t>7</w:t>
      </w:r>
      <w:r w:rsidRPr="007314BE">
        <w:t xml:space="preserve"> will not be open to observers, unless the Committee decides otherwise, in accordance with rule 17 (1) of its operating rules.</w:t>
      </w:r>
    </w:p>
    <w:p w14:paraId="580B2433" w14:textId="77777777" w:rsidR="00BC41BF" w:rsidRPr="007314BE" w:rsidRDefault="00BC41BF" w:rsidP="00BC41BF">
      <w:pPr>
        <w:pStyle w:val="SingleTxtG"/>
      </w:pPr>
      <w:r w:rsidRPr="007314BE">
        <w:lastRenderedPageBreak/>
        <w:t>1</w:t>
      </w:r>
      <w:r>
        <w:t>6</w:t>
      </w:r>
      <w:r w:rsidRPr="007314BE">
        <w:t>.</w:t>
      </w:r>
      <w:r w:rsidRPr="007314BE">
        <w:tab/>
        <w:t>Time permitting, the Committee will continue its consideration of the specific compliance issues concerning:</w:t>
      </w:r>
    </w:p>
    <w:p w14:paraId="3E78AA45" w14:textId="77777777" w:rsidR="00BC41BF" w:rsidRPr="007314BE" w:rsidRDefault="00BC41BF" w:rsidP="00BC41BF">
      <w:pPr>
        <w:pStyle w:val="SingleTxtG"/>
        <w:ind w:firstLine="567"/>
      </w:pPr>
      <w:r w:rsidRPr="007314BE">
        <w:t>(a)</w:t>
      </w:r>
      <w:r w:rsidRPr="007314BE">
        <w:tab/>
        <w:t>Kyrgyzstan, identified through the sixth review of the implementation of the Convention;</w:t>
      </w:r>
      <w:r w:rsidRPr="007314BE">
        <w:rPr>
          <w:sz w:val="18"/>
          <w:vertAlign w:val="superscript"/>
        </w:rPr>
        <w:footnoteReference w:id="9"/>
      </w:r>
    </w:p>
    <w:p w14:paraId="3628E891" w14:textId="77777777" w:rsidR="00BC41BF" w:rsidRPr="007314BE" w:rsidRDefault="00BC41BF" w:rsidP="00BC41BF">
      <w:pPr>
        <w:pStyle w:val="SingleTxtG"/>
        <w:ind w:firstLine="567"/>
      </w:pPr>
      <w:r w:rsidRPr="007314BE">
        <w:t>(b)</w:t>
      </w:r>
      <w:r w:rsidRPr="007314BE">
        <w:tab/>
        <w:t xml:space="preserve">Serbia, identified </w:t>
      </w:r>
      <w:r>
        <w:t>through</w:t>
      </w:r>
      <w:r w:rsidRPr="007314BE">
        <w:t xml:space="preserve"> the second review of the implementation of the Protocol;</w:t>
      </w:r>
      <w:r w:rsidRPr="007314BE">
        <w:rPr>
          <w:sz w:val="18"/>
          <w:vertAlign w:val="superscript"/>
        </w:rPr>
        <w:footnoteReference w:id="10"/>
      </w:r>
      <w:r w:rsidRPr="007314BE">
        <w:t xml:space="preserve"> </w:t>
      </w:r>
    </w:p>
    <w:p w14:paraId="5A6ED1CC" w14:textId="77777777" w:rsidR="00BC41BF" w:rsidRDefault="00BC41BF" w:rsidP="00BC41BF">
      <w:pPr>
        <w:pStyle w:val="SingleTxtG"/>
        <w:ind w:firstLine="567"/>
      </w:pPr>
      <w:r w:rsidRPr="007314BE">
        <w:t>(c)</w:t>
      </w:r>
      <w:r w:rsidRPr="007314BE">
        <w:tab/>
        <w:t>North Macedonia, identified through the third review of the implementation of the Protocol.</w:t>
      </w:r>
      <w:r w:rsidRPr="007314BE">
        <w:rPr>
          <w:sz w:val="18"/>
          <w:vertAlign w:val="superscript"/>
        </w:rPr>
        <w:footnoteReference w:id="11"/>
      </w:r>
    </w:p>
    <w:p w14:paraId="30D3FE27" w14:textId="77777777" w:rsidR="00BC41BF" w:rsidRPr="003C3BF6" w:rsidRDefault="00BC41BF" w:rsidP="00BC41BF">
      <w:pPr>
        <w:pStyle w:val="H1G"/>
      </w:pPr>
      <w:r w:rsidRPr="003C3BF6">
        <w:tab/>
        <w:t>8.</w:t>
      </w:r>
      <w:r w:rsidRPr="003C3BF6">
        <w:tab/>
        <w:t>Structure, functions and operating rules</w:t>
      </w:r>
    </w:p>
    <w:p w14:paraId="4FC9DD2F" w14:textId="77777777" w:rsidR="00BC41BF" w:rsidRPr="003C3BF6" w:rsidRDefault="00BC41BF" w:rsidP="00BC41BF">
      <w:pPr>
        <w:pStyle w:val="SingleTxtG"/>
      </w:pPr>
      <w:r w:rsidRPr="003C3BF6">
        <w:t>1</w:t>
      </w:r>
      <w:r>
        <w:t>7</w:t>
      </w:r>
      <w:r w:rsidRPr="003C3BF6">
        <w:t>.</w:t>
      </w:r>
      <w:r w:rsidRPr="003C3BF6">
        <w:tab/>
        <w:t>Further to the Committee’s deliberations at its fifty-fourth (Geneva, 4−7 October 2022)</w:t>
      </w:r>
      <w:r>
        <w:t>, f</w:t>
      </w:r>
      <w:r w:rsidRPr="003C3BF6">
        <w:t xml:space="preserve">ifty-fifth </w:t>
      </w:r>
      <w:r>
        <w:t xml:space="preserve">(Geneva (online), 31 January–3 February 2023) and fifty-sixth </w:t>
      </w:r>
      <w:r w:rsidRPr="003C3BF6">
        <w:t>sessions, and in accordance with paragraph 18 of decision VIII/4</w:t>
      </w:r>
      <w:r w:rsidRPr="003C3BF6">
        <w:rPr>
          <w:sz w:val="18"/>
          <w:vertAlign w:val="superscript"/>
        </w:rPr>
        <w:footnoteReference w:id="12"/>
      </w:r>
      <w:r w:rsidRPr="003C3BF6">
        <w:t xml:space="preserve"> of the Meetings of the Parties to the Convention, paragraph 14 of decision IV/4</w:t>
      </w:r>
      <w:r w:rsidRPr="003C3BF6">
        <w:rPr>
          <w:sz w:val="18"/>
          <w:vertAlign w:val="superscript"/>
        </w:rPr>
        <w:footnoteReference w:id="13"/>
      </w:r>
      <w:r w:rsidRPr="003C3BF6">
        <w:t xml:space="preserve"> of the Meetings of the Parties to the Protocol and subsection II.A.3 of the workplan for 2021–2023,</w:t>
      </w:r>
      <w:r w:rsidRPr="003C3BF6">
        <w:rPr>
          <w:sz w:val="18"/>
          <w:vertAlign w:val="superscript"/>
        </w:rPr>
        <w:footnoteReference w:id="14"/>
      </w:r>
      <w:r w:rsidRPr="003C3BF6">
        <w:t xml:space="preserve"> the Committee </w:t>
      </w:r>
      <w:r>
        <w:t>is expected to finalize</w:t>
      </w:r>
      <w:r w:rsidRPr="003C3BF6">
        <w:t xml:space="preserve"> its review of its structure and functions and its operating rules, </w:t>
      </w:r>
      <w:r>
        <w:t>considering possible comments from the delegations at the twelfth meeting of the Working Group on Environmental Impact Assessment and Strategic Environmental Assessment (Geneva, 13</w:t>
      </w:r>
      <w:r w:rsidRPr="003C3BF6">
        <w:t>–</w:t>
      </w:r>
      <w:r>
        <w:t xml:space="preserve">15 June 2023), as it deems appropriate, </w:t>
      </w:r>
      <w:r w:rsidRPr="003C3BF6">
        <w:t xml:space="preserve">with a view </w:t>
      </w:r>
      <w:r>
        <w:t>to submitting its</w:t>
      </w:r>
      <w:r w:rsidRPr="003C3BF6">
        <w:t xml:space="preserve"> proposals for possible amendments for consideration by the Meeting</w:t>
      </w:r>
      <w:r>
        <w:t>s</w:t>
      </w:r>
      <w:r w:rsidRPr="003C3BF6">
        <w:t xml:space="preserve"> of the Parties at </w:t>
      </w:r>
      <w:r>
        <w:t>their</w:t>
      </w:r>
      <w:r w:rsidRPr="003C3BF6">
        <w:t xml:space="preserve"> n</w:t>
      </w:r>
      <w:r>
        <w:t>ext</w:t>
      </w:r>
      <w:r w:rsidRPr="003C3BF6">
        <w:t xml:space="preserve"> session</w:t>
      </w:r>
      <w:r>
        <w:t>s</w:t>
      </w:r>
      <w:r w:rsidRPr="003C3BF6">
        <w:t>.</w:t>
      </w:r>
    </w:p>
    <w:p w14:paraId="0E3724B3" w14:textId="77777777" w:rsidR="00BC41BF" w:rsidRPr="003C3BF6" w:rsidRDefault="00BC41BF" w:rsidP="00BC41BF">
      <w:pPr>
        <w:pStyle w:val="H1G"/>
      </w:pPr>
      <w:r w:rsidRPr="003C3BF6">
        <w:tab/>
        <w:t>9.</w:t>
      </w:r>
      <w:r w:rsidRPr="003C3BF6">
        <w:tab/>
        <w:t>Other business</w:t>
      </w:r>
    </w:p>
    <w:p w14:paraId="7487AB95" w14:textId="77777777" w:rsidR="00BC41BF" w:rsidRPr="003C3BF6" w:rsidRDefault="00BC41BF" w:rsidP="00BC41BF">
      <w:pPr>
        <w:pStyle w:val="SingleTxtG"/>
      </w:pPr>
      <w:r w:rsidRPr="003C3BF6">
        <w:t>1</w:t>
      </w:r>
      <w:r>
        <w:t>8</w:t>
      </w:r>
      <w:r w:rsidRPr="003C3BF6">
        <w:t>.</w:t>
      </w:r>
      <w:r w:rsidRPr="003C3BF6">
        <w:tab/>
        <w:t>Members of the Committee wishing to raise any other business should contact the secretariat as soon as possible.</w:t>
      </w:r>
    </w:p>
    <w:p w14:paraId="13CE7B0D" w14:textId="77777777" w:rsidR="00BC41BF" w:rsidRPr="003C3BF6" w:rsidRDefault="00BC41BF" w:rsidP="00BC41BF">
      <w:pPr>
        <w:pStyle w:val="H1G"/>
      </w:pPr>
      <w:r w:rsidRPr="003C3BF6">
        <w:tab/>
        <w:t>10.</w:t>
      </w:r>
      <w:r w:rsidRPr="003C3BF6">
        <w:tab/>
        <w:t>Presentation of the main decisions taken and closing of the session</w:t>
      </w:r>
    </w:p>
    <w:p w14:paraId="73536861" w14:textId="77777777" w:rsidR="00BC41BF" w:rsidRPr="003C3BF6" w:rsidRDefault="00BC41BF" w:rsidP="00BC41BF">
      <w:pPr>
        <w:pStyle w:val="SingleTxtG"/>
      </w:pPr>
      <w:r>
        <w:t>19</w:t>
      </w:r>
      <w:r w:rsidRPr="003C3BF6">
        <w:t>.</w:t>
      </w:r>
      <w:r w:rsidRPr="003C3BF6">
        <w:tab/>
        <w:t>The Committee is expected to agree on the main decisions taken at the meeting and to confirm the date and location of its next session before the Chair formally closes the session.</w:t>
      </w:r>
    </w:p>
    <w:p w14:paraId="2D15FAD9" w14:textId="3A7F8DEC" w:rsidR="00995079" w:rsidRPr="00BC41BF" w:rsidRDefault="00BC41BF" w:rsidP="00BC41BF">
      <w:pPr>
        <w:spacing w:before="240"/>
        <w:jc w:val="center"/>
        <w:rPr>
          <w:u w:val="single"/>
        </w:rPr>
      </w:pPr>
      <w:r>
        <w:rPr>
          <w:u w:val="single"/>
        </w:rPr>
        <w:tab/>
      </w:r>
      <w:r>
        <w:rPr>
          <w:u w:val="single"/>
        </w:rPr>
        <w:tab/>
      </w:r>
      <w:r>
        <w:rPr>
          <w:u w:val="single"/>
        </w:rPr>
        <w:tab/>
      </w:r>
    </w:p>
    <w:sectPr w:rsidR="00995079" w:rsidRPr="00BC41BF" w:rsidSect="0000514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DB7C" w14:textId="77777777" w:rsidR="00B94C44" w:rsidRDefault="00B94C44"/>
  </w:endnote>
  <w:endnote w:type="continuationSeparator" w:id="0">
    <w:p w14:paraId="7ECAA63F" w14:textId="77777777" w:rsidR="00B94C44" w:rsidRDefault="00B94C44"/>
  </w:endnote>
  <w:endnote w:type="continuationNotice" w:id="1">
    <w:p w14:paraId="4A0F4E08" w14:textId="77777777" w:rsidR="00B94C44" w:rsidRDefault="00B94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E104" w14:textId="61FC1427" w:rsidR="00005146" w:rsidRPr="00005146" w:rsidRDefault="00005146" w:rsidP="00005146">
    <w:pPr>
      <w:pStyle w:val="Footer"/>
      <w:tabs>
        <w:tab w:val="right" w:pos="9638"/>
      </w:tabs>
      <w:rPr>
        <w:sz w:val="18"/>
      </w:rPr>
    </w:pPr>
    <w:r w:rsidRPr="00005146">
      <w:rPr>
        <w:b/>
        <w:sz w:val="18"/>
      </w:rPr>
      <w:fldChar w:fldCharType="begin"/>
    </w:r>
    <w:r w:rsidRPr="00005146">
      <w:rPr>
        <w:b/>
        <w:sz w:val="18"/>
      </w:rPr>
      <w:instrText xml:space="preserve"> PAGE  \* MERGEFORMAT </w:instrText>
    </w:r>
    <w:r w:rsidRPr="00005146">
      <w:rPr>
        <w:b/>
        <w:sz w:val="18"/>
      </w:rPr>
      <w:fldChar w:fldCharType="separate"/>
    </w:r>
    <w:r w:rsidRPr="00005146">
      <w:rPr>
        <w:b/>
        <w:noProof/>
        <w:sz w:val="18"/>
      </w:rPr>
      <w:t>2</w:t>
    </w:r>
    <w:r w:rsidRPr="000051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6BCF" w14:textId="2C6F9149" w:rsidR="00005146" w:rsidRPr="00005146" w:rsidRDefault="00005146" w:rsidP="00005146">
    <w:pPr>
      <w:pStyle w:val="Footer"/>
      <w:tabs>
        <w:tab w:val="right" w:pos="9638"/>
      </w:tabs>
      <w:rPr>
        <w:b/>
        <w:sz w:val="18"/>
      </w:rPr>
    </w:pPr>
    <w:r>
      <w:tab/>
    </w:r>
    <w:r w:rsidRPr="00005146">
      <w:rPr>
        <w:b/>
        <w:sz w:val="18"/>
      </w:rPr>
      <w:fldChar w:fldCharType="begin"/>
    </w:r>
    <w:r w:rsidRPr="00005146">
      <w:rPr>
        <w:b/>
        <w:sz w:val="18"/>
      </w:rPr>
      <w:instrText xml:space="preserve"> PAGE  \* MERGEFORMAT </w:instrText>
    </w:r>
    <w:r w:rsidRPr="00005146">
      <w:rPr>
        <w:b/>
        <w:sz w:val="18"/>
      </w:rPr>
      <w:fldChar w:fldCharType="separate"/>
    </w:r>
    <w:r w:rsidRPr="00005146">
      <w:rPr>
        <w:b/>
        <w:noProof/>
        <w:sz w:val="18"/>
      </w:rPr>
      <w:t>3</w:t>
    </w:r>
    <w:r w:rsidRPr="000051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276" w14:textId="01326ACA" w:rsidR="0035223F" w:rsidRDefault="009708E8" w:rsidP="009708E8">
    <w:pPr>
      <w:pStyle w:val="Footer"/>
      <w:rPr>
        <w:sz w:val="20"/>
      </w:rPr>
    </w:pPr>
    <w:r w:rsidRPr="009708E8">
      <w:rPr>
        <w:noProof/>
        <w:sz w:val="20"/>
        <w:lang w:val="en-US"/>
      </w:rPr>
      <w:drawing>
        <wp:anchor distT="0" distB="0" distL="114300" distR="114300" simplePos="0" relativeHeight="251659776" behindDoc="0" locked="1" layoutInCell="1" allowOverlap="1" wp14:anchorId="5EC8B6EC" wp14:editId="551E6CB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7E1481" w14:textId="19E972EA" w:rsidR="009708E8" w:rsidRPr="009708E8" w:rsidRDefault="009708E8" w:rsidP="009708E8">
    <w:pPr>
      <w:pStyle w:val="Footer"/>
      <w:ind w:right="1134"/>
      <w:rPr>
        <w:sz w:val="20"/>
      </w:rPr>
    </w:pPr>
    <w:r>
      <w:rPr>
        <w:sz w:val="20"/>
      </w:rPr>
      <w:t>GE.23-10175(E)</w:t>
    </w:r>
    <w:r>
      <w:rPr>
        <w:noProof/>
        <w:sz w:val="20"/>
      </w:rPr>
      <w:drawing>
        <wp:anchor distT="0" distB="0" distL="114300" distR="114300" simplePos="0" relativeHeight="251660800" behindDoc="0" locked="0" layoutInCell="1" allowOverlap="1" wp14:anchorId="038EFD68" wp14:editId="3AC93246">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3444" w14:textId="77777777" w:rsidR="00B94C44" w:rsidRPr="000B175B" w:rsidRDefault="00B94C44" w:rsidP="000B175B">
      <w:pPr>
        <w:tabs>
          <w:tab w:val="right" w:pos="2155"/>
        </w:tabs>
        <w:spacing w:after="80"/>
        <w:ind w:left="680"/>
        <w:rPr>
          <w:u w:val="single"/>
        </w:rPr>
      </w:pPr>
      <w:r>
        <w:rPr>
          <w:u w:val="single"/>
        </w:rPr>
        <w:tab/>
      </w:r>
    </w:p>
  </w:footnote>
  <w:footnote w:type="continuationSeparator" w:id="0">
    <w:p w14:paraId="6B257227" w14:textId="77777777" w:rsidR="00B94C44" w:rsidRPr="00FC68B7" w:rsidRDefault="00B94C44" w:rsidP="00FC68B7">
      <w:pPr>
        <w:tabs>
          <w:tab w:val="left" w:pos="2155"/>
        </w:tabs>
        <w:spacing w:after="80"/>
        <w:ind w:left="680"/>
        <w:rPr>
          <w:u w:val="single"/>
        </w:rPr>
      </w:pPr>
      <w:r>
        <w:rPr>
          <w:u w:val="single"/>
        </w:rPr>
        <w:tab/>
      </w:r>
    </w:p>
  </w:footnote>
  <w:footnote w:type="continuationNotice" w:id="1">
    <w:p w14:paraId="0C4439EC" w14:textId="77777777" w:rsidR="00B94C44" w:rsidRDefault="00B94C44"/>
  </w:footnote>
  <w:footnote w:id="2">
    <w:p w14:paraId="5CA3E68C" w14:textId="77777777" w:rsidR="00BC41BF" w:rsidRDefault="00BC41BF" w:rsidP="00BC41BF">
      <w:pPr>
        <w:pStyle w:val="FootnoteText"/>
      </w:pPr>
      <w:r>
        <w:rPr>
          <w:rStyle w:val="FootnoteReference"/>
        </w:rPr>
        <w:tab/>
      </w:r>
      <w:r w:rsidRPr="00C17B87">
        <w:rPr>
          <w:rStyle w:val="FootnoteReference"/>
          <w:sz w:val="20"/>
          <w:vertAlign w:val="baseline"/>
        </w:rPr>
        <w:t>*</w:t>
      </w:r>
      <w:r>
        <w:rPr>
          <w:rStyle w:val="FootnoteReference"/>
          <w:sz w:val="20"/>
          <w:vertAlign w:val="baseline"/>
        </w:rPr>
        <w:tab/>
      </w:r>
      <w:r w:rsidRPr="0091159B">
        <w:rPr>
          <w:sz w:val="20"/>
        </w:rPr>
        <w:t xml:space="preserve">Members of the Committee are requested to register online at least two weeks before the start of the meeting, </w:t>
      </w:r>
      <w:proofErr w:type="gramStart"/>
      <w:r w:rsidRPr="0091159B">
        <w:rPr>
          <w:sz w:val="20"/>
        </w:rPr>
        <w:t>i.e.</w:t>
      </w:r>
      <w:proofErr w:type="gramEnd"/>
      <w:r w:rsidRPr="0091159B">
        <w:rPr>
          <w:sz w:val="20"/>
        </w:rPr>
        <w:t xml:space="preserve"> by </w:t>
      </w:r>
      <w:r w:rsidRPr="00D40B6A">
        <w:rPr>
          <w:b/>
          <w:bCs/>
          <w:sz w:val="20"/>
        </w:rPr>
        <w:t>1</w:t>
      </w:r>
      <w:r>
        <w:rPr>
          <w:b/>
          <w:bCs/>
          <w:sz w:val="20"/>
        </w:rPr>
        <w:t>4</w:t>
      </w:r>
      <w:r w:rsidRPr="00D40B6A">
        <w:rPr>
          <w:b/>
          <w:bCs/>
          <w:sz w:val="20"/>
        </w:rPr>
        <w:t xml:space="preserve"> A</w:t>
      </w:r>
      <w:r>
        <w:rPr>
          <w:b/>
          <w:bCs/>
          <w:sz w:val="20"/>
        </w:rPr>
        <w:t>ugust</w:t>
      </w:r>
      <w:r w:rsidRPr="00D40B6A">
        <w:rPr>
          <w:b/>
          <w:bCs/>
          <w:sz w:val="20"/>
        </w:rPr>
        <w:t xml:space="preserve"> 2023,</w:t>
      </w:r>
      <w:r w:rsidRPr="0091159B">
        <w:rPr>
          <w:sz w:val="20"/>
        </w:rPr>
        <w:t xml:space="preserve"> through the following link: </w:t>
      </w:r>
    </w:p>
    <w:p w14:paraId="16D08146" w14:textId="77777777" w:rsidR="00BC41BF" w:rsidRPr="00C17B87" w:rsidRDefault="00BC41BF" w:rsidP="00BC41BF">
      <w:pPr>
        <w:pStyle w:val="FootnoteText"/>
        <w:rPr>
          <w:lang w:val="en-US"/>
        </w:rPr>
      </w:pPr>
      <w:r>
        <w:tab/>
      </w:r>
      <w:r>
        <w:tab/>
      </w:r>
      <w:hyperlink r:id="rId1" w:history="1">
        <w:r w:rsidRPr="0066414A">
          <w:rPr>
            <w:rStyle w:val="Hyperlink"/>
            <w:sz w:val="20"/>
          </w:rPr>
          <w:t>https://indico.un.org/event/1002195/</w:t>
        </w:r>
      </w:hyperlink>
      <w:r w:rsidRPr="0066414A">
        <w:rPr>
          <w:sz w:val="20"/>
        </w:rPr>
        <w:t>.</w:t>
      </w:r>
      <w:r>
        <w:t xml:space="preserve"> </w:t>
      </w:r>
      <w:r w:rsidRPr="0091159B">
        <w:rPr>
          <w:sz w:val="20"/>
        </w:rPr>
        <w:t>Should any difficulties be encountered when attempting to register, please email the secretariat (eia.conv@un.org; maricar.delacruz@un.org).</w:t>
      </w:r>
    </w:p>
  </w:footnote>
  <w:footnote w:id="3">
    <w:p w14:paraId="5C255458" w14:textId="77777777" w:rsidR="00BC41BF" w:rsidRPr="008D78D2" w:rsidRDefault="00BC41BF" w:rsidP="00BC41BF">
      <w:pPr>
        <w:pStyle w:val="FootnoteText"/>
        <w:widowControl w:val="0"/>
        <w:tabs>
          <w:tab w:val="clear" w:pos="1021"/>
          <w:tab w:val="right" w:pos="1020"/>
        </w:tabs>
        <w:rPr>
          <w:lang w:val="en-US"/>
        </w:rPr>
      </w:pPr>
      <w:r>
        <w:tab/>
      </w:r>
      <w:r>
        <w:rPr>
          <w:rStyle w:val="FootnoteReference"/>
        </w:rPr>
        <w:footnoteRef/>
      </w:r>
      <w:r>
        <w:tab/>
      </w:r>
      <w:r w:rsidRPr="00AE44D8">
        <w:t xml:space="preserve">Available at </w:t>
      </w:r>
      <w:hyperlink r:id="rId2" w:history="1">
        <w:r w:rsidRPr="008D78D2">
          <w:rPr>
            <w:rStyle w:val="Hyperlink"/>
            <w:color w:val="auto"/>
          </w:rPr>
          <w:t>https://unece.org/DAM/env/eia/documents/ImplementationCommittee/2014_Structure_and_functions/Implementation_Committee_structure_functions_procedures_rules.e_2014.pdf</w:t>
        </w:r>
      </w:hyperlink>
      <w:r w:rsidRPr="008D78D2">
        <w:t xml:space="preserve">. </w:t>
      </w:r>
    </w:p>
  </w:footnote>
  <w:footnote w:id="4">
    <w:p w14:paraId="1F21A124" w14:textId="77777777" w:rsidR="00BC41BF" w:rsidRPr="00DB2A07" w:rsidRDefault="00BC41BF" w:rsidP="00BC41BF">
      <w:pPr>
        <w:pStyle w:val="FootnoteText"/>
        <w:rPr>
          <w:lang w:val="en-US"/>
        </w:rPr>
      </w:pPr>
      <w:r>
        <w:tab/>
      </w:r>
      <w:r>
        <w:rPr>
          <w:rStyle w:val="FootnoteReference"/>
        </w:rPr>
        <w:footnoteRef/>
      </w:r>
      <w:r>
        <w:tab/>
        <w:t xml:space="preserve">Ibid. </w:t>
      </w:r>
    </w:p>
  </w:footnote>
  <w:footnote w:id="5">
    <w:p w14:paraId="682FAE81" w14:textId="77777777" w:rsidR="00BC41BF" w:rsidRPr="00570BF7" w:rsidRDefault="00BC41BF" w:rsidP="00BC41BF">
      <w:pPr>
        <w:pStyle w:val="FootnoteText"/>
      </w:pPr>
      <w:r>
        <w:tab/>
      </w:r>
      <w:r>
        <w:rPr>
          <w:rStyle w:val="FootnoteReference"/>
        </w:rPr>
        <w:footnoteRef/>
      </w:r>
      <w:r>
        <w:tab/>
      </w:r>
      <w:r w:rsidRPr="00730A70">
        <w:t>Available at https://unece.org/environment-policy/environmental-assessment/decisions-taken-meetings-parties.</w:t>
      </w:r>
    </w:p>
  </w:footnote>
  <w:footnote w:id="6">
    <w:p w14:paraId="61D83617" w14:textId="32E69BD6" w:rsidR="00BC41BF" w:rsidRPr="00464B1D" w:rsidRDefault="00BC41BF" w:rsidP="00BC41BF">
      <w:pPr>
        <w:pStyle w:val="FootnoteText"/>
        <w:rPr>
          <w:lang w:val="es-ES"/>
        </w:rPr>
      </w:pPr>
      <w:r>
        <w:rPr>
          <w:lang w:val="es-ES"/>
        </w:rPr>
        <w:tab/>
      </w:r>
      <w:r>
        <w:rPr>
          <w:rStyle w:val="FootnoteReference"/>
        </w:rPr>
        <w:footnoteRef/>
      </w:r>
      <w:r>
        <w:rPr>
          <w:lang w:val="es-ES"/>
        </w:rPr>
        <w:tab/>
      </w:r>
      <w:r w:rsidRPr="00464B1D">
        <w:rPr>
          <w:lang w:val="es-ES"/>
        </w:rPr>
        <w:t>ECE/EIA/MP.IC/2023/4, paras. 86–88.</w:t>
      </w:r>
    </w:p>
  </w:footnote>
  <w:footnote w:id="7">
    <w:p w14:paraId="3E9FFD14" w14:textId="055DED72" w:rsidR="00BC41BF" w:rsidRPr="00464B1D" w:rsidRDefault="00BC41BF" w:rsidP="00BC41BF">
      <w:pPr>
        <w:pStyle w:val="FootnoteText"/>
        <w:rPr>
          <w:lang w:val="es-ES"/>
        </w:rPr>
      </w:pPr>
      <w:r>
        <w:rPr>
          <w:lang w:val="es-ES"/>
        </w:rPr>
        <w:tab/>
      </w:r>
      <w:r>
        <w:rPr>
          <w:rStyle w:val="FootnoteReference"/>
        </w:rPr>
        <w:footnoteRef/>
      </w:r>
      <w:r>
        <w:rPr>
          <w:lang w:val="es-ES"/>
        </w:rPr>
        <w:tab/>
      </w:r>
      <w:r w:rsidRPr="00464B1D">
        <w:rPr>
          <w:lang w:val="es-ES"/>
        </w:rPr>
        <w:t>Ibid., para. 41.</w:t>
      </w:r>
    </w:p>
  </w:footnote>
  <w:footnote w:id="8">
    <w:p w14:paraId="1ABCB140" w14:textId="05521F18" w:rsidR="00BC41BF" w:rsidRPr="00464B1D" w:rsidRDefault="00BC41BF" w:rsidP="00BC41BF">
      <w:pPr>
        <w:pStyle w:val="FootnoteText"/>
        <w:rPr>
          <w:lang w:val="es-ES"/>
        </w:rPr>
      </w:pPr>
      <w:r>
        <w:rPr>
          <w:lang w:val="es-ES"/>
        </w:rPr>
        <w:tab/>
      </w:r>
      <w:r>
        <w:rPr>
          <w:rStyle w:val="FootnoteReference"/>
        </w:rPr>
        <w:footnoteRef/>
      </w:r>
      <w:r>
        <w:rPr>
          <w:lang w:val="es-ES"/>
        </w:rPr>
        <w:tab/>
      </w:r>
      <w:r w:rsidRPr="00464B1D">
        <w:rPr>
          <w:lang w:val="es-ES"/>
        </w:rPr>
        <w:t>Ibid., paras. 82–85 and 89–92.</w:t>
      </w:r>
    </w:p>
  </w:footnote>
  <w:footnote w:id="9">
    <w:p w14:paraId="53E89494" w14:textId="77777777" w:rsidR="00BC41BF" w:rsidRPr="00AF32B4" w:rsidRDefault="00BC41BF" w:rsidP="00BC41BF">
      <w:pPr>
        <w:pStyle w:val="FootnoteText"/>
        <w:rPr>
          <w:lang w:val="es-ES_tradnl"/>
        </w:rPr>
      </w:pPr>
      <w:r w:rsidRPr="00464B1D">
        <w:rPr>
          <w:lang w:val="es-ES"/>
        </w:rPr>
        <w:tab/>
      </w:r>
      <w:r>
        <w:rPr>
          <w:rStyle w:val="FootnoteReference"/>
        </w:rPr>
        <w:footnoteRef/>
      </w:r>
      <w:r>
        <w:rPr>
          <w:lang w:val="es-ES"/>
        </w:rPr>
        <w:tab/>
      </w:r>
      <w:r w:rsidRPr="00AF32B4">
        <w:rPr>
          <w:lang w:val="es-ES_tradnl"/>
        </w:rPr>
        <w:t>ECE/MP.EIA/2020/8</w:t>
      </w:r>
      <w:r>
        <w:rPr>
          <w:lang w:val="es-ES_tradnl"/>
        </w:rPr>
        <w:t>, paras. 15</w:t>
      </w:r>
      <w:r w:rsidRPr="00825A8E">
        <w:rPr>
          <w:lang w:val="es-ES"/>
        </w:rPr>
        <w:t>–</w:t>
      </w:r>
      <w:r>
        <w:rPr>
          <w:lang w:val="es-ES_tradnl"/>
        </w:rPr>
        <w:t>16.</w:t>
      </w:r>
    </w:p>
  </w:footnote>
  <w:footnote w:id="10">
    <w:p w14:paraId="1C98D1AD" w14:textId="77777777" w:rsidR="00BC41BF" w:rsidRPr="00AF32B4" w:rsidRDefault="00BC41BF" w:rsidP="00BC41BF">
      <w:pPr>
        <w:pStyle w:val="FootnoteText"/>
        <w:rPr>
          <w:lang w:val="es-ES_tradnl"/>
        </w:rPr>
      </w:pPr>
      <w:r>
        <w:rPr>
          <w:lang w:val="es-ES_tradnl"/>
        </w:rPr>
        <w:tab/>
      </w:r>
      <w:r>
        <w:rPr>
          <w:rStyle w:val="FootnoteReference"/>
        </w:rPr>
        <w:footnoteRef/>
      </w:r>
      <w:r>
        <w:rPr>
          <w:lang w:val="es-ES_tradnl"/>
        </w:rPr>
        <w:tab/>
      </w:r>
      <w:r w:rsidRPr="00AF32B4">
        <w:rPr>
          <w:lang w:val="es-ES_tradnl"/>
        </w:rPr>
        <w:t>ECE/MP.EIA/SEA/</w:t>
      </w:r>
      <w:r>
        <w:rPr>
          <w:lang w:val="es-ES_tradnl"/>
        </w:rPr>
        <w:t>2017/</w:t>
      </w:r>
      <w:r w:rsidRPr="00AF32B4">
        <w:rPr>
          <w:lang w:val="es-ES_tradnl"/>
        </w:rPr>
        <w:t>9</w:t>
      </w:r>
      <w:r>
        <w:rPr>
          <w:lang w:val="es-ES_tradnl"/>
        </w:rPr>
        <w:t>, paras. 37</w:t>
      </w:r>
      <w:r w:rsidRPr="00825A8E">
        <w:rPr>
          <w:lang w:val="es-ES"/>
        </w:rPr>
        <w:t>–</w:t>
      </w:r>
      <w:r>
        <w:rPr>
          <w:lang w:val="es-ES_tradnl"/>
        </w:rPr>
        <w:t>39.</w:t>
      </w:r>
    </w:p>
  </w:footnote>
  <w:footnote w:id="11">
    <w:p w14:paraId="2DB0A082" w14:textId="77777777" w:rsidR="00BC41BF" w:rsidRPr="00AF32B4" w:rsidRDefault="00BC41BF" w:rsidP="00BC41BF">
      <w:pPr>
        <w:pStyle w:val="FootnoteText"/>
        <w:rPr>
          <w:lang w:val="es-ES_tradnl"/>
        </w:rPr>
      </w:pPr>
      <w:r>
        <w:rPr>
          <w:lang w:val="es-ES_tradnl"/>
        </w:rPr>
        <w:tab/>
      </w:r>
      <w:r>
        <w:rPr>
          <w:rStyle w:val="FootnoteReference"/>
        </w:rPr>
        <w:footnoteRef/>
      </w:r>
      <w:r>
        <w:rPr>
          <w:lang w:val="es-ES_tradnl"/>
        </w:rPr>
        <w:tab/>
      </w:r>
      <w:r w:rsidRPr="00AF32B4">
        <w:rPr>
          <w:lang w:val="es-ES_tradnl"/>
        </w:rPr>
        <w:t>ECE/MP.EIA/SEA/2020/8</w:t>
      </w:r>
      <w:r>
        <w:rPr>
          <w:lang w:val="es-ES_tradnl"/>
        </w:rPr>
        <w:t>, para. 56.</w:t>
      </w:r>
    </w:p>
  </w:footnote>
  <w:footnote w:id="12">
    <w:p w14:paraId="6C0A59B7" w14:textId="77777777" w:rsidR="00BC41BF" w:rsidRPr="004F1C7F" w:rsidRDefault="00BC41BF" w:rsidP="00BC41BF">
      <w:pPr>
        <w:pStyle w:val="FootnoteText"/>
        <w:widowControl w:val="0"/>
        <w:tabs>
          <w:tab w:val="clear" w:pos="1021"/>
          <w:tab w:val="right" w:pos="1020"/>
        </w:tabs>
        <w:rPr>
          <w:lang w:val="es-ES"/>
        </w:rPr>
      </w:pPr>
      <w:r w:rsidRPr="008E7173">
        <w:rPr>
          <w:lang w:val="es-ES"/>
        </w:rPr>
        <w:tab/>
      </w:r>
      <w:r>
        <w:rPr>
          <w:rStyle w:val="FootnoteReference"/>
        </w:rPr>
        <w:footnoteRef/>
      </w:r>
      <w:r w:rsidRPr="004F1C7F">
        <w:rPr>
          <w:lang w:val="es-ES"/>
        </w:rPr>
        <w:tab/>
        <w:t>ECE/MP.EIA/30/Add.2−</w:t>
      </w:r>
      <w:bookmarkStart w:id="1" w:name="_Hlk136012112"/>
      <w:r w:rsidRPr="004F1C7F">
        <w:rPr>
          <w:lang w:val="es-ES"/>
        </w:rPr>
        <w:t>ECE/MP.EIA/SEA/13/Add.2</w:t>
      </w:r>
      <w:bookmarkEnd w:id="1"/>
      <w:r w:rsidRPr="004F1C7F">
        <w:rPr>
          <w:lang w:val="es-ES"/>
        </w:rPr>
        <w:t>.</w:t>
      </w:r>
    </w:p>
  </w:footnote>
  <w:footnote w:id="13">
    <w:p w14:paraId="6420AE0D" w14:textId="77777777" w:rsidR="00BC41BF" w:rsidRPr="004F1C7F" w:rsidRDefault="00BC41BF" w:rsidP="00BC41BF">
      <w:pPr>
        <w:pStyle w:val="FootnoteText"/>
        <w:widowControl w:val="0"/>
        <w:tabs>
          <w:tab w:val="clear" w:pos="1021"/>
          <w:tab w:val="right" w:pos="1020"/>
        </w:tabs>
        <w:rPr>
          <w:lang w:val="es-ES"/>
        </w:rPr>
      </w:pPr>
      <w:r w:rsidRPr="004F1C7F">
        <w:rPr>
          <w:lang w:val="es-ES"/>
        </w:rPr>
        <w:tab/>
      </w:r>
      <w:r>
        <w:rPr>
          <w:rStyle w:val="FootnoteReference"/>
        </w:rPr>
        <w:footnoteRef/>
      </w:r>
      <w:r w:rsidRPr="004F1C7F">
        <w:rPr>
          <w:lang w:val="es-ES"/>
        </w:rPr>
        <w:tab/>
        <w:t>ECE/MP.EIA/30/Add.3−ECE/MP.EIA/SEA/13/Add.3.</w:t>
      </w:r>
    </w:p>
  </w:footnote>
  <w:footnote w:id="14">
    <w:p w14:paraId="54C20A34" w14:textId="77777777" w:rsidR="00BC41BF" w:rsidRPr="00593E17" w:rsidRDefault="00BC41BF" w:rsidP="00BC41BF">
      <w:pPr>
        <w:pStyle w:val="FootnoteText"/>
        <w:rPr>
          <w:lang w:val="es-ES"/>
        </w:rPr>
      </w:pPr>
      <w:r w:rsidRPr="004809DF">
        <w:rPr>
          <w:lang w:val="es-ES"/>
        </w:rPr>
        <w:tab/>
      </w:r>
      <w:r>
        <w:rPr>
          <w:rStyle w:val="FootnoteReference"/>
        </w:rPr>
        <w:footnoteRef/>
      </w:r>
      <w:r>
        <w:rPr>
          <w:lang w:val="es-ES"/>
        </w:rPr>
        <w:tab/>
      </w:r>
      <w:r w:rsidRPr="00593E17">
        <w:rPr>
          <w:lang w:val="es-ES"/>
        </w:rPr>
        <w:t>ECE/MP.EIA/30/Add.1–ECE/MP.EIA/SE</w:t>
      </w:r>
      <w:r>
        <w:rPr>
          <w:lang w:val="es-ES"/>
        </w:rPr>
        <w:t xml:space="preserve">A/13/Add.1, </w:t>
      </w:r>
      <w:proofErr w:type="spellStart"/>
      <w:r>
        <w:rPr>
          <w:lang w:val="es-ES"/>
        </w:rPr>
        <w:t>d</w:t>
      </w:r>
      <w:r w:rsidRPr="00D50322">
        <w:rPr>
          <w:lang w:val="es-ES"/>
        </w:rPr>
        <w:t>ecision</w:t>
      </w:r>
      <w:proofErr w:type="spellEnd"/>
      <w:r w:rsidRPr="00D50322">
        <w:rPr>
          <w:lang w:val="es-ES"/>
        </w:rPr>
        <w:t xml:space="preserve"> VIII/2–IV/2, </w:t>
      </w:r>
      <w:proofErr w:type="spellStart"/>
      <w:r w:rsidRPr="00D50322">
        <w:rPr>
          <w:lang w:val="es-ES"/>
        </w:rPr>
        <w:t>annex</w:t>
      </w:r>
      <w:proofErr w:type="spellEnd"/>
      <w:r>
        <w:rPr>
          <w:lang w:val="es-ES"/>
        </w:rPr>
        <w:t xml:space="preserve">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FC3B" w14:textId="686299D7" w:rsidR="00005146" w:rsidRPr="00005146" w:rsidRDefault="009708E8">
    <w:pPr>
      <w:pStyle w:val="Header"/>
    </w:pPr>
    <w:r>
      <w:fldChar w:fldCharType="begin"/>
    </w:r>
    <w:r>
      <w:instrText xml:space="preserve"> TITLE  \* MERGEFORMAT </w:instrText>
    </w:r>
    <w:r>
      <w:fldChar w:fldCharType="separate"/>
    </w:r>
    <w:r w:rsidR="00005146">
      <w:t>ECE/MP.EIA/IC/2023/7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5C12" w14:textId="26D79D8A" w:rsidR="00005146" w:rsidRPr="00005146" w:rsidRDefault="009708E8" w:rsidP="00005146">
    <w:pPr>
      <w:pStyle w:val="Header"/>
      <w:jc w:val="right"/>
    </w:pPr>
    <w:r>
      <w:fldChar w:fldCharType="begin"/>
    </w:r>
    <w:r>
      <w:instrText xml:space="preserve"> TITLE  \* MERGEFORMAT </w:instrText>
    </w:r>
    <w:r>
      <w:fldChar w:fldCharType="separate"/>
    </w:r>
    <w:r w:rsidR="00005146">
      <w:t>ECE/MP.EIA/IC/2023/7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09831517">
    <w:abstractNumId w:val="1"/>
  </w:num>
  <w:num w:numId="2" w16cid:durableId="1661886726">
    <w:abstractNumId w:val="0"/>
  </w:num>
  <w:num w:numId="3" w16cid:durableId="651251685">
    <w:abstractNumId w:val="2"/>
  </w:num>
  <w:num w:numId="4" w16cid:durableId="781076372">
    <w:abstractNumId w:val="3"/>
  </w:num>
  <w:num w:numId="5" w16cid:durableId="8483609">
    <w:abstractNumId w:val="8"/>
  </w:num>
  <w:num w:numId="6" w16cid:durableId="969936239">
    <w:abstractNumId w:val="9"/>
  </w:num>
  <w:num w:numId="7" w16cid:durableId="1994523905">
    <w:abstractNumId w:val="7"/>
  </w:num>
  <w:num w:numId="8" w16cid:durableId="733429123">
    <w:abstractNumId w:val="6"/>
  </w:num>
  <w:num w:numId="9" w16cid:durableId="641151833">
    <w:abstractNumId w:val="5"/>
  </w:num>
  <w:num w:numId="10" w16cid:durableId="244804442">
    <w:abstractNumId w:val="4"/>
  </w:num>
  <w:num w:numId="11" w16cid:durableId="1368796202">
    <w:abstractNumId w:val="15"/>
  </w:num>
  <w:num w:numId="12" w16cid:durableId="1713920571">
    <w:abstractNumId w:val="14"/>
  </w:num>
  <w:num w:numId="13" w16cid:durableId="1740397024">
    <w:abstractNumId w:val="10"/>
  </w:num>
  <w:num w:numId="14" w16cid:durableId="1516655073">
    <w:abstractNumId w:val="12"/>
  </w:num>
  <w:num w:numId="15" w16cid:durableId="777524465">
    <w:abstractNumId w:val="16"/>
  </w:num>
  <w:num w:numId="16" w16cid:durableId="871499845">
    <w:abstractNumId w:val="13"/>
  </w:num>
  <w:num w:numId="17" w16cid:durableId="1715227204">
    <w:abstractNumId w:val="17"/>
  </w:num>
  <w:num w:numId="18" w16cid:durableId="1666400297">
    <w:abstractNumId w:val="18"/>
  </w:num>
  <w:num w:numId="19" w16cid:durableId="16752981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005146"/>
    <w:rsid w:val="00002A7D"/>
    <w:rsid w:val="000038A8"/>
    <w:rsid w:val="00005146"/>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6591"/>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72518"/>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C55B0"/>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8E8"/>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5665F"/>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94C44"/>
    <w:rsid w:val="00BA339B"/>
    <w:rsid w:val="00BB5FB0"/>
    <w:rsid w:val="00BC1E7E"/>
    <w:rsid w:val="00BC41BF"/>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259F7"/>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A6AE"/>
  <w15:docId w15:val="{9280E18E-4087-405A-A7E0-6084BAEC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DAM/env/eia/documents/ImplementationCommittee/2014_Structure_and_functions/Implementation_Committee_structure_functions_procedures_rules.e_2014.pdf" TargetMode="External"/><Relationship Id="rId1" Type="http://schemas.openxmlformats.org/officeDocument/2006/relationships/hyperlink" Target="https://indico.un.org/event/10021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D026A78D-9B63-4903-98F9-D0E85F2B2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4</Pages>
  <Words>1261</Words>
  <Characters>7008</Characters>
  <Application>Microsoft Office Word</Application>
  <DocSecurity>0</DocSecurity>
  <Lines>139</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ECE/MP.EIA/IC/2023/7</vt:lpstr>
      <vt:lpstr/>
    </vt:vector>
  </TitlesOfParts>
  <Company>CSD</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ECE/MP.EIA/IC/2023/7</dc:title>
  <dc:subject>2310175</dc:subject>
  <dc:creator>Maricar De_La_Cruz</dc:creator>
  <cp:keywords/>
  <dc:description/>
  <cp:lastModifiedBy>Cecile Pacis</cp:lastModifiedBy>
  <cp:revision>2</cp:revision>
  <cp:lastPrinted>2009-02-18T09:36:00Z</cp:lastPrinted>
  <dcterms:created xsi:type="dcterms:W3CDTF">2023-05-30T14:36:00Z</dcterms:created>
  <dcterms:modified xsi:type="dcterms:W3CDTF">2023-05-30T14:36:00Z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db1e2760-e2ea-42f2-801f-b0385d482242</vt:lpwstr>
  </property>
  <property fmtid="{D5CDD505-2E9C-101B-9397-08002B2CF9AE}" pid="4" name="MediaServiceImageTags">
    <vt:lpwstr/>
  </property>
</Properties>
</file>