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8C43E85" w14:textId="77777777" w:rsidTr="006476E1">
        <w:trPr>
          <w:trHeight w:val="851"/>
        </w:trPr>
        <w:tc>
          <w:tcPr>
            <w:tcW w:w="1259" w:type="dxa"/>
            <w:tcBorders>
              <w:top w:val="nil"/>
              <w:left w:val="nil"/>
              <w:bottom w:val="single" w:sz="4" w:space="0" w:color="auto"/>
              <w:right w:val="nil"/>
            </w:tcBorders>
          </w:tcPr>
          <w:p w14:paraId="04BD683E" w14:textId="77777777" w:rsidR="00E52109" w:rsidRPr="002A32CB" w:rsidRDefault="00E52109" w:rsidP="004858F5"/>
        </w:tc>
        <w:tc>
          <w:tcPr>
            <w:tcW w:w="2236" w:type="dxa"/>
            <w:tcBorders>
              <w:top w:val="nil"/>
              <w:left w:val="nil"/>
              <w:bottom w:val="single" w:sz="4" w:space="0" w:color="auto"/>
              <w:right w:val="nil"/>
            </w:tcBorders>
            <w:vAlign w:val="bottom"/>
          </w:tcPr>
          <w:p w14:paraId="7154C3A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BE3AF2D" w14:textId="3143F085" w:rsidR="001F6F1F" w:rsidRDefault="001F6F1F" w:rsidP="001F6F1F">
            <w:pPr>
              <w:jc w:val="right"/>
            </w:pPr>
            <w:r w:rsidRPr="001F6F1F">
              <w:rPr>
                <w:sz w:val="40"/>
              </w:rPr>
              <w:t>ST</w:t>
            </w:r>
            <w:r>
              <w:t>/SG/AC.10/C.3/2023/12−</w:t>
            </w:r>
            <w:r w:rsidRPr="001F6F1F">
              <w:rPr>
                <w:sz w:val="40"/>
              </w:rPr>
              <w:t>ST</w:t>
            </w:r>
            <w:r>
              <w:t>/SG/AC.10/C.4/2023/2</w:t>
            </w:r>
          </w:p>
        </w:tc>
      </w:tr>
      <w:tr w:rsidR="00E52109" w14:paraId="21F4EE17" w14:textId="77777777" w:rsidTr="006476E1">
        <w:trPr>
          <w:trHeight w:val="2835"/>
        </w:trPr>
        <w:tc>
          <w:tcPr>
            <w:tcW w:w="1259" w:type="dxa"/>
            <w:tcBorders>
              <w:top w:val="single" w:sz="4" w:space="0" w:color="auto"/>
              <w:left w:val="nil"/>
              <w:bottom w:val="single" w:sz="12" w:space="0" w:color="auto"/>
              <w:right w:val="nil"/>
            </w:tcBorders>
          </w:tcPr>
          <w:p w14:paraId="2B9F40BF" w14:textId="77777777" w:rsidR="00E52109" w:rsidRDefault="00E52109" w:rsidP="006476E1">
            <w:pPr>
              <w:spacing w:before="120"/>
              <w:jc w:val="center"/>
            </w:pPr>
            <w:r>
              <w:rPr>
                <w:noProof/>
                <w:lang w:val="fr-CH" w:eastAsia="fr-CH"/>
              </w:rPr>
              <w:drawing>
                <wp:inline distT="0" distB="0" distL="0" distR="0" wp14:anchorId="64EBE7C8" wp14:editId="4927CE8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7839D5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712208D" w14:textId="77777777" w:rsidR="00D94B05" w:rsidRDefault="001F6F1F" w:rsidP="001F6F1F">
            <w:pPr>
              <w:spacing w:before="240" w:line="240" w:lineRule="exact"/>
            </w:pPr>
            <w:r>
              <w:t>Distr.: General</w:t>
            </w:r>
          </w:p>
          <w:p w14:paraId="2BEECD92" w14:textId="45E49061" w:rsidR="001F6F1F" w:rsidRDefault="00AC4F33" w:rsidP="001F6F1F">
            <w:pPr>
              <w:spacing w:line="240" w:lineRule="exact"/>
            </w:pPr>
            <w:r w:rsidRPr="00AC4F33">
              <w:t>13</w:t>
            </w:r>
            <w:r w:rsidR="001F6F1F" w:rsidRPr="00AC4F33">
              <w:t xml:space="preserve"> April 2023</w:t>
            </w:r>
          </w:p>
          <w:p w14:paraId="5B74251A" w14:textId="77777777" w:rsidR="001F6F1F" w:rsidRDefault="001F6F1F" w:rsidP="001F6F1F">
            <w:pPr>
              <w:spacing w:line="240" w:lineRule="exact"/>
            </w:pPr>
          </w:p>
          <w:p w14:paraId="2F3867DA" w14:textId="11C03709" w:rsidR="001F6F1F" w:rsidRDefault="001F6F1F" w:rsidP="001F6F1F">
            <w:pPr>
              <w:spacing w:line="240" w:lineRule="exact"/>
            </w:pPr>
            <w:r>
              <w:t>Original: English</w:t>
            </w:r>
          </w:p>
        </w:tc>
      </w:tr>
    </w:tbl>
    <w:p w14:paraId="3CC46E7B" w14:textId="77777777" w:rsidR="001F6F1F" w:rsidRPr="006500BA" w:rsidRDefault="001F6F1F"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1F6F1F" w:rsidRPr="00302456" w14:paraId="3C1401D4" w14:textId="77777777" w:rsidTr="00A64170">
        <w:tc>
          <w:tcPr>
            <w:tcW w:w="4593" w:type="dxa"/>
            <w:shd w:val="clear" w:color="auto" w:fill="auto"/>
          </w:tcPr>
          <w:p w14:paraId="56CF33BB" w14:textId="77777777" w:rsidR="001F6F1F" w:rsidRPr="00302456" w:rsidRDefault="001F6F1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14:paraId="66007EF9" w14:textId="77777777" w:rsidR="001F6F1F" w:rsidRPr="00302456" w:rsidRDefault="001F6F1F">
            <w:pPr>
              <w:spacing w:before="120"/>
              <w:rPr>
                <w:b/>
              </w:rPr>
            </w:pPr>
            <w:r w:rsidRPr="00302456">
              <w:rPr>
                <w:b/>
              </w:rPr>
              <w:t xml:space="preserve">Sub-Committee of Experts on the Globally Harmonized System of Classification and Labelling of Chemicals </w:t>
            </w:r>
          </w:p>
        </w:tc>
      </w:tr>
      <w:tr w:rsidR="00360B1E" w:rsidRPr="00302456" w14:paraId="38B19C88" w14:textId="77777777" w:rsidTr="00A64170">
        <w:tc>
          <w:tcPr>
            <w:tcW w:w="4593" w:type="dxa"/>
            <w:shd w:val="clear" w:color="auto" w:fill="auto"/>
          </w:tcPr>
          <w:p w14:paraId="66970704" w14:textId="00898BF6" w:rsidR="00360B1E" w:rsidRPr="00302456" w:rsidRDefault="00360B1E" w:rsidP="00360B1E">
            <w:pPr>
              <w:spacing w:before="120"/>
              <w:rPr>
                <w:b/>
              </w:rPr>
            </w:pPr>
            <w:r>
              <w:rPr>
                <w:b/>
              </w:rPr>
              <w:t>Sixty-second</w:t>
            </w:r>
            <w:r w:rsidRPr="00302456">
              <w:rPr>
                <w:b/>
              </w:rPr>
              <w:t xml:space="preserve"> session</w:t>
            </w:r>
          </w:p>
        </w:tc>
        <w:tc>
          <w:tcPr>
            <w:tcW w:w="5046" w:type="dxa"/>
            <w:shd w:val="clear" w:color="auto" w:fill="auto"/>
          </w:tcPr>
          <w:p w14:paraId="4AF51EF6" w14:textId="5008DCDC" w:rsidR="00360B1E" w:rsidRPr="005F2FC0" w:rsidRDefault="00360B1E" w:rsidP="00360B1E">
            <w:pPr>
              <w:spacing w:before="120"/>
              <w:rPr>
                <w:b/>
              </w:rPr>
            </w:pPr>
            <w:r w:rsidRPr="005F2FC0">
              <w:rPr>
                <w:b/>
              </w:rPr>
              <w:t>Forty-fourth session</w:t>
            </w:r>
          </w:p>
        </w:tc>
      </w:tr>
      <w:tr w:rsidR="00360B1E" w:rsidRPr="00302456" w14:paraId="2576E3D0" w14:textId="77777777" w:rsidTr="00A64170">
        <w:tc>
          <w:tcPr>
            <w:tcW w:w="4593" w:type="dxa"/>
            <w:shd w:val="clear" w:color="auto" w:fill="auto"/>
          </w:tcPr>
          <w:p w14:paraId="10CEED18" w14:textId="03E3C661" w:rsidR="00360B1E" w:rsidRPr="00302456" w:rsidRDefault="00360B1E" w:rsidP="00360B1E">
            <w:pPr>
              <w:rPr>
                <w:b/>
              </w:rPr>
            </w:pPr>
            <w:r>
              <w:t>Geneva, 3-7 July 2023</w:t>
            </w:r>
          </w:p>
        </w:tc>
        <w:tc>
          <w:tcPr>
            <w:tcW w:w="5046" w:type="dxa"/>
            <w:shd w:val="clear" w:color="auto" w:fill="auto"/>
          </w:tcPr>
          <w:p w14:paraId="6D6A6378" w14:textId="4BCB83CE" w:rsidR="00360B1E" w:rsidRPr="005F2FC0" w:rsidRDefault="00360B1E" w:rsidP="00360B1E">
            <w:pPr>
              <w:rPr>
                <w:b/>
              </w:rPr>
            </w:pPr>
            <w:r w:rsidRPr="005F2FC0">
              <w:t>Geneva, 10-12 July 2023</w:t>
            </w:r>
          </w:p>
        </w:tc>
      </w:tr>
      <w:tr w:rsidR="00360B1E" w:rsidRPr="00302456" w14:paraId="07FB1AED" w14:textId="77777777" w:rsidTr="00A64170">
        <w:tc>
          <w:tcPr>
            <w:tcW w:w="4593" w:type="dxa"/>
            <w:shd w:val="clear" w:color="auto" w:fill="auto"/>
          </w:tcPr>
          <w:p w14:paraId="5D0E67B8" w14:textId="6FD141F6" w:rsidR="00360B1E" w:rsidRDefault="00360B1E" w:rsidP="00360B1E">
            <w:r w:rsidRPr="00372EF0">
              <w:t>Item 2 (h) of the provisional agenda</w:t>
            </w:r>
            <w:r w:rsidRPr="00372EF0">
              <w:br/>
            </w:r>
            <w:r w:rsidRPr="00372EF0">
              <w:rPr>
                <w:b/>
              </w:rPr>
              <w:t>Explosives and related matters:</w:t>
            </w:r>
            <w:r w:rsidRPr="00372EF0">
              <w:rPr>
                <w:b/>
              </w:rPr>
              <w:br/>
              <w:t>Miscellaneous</w:t>
            </w:r>
          </w:p>
        </w:tc>
        <w:tc>
          <w:tcPr>
            <w:tcW w:w="5046" w:type="dxa"/>
            <w:shd w:val="clear" w:color="auto" w:fill="auto"/>
          </w:tcPr>
          <w:p w14:paraId="79DBCEDB" w14:textId="77777777" w:rsidR="00360B1E" w:rsidRPr="004F280D" w:rsidRDefault="00360B1E" w:rsidP="00360B1E">
            <w:r w:rsidRPr="004F280D">
              <w:t>Item 2 (a) of the provisional agenda</w:t>
            </w:r>
          </w:p>
          <w:p w14:paraId="0CADF0CA" w14:textId="009BAF68" w:rsidR="00360B1E" w:rsidRPr="005F2FC0" w:rsidRDefault="00360B1E" w:rsidP="00360B1E">
            <w:r w:rsidRPr="004F280D">
              <w:rPr>
                <w:b/>
                <w:bCs/>
              </w:rPr>
              <w:t>Work of the Sub-Committee of Experts on the Transport of Dangerous Goods on matters of interest to the Sub-Committee of Experts on the Globally Harmonized System of Classification and Labelling of Chemicals</w:t>
            </w:r>
          </w:p>
        </w:tc>
      </w:tr>
      <w:tr w:rsidR="001F6F1F" w:rsidRPr="00E66746" w14:paraId="4DE2A22F" w14:textId="77777777" w:rsidTr="00A64170">
        <w:tc>
          <w:tcPr>
            <w:tcW w:w="4593" w:type="dxa"/>
            <w:shd w:val="clear" w:color="auto" w:fill="auto"/>
          </w:tcPr>
          <w:p w14:paraId="4744A9A6" w14:textId="77777777" w:rsidR="001F6F1F" w:rsidRPr="00E66746" w:rsidRDefault="001F6F1F">
            <w:pPr>
              <w:rPr>
                <w:b/>
              </w:rPr>
            </w:pPr>
          </w:p>
        </w:tc>
        <w:tc>
          <w:tcPr>
            <w:tcW w:w="5046" w:type="dxa"/>
            <w:shd w:val="clear" w:color="auto" w:fill="auto"/>
          </w:tcPr>
          <w:p w14:paraId="302D1DF2" w14:textId="77777777" w:rsidR="001F6F1F" w:rsidRPr="00E66746" w:rsidRDefault="001F6F1F">
            <w:pPr>
              <w:rPr>
                <w:b/>
              </w:rPr>
            </w:pPr>
          </w:p>
        </w:tc>
      </w:tr>
    </w:tbl>
    <w:p w14:paraId="2A02E7C7" w14:textId="642ED354" w:rsidR="000F2DFD" w:rsidRPr="000F2DFD" w:rsidRDefault="000F2DFD" w:rsidP="00DF48FE">
      <w:pPr>
        <w:pStyle w:val="HChG"/>
      </w:pPr>
      <w:r w:rsidRPr="000F2DFD">
        <w:tab/>
      </w:r>
      <w:r w:rsidRPr="000F2DFD">
        <w:tab/>
        <w:t>Amendment of definition “explosive or pyrotechnic effect”</w:t>
      </w:r>
    </w:p>
    <w:p w14:paraId="4C8296D5" w14:textId="0B435B54" w:rsidR="000F2DFD" w:rsidRPr="0064778D" w:rsidRDefault="000F2DFD" w:rsidP="000F2DFD">
      <w:pPr>
        <w:pStyle w:val="H1G"/>
        <w:rPr>
          <w:lang w:val="en-US" w:eastAsia="ja-JP"/>
        </w:rPr>
      </w:pPr>
      <w:r>
        <w:rPr>
          <w:lang w:val="en-US" w:eastAsia="ja-JP"/>
        </w:rPr>
        <w:tab/>
      </w:r>
      <w:r>
        <w:rPr>
          <w:lang w:val="en-US" w:eastAsia="ja-JP"/>
        </w:rPr>
        <w:tab/>
        <w:t>Transmitted by the expert from Sweden</w:t>
      </w:r>
      <w:r w:rsidR="00CF01AA" w:rsidRPr="004F280D">
        <w:rPr>
          <w:rStyle w:val="FootnoteReference"/>
          <w:sz w:val="20"/>
          <w:vertAlign w:val="baseline"/>
          <w:lang w:val="en-US" w:eastAsia="ja-JP"/>
        </w:rPr>
        <w:footnoteReference w:customMarkFollows="1" w:id="2"/>
        <w:t>*</w:t>
      </w:r>
    </w:p>
    <w:p w14:paraId="37A758B5" w14:textId="48E1458A" w:rsidR="000F2DFD" w:rsidRDefault="000F2DFD" w:rsidP="00DF48FE">
      <w:pPr>
        <w:pStyle w:val="HChG"/>
      </w:pPr>
      <w:r>
        <w:tab/>
      </w:r>
      <w:r>
        <w:tab/>
        <w:t>Introduction</w:t>
      </w:r>
    </w:p>
    <w:p w14:paraId="5BD90706" w14:textId="3F5319D4" w:rsidR="00EE1C00" w:rsidRPr="00F40CB2" w:rsidRDefault="00EE1C00" w:rsidP="00EE1C00">
      <w:pPr>
        <w:pStyle w:val="SingleTxtG"/>
      </w:pPr>
      <w:r w:rsidRPr="00F40CB2">
        <w:t>1.</w:t>
      </w:r>
      <w:r w:rsidRPr="00F40CB2">
        <w:tab/>
        <w:t xml:space="preserve">At the </w:t>
      </w:r>
      <w:r w:rsidR="00DB6091">
        <w:t>fifty-fifth</w:t>
      </w:r>
      <w:r w:rsidR="00DB6091" w:rsidRPr="00F40CB2">
        <w:t xml:space="preserve"> </w:t>
      </w:r>
      <w:r w:rsidRPr="00F40CB2">
        <w:t xml:space="preserve">session of the Sub-Committee of Experts on the Transport of Dangerous Goods (SCETDG), the Working Group on Explosives (EWG) decided to </w:t>
      </w:r>
      <w:r w:rsidR="006D3EF8">
        <w:t>entrust</w:t>
      </w:r>
      <w:r w:rsidR="006D3EF8" w:rsidRPr="00F40CB2">
        <w:t xml:space="preserve"> </w:t>
      </w:r>
      <w:r w:rsidR="006D3EF8">
        <w:t xml:space="preserve">the </w:t>
      </w:r>
      <w:r w:rsidRPr="00F40CB2">
        <w:t xml:space="preserve">review </w:t>
      </w:r>
      <w:r w:rsidR="006D3EF8">
        <w:t xml:space="preserve">of </w:t>
      </w:r>
      <w:r w:rsidRPr="00F40CB2">
        <w:t>matter</w:t>
      </w:r>
      <w:r>
        <w:t>s</w:t>
      </w:r>
      <w:r w:rsidRPr="00F40CB2">
        <w:t xml:space="preserve"> related to the definition of Class 1 </w:t>
      </w:r>
      <w:r w:rsidR="006D3EF8">
        <w:t xml:space="preserve">to </w:t>
      </w:r>
      <w:r w:rsidR="006D3EF8" w:rsidRPr="00F40CB2">
        <w:t xml:space="preserve">an intersessional correspondence group (ICG) </w:t>
      </w:r>
      <w:r w:rsidR="00D81C9B">
        <w:t xml:space="preserve">which should </w:t>
      </w:r>
      <w:r w:rsidRPr="00F40CB2">
        <w:t>report back to the EWG (see paragraph 10 in informal document INF.55 (</w:t>
      </w:r>
      <w:r>
        <w:t>SCE</w:t>
      </w:r>
      <w:r w:rsidRPr="00F40CB2">
        <w:t xml:space="preserve">TDG, </w:t>
      </w:r>
      <w:r w:rsidR="00DB6091">
        <w:t>fifty-fifth</w:t>
      </w:r>
      <w:r w:rsidR="00DB6091" w:rsidRPr="00F40CB2">
        <w:t xml:space="preserve"> </w:t>
      </w:r>
      <w:r w:rsidRPr="00F40CB2">
        <w:t>session)).</w:t>
      </w:r>
    </w:p>
    <w:p w14:paraId="2FEF568F" w14:textId="75B5BE59" w:rsidR="00EE1C00" w:rsidRPr="00F40CB2" w:rsidRDefault="00EE1C00" w:rsidP="00766090">
      <w:pPr>
        <w:pStyle w:val="SingleTxtG"/>
      </w:pPr>
      <w:r w:rsidRPr="00F40CB2">
        <w:t xml:space="preserve">2. </w:t>
      </w:r>
      <w:r w:rsidRPr="00F40CB2">
        <w:tab/>
        <w:t xml:space="preserve">The ICG reported </w:t>
      </w:r>
      <w:r w:rsidR="00D81C9B">
        <w:t xml:space="preserve">back </w:t>
      </w:r>
      <w:r w:rsidRPr="00F40CB2">
        <w:t xml:space="preserve">to </w:t>
      </w:r>
      <w:r>
        <w:t xml:space="preserve">the </w:t>
      </w:r>
      <w:r w:rsidRPr="00F40CB2">
        <w:t>EWG</w:t>
      </w:r>
      <w:r>
        <w:t>,</w:t>
      </w:r>
      <w:r w:rsidRPr="00F40CB2">
        <w:t xml:space="preserve"> and the proposals from </w:t>
      </w:r>
      <w:r>
        <w:t xml:space="preserve">the </w:t>
      </w:r>
      <w:r w:rsidRPr="00F40CB2">
        <w:t xml:space="preserve">ICG were discussed by </w:t>
      </w:r>
      <w:r>
        <w:t xml:space="preserve">the </w:t>
      </w:r>
      <w:r w:rsidRPr="00F40CB2">
        <w:t xml:space="preserve">EWG and by the SCETDG during the </w:t>
      </w:r>
      <w:r w:rsidR="00DB6091">
        <w:t>sixtieth</w:t>
      </w:r>
      <w:r w:rsidR="00DB6091" w:rsidRPr="00F40CB2">
        <w:t xml:space="preserve"> </w:t>
      </w:r>
      <w:r w:rsidRPr="00F40CB2">
        <w:t>session (see informal document INF.12 (</w:t>
      </w:r>
      <w:r>
        <w:t>60th</w:t>
      </w:r>
      <w:r w:rsidRPr="00F40CB2">
        <w:t xml:space="preserve"> session), the report from the EWG</w:t>
      </w:r>
      <w:r w:rsidRPr="0009089A">
        <w:t xml:space="preserve"> </w:t>
      </w:r>
      <w:r w:rsidRPr="00F40CB2">
        <w:t>to the SCETDG, informal document INF.44 (</w:t>
      </w:r>
      <w:r w:rsidR="00DB6091">
        <w:t>sixtieth</w:t>
      </w:r>
      <w:r w:rsidRPr="00F40CB2">
        <w:t xml:space="preserve"> session) and paragraph 27 in the report </w:t>
      </w:r>
      <w:r w:rsidR="00766090">
        <w:t>of the session (</w:t>
      </w:r>
      <w:r w:rsidRPr="00F40CB2">
        <w:t>ST/SG/AC.10/C.3/120).</w:t>
      </w:r>
    </w:p>
    <w:p w14:paraId="0BD87C93" w14:textId="3DC99CBA" w:rsidR="00EE1C00" w:rsidRPr="00F40CB2" w:rsidRDefault="00EE1C00" w:rsidP="00EE1C00">
      <w:pPr>
        <w:pStyle w:val="SingleTxtG"/>
      </w:pPr>
      <w:r w:rsidRPr="00F40CB2">
        <w:t xml:space="preserve">3. </w:t>
      </w:r>
      <w:r w:rsidRPr="00F40CB2">
        <w:tab/>
        <w:t xml:space="preserve">The outcome of this work </w:t>
      </w:r>
      <w:r>
        <w:t>was</w:t>
      </w:r>
      <w:r w:rsidRPr="00F40CB2">
        <w:t xml:space="preserve"> a </w:t>
      </w:r>
      <w:r>
        <w:t>working document</w:t>
      </w:r>
      <w:r w:rsidRPr="00F40CB2">
        <w:t xml:space="preserve"> to the </w:t>
      </w:r>
      <w:r w:rsidR="00766090">
        <w:t>sixty-first</w:t>
      </w:r>
      <w:r w:rsidRPr="00F40CB2">
        <w:t xml:space="preserve"> session </w:t>
      </w:r>
      <w:r w:rsidR="00766090">
        <w:t xml:space="preserve">of the SCETDG </w:t>
      </w:r>
      <w:r>
        <w:t xml:space="preserve">and </w:t>
      </w:r>
      <w:r w:rsidR="00766090">
        <w:t xml:space="preserve">the forty-third </w:t>
      </w:r>
      <w:r>
        <w:t xml:space="preserve">session of </w:t>
      </w:r>
      <w:r w:rsidRPr="00F40CB2">
        <w:t xml:space="preserve">Sub-Committee of Experts on </w:t>
      </w:r>
      <w:r w:rsidRPr="00BB027C">
        <w:t xml:space="preserve">the Globally Harmonized System of Classification and Labelling of Chemicals </w:t>
      </w:r>
      <w:r>
        <w:t xml:space="preserve">(SCEGHS), with </w:t>
      </w:r>
      <w:r w:rsidRPr="00F40CB2">
        <w:t xml:space="preserve">a number of proposals (see ST/SG/AC.10/C.3/2022/47−ST/SG/AC.10/C.4/2022/8). One of the proposals </w:t>
      </w:r>
      <w:r>
        <w:t>was</w:t>
      </w:r>
      <w:r w:rsidRPr="00F40CB2">
        <w:t xml:space="preserve"> to introduce a definition </w:t>
      </w:r>
      <w:r>
        <w:t>of</w:t>
      </w:r>
      <w:r w:rsidRPr="00F40CB2">
        <w:t xml:space="preserve"> the term “explosive or pyrotechnic effect” </w:t>
      </w:r>
      <w:r>
        <w:t xml:space="preserve">both </w:t>
      </w:r>
      <w:r w:rsidR="001F1488">
        <w:t xml:space="preserve">in </w:t>
      </w:r>
      <w:r w:rsidRPr="00F40CB2">
        <w:t xml:space="preserve">the UN Model Regulations (UNMR) </w:t>
      </w:r>
      <w:r>
        <w:t>and</w:t>
      </w:r>
      <w:r w:rsidRPr="00F40CB2">
        <w:t xml:space="preserve"> </w:t>
      </w:r>
      <w:r w:rsidR="001F1488">
        <w:t xml:space="preserve">in </w:t>
      </w:r>
      <w:r w:rsidRPr="00F40CB2">
        <w:t>the Globally Harmonized System of Classification and Labelling of Chemicals (GHS)</w:t>
      </w:r>
      <w:r>
        <w:t>, namely:</w:t>
      </w:r>
    </w:p>
    <w:p w14:paraId="0B2FD7F7" w14:textId="7A8E6A0D" w:rsidR="00EE1C00" w:rsidRPr="00F40CB2" w:rsidRDefault="00EE1C00" w:rsidP="004F280D">
      <w:pPr>
        <w:pStyle w:val="Bullet1G"/>
      </w:pPr>
      <w:r>
        <w:t>I</w:t>
      </w:r>
      <w:r w:rsidRPr="00F40CB2">
        <w:t>n</w:t>
      </w:r>
      <w:r w:rsidR="007E391B">
        <w:t xml:space="preserve"> </w:t>
      </w:r>
      <w:r>
        <w:t xml:space="preserve">the UNMR, paragraph </w:t>
      </w:r>
      <w:r w:rsidRPr="00F40CB2">
        <w:t>2.1.1.3 (e)</w:t>
      </w:r>
      <w:r>
        <w:t xml:space="preserve"> of Chapter 2.1</w:t>
      </w:r>
    </w:p>
    <w:p w14:paraId="457CD9EC" w14:textId="77777777" w:rsidR="00EE1C00" w:rsidRPr="00F40CB2" w:rsidRDefault="00EE1C00" w:rsidP="00EE1C00">
      <w:pPr>
        <w:pStyle w:val="SingleTxtG"/>
        <w:ind w:left="1701"/>
      </w:pPr>
      <w:r w:rsidRPr="00F40CB2">
        <w:rPr>
          <w:i/>
        </w:rPr>
        <w:lastRenderedPageBreak/>
        <w:t>“(e)</w:t>
      </w:r>
      <w:r w:rsidRPr="00F40CB2">
        <w:rPr>
          <w:i/>
        </w:rPr>
        <w:tab/>
        <w:t>Explosive or pyrotechnic effect</w:t>
      </w:r>
      <w:r w:rsidRPr="00F40CB2">
        <w:t xml:space="preserve"> in the context of 2.1.1.1 (c) means an effect produced by self-sustaining exothermic chemical reactions including shock, blast, fragmentation, projection, heat, light, sound, gas and smoke.”, and</w:t>
      </w:r>
    </w:p>
    <w:p w14:paraId="61C11F9A" w14:textId="77777777" w:rsidR="00EE1C00" w:rsidRPr="00F40CB2" w:rsidRDefault="00EE1C00" w:rsidP="004F280D">
      <w:pPr>
        <w:pStyle w:val="Bullet1G"/>
      </w:pPr>
      <w:r>
        <w:t>I</w:t>
      </w:r>
      <w:r w:rsidRPr="00F40CB2">
        <w:t xml:space="preserve">n </w:t>
      </w:r>
      <w:r>
        <w:t xml:space="preserve">the </w:t>
      </w:r>
      <w:r w:rsidRPr="00F40CB2">
        <w:t>GHS</w:t>
      </w:r>
      <w:r>
        <w:t xml:space="preserve">, paragraph </w:t>
      </w:r>
      <w:r w:rsidRPr="00F40CB2">
        <w:t xml:space="preserve">2.1.1.1 </w:t>
      </w:r>
      <w:r>
        <w:t>of Chapter 2.1</w:t>
      </w:r>
    </w:p>
    <w:p w14:paraId="48E6543A" w14:textId="77777777" w:rsidR="00EE1C00" w:rsidRPr="00F40CB2" w:rsidRDefault="00EE1C00" w:rsidP="00EE1C00">
      <w:pPr>
        <w:pStyle w:val="SingleTxtG"/>
        <w:ind w:left="1701"/>
      </w:pPr>
      <w:r w:rsidRPr="00F40CB2">
        <w:rPr>
          <w:iCs/>
        </w:rPr>
        <w:t>“</w:t>
      </w:r>
      <w:r w:rsidRPr="00F40CB2">
        <w:rPr>
          <w:i/>
        </w:rPr>
        <w:t>Explosive or pyrotechnic effect</w:t>
      </w:r>
      <w:r w:rsidRPr="00F40CB2">
        <w:t xml:space="preserve"> in the context of 2.1.1.2.1 c) means an effect produced by self-sustaining exothermic chemical reactions including shock, blast, fragmentation, projection, heat, light, sound, gas and smoke.”.</w:t>
      </w:r>
    </w:p>
    <w:p w14:paraId="473A0385" w14:textId="186E2FB1" w:rsidR="00EE1C00" w:rsidRPr="00F40CB2" w:rsidRDefault="00EE1C00" w:rsidP="00EE1C00">
      <w:pPr>
        <w:pStyle w:val="SingleTxtG"/>
        <w:jc w:val="left"/>
      </w:pPr>
      <w:r w:rsidRPr="00F40CB2">
        <w:t>4.</w:t>
      </w:r>
      <w:r w:rsidRPr="00F40CB2">
        <w:tab/>
        <w:t>Th</w:t>
      </w:r>
      <w:r>
        <w:t>e</w:t>
      </w:r>
      <w:r w:rsidRPr="00F40CB2">
        <w:t xml:space="preserve">se proposals were adopted </w:t>
      </w:r>
      <w:r w:rsidR="003C1F89">
        <w:t xml:space="preserve">by the </w:t>
      </w:r>
      <w:r w:rsidRPr="00F40CB2">
        <w:t xml:space="preserve">SCETDG </w:t>
      </w:r>
      <w:r w:rsidR="003C1F89">
        <w:t xml:space="preserve">at its sixty-first </w:t>
      </w:r>
      <w:r w:rsidRPr="00F40CB2">
        <w:t xml:space="preserve">session and </w:t>
      </w:r>
      <w:r w:rsidR="003C1F89">
        <w:t xml:space="preserve">by the </w:t>
      </w:r>
      <w:r w:rsidRPr="00F40CB2">
        <w:t>S</w:t>
      </w:r>
      <w:r>
        <w:t>CE</w:t>
      </w:r>
      <w:r w:rsidRPr="00F40CB2">
        <w:t xml:space="preserve">GHS </w:t>
      </w:r>
      <w:r w:rsidR="003C1F89">
        <w:t xml:space="preserve">at its forty-third </w:t>
      </w:r>
      <w:r w:rsidRPr="00F40CB2">
        <w:t>session (see paragraph 18 in ST/SG/AC.10/C.3/122</w:t>
      </w:r>
      <w:r w:rsidR="007E391B">
        <w:rPr>
          <w:rStyle w:val="FootnoteReference"/>
        </w:rPr>
        <w:footnoteReference w:id="3"/>
      </w:r>
      <w:r>
        <w:t>,</w:t>
      </w:r>
      <w:r w:rsidR="007E391B">
        <w:t xml:space="preserve"> </w:t>
      </w:r>
      <w:r w:rsidRPr="00F40CB2">
        <w:t>and paragraph 9 in ST/SG/AC.10/C.4/86</w:t>
      </w:r>
      <w:r w:rsidR="007E391B">
        <w:rPr>
          <w:rStyle w:val="FootnoteReference"/>
        </w:rPr>
        <w:footnoteReference w:id="4"/>
      </w:r>
      <w:r w:rsidR="003C1F89">
        <w:t>)</w:t>
      </w:r>
      <w:r w:rsidRPr="00F40CB2">
        <w:t>.</w:t>
      </w:r>
    </w:p>
    <w:p w14:paraId="17A5E5FA" w14:textId="562858EA" w:rsidR="00EE1C00" w:rsidRPr="00F40CB2" w:rsidRDefault="00EE1C00" w:rsidP="00EE1C00">
      <w:pPr>
        <w:pStyle w:val="SingleTxtG"/>
      </w:pPr>
      <w:r w:rsidRPr="00F40CB2">
        <w:t>5.</w:t>
      </w:r>
      <w:r w:rsidRPr="00F40CB2">
        <w:tab/>
        <w:t xml:space="preserve">However, as </w:t>
      </w:r>
      <w:r>
        <w:t>adopted</w:t>
      </w:r>
      <w:r w:rsidRPr="00F40CB2">
        <w:t xml:space="preserve">, the definition of “explosive or pyrotechnic effect” will only </w:t>
      </w:r>
      <w:r>
        <w:t>apply to the specific</w:t>
      </w:r>
      <w:r w:rsidRPr="00F40CB2">
        <w:t xml:space="preserve"> context</w:t>
      </w:r>
      <w:r>
        <w:t>s</w:t>
      </w:r>
      <w:r w:rsidRPr="00F40CB2">
        <w:t xml:space="preserve"> of </w:t>
      </w:r>
      <w:r>
        <w:t xml:space="preserve">paragraphs </w:t>
      </w:r>
      <w:r w:rsidRPr="00F40CB2">
        <w:t xml:space="preserve">2.1.1.1 (c) of </w:t>
      </w:r>
      <w:r>
        <w:t xml:space="preserve">the </w:t>
      </w:r>
      <w:r w:rsidRPr="00F40CB2">
        <w:t xml:space="preserve">UNMR and 2.1.1.2.1 </w:t>
      </w:r>
      <w:r>
        <w:t>(</w:t>
      </w:r>
      <w:r w:rsidRPr="00F40CB2">
        <w:t>c) of</w:t>
      </w:r>
      <w:r>
        <w:t xml:space="preserve"> the </w:t>
      </w:r>
      <w:r w:rsidRPr="00F40CB2">
        <w:t>GHS</w:t>
      </w:r>
      <w:r>
        <w:t>, respectively</w:t>
      </w:r>
      <w:r w:rsidRPr="00F40CB2">
        <w:t xml:space="preserve">. This implies that the definition </w:t>
      </w:r>
      <w:r>
        <w:t>is</w:t>
      </w:r>
      <w:r w:rsidRPr="00F40CB2">
        <w:t xml:space="preserve"> </w:t>
      </w:r>
      <w:r>
        <w:t xml:space="preserve">not </w:t>
      </w:r>
      <w:r w:rsidRPr="00F40CB2">
        <w:t xml:space="preserve">applicable to the term “explosive or pyrotechnic effect” elsewhere in the UNMR and </w:t>
      </w:r>
      <w:r>
        <w:t xml:space="preserve">the </w:t>
      </w:r>
      <w:r w:rsidRPr="00F40CB2">
        <w:t>GHS.</w:t>
      </w:r>
      <w:r>
        <w:t xml:space="preserve"> There is a drawback of such a limited definition, as the same term might be understood differently in other contexts in the texts of the UNMR and the GHS.</w:t>
      </w:r>
    </w:p>
    <w:p w14:paraId="5274676F" w14:textId="302FC269" w:rsidR="00EE1C00" w:rsidRDefault="00EE1C00" w:rsidP="00EE1C00">
      <w:pPr>
        <w:pStyle w:val="SingleTxtG"/>
      </w:pPr>
      <w:r w:rsidRPr="00F40CB2">
        <w:t>6.</w:t>
      </w:r>
      <w:r w:rsidRPr="00F40CB2">
        <w:tab/>
        <w:t xml:space="preserve">An overview of </w:t>
      </w:r>
      <w:r>
        <w:t xml:space="preserve">the </w:t>
      </w:r>
      <w:r w:rsidRPr="00F40CB2">
        <w:t>UNMR and</w:t>
      </w:r>
      <w:r>
        <w:t xml:space="preserve"> the</w:t>
      </w:r>
      <w:r w:rsidRPr="00F40CB2">
        <w:t xml:space="preserve"> GHS </w:t>
      </w:r>
      <w:r>
        <w:t xml:space="preserve">has </w:t>
      </w:r>
      <w:r w:rsidRPr="00F40CB2">
        <w:t>show</w:t>
      </w:r>
      <w:r>
        <w:t>n</w:t>
      </w:r>
      <w:r w:rsidRPr="00F40CB2">
        <w:t xml:space="preserve"> that the term “explosive or pyrotechnic effect” </w:t>
      </w:r>
      <w:r>
        <w:t>is</w:t>
      </w:r>
      <w:r w:rsidRPr="00F40CB2">
        <w:t xml:space="preserve"> </w:t>
      </w:r>
      <w:r>
        <w:t xml:space="preserve">also </w:t>
      </w:r>
      <w:r w:rsidRPr="00F40CB2">
        <w:t xml:space="preserve">used in </w:t>
      </w:r>
      <w:r>
        <w:t>several other</w:t>
      </w:r>
      <w:r w:rsidRPr="00F40CB2">
        <w:t xml:space="preserve"> locations in </w:t>
      </w:r>
      <w:r>
        <w:t>these documents</w:t>
      </w:r>
      <w:r w:rsidRPr="00F40CB2">
        <w:t>, namely</w:t>
      </w:r>
      <w:r w:rsidR="00E919A7">
        <w:t xml:space="preserve">: </w:t>
      </w:r>
    </w:p>
    <w:p w14:paraId="56B0EF54" w14:textId="044757F2" w:rsidR="00EE1C00" w:rsidRDefault="00EE1C00" w:rsidP="004F280D">
      <w:pPr>
        <w:pStyle w:val="Bullet1G"/>
      </w:pPr>
      <w:r w:rsidRPr="00F40CB2">
        <w:t>2.0.4.3.1 (a)</w:t>
      </w:r>
      <w:r>
        <w:t xml:space="preserve"> of the UNMR</w:t>
      </w:r>
    </w:p>
    <w:p w14:paraId="5CDA59D5" w14:textId="2EA8D0B4" w:rsidR="00EE1C00" w:rsidRDefault="00EE1C00" w:rsidP="004F280D">
      <w:pPr>
        <w:pStyle w:val="Bullet1G"/>
      </w:pPr>
      <w:r w:rsidRPr="00F40CB2">
        <w:t xml:space="preserve">2.1.3.3.1 </w:t>
      </w:r>
      <w:r>
        <w:t>of the UNMR</w:t>
      </w:r>
    </w:p>
    <w:p w14:paraId="3FB524EF" w14:textId="532360D3" w:rsidR="00EE1C00" w:rsidRDefault="00EE1C00" w:rsidP="004F280D">
      <w:pPr>
        <w:pStyle w:val="Bullet1G"/>
      </w:pPr>
      <w:r w:rsidRPr="00F40CB2">
        <w:t>2.1.1.2.2 (c)</w:t>
      </w:r>
      <w:r>
        <w:t xml:space="preserve"> and</w:t>
      </w:r>
      <w:r w:rsidRPr="00F40CB2">
        <w:t xml:space="preserve"> note (a) to 2.1.1.2.2 (c)</w:t>
      </w:r>
      <w:r>
        <w:t xml:space="preserve"> of the GHS</w:t>
      </w:r>
    </w:p>
    <w:p w14:paraId="2356B586" w14:textId="19B20075" w:rsidR="00EE1C00" w:rsidRDefault="00EE1C00" w:rsidP="004F280D">
      <w:pPr>
        <w:pStyle w:val="Bullet1G"/>
      </w:pPr>
      <w:r w:rsidRPr="00F40CB2">
        <w:t>Table 2.1.1 in 2.1.2.1</w:t>
      </w:r>
      <w:r>
        <w:t xml:space="preserve"> of the GHS</w:t>
      </w:r>
    </w:p>
    <w:p w14:paraId="507EA135" w14:textId="3884C1EE" w:rsidR="00EE1C00" w:rsidRDefault="00EE1C00" w:rsidP="004F280D">
      <w:pPr>
        <w:pStyle w:val="Bullet1G"/>
      </w:pPr>
      <w:r w:rsidRPr="00F40CB2">
        <w:t xml:space="preserve">Decision logic 2.1 (a) in 2.1.4.1 </w:t>
      </w:r>
      <w:r>
        <w:t>of the GHS</w:t>
      </w:r>
      <w:r w:rsidR="00E919A7">
        <w:t>,</w:t>
      </w:r>
      <w:r>
        <w:t xml:space="preserve"> </w:t>
      </w:r>
      <w:r w:rsidRPr="00F40CB2">
        <w:t>and</w:t>
      </w:r>
    </w:p>
    <w:p w14:paraId="24FB4BB1" w14:textId="10F1D9AF" w:rsidR="00EE1C00" w:rsidRPr="00F40CB2" w:rsidRDefault="00EE1C00" w:rsidP="004F280D">
      <w:pPr>
        <w:pStyle w:val="Bullet1G"/>
      </w:pPr>
      <w:r w:rsidRPr="00F40CB2">
        <w:t>2.17.2.1</w:t>
      </w:r>
      <w:r>
        <w:t xml:space="preserve"> (a) of the GHS</w:t>
      </w:r>
    </w:p>
    <w:p w14:paraId="57938C2F" w14:textId="09E73E9D" w:rsidR="00EE1C00" w:rsidRDefault="00EE1C00" w:rsidP="00EE1C00">
      <w:pPr>
        <w:pStyle w:val="SingleTxtG"/>
      </w:pPr>
      <w:r w:rsidRPr="00F40CB2">
        <w:t>7.</w:t>
      </w:r>
      <w:r w:rsidRPr="00F40CB2">
        <w:tab/>
        <w:t xml:space="preserve">Analysis of the usage of the </w:t>
      </w:r>
      <w:r>
        <w:t>term</w:t>
      </w:r>
      <w:r w:rsidRPr="00F40CB2">
        <w:t xml:space="preserve"> “explosive or pyrotechnic effect” in the contexts </w:t>
      </w:r>
      <w:r w:rsidR="001322A7">
        <w:t xml:space="preserve">of </w:t>
      </w:r>
      <w:r w:rsidRPr="00F40CB2">
        <w:t>all above-mentioned locations show</w:t>
      </w:r>
      <w:r>
        <w:t>s</w:t>
      </w:r>
      <w:r w:rsidRPr="00F40CB2">
        <w:t xml:space="preserve"> that the definition is applicable to all these locations in both UNMR and GHS</w:t>
      </w:r>
      <w:r>
        <w:t>, according to the expert from Sweden</w:t>
      </w:r>
      <w:r w:rsidRPr="00F40CB2">
        <w:t>.</w:t>
      </w:r>
    </w:p>
    <w:p w14:paraId="5275BA78" w14:textId="77777777" w:rsidR="00EE1C00" w:rsidRPr="00F40CB2" w:rsidRDefault="00EE1C00" w:rsidP="00EE1C00">
      <w:pPr>
        <w:pStyle w:val="SingleTxtG"/>
      </w:pPr>
      <w:r>
        <w:t>8.</w:t>
      </w:r>
      <w:r>
        <w:tab/>
        <w:t xml:space="preserve">An overview of </w:t>
      </w:r>
      <w:r w:rsidRPr="00F40CB2">
        <w:t xml:space="preserve">the </w:t>
      </w:r>
      <w:r>
        <w:t xml:space="preserve">usage of the </w:t>
      </w:r>
      <w:r w:rsidRPr="00F40CB2">
        <w:t>term “explosive or pyrotechnic effect”</w:t>
      </w:r>
      <w:r>
        <w:t xml:space="preserve"> has also been carried out in the UN Manual of Tests and Criteria (MTC). It can be concluded that this term has been used nearly thirty times in the MTC. The definition of </w:t>
      </w:r>
      <w:r w:rsidRPr="00F40CB2">
        <w:t>the term “explosive or pyrotechnic effect”</w:t>
      </w:r>
      <w:r>
        <w:t xml:space="preserve"> would be</w:t>
      </w:r>
      <w:r w:rsidRPr="00F40CB2">
        <w:t xml:space="preserve"> applicable </w:t>
      </w:r>
      <w:r>
        <w:t xml:space="preserve">also </w:t>
      </w:r>
      <w:r w:rsidRPr="00F40CB2">
        <w:t xml:space="preserve">to all </w:t>
      </w:r>
      <w:r>
        <w:t>these occurrences, according to the expert from Sweden.</w:t>
      </w:r>
    </w:p>
    <w:p w14:paraId="097F6DCE" w14:textId="18DC6309" w:rsidR="00EE1C00" w:rsidRPr="00F40CB2" w:rsidRDefault="00EE1C00" w:rsidP="00EE1C00">
      <w:pPr>
        <w:pStyle w:val="SingleTxtG"/>
      </w:pPr>
      <w:r>
        <w:t>9</w:t>
      </w:r>
      <w:r w:rsidRPr="00F40CB2">
        <w:t>.</w:t>
      </w:r>
      <w:r w:rsidRPr="00F40CB2">
        <w:tab/>
        <w:t>The conclusion is that it is not necessary to limit the application of definition of the term “explosive or pyrotechnic effect” to a specific context</w:t>
      </w:r>
      <w:r>
        <w:t>, as i</w:t>
      </w:r>
      <w:r w:rsidRPr="00F40CB2">
        <w:t xml:space="preserve">t is </w:t>
      </w:r>
      <w:r>
        <w:t xml:space="preserve">applicable to all occurrences of the term in the </w:t>
      </w:r>
      <w:r w:rsidRPr="00F40CB2">
        <w:t xml:space="preserve">UNMR and </w:t>
      </w:r>
      <w:r>
        <w:t xml:space="preserve">the </w:t>
      </w:r>
      <w:r w:rsidRPr="00F40CB2">
        <w:t>GHS</w:t>
      </w:r>
      <w:r>
        <w:t xml:space="preserve"> as well as the MTC</w:t>
      </w:r>
      <w:r w:rsidRPr="00F40CB2">
        <w:t>.</w:t>
      </w:r>
    </w:p>
    <w:p w14:paraId="78A43400" w14:textId="59D0007C" w:rsidR="00EE1C00" w:rsidRPr="00F40CB2" w:rsidRDefault="0033717B" w:rsidP="004F280D">
      <w:pPr>
        <w:pStyle w:val="HChG"/>
      </w:pPr>
      <w:r>
        <w:tab/>
      </w:r>
      <w:r>
        <w:tab/>
      </w:r>
      <w:r w:rsidR="00EE1C00" w:rsidRPr="00F40CB2">
        <w:t>Proposal</w:t>
      </w:r>
      <w:r w:rsidR="00EE1C00">
        <w:t>s</w:t>
      </w:r>
    </w:p>
    <w:p w14:paraId="4E6BDEBB" w14:textId="1BAF7DB0" w:rsidR="00EE1C00" w:rsidRDefault="00EE1C00" w:rsidP="00EE1C00">
      <w:pPr>
        <w:pStyle w:val="SingleTxtG"/>
      </w:pPr>
      <w:r>
        <w:t>10.</w:t>
      </w:r>
      <w:r>
        <w:tab/>
        <w:t xml:space="preserve">The expert from Sweden proposes that the EWG looks into this issue and considers whether the definition of </w:t>
      </w:r>
      <w:r w:rsidRPr="00F40CB2">
        <w:t>the term “explosive or pyrotechnic effect”</w:t>
      </w:r>
      <w:r>
        <w:t xml:space="preserve"> should only be applied in a specific context or if it can be applied throughout the UNMR and the GHS as well as the MTC.</w:t>
      </w:r>
    </w:p>
    <w:p w14:paraId="1B4C9A28" w14:textId="55215572" w:rsidR="00EE1C00" w:rsidRDefault="00EE1C00" w:rsidP="00EE1C00">
      <w:pPr>
        <w:pStyle w:val="SingleTxtG"/>
      </w:pPr>
      <w:r>
        <w:t>11.</w:t>
      </w:r>
      <w:r>
        <w:tab/>
        <w:t xml:space="preserve">If the EWG concludes that it is not necessary to limit the application of the definition to a certain context, the following amendments should be considered by the Sub-committees </w:t>
      </w:r>
      <w:r w:rsidRPr="00F40CB2">
        <w:t>(</w:t>
      </w:r>
      <w:r>
        <w:t>bold strike-through text</w:t>
      </w:r>
      <w:r w:rsidRPr="00F40CB2">
        <w:t xml:space="preserve"> indicates text to be removed)</w:t>
      </w:r>
      <w:r>
        <w:t>.</w:t>
      </w:r>
    </w:p>
    <w:p w14:paraId="547B3A24" w14:textId="6375054E" w:rsidR="0033717B" w:rsidRDefault="0033717B" w:rsidP="004F280D">
      <w:pPr>
        <w:pStyle w:val="SingleTxtG"/>
        <w:rPr>
          <w:b/>
        </w:rPr>
      </w:pPr>
      <w:r>
        <w:lastRenderedPageBreak/>
        <w:tab/>
      </w:r>
      <w:r w:rsidR="00EE1C00" w:rsidRPr="00F40CB2">
        <w:rPr>
          <w:b/>
        </w:rPr>
        <w:t>Proposal 1</w:t>
      </w:r>
      <w:r w:rsidR="00EE1C00">
        <w:rPr>
          <w:b/>
        </w:rPr>
        <w:t>A</w:t>
      </w:r>
    </w:p>
    <w:p w14:paraId="64C2AB6C" w14:textId="5DD2B93C" w:rsidR="00EE1C00" w:rsidRPr="00F40CB2" w:rsidRDefault="00A571CB" w:rsidP="000D657D">
      <w:pPr>
        <w:pStyle w:val="SingleTxtG"/>
        <w:ind w:left="1701"/>
      </w:pPr>
      <w:r w:rsidRPr="004F280D">
        <w:rPr>
          <w:bCs/>
        </w:rPr>
        <w:t>In the</w:t>
      </w:r>
      <w:r>
        <w:rPr>
          <w:b/>
        </w:rPr>
        <w:t xml:space="preserve"> </w:t>
      </w:r>
      <w:r w:rsidR="00B306DF">
        <w:t>UNMR, a</w:t>
      </w:r>
      <w:r w:rsidR="00EE1C00" w:rsidRPr="00F40CB2">
        <w:t xml:space="preserve">mend the definition of “explosive or pyrotechnic effect” in </w:t>
      </w:r>
      <w:r>
        <w:t xml:space="preserve">Chapter 2.1 subparagraph </w:t>
      </w:r>
      <w:r w:rsidR="00EE1C00" w:rsidRPr="00F40CB2">
        <w:t>2.1.1.3 (e)</w:t>
      </w:r>
      <w:r w:rsidR="00EE1C00">
        <w:t>,</w:t>
      </w:r>
      <w:r w:rsidR="00EE1C00" w:rsidRPr="00F40CB2">
        <w:t xml:space="preserve"> as follows:</w:t>
      </w:r>
    </w:p>
    <w:p w14:paraId="1B374599" w14:textId="77777777" w:rsidR="00EE1C00" w:rsidRPr="00F40CB2" w:rsidRDefault="00EE1C00" w:rsidP="00B306DF">
      <w:pPr>
        <w:pStyle w:val="SingleTxtG"/>
        <w:ind w:left="1701"/>
      </w:pPr>
      <w:r w:rsidRPr="00F40CB2">
        <w:rPr>
          <w:i/>
        </w:rPr>
        <w:t>“(e)</w:t>
      </w:r>
      <w:r w:rsidRPr="00F40CB2">
        <w:rPr>
          <w:i/>
        </w:rPr>
        <w:tab/>
        <w:t>Explosive or pyrotechnic effect</w:t>
      </w:r>
      <w:r w:rsidRPr="00F40CB2">
        <w:t xml:space="preserve"> </w:t>
      </w:r>
      <w:r w:rsidRPr="00C5182A">
        <w:rPr>
          <w:b/>
          <w:strike/>
        </w:rPr>
        <w:t>in the context of 2.1.1.1 (c)</w:t>
      </w:r>
      <w:r w:rsidRPr="00F40CB2">
        <w:t xml:space="preserve"> means an effect produced by self-sustaining exothermic chemical reactions including shock, blast, fragmentation, projection, heat, light, sound, gas and smoke.”.</w:t>
      </w:r>
    </w:p>
    <w:p w14:paraId="6B20B3ED" w14:textId="1BE6293E" w:rsidR="0033717B" w:rsidRDefault="00EE1C00" w:rsidP="00EE1C00">
      <w:pPr>
        <w:pStyle w:val="SingleTxtG"/>
        <w:ind w:left="1701"/>
      </w:pPr>
      <w:r w:rsidRPr="00F40CB2">
        <w:rPr>
          <w:b/>
        </w:rPr>
        <w:t xml:space="preserve">Proposal </w:t>
      </w:r>
      <w:r>
        <w:rPr>
          <w:b/>
        </w:rPr>
        <w:t>1B</w:t>
      </w:r>
    </w:p>
    <w:p w14:paraId="3275BF9F" w14:textId="6EB10565" w:rsidR="00EE1C00" w:rsidRPr="00F40CB2" w:rsidRDefault="00EE1C00" w:rsidP="00EE1C00">
      <w:pPr>
        <w:pStyle w:val="SingleTxtG"/>
        <w:ind w:left="1701"/>
      </w:pPr>
      <w:r>
        <w:t xml:space="preserve">Consequently, </w:t>
      </w:r>
      <w:proofErr w:type="gramStart"/>
      <w:r>
        <w:t>a</w:t>
      </w:r>
      <w:r w:rsidRPr="00F40CB2">
        <w:t xml:space="preserve">mend </w:t>
      </w:r>
      <w:r>
        <w:t>also</w:t>
      </w:r>
      <w:proofErr w:type="gramEnd"/>
      <w:r>
        <w:t xml:space="preserve"> </w:t>
      </w:r>
      <w:r w:rsidRPr="00F40CB2">
        <w:t xml:space="preserve">the definition of “explosive or pyrotechnic effect” in GHS </w:t>
      </w:r>
      <w:r w:rsidR="00996A68">
        <w:t xml:space="preserve">Chapter 2.1, paragraph </w:t>
      </w:r>
      <w:r w:rsidRPr="00F40CB2">
        <w:t>2.1.1.1 to read as follows:</w:t>
      </w:r>
    </w:p>
    <w:p w14:paraId="6A4503B6" w14:textId="77777777" w:rsidR="00EE1C00" w:rsidRDefault="00EE1C00" w:rsidP="00EE1C00">
      <w:pPr>
        <w:pStyle w:val="SingleTxtG"/>
        <w:ind w:left="1701"/>
      </w:pPr>
      <w:r w:rsidRPr="00F40CB2">
        <w:rPr>
          <w:iCs/>
        </w:rPr>
        <w:t>“</w:t>
      </w:r>
      <w:r w:rsidRPr="00F40CB2">
        <w:rPr>
          <w:i/>
        </w:rPr>
        <w:t>Explosive or pyrotechnic effect</w:t>
      </w:r>
      <w:r w:rsidRPr="00F40CB2">
        <w:t xml:space="preserve"> </w:t>
      </w:r>
      <w:r w:rsidRPr="00C5182A">
        <w:rPr>
          <w:b/>
          <w:strike/>
        </w:rPr>
        <w:t>in the context of 2.1.1.2.1 c)</w:t>
      </w:r>
      <w:r w:rsidRPr="00F40CB2">
        <w:t xml:space="preserve"> means an effect produced by self-sustaining exothermic chemical reactions including shock, blast, fragmentation, projection, heat, light, sound, gas and smoke.”.</w:t>
      </w:r>
    </w:p>
    <w:p w14:paraId="74AC4BDC" w14:textId="20578D12" w:rsidR="00EE1C00" w:rsidRDefault="00EE1C00" w:rsidP="00EE1C00">
      <w:pPr>
        <w:pStyle w:val="SingleTxtG"/>
      </w:pPr>
      <w:r>
        <w:t>12.</w:t>
      </w:r>
      <w:r>
        <w:tab/>
      </w:r>
      <w:r w:rsidR="00F81173">
        <w:t>To</w:t>
      </w:r>
      <w:r>
        <w:t xml:space="preserve"> facilitate the application of the term in other parts of the UNMR and the GHS, it could additionally be considered to insert notes referring to the definition in chapter</w:t>
      </w:r>
      <w:r w:rsidR="00C674BC">
        <w:t> </w:t>
      </w:r>
      <w:r>
        <w:t>2.1 of the UNMR and GHS</w:t>
      </w:r>
      <w:r w:rsidR="00285C82">
        <w:t>, as follows:</w:t>
      </w:r>
    </w:p>
    <w:p w14:paraId="50A8EA5F" w14:textId="5F9256EF" w:rsidR="00996A68" w:rsidRDefault="00EE1C00" w:rsidP="00EE1C00">
      <w:pPr>
        <w:pStyle w:val="SingleTxtG"/>
        <w:ind w:left="1701"/>
      </w:pPr>
      <w:r w:rsidRPr="0072650E">
        <w:rPr>
          <w:b/>
        </w:rPr>
        <w:t xml:space="preserve">Proposal </w:t>
      </w:r>
      <w:r>
        <w:rPr>
          <w:b/>
        </w:rPr>
        <w:t>2A</w:t>
      </w:r>
      <w:r>
        <w:t xml:space="preserve"> </w:t>
      </w:r>
    </w:p>
    <w:p w14:paraId="10E72299" w14:textId="0C1DF94E" w:rsidR="00EE1C00" w:rsidRDefault="00EE1C00" w:rsidP="00EE1C00">
      <w:pPr>
        <w:pStyle w:val="SingleTxtG"/>
        <w:ind w:left="1701"/>
      </w:pPr>
      <w:r>
        <w:t xml:space="preserve">Add a note in </w:t>
      </w:r>
      <w:r w:rsidR="00996A68">
        <w:t xml:space="preserve">Chapter 2.0, paragraph </w:t>
      </w:r>
      <w:r w:rsidRPr="000353A4">
        <w:t>2.0.4.3.1</w:t>
      </w:r>
      <w:r>
        <w:t xml:space="preserve"> </w:t>
      </w:r>
      <w:r w:rsidR="00996A68">
        <w:t xml:space="preserve">of </w:t>
      </w:r>
      <w:r>
        <w:t>the</w:t>
      </w:r>
      <w:r w:rsidRPr="0072650E">
        <w:t xml:space="preserve"> </w:t>
      </w:r>
      <w:r>
        <w:t>UNMR:</w:t>
      </w:r>
    </w:p>
    <w:p w14:paraId="0E26FBCF" w14:textId="242FA403" w:rsidR="00EE1C00" w:rsidRDefault="00641ECB" w:rsidP="00EE1C00">
      <w:pPr>
        <w:pStyle w:val="SingleTxtG"/>
        <w:ind w:left="1701"/>
        <w:rPr>
          <w:i/>
        </w:rPr>
      </w:pPr>
      <w:r>
        <w:rPr>
          <w:b/>
          <w:bCs/>
          <w:i/>
        </w:rPr>
        <w:t>“</w:t>
      </w:r>
      <w:r w:rsidR="00EE1C00" w:rsidRPr="004F280D">
        <w:rPr>
          <w:b/>
          <w:bCs/>
          <w:i/>
        </w:rPr>
        <w:t>NOTE</w:t>
      </w:r>
      <w:r w:rsidR="00EE1C00" w:rsidRPr="000151CC">
        <w:rPr>
          <w:i/>
        </w:rPr>
        <w:t xml:space="preserve">: See 2.1.1.3 (e) </w:t>
      </w:r>
      <w:r w:rsidR="00EE1C00">
        <w:rPr>
          <w:i/>
        </w:rPr>
        <w:t xml:space="preserve">in chapter 2.1 </w:t>
      </w:r>
      <w:r w:rsidR="00EE1C00" w:rsidRPr="000151CC">
        <w:rPr>
          <w:i/>
        </w:rPr>
        <w:t>for the definition of explosive or pyrotechnic effect.</w:t>
      </w:r>
      <w:r>
        <w:rPr>
          <w:i/>
        </w:rPr>
        <w:t>”</w:t>
      </w:r>
    </w:p>
    <w:p w14:paraId="116041D6" w14:textId="47442085" w:rsidR="00641ECB" w:rsidRDefault="00EE1C00" w:rsidP="00EE1C00">
      <w:pPr>
        <w:pStyle w:val="SingleTxtG"/>
        <w:ind w:left="1701"/>
        <w:rPr>
          <w:b/>
        </w:rPr>
      </w:pPr>
      <w:r w:rsidRPr="0072650E">
        <w:rPr>
          <w:b/>
        </w:rPr>
        <w:t xml:space="preserve">Proposal </w:t>
      </w:r>
      <w:r>
        <w:rPr>
          <w:b/>
        </w:rPr>
        <w:t xml:space="preserve">2B </w:t>
      </w:r>
    </w:p>
    <w:p w14:paraId="0896FED5" w14:textId="1BA05979" w:rsidR="00EE1C00" w:rsidRPr="0072650E" w:rsidRDefault="00EE1C00" w:rsidP="00EE1C00">
      <w:pPr>
        <w:pStyle w:val="SingleTxtG"/>
        <w:ind w:left="1701"/>
        <w:rPr>
          <w:b/>
        </w:rPr>
      </w:pPr>
      <w:r w:rsidRPr="0072650E">
        <w:t xml:space="preserve">Add a note in </w:t>
      </w:r>
      <w:r w:rsidR="00641ECB">
        <w:t xml:space="preserve">Chapter 2.17, paragraph </w:t>
      </w:r>
      <w:r w:rsidRPr="009B2A1C">
        <w:t xml:space="preserve">2.17.2.1 </w:t>
      </w:r>
      <w:r w:rsidR="00641ECB">
        <w:t xml:space="preserve">of </w:t>
      </w:r>
      <w:r w:rsidRPr="0072650E">
        <w:t>th</w:t>
      </w:r>
      <w:r>
        <w:t>e GHS:</w:t>
      </w:r>
    </w:p>
    <w:p w14:paraId="23BAE18F" w14:textId="7195318C" w:rsidR="00EE1C00" w:rsidRDefault="00641ECB" w:rsidP="00EE1C00">
      <w:pPr>
        <w:pStyle w:val="SingleTxtG"/>
        <w:ind w:left="1701"/>
        <w:rPr>
          <w:i/>
        </w:rPr>
      </w:pPr>
      <w:r>
        <w:t>“</w:t>
      </w:r>
      <w:r w:rsidR="00EE1C00" w:rsidRPr="004F280D">
        <w:rPr>
          <w:b/>
          <w:bCs/>
          <w:i/>
        </w:rPr>
        <w:t>NOTE 3</w:t>
      </w:r>
      <w:r w:rsidR="00EE1C00" w:rsidRPr="00B224AB">
        <w:rPr>
          <w:i/>
        </w:rPr>
        <w:t>: See 2.1.1.1 in chapter 2.1 for the definition of explosive or pyrotechnic effect.</w:t>
      </w:r>
      <w:r>
        <w:rPr>
          <w:i/>
        </w:rPr>
        <w:t>”</w:t>
      </w:r>
    </w:p>
    <w:p w14:paraId="5FD62151" w14:textId="1FA9BFA2" w:rsidR="00AF5DE1" w:rsidRPr="001F6F1F" w:rsidRDefault="00641ECB" w:rsidP="002B345C">
      <w:pPr>
        <w:spacing w:before="240"/>
        <w:jc w:val="center"/>
      </w:pPr>
      <w:r>
        <w:rPr>
          <w:u w:val="single"/>
        </w:rPr>
        <w:tab/>
      </w:r>
      <w:r>
        <w:rPr>
          <w:u w:val="single"/>
        </w:rPr>
        <w:tab/>
      </w:r>
      <w:r>
        <w:rPr>
          <w:u w:val="single"/>
        </w:rPr>
        <w:tab/>
      </w:r>
    </w:p>
    <w:sectPr w:rsidR="00AF5DE1" w:rsidRPr="001F6F1F" w:rsidSect="001F6F1F">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5EC75" w14:textId="77777777" w:rsidR="0016337D" w:rsidRPr="00C47B2E" w:rsidRDefault="0016337D" w:rsidP="00C47B2E">
      <w:pPr>
        <w:pStyle w:val="Footer"/>
      </w:pPr>
    </w:p>
  </w:endnote>
  <w:endnote w:type="continuationSeparator" w:id="0">
    <w:p w14:paraId="5B73A965" w14:textId="77777777" w:rsidR="0016337D" w:rsidRPr="00C47B2E" w:rsidRDefault="0016337D" w:rsidP="00C47B2E">
      <w:pPr>
        <w:pStyle w:val="Footer"/>
      </w:pPr>
    </w:p>
  </w:endnote>
  <w:endnote w:type="continuationNotice" w:id="1">
    <w:p w14:paraId="646DCE65" w14:textId="77777777" w:rsidR="0016337D" w:rsidRPr="00C47B2E" w:rsidRDefault="0016337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5357" w14:textId="24734847" w:rsidR="00D94B05" w:rsidRPr="001F6F1F" w:rsidRDefault="001F6F1F" w:rsidP="001F6F1F">
    <w:pPr>
      <w:pStyle w:val="Footer"/>
      <w:tabs>
        <w:tab w:val="right" w:pos="9598"/>
        <w:tab w:val="right" w:pos="9638"/>
      </w:tabs>
      <w:rPr>
        <w:sz w:val="18"/>
      </w:rPr>
    </w:pPr>
    <w:r w:rsidRPr="001F6F1F">
      <w:rPr>
        <w:b/>
        <w:sz w:val="18"/>
      </w:rPr>
      <w:fldChar w:fldCharType="begin"/>
    </w:r>
    <w:r w:rsidRPr="001F6F1F">
      <w:rPr>
        <w:b/>
        <w:sz w:val="18"/>
      </w:rPr>
      <w:instrText xml:space="preserve"> PAGE  \* MERGEFORMAT </w:instrText>
    </w:r>
    <w:r w:rsidRPr="001F6F1F">
      <w:rPr>
        <w:b/>
        <w:sz w:val="18"/>
      </w:rPr>
      <w:fldChar w:fldCharType="separate"/>
    </w:r>
    <w:r w:rsidRPr="001F6F1F">
      <w:rPr>
        <w:b/>
        <w:noProof/>
        <w:sz w:val="18"/>
      </w:rPr>
      <w:t>2</w:t>
    </w:r>
    <w:r w:rsidRPr="001F6F1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E892" w14:textId="58092955" w:rsidR="00D94B05" w:rsidRPr="004F280D" w:rsidRDefault="001F6F1F" w:rsidP="004F280D">
    <w:pPr>
      <w:pStyle w:val="Footer"/>
      <w:tabs>
        <w:tab w:val="left" w:pos="5775"/>
        <w:tab w:val="right" w:pos="9598"/>
        <w:tab w:val="right" w:pos="9638"/>
      </w:tabs>
      <w:jc w:val="right"/>
      <w:rPr>
        <w:b/>
        <w:bCs/>
        <w:sz w:val="18"/>
      </w:rPr>
    </w:pPr>
    <w:r>
      <w:rPr>
        <w:b/>
        <w:sz w:val="18"/>
      </w:rPr>
      <w:tab/>
    </w:r>
    <w:r w:rsidRPr="004F280D">
      <w:rPr>
        <w:b/>
        <w:bCs/>
        <w:sz w:val="18"/>
      </w:rPr>
      <w:fldChar w:fldCharType="begin"/>
    </w:r>
    <w:r w:rsidRPr="004F280D">
      <w:rPr>
        <w:b/>
        <w:bCs/>
        <w:sz w:val="18"/>
      </w:rPr>
      <w:instrText xml:space="preserve"> PAGE  \* MERGEFORMAT </w:instrText>
    </w:r>
    <w:r w:rsidRPr="004F280D">
      <w:rPr>
        <w:b/>
        <w:bCs/>
        <w:sz w:val="18"/>
      </w:rPr>
      <w:fldChar w:fldCharType="separate"/>
    </w:r>
    <w:r w:rsidRPr="004F280D">
      <w:rPr>
        <w:b/>
        <w:bCs/>
        <w:noProof/>
        <w:sz w:val="18"/>
      </w:rPr>
      <w:t>3</w:t>
    </w:r>
    <w:r w:rsidRPr="004F280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2DA4" w14:textId="6561D079" w:rsidR="00B3541E" w:rsidRDefault="00B3541E" w:rsidP="00B3541E">
    <w:pPr>
      <w:pStyle w:val="Footer"/>
    </w:pPr>
    <w:r w:rsidRPr="0027112F">
      <w:rPr>
        <w:noProof/>
        <w:lang w:val="en-US"/>
      </w:rPr>
      <w:drawing>
        <wp:anchor distT="0" distB="0" distL="114300" distR="114300" simplePos="0" relativeHeight="251659264" behindDoc="0" locked="1" layoutInCell="1" allowOverlap="1" wp14:anchorId="7DD7130C" wp14:editId="3F02B18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87ADE3" w14:textId="0FD2021A" w:rsidR="00B3541E" w:rsidRPr="00B3541E" w:rsidRDefault="00B3541E" w:rsidP="00B3541E">
    <w:pPr>
      <w:pStyle w:val="Footer"/>
      <w:ind w:right="1134"/>
      <w:rPr>
        <w:sz w:val="20"/>
      </w:rPr>
    </w:pPr>
    <w:r>
      <w:rPr>
        <w:sz w:val="20"/>
      </w:rPr>
      <w:t>GE.23-06857(E)</w:t>
    </w:r>
    <w:r>
      <w:rPr>
        <w:noProof/>
        <w:sz w:val="20"/>
      </w:rPr>
      <w:drawing>
        <wp:anchor distT="0" distB="0" distL="114300" distR="114300" simplePos="0" relativeHeight="251660288" behindDoc="0" locked="0" layoutInCell="1" allowOverlap="1" wp14:anchorId="2823CCD2" wp14:editId="366D0C09">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D3B3" w14:textId="77777777" w:rsidR="0016337D" w:rsidRPr="00C47B2E" w:rsidRDefault="0016337D" w:rsidP="00C47B2E">
      <w:pPr>
        <w:tabs>
          <w:tab w:val="right" w:pos="2155"/>
        </w:tabs>
        <w:spacing w:after="80" w:line="240" w:lineRule="auto"/>
        <w:ind w:left="680"/>
      </w:pPr>
      <w:r>
        <w:rPr>
          <w:u w:val="single"/>
        </w:rPr>
        <w:tab/>
      </w:r>
    </w:p>
  </w:footnote>
  <w:footnote w:type="continuationSeparator" w:id="0">
    <w:p w14:paraId="68591614" w14:textId="77777777" w:rsidR="0016337D" w:rsidRPr="00C47B2E" w:rsidRDefault="0016337D" w:rsidP="005E716E">
      <w:pPr>
        <w:tabs>
          <w:tab w:val="right" w:pos="2155"/>
        </w:tabs>
        <w:spacing w:after="80" w:line="240" w:lineRule="auto"/>
        <w:ind w:left="680"/>
      </w:pPr>
      <w:r>
        <w:rPr>
          <w:u w:val="single"/>
        </w:rPr>
        <w:tab/>
      </w:r>
    </w:p>
  </w:footnote>
  <w:footnote w:type="continuationNotice" w:id="1">
    <w:p w14:paraId="6A2CF677" w14:textId="77777777" w:rsidR="0016337D" w:rsidRPr="00C47B2E" w:rsidRDefault="0016337D" w:rsidP="00C47B2E">
      <w:pPr>
        <w:pStyle w:val="Footer"/>
      </w:pPr>
    </w:p>
  </w:footnote>
  <w:footnote w:id="2">
    <w:p w14:paraId="32136967" w14:textId="36DF2779" w:rsidR="00CF01AA" w:rsidRPr="00931575" w:rsidRDefault="00CF01AA">
      <w:pPr>
        <w:pStyle w:val="FootnoteText"/>
        <w:rPr>
          <w:lang w:val="en-US"/>
        </w:rPr>
      </w:pPr>
      <w:r>
        <w:rPr>
          <w:rStyle w:val="FootnoteReference"/>
        </w:rPr>
        <w:tab/>
      </w:r>
      <w:r w:rsidRPr="004F280D">
        <w:rPr>
          <w:rStyle w:val="FootnoteReference"/>
          <w:sz w:val="20"/>
          <w:vertAlign w:val="baseline"/>
        </w:rPr>
        <w:t>*</w:t>
      </w:r>
      <w:r>
        <w:rPr>
          <w:rStyle w:val="FootnoteReference"/>
          <w:sz w:val="20"/>
          <w:vertAlign w:val="baseline"/>
        </w:rPr>
        <w:tab/>
      </w:r>
      <w:r w:rsidR="00E74BC8" w:rsidRPr="00537719">
        <w:t>A/77/6 (Sect. 20), table 20.6</w:t>
      </w:r>
    </w:p>
  </w:footnote>
  <w:footnote w:id="3">
    <w:p w14:paraId="2F03E869" w14:textId="0402F25E" w:rsidR="007E391B" w:rsidRPr="00931575" w:rsidRDefault="007E391B">
      <w:pPr>
        <w:pStyle w:val="FootnoteText"/>
        <w:rPr>
          <w:lang w:val="en-US"/>
        </w:rPr>
      </w:pPr>
      <w:r>
        <w:tab/>
      </w:r>
      <w:r>
        <w:rPr>
          <w:rStyle w:val="FootnoteReference"/>
        </w:rPr>
        <w:footnoteRef/>
      </w:r>
      <w:r>
        <w:t xml:space="preserve"> </w:t>
      </w:r>
      <w:r>
        <w:tab/>
      </w:r>
      <w:hyperlink r:id="rId1" w:history="1">
        <w:r w:rsidRPr="007E391B">
          <w:rPr>
            <w:rStyle w:val="Hyperlink"/>
          </w:rPr>
          <w:t>https://unece.org/transport/documents/2022/12/reports/report-sub-committee-experts-transport-dangerous-goods-its</w:t>
        </w:r>
      </w:hyperlink>
    </w:p>
  </w:footnote>
  <w:footnote w:id="4">
    <w:p w14:paraId="64D3A58B" w14:textId="3B2496B1" w:rsidR="007E391B" w:rsidRPr="00931575" w:rsidRDefault="007E391B">
      <w:pPr>
        <w:pStyle w:val="FootnoteText"/>
      </w:pPr>
      <w:r>
        <w:tab/>
      </w:r>
      <w:r>
        <w:rPr>
          <w:rStyle w:val="FootnoteReference"/>
        </w:rPr>
        <w:footnoteRef/>
      </w:r>
      <w:r>
        <w:t xml:space="preserve"> </w:t>
      </w:r>
      <w:r>
        <w:tab/>
      </w:r>
      <w:hyperlink r:id="rId2" w:history="1">
        <w:r w:rsidRPr="007E391B">
          <w:rPr>
            <w:rStyle w:val="Hyperlink"/>
          </w:rPr>
          <w:t>https://unece.org/transport/documents/2022/12/reports/report-sub-committee-experts-globally-harmonized-system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EB6" w14:textId="68C4C457" w:rsidR="001F6F1F" w:rsidRPr="001F6F1F" w:rsidRDefault="001F6F1F">
    <w:pPr>
      <w:pStyle w:val="Header"/>
    </w:pPr>
    <w:r>
      <w:t>ST/SG/AC.10/C.3/2023/12</w:t>
    </w:r>
    <w:r>
      <w:br/>
      <w:t>ST/SG/AC.10/C.4/2023/2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6939" w14:textId="7C9BEE3E" w:rsidR="00D94B05" w:rsidRPr="001F6F1F" w:rsidRDefault="001F6F1F" w:rsidP="001F6F1F">
    <w:pPr>
      <w:pStyle w:val="Header"/>
      <w:jc w:val="right"/>
    </w:pPr>
    <w:r>
      <w:t>ST/SG/AC.10/C.3/2023/12</w:t>
    </w:r>
    <w:r>
      <w:br/>
      <w:t>ST/SG/AC.10/C.4/2023/2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A1025F"/>
    <w:multiLevelType w:val="hybridMultilevel"/>
    <w:tmpl w:val="3648F1BE"/>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70651315">
    <w:abstractNumId w:val="5"/>
  </w:num>
  <w:num w:numId="2" w16cid:durableId="750396184">
    <w:abstractNumId w:val="4"/>
  </w:num>
  <w:num w:numId="3" w16cid:durableId="1486435683">
    <w:abstractNumId w:val="0"/>
  </w:num>
  <w:num w:numId="4" w16cid:durableId="1832863659">
    <w:abstractNumId w:val="7"/>
  </w:num>
  <w:num w:numId="5" w16cid:durableId="1684670778">
    <w:abstractNumId w:val="8"/>
  </w:num>
  <w:num w:numId="6" w16cid:durableId="997344804">
    <w:abstractNumId w:val="10"/>
  </w:num>
  <w:num w:numId="7" w16cid:durableId="15888245">
    <w:abstractNumId w:val="3"/>
  </w:num>
  <w:num w:numId="8" w16cid:durableId="2125341103">
    <w:abstractNumId w:val="1"/>
  </w:num>
  <w:num w:numId="9" w16cid:durableId="909118121">
    <w:abstractNumId w:val="9"/>
  </w:num>
  <w:num w:numId="10" w16cid:durableId="336735209">
    <w:abstractNumId w:val="1"/>
  </w:num>
  <w:num w:numId="11" w16cid:durableId="1942175378">
    <w:abstractNumId w:val="9"/>
  </w:num>
  <w:num w:numId="12" w16cid:durableId="358429576">
    <w:abstractNumId w:val="2"/>
  </w:num>
  <w:num w:numId="13" w16cid:durableId="1148591691">
    <w:abstractNumId w:val="2"/>
  </w:num>
  <w:num w:numId="14" w16cid:durableId="1208104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1F"/>
    <w:rsid w:val="00046E92"/>
    <w:rsid w:val="00063C90"/>
    <w:rsid w:val="00064F7B"/>
    <w:rsid w:val="00070000"/>
    <w:rsid w:val="00086C5C"/>
    <w:rsid w:val="000D657D"/>
    <w:rsid w:val="000F2DFD"/>
    <w:rsid w:val="0010147F"/>
    <w:rsid w:val="00101B98"/>
    <w:rsid w:val="001322A7"/>
    <w:rsid w:val="001514D1"/>
    <w:rsid w:val="0016337D"/>
    <w:rsid w:val="0017363E"/>
    <w:rsid w:val="001F1488"/>
    <w:rsid w:val="001F6F1F"/>
    <w:rsid w:val="00205162"/>
    <w:rsid w:val="00247E2C"/>
    <w:rsid w:val="00285C82"/>
    <w:rsid w:val="002A32CB"/>
    <w:rsid w:val="002B345C"/>
    <w:rsid w:val="002D5B2C"/>
    <w:rsid w:val="002D6C53"/>
    <w:rsid w:val="002F5595"/>
    <w:rsid w:val="0031248B"/>
    <w:rsid w:val="00334F6A"/>
    <w:rsid w:val="0033717B"/>
    <w:rsid w:val="00342AC8"/>
    <w:rsid w:val="00343302"/>
    <w:rsid w:val="00360B1E"/>
    <w:rsid w:val="00372EF0"/>
    <w:rsid w:val="003979DE"/>
    <w:rsid w:val="003B4550"/>
    <w:rsid w:val="003C1F89"/>
    <w:rsid w:val="003D2A18"/>
    <w:rsid w:val="0041328F"/>
    <w:rsid w:val="00413386"/>
    <w:rsid w:val="00461253"/>
    <w:rsid w:val="004858F5"/>
    <w:rsid w:val="004A2814"/>
    <w:rsid w:val="004C0622"/>
    <w:rsid w:val="004F280D"/>
    <w:rsid w:val="004F73D0"/>
    <w:rsid w:val="005042C2"/>
    <w:rsid w:val="005819CF"/>
    <w:rsid w:val="00595B1F"/>
    <w:rsid w:val="005E716E"/>
    <w:rsid w:val="005F2FC0"/>
    <w:rsid w:val="00605B70"/>
    <w:rsid w:val="00641ECB"/>
    <w:rsid w:val="006476E1"/>
    <w:rsid w:val="006604DF"/>
    <w:rsid w:val="00671529"/>
    <w:rsid w:val="006D3EF8"/>
    <w:rsid w:val="006F1EF5"/>
    <w:rsid w:val="0070489D"/>
    <w:rsid w:val="007200A1"/>
    <w:rsid w:val="007268F9"/>
    <w:rsid w:val="00750282"/>
    <w:rsid w:val="00764440"/>
    <w:rsid w:val="00766090"/>
    <w:rsid w:val="00770E77"/>
    <w:rsid w:val="0077101B"/>
    <w:rsid w:val="007C52B0"/>
    <w:rsid w:val="007C6033"/>
    <w:rsid w:val="007E391B"/>
    <w:rsid w:val="008147C8"/>
    <w:rsid w:val="0081753A"/>
    <w:rsid w:val="00857D23"/>
    <w:rsid w:val="008A7D6B"/>
    <w:rsid w:val="008C6ABC"/>
    <w:rsid w:val="009147B2"/>
    <w:rsid w:val="00931575"/>
    <w:rsid w:val="009411B4"/>
    <w:rsid w:val="00946F1D"/>
    <w:rsid w:val="00996A68"/>
    <w:rsid w:val="009D0139"/>
    <w:rsid w:val="009D717D"/>
    <w:rsid w:val="009F5CDC"/>
    <w:rsid w:val="00A072D7"/>
    <w:rsid w:val="00A571CB"/>
    <w:rsid w:val="00A64170"/>
    <w:rsid w:val="00A775CF"/>
    <w:rsid w:val="00AC4F33"/>
    <w:rsid w:val="00AD1A9C"/>
    <w:rsid w:val="00AF5DE1"/>
    <w:rsid w:val="00B06045"/>
    <w:rsid w:val="00B17B4B"/>
    <w:rsid w:val="00B206DD"/>
    <w:rsid w:val="00B270BC"/>
    <w:rsid w:val="00B306DF"/>
    <w:rsid w:val="00B3541E"/>
    <w:rsid w:val="00B52EF4"/>
    <w:rsid w:val="00B777AD"/>
    <w:rsid w:val="00C03015"/>
    <w:rsid w:val="00C0358D"/>
    <w:rsid w:val="00C35A27"/>
    <w:rsid w:val="00C47B2E"/>
    <w:rsid w:val="00C674BC"/>
    <w:rsid w:val="00CF01AA"/>
    <w:rsid w:val="00D33586"/>
    <w:rsid w:val="00D63CD2"/>
    <w:rsid w:val="00D81C9B"/>
    <w:rsid w:val="00D87DC2"/>
    <w:rsid w:val="00D93887"/>
    <w:rsid w:val="00D94B05"/>
    <w:rsid w:val="00DB6091"/>
    <w:rsid w:val="00DC7379"/>
    <w:rsid w:val="00DF48FE"/>
    <w:rsid w:val="00E02C2B"/>
    <w:rsid w:val="00E21C27"/>
    <w:rsid w:val="00E26BCF"/>
    <w:rsid w:val="00E52109"/>
    <w:rsid w:val="00E74BC8"/>
    <w:rsid w:val="00E75317"/>
    <w:rsid w:val="00E919A7"/>
    <w:rsid w:val="00EC0CE6"/>
    <w:rsid w:val="00EC7C1D"/>
    <w:rsid w:val="00ED6C48"/>
    <w:rsid w:val="00EE1C00"/>
    <w:rsid w:val="00EE3045"/>
    <w:rsid w:val="00F65F5D"/>
    <w:rsid w:val="00F81173"/>
    <w:rsid w:val="00F86A3A"/>
    <w:rsid w:val="00FA42DA"/>
    <w:rsid w:val="00FA5855"/>
    <w:rsid w:val="00FE2AC5"/>
    <w:rsid w:val="00FF54A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8EDA"/>
  <w15:docId w15:val="{6F671764-C174-47E0-873C-7EF74FA7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EE1C00"/>
  </w:style>
  <w:style w:type="character" w:customStyle="1" w:styleId="HChGChar">
    <w:name w:val="_ H _Ch_G Char"/>
    <w:link w:val="HChG"/>
    <w:locked/>
    <w:rsid w:val="000F2DFD"/>
    <w:rPr>
      <w:b/>
      <w:sz w:val="28"/>
    </w:rPr>
  </w:style>
  <w:style w:type="character" w:customStyle="1" w:styleId="H1GChar">
    <w:name w:val="_ H_1_G Char"/>
    <w:link w:val="H1G"/>
    <w:locked/>
    <w:rsid w:val="000F2DFD"/>
    <w:rPr>
      <w:b/>
      <w:sz w:val="24"/>
    </w:rPr>
  </w:style>
  <w:style w:type="paragraph" w:styleId="Revision">
    <w:name w:val="Revision"/>
    <w:hidden/>
    <w:uiPriority w:val="99"/>
    <w:semiHidden/>
    <w:rsid w:val="006D3EF8"/>
    <w:pPr>
      <w:spacing w:line="240" w:lineRule="auto"/>
    </w:pPr>
  </w:style>
  <w:style w:type="character" w:styleId="UnresolvedMention">
    <w:name w:val="Unresolved Mention"/>
    <w:basedOn w:val="DefaultParagraphFont"/>
    <w:uiPriority w:val="99"/>
    <w:semiHidden/>
    <w:unhideWhenUsed/>
    <w:rsid w:val="007E3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nece.org/transport/documents/2022/12/reports/report-sub-committee-experts-globally-harmonized-system" TargetMode="External"/><Relationship Id="rId1" Type="http://schemas.openxmlformats.org/officeDocument/2006/relationships/hyperlink" Target="https://unece.org/transport/documents/2022/12/reports/report-sub-committee-experts-transport-dangerous-goods-i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699A-3081-464D-8175-18FB791049CF}">
  <ds:schemaRefs>
    <ds:schemaRef ds:uri="http://schemas.microsoft.com/office/2006/metadata/properties"/>
    <ds:schemaRef ds:uri="http://purl.org/dc/terms/"/>
    <ds:schemaRef ds:uri="4b4a1c0d-4a69-4996-a84a-fc699b9f49de"/>
    <ds:schemaRef ds:uri="http://schemas.microsoft.com/office/2006/documentManagement/types"/>
    <ds:schemaRef ds:uri="acccb6d4-dbe5-46d2-b4d3-5733603d8cc6"/>
    <ds:schemaRef ds:uri="http://schemas.openxmlformats.org/package/2006/metadata/core-properties"/>
    <ds:schemaRef ds:uri="http://purl.org/dc/elements/1.1/"/>
    <ds:schemaRef ds:uri="http://schemas.microsoft.com/office/infopath/2007/PartnerControls"/>
    <ds:schemaRef ds:uri="985ec44e-1bab-4c0b-9df0-6ba128686fc9"/>
    <ds:schemaRef ds:uri="http://www.w3.org/XML/1998/namespace"/>
    <ds:schemaRef ds:uri="http://purl.org/dc/dcmitype/"/>
  </ds:schemaRefs>
</ds:datastoreItem>
</file>

<file path=customXml/itemProps2.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3.xml><?xml version="1.0" encoding="utf-8"?>
<ds:datastoreItem xmlns:ds="http://schemas.openxmlformats.org/officeDocument/2006/customXml" ds:itemID="{A902E769-CE25-4E8D-8F07-7277BC852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3</Pages>
  <Words>1035</Words>
  <Characters>5495</Characters>
  <Application>Microsoft Office Word</Application>
  <DocSecurity>0</DocSecurity>
  <Lines>117</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ST/SG/AC.10/C.3/2023/12</vt:lpstr>
      <vt:lpstr/>
    </vt:vector>
  </TitlesOfParts>
  <Company/>
  <LinksUpToDate>false</LinksUpToDate>
  <CharactersWithSpaces>6502</CharactersWithSpaces>
  <SharedDoc>false</SharedDoc>
  <HLinks>
    <vt:vector size="12" baseType="variant">
      <vt:variant>
        <vt:i4>720916</vt:i4>
      </vt:variant>
      <vt:variant>
        <vt:i4>3</vt:i4>
      </vt:variant>
      <vt:variant>
        <vt:i4>0</vt:i4>
      </vt:variant>
      <vt:variant>
        <vt:i4>5</vt:i4>
      </vt:variant>
      <vt:variant>
        <vt:lpwstr>https://unece.org/transport/documents/2022/12/reports/report-sub-committee-experts-globally-harmonized-system</vt:lpwstr>
      </vt:variant>
      <vt:variant>
        <vt:lpwstr/>
      </vt:variant>
      <vt:variant>
        <vt:i4>5570587</vt:i4>
      </vt:variant>
      <vt:variant>
        <vt:i4>0</vt:i4>
      </vt:variant>
      <vt:variant>
        <vt:i4>0</vt:i4>
      </vt:variant>
      <vt:variant>
        <vt:i4>5</vt:i4>
      </vt:variant>
      <vt:variant>
        <vt:lpwstr>https://unece.org/transport/documents/2022/12/reports/report-sub-committee-experts-transport-dangerous-goods-its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ST/SG/AC.10/C.3/2023/12</dc:title>
  <dc:subject>2306857</dc:subject>
  <dc:creator>Rosa Garcia-Couto</dc:creator>
  <cp:keywords>ST/SG/AC.10/C.4/2023/2</cp:keywords>
  <dc:description/>
  <cp:lastModifiedBy>Ma. Cristina Brigoli</cp:lastModifiedBy>
  <cp:revision>2</cp:revision>
  <dcterms:created xsi:type="dcterms:W3CDTF">2023-04-13T12:12:00Z</dcterms:created>
  <dcterms:modified xsi:type="dcterms:W3CDTF">2023-04-13T12:12:00Z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