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wmf" ContentType="image/x-wmf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2" w:rightFromText="142" w:vertAnchor="page" w:horzAnchor="page" w:tblpX="1134" w:tblpY="284"/>
        <w:tblOverlap w:val="never"/>
        <w:tblW w:w="963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76"/>
        <w:gridCol w:w="2268"/>
        <w:gridCol w:w="3260"/>
        <w:gridCol w:w="2835"/>
      </w:tblGrid>
      <w:tr w:rsidR="00132EA9" w:rsidRPr="00471DE5" w14:paraId="6874AB27" w14:textId="77777777" w:rsidTr="00F01738">
        <w:trPr>
          <w:trHeight w:hRule="exact" w:val="851"/>
        </w:trPr>
        <w:tc>
          <w:tcPr>
            <w:tcW w:w="1276" w:type="dxa"/>
            <w:tcBorders>
              <w:bottom w:val="single" w:sz="4" w:space="0" w:color="auto"/>
            </w:tcBorders>
          </w:tcPr>
          <w:p w14:paraId="36DCC590" w14:textId="215776BA" w:rsidR="00132EA9" w:rsidRPr="00471DE5" w:rsidRDefault="00132EA9" w:rsidP="00DE134C"/>
        </w:tc>
        <w:tc>
          <w:tcPr>
            <w:tcW w:w="2268" w:type="dxa"/>
            <w:tcBorders>
              <w:bottom w:val="single" w:sz="4" w:space="0" w:color="auto"/>
            </w:tcBorders>
            <w:vAlign w:val="bottom"/>
          </w:tcPr>
          <w:p w14:paraId="4E94037F" w14:textId="77777777" w:rsidR="00132EA9" w:rsidRPr="00471DE5" w:rsidRDefault="00132EA9" w:rsidP="00F01738">
            <w:pPr>
              <w:spacing w:after="80" w:line="300" w:lineRule="exact"/>
              <w:rPr>
                <w:sz w:val="28"/>
              </w:rPr>
            </w:pPr>
            <w:r w:rsidRPr="00471DE5">
              <w:rPr>
                <w:sz w:val="28"/>
              </w:rPr>
              <w:t>Nations Unies</w:t>
            </w:r>
          </w:p>
        </w:tc>
        <w:tc>
          <w:tcPr>
            <w:tcW w:w="6095" w:type="dxa"/>
            <w:gridSpan w:val="2"/>
            <w:tcBorders>
              <w:bottom w:val="single" w:sz="4" w:space="0" w:color="auto"/>
            </w:tcBorders>
            <w:vAlign w:val="bottom"/>
          </w:tcPr>
          <w:p w14:paraId="1F570557" w14:textId="49A78965" w:rsidR="00132EA9" w:rsidRPr="00471DE5" w:rsidRDefault="00DE134C" w:rsidP="00DE134C">
            <w:pPr>
              <w:jc w:val="right"/>
            </w:pPr>
            <w:r w:rsidRPr="00471DE5">
              <w:rPr>
                <w:sz w:val="40"/>
              </w:rPr>
              <w:t>ST</w:t>
            </w:r>
            <w:r w:rsidRPr="00471DE5">
              <w:t>/SG/AC.10/C.3/2023/16</w:t>
            </w:r>
          </w:p>
        </w:tc>
      </w:tr>
      <w:tr w:rsidR="00132EA9" w:rsidRPr="00471DE5" w14:paraId="1D8D2C04" w14:textId="77777777" w:rsidTr="00F01738">
        <w:trPr>
          <w:trHeight w:hRule="exact" w:val="2835"/>
        </w:trPr>
        <w:tc>
          <w:tcPr>
            <w:tcW w:w="1276" w:type="dxa"/>
            <w:tcBorders>
              <w:top w:val="single" w:sz="4" w:space="0" w:color="auto"/>
              <w:bottom w:val="single" w:sz="12" w:space="0" w:color="auto"/>
            </w:tcBorders>
          </w:tcPr>
          <w:p w14:paraId="5ED6DB1F" w14:textId="77777777" w:rsidR="00132EA9" w:rsidRPr="00471DE5" w:rsidRDefault="00132EA9" w:rsidP="00F01738">
            <w:pPr>
              <w:spacing w:before="120"/>
              <w:jc w:val="center"/>
            </w:pPr>
            <w:r w:rsidRPr="00471DE5">
              <w:rPr>
                <w:noProof/>
                <w:lang w:eastAsia="fr-CH"/>
              </w:rPr>
              <w:drawing>
                <wp:inline distT="0" distB="0" distL="0" distR="0" wp14:anchorId="2B02343A" wp14:editId="0E9A664C">
                  <wp:extent cx="714375" cy="590550"/>
                  <wp:effectExtent l="0" t="0" r="9525" b="0"/>
                  <wp:docPr id="1" name="Image 1" descr="_un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_un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bottom w:val="single" w:sz="12" w:space="0" w:color="auto"/>
            </w:tcBorders>
          </w:tcPr>
          <w:p w14:paraId="73A119F0" w14:textId="77777777" w:rsidR="00132EA9" w:rsidRPr="00471DE5" w:rsidRDefault="00132EA9" w:rsidP="00F01738">
            <w:pPr>
              <w:spacing w:before="120" w:line="420" w:lineRule="exact"/>
              <w:rPr>
                <w:b/>
                <w:sz w:val="40"/>
                <w:szCs w:val="40"/>
              </w:rPr>
            </w:pPr>
            <w:r w:rsidRPr="00471DE5">
              <w:rPr>
                <w:b/>
                <w:sz w:val="40"/>
                <w:szCs w:val="40"/>
              </w:rPr>
              <w:t>Secrétariat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12" w:space="0" w:color="auto"/>
            </w:tcBorders>
          </w:tcPr>
          <w:p w14:paraId="594F22D0" w14:textId="77777777" w:rsidR="00132EA9" w:rsidRPr="00471DE5" w:rsidRDefault="00DE134C" w:rsidP="00F01738">
            <w:pPr>
              <w:spacing w:before="240"/>
            </w:pPr>
            <w:proofErr w:type="spellStart"/>
            <w:r w:rsidRPr="00471DE5">
              <w:t>Distr</w:t>
            </w:r>
            <w:proofErr w:type="spellEnd"/>
            <w:r w:rsidRPr="00471DE5">
              <w:t>. générale</w:t>
            </w:r>
          </w:p>
          <w:p w14:paraId="727255D0" w14:textId="77777777" w:rsidR="00DE134C" w:rsidRPr="00471DE5" w:rsidRDefault="00DE134C" w:rsidP="00DE134C">
            <w:pPr>
              <w:spacing w:line="240" w:lineRule="exact"/>
            </w:pPr>
            <w:r w:rsidRPr="00471DE5">
              <w:t>20 avril 2023</w:t>
            </w:r>
          </w:p>
          <w:p w14:paraId="2A3D11C8" w14:textId="77777777" w:rsidR="00DE134C" w:rsidRPr="00471DE5" w:rsidRDefault="00DE134C" w:rsidP="00DE134C">
            <w:pPr>
              <w:spacing w:line="240" w:lineRule="exact"/>
            </w:pPr>
            <w:r w:rsidRPr="00471DE5">
              <w:t>Français</w:t>
            </w:r>
          </w:p>
          <w:p w14:paraId="066CF8B0" w14:textId="3E23B8D1" w:rsidR="00DE134C" w:rsidRPr="00471DE5" w:rsidRDefault="00DE134C" w:rsidP="00DE134C">
            <w:pPr>
              <w:spacing w:line="240" w:lineRule="exact"/>
            </w:pPr>
            <w:r w:rsidRPr="00471DE5">
              <w:t>Original : anglais</w:t>
            </w:r>
          </w:p>
        </w:tc>
      </w:tr>
    </w:tbl>
    <w:p w14:paraId="097EE6A4" w14:textId="4C8157F5" w:rsidR="00DE134C" w:rsidRPr="00471DE5" w:rsidRDefault="00DE134C" w:rsidP="000305D3">
      <w:pPr>
        <w:spacing w:before="120"/>
        <w:rPr>
          <w:b/>
          <w:sz w:val="24"/>
          <w:szCs w:val="24"/>
        </w:rPr>
      </w:pPr>
      <w:r w:rsidRPr="00471DE5">
        <w:rPr>
          <w:b/>
          <w:sz w:val="24"/>
          <w:szCs w:val="24"/>
        </w:rPr>
        <w:t>Comité d</w:t>
      </w:r>
      <w:r w:rsidR="005742FE" w:rsidRPr="00471DE5">
        <w:rPr>
          <w:b/>
          <w:sz w:val="24"/>
          <w:szCs w:val="24"/>
        </w:rPr>
        <w:t>’</w:t>
      </w:r>
      <w:r w:rsidRPr="00471DE5">
        <w:rPr>
          <w:b/>
          <w:sz w:val="24"/>
          <w:szCs w:val="24"/>
        </w:rPr>
        <w:t>experts du transport des marchandises dangereuses</w:t>
      </w:r>
      <w:r w:rsidRPr="00471DE5">
        <w:rPr>
          <w:b/>
          <w:sz w:val="24"/>
          <w:szCs w:val="24"/>
        </w:rPr>
        <w:br/>
        <w:t>et du Système général harmonisé de classification</w:t>
      </w:r>
      <w:r w:rsidRPr="00471DE5">
        <w:rPr>
          <w:b/>
          <w:sz w:val="24"/>
          <w:szCs w:val="24"/>
        </w:rPr>
        <w:br/>
        <w:t>et d</w:t>
      </w:r>
      <w:r w:rsidR="005742FE" w:rsidRPr="00471DE5">
        <w:rPr>
          <w:b/>
          <w:sz w:val="24"/>
          <w:szCs w:val="24"/>
        </w:rPr>
        <w:t>’</w:t>
      </w:r>
      <w:r w:rsidRPr="00471DE5">
        <w:rPr>
          <w:b/>
          <w:sz w:val="24"/>
          <w:szCs w:val="24"/>
        </w:rPr>
        <w:t>étiquetage des produits chimiques</w:t>
      </w:r>
    </w:p>
    <w:p w14:paraId="6462E742" w14:textId="5056A3A1" w:rsidR="00DE134C" w:rsidRPr="00471DE5" w:rsidRDefault="00DE134C" w:rsidP="000305D3">
      <w:pPr>
        <w:spacing w:before="120"/>
        <w:rPr>
          <w:b/>
        </w:rPr>
      </w:pPr>
      <w:r w:rsidRPr="00471DE5">
        <w:rPr>
          <w:b/>
        </w:rPr>
        <w:t>Sous-Comité d</w:t>
      </w:r>
      <w:r w:rsidR="005742FE" w:rsidRPr="00471DE5">
        <w:rPr>
          <w:b/>
        </w:rPr>
        <w:t>’</w:t>
      </w:r>
      <w:r w:rsidRPr="00471DE5">
        <w:rPr>
          <w:b/>
        </w:rPr>
        <w:t>experts du transport des marchandises dangereuses</w:t>
      </w:r>
    </w:p>
    <w:p w14:paraId="3F950553" w14:textId="77777777" w:rsidR="00DE134C" w:rsidRPr="00471DE5" w:rsidRDefault="00DE134C" w:rsidP="00DE134C">
      <w:pPr>
        <w:spacing w:before="120"/>
        <w:rPr>
          <w:b/>
        </w:rPr>
      </w:pPr>
      <w:r w:rsidRPr="00471DE5">
        <w:rPr>
          <w:b/>
          <w:bCs/>
        </w:rPr>
        <w:t>Soixante-deuxième session</w:t>
      </w:r>
    </w:p>
    <w:p w14:paraId="52FA1EE3" w14:textId="77777777" w:rsidR="00DE134C" w:rsidRPr="00471DE5" w:rsidRDefault="00DE134C" w:rsidP="00DE134C">
      <w:r w:rsidRPr="00471DE5">
        <w:t>Genève, 3-7 juillet 2023</w:t>
      </w:r>
    </w:p>
    <w:p w14:paraId="607FCD38" w14:textId="1E76B8DE" w:rsidR="00DE134C" w:rsidRPr="00471DE5" w:rsidRDefault="00DE134C" w:rsidP="00DE134C">
      <w:r w:rsidRPr="00471DE5">
        <w:t>Point 2 f) de l</w:t>
      </w:r>
      <w:r w:rsidR="005742FE" w:rsidRPr="00471DE5">
        <w:t>’</w:t>
      </w:r>
      <w:r w:rsidRPr="00471DE5">
        <w:t>ordre du jour provisoire</w:t>
      </w:r>
    </w:p>
    <w:p w14:paraId="66887625" w14:textId="7AE68C47" w:rsidR="00DE134C" w:rsidRPr="00471DE5" w:rsidRDefault="00DE134C" w:rsidP="00DE134C">
      <w:r w:rsidRPr="00471DE5">
        <w:rPr>
          <w:b/>
          <w:bCs/>
        </w:rPr>
        <w:t xml:space="preserve">Explosifs et questions connexes : examen des prescriptions en matière </w:t>
      </w:r>
      <w:r w:rsidRPr="00471DE5">
        <w:rPr>
          <w:b/>
          <w:bCs/>
        </w:rPr>
        <w:br/>
        <w:t>d</w:t>
      </w:r>
      <w:r w:rsidR="005742FE" w:rsidRPr="00471DE5">
        <w:rPr>
          <w:b/>
          <w:bCs/>
        </w:rPr>
        <w:t>’</w:t>
      </w:r>
      <w:r w:rsidRPr="00471DE5">
        <w:rPr>
          <w:b/>
          <w:bCs/>
        </w:rPr>
        <w:t>emballage et de transport des émulsions de nitrate d</w:t>
      </w:r>
      <w:r w:rsidR="005742FE" w:rsidRPr="00471DE5">
        <w:rPr>
          <w:b/>
          <w:bCs/>
        </w:rPr>
        <w:t>’</w:t>
      </w:r>
      <w:r w:rsidRPr="00471DE5">
        <w:rPr>
          <w:b/>
          <w:bCs/>
        </w:rPr>
        <w:t>ammonium</w:t>
      </w:r>
    </w:p>
    <w:p w14:paraId="4BDE5225" w14:textId="2F49D0C6" w:rsidR="00DE134C" w:rsidRPr="00471DE5" w:rsidRDefault="00DE134C" w:rsidP="00DE134C">
      <w:pPr>
        <w:pStyle w:val="HChG"/>
        <w:rPr>
          <w:bCs/>
        </w:rPr>
      </w:pPr>
      <w:r w:rsidRPr="00471DE5">
        <w:tab/>
      </w:r>
      <w:r w:rsidRPr="00471DE5">
        <w:tab/>
      </w:r>
      <w:r w:rsidRPr="00471DE5">
        <w:rPr>
          <w:bCs/>
        </w:rPr>
        <w:t>Proposition visant à supprimer la prescription concernant l</w:t>
      </w:r>
      <w:r w:rsidR="005742FE" w:rsidRPr="00471DE5">
        <w:rPr>
          <w:bCs/>
        </w:rPr>
        <w:t>’</w:t>
      </w:r>
      <w:r w:rsidRPr="00471DE5">
        <w:rPr>
          <w:bCs/>
        </w:rPr>
        <w:t xml:space="preserve">épreuve de la série 8, type d), servant à évaluer </w:t>
      </w:r>
      <w:r w:rsidRPr="00471DE5">
        <w:rPr>
          <w:bCs/>
        </w:rPr>
        <w:br/>
        <w:t>si les émulsions de nitrate d</w:t>
      </w:r>
      <w:r w:rsidR="005742FE" w:rsidRPr="00471DE5">
        <w:rPr>
          <w:bCs/>
        </w:rPr>
        <w:t>’</w:t>
      </w:r>
      <w:r w:rsidRPr="00471DE5">
        <w:rPr>
          <w:bCs/>
        </w:rPr>
        <w:t xml:space="preserve">ammonium peuvent </w:t>
      </w:r>
      <w:r w:rsidRPr="00471DE5">
        <w:rPr>
          <w:bCs/>
        </w:rPr>
        <w:br/>
        <w:t>être transportées dans des citernes mobiles</w:t>
      </w:r>
    </w:p>
    <w:p w14:paraId="0621318E" w14:textId="146CAB74" w:rsidR="00DE134C" w:rsidRPr="00471DE5" w:rsidRDefault="00DE134C" w:rsidP="00DE134C">
      <w:pPr>
        <w:pStyle w:val="H1G"/>
        <w:rPr>
          <w:bCs/>
        </w:rPr>
      </w:pPr>
      <w:r w:rsidRPr="00471DE5">
        <w:tab/>
      </w:r>
      <w:r w:rsidRPr="00471DE5">
        <w:tab/>
      </w:r>
      <w:r w:rsidRPr="00471DE5">
        <w:rPr>
          <w:bCs/>
        </w:rPr>
        <w:t>Communication de l</w:t>
      </w:r>
      <w:r w:rsidR="005742FE" w:rsidRPr="00471DE5">
        <w:rPr>
          <w:bCs/>
        </w:rPr>
        <w:t>’</w:t>
      </w:r>
      <w:r w:rsidRPr="00471DE5">
        <w:rPr>
          <w:bCs/>
        </w:rPr>
        <w:t xml:space="preserve">Institute of </w:t>
      </w:r>
      <w:proofErr w:type="spellStart"/>
      <w:r w:rsidRPr="00471DE5">
        <w:rPr>
          <w:bCs/>
        </w:rPr>
        <w:t>Makers</w:t>
      </w:r>
      <w:proofErr w:type="spellEnd"/>
      <w:r w:rsidRPr="00471DE5">
        <w:rPr>
          <w:bCs/>
        </w:rPr>
        <w:t xml:space="preserve"> of Explosives (IME)</w:t>
      </w:r>
      <w:r w:rsidR="00177AA7" w:rsidRPr="00471DE5">
        <w:rPr>
          <w:rStyle w:val="Appelnotedebasdep"/>
          <w:b w:val="0"/>
          <w:sz w:val="20"/>
          <w:vertAlign w:val="baseline"/>
        </w:rPr>
        <w:footnoteReference w:customMarkFollows="1" w:id="2"/>
        <w:t>*</w:t>
      </w:r>
    </w:p>
    <w:p w14:paraId="607C462C" w14:textId="061C16AD" w:rsidR="00DE134C" w:rsidRPr="00471DE5" w:rsidRDefault="00DE134C" w:rsidP="00DE134C">
      <w:pPr>
        <w:pStyle w:val="HChG"/>
      </w:pPr>
      <w:r w:rsidRPr="00471DE5">
        <w:tab/>
      </w:r>
      <w:r w:rsidRPr="00471DE5">
        <w:tab/>
        <w:t>Introduction</w:t>
      </w:r>
    </w:p>
    <w:p w14:paraId="40B4AF8B" w14:textId="109A87AB" w:rsidR="00DE134C" w:rsidRPr="00471DE5" w:rsidRDefault="00DE134C" w:rsidP="00DE134C">
      <w:pPr>
        <w:pStyle w:val="SingleTxtG"/>
      </w:pPr>
      <w:r w:rsidRPr="00471DE5">
        <w:t>1.</w:t>
      </w:r>
      <w:r w:rsidRPr="00471DE5">
        <w:tab/>
        <w:t>Les émulsions de nitrate d</w:t>
      </w:r>
      <w:r w:rsidR="005742FE" w:rsidRPr="00471DE5">
        <w:t>’</w:t>
      </w:r>
      <w:r w:rsidRPr="00471DE5">
        <w:t>ammonium (ENA) sont transportées par route dans des conteneurs pour vrac depuis les années 1980. Plusieurs incendies ont été signalés au cours de leur transport, mais aucun n</w:t>
      </w:r>
      <w:r w:rsidR="005742FE" w:rsidRPr="00471DE5">
        <w:t>’</w:t>
      </w:r>
      <w:r w:rsidRPr="00471DE5">
        <w:t>a provoqué d</w:t>
      </w:r>
      <w:r w:rsidR="005742FE" w:rsidRPr="00471DE5">
        <w:t>’</w:t>
      </w:r>
      <w:r w:rsidRPr="00471DE5">
        <w:t>explosion. La figure 3 (voir annexe) illustre un exemple d</w:t>
      </w:r>
      <w:r w:rsidR="005742FE" w:rsidRPr="00471DE5">
        <w:t>’</w:t>
      </w:r>
      <w:r w:rsidRPr="00471DE5">
        <w:t>incendie de remorque transportant des ENA qui n</w:t>
      </w:r>
      <w:r w:rsidR="005742FE" w:rsidRPr="00471DE5">
        <w:t>’</w:t>
      </w:r>
      <w:r w:rsidRPr="00471DE5">
        <w:t>a pas entraîné d</w:t>
      </w:r>
      <w:r w:rsidR="005742FE" w:rsidRPr="00471DE5">
        <w:t>’</w:t>
      </w:r>
      <w:r w:rsidRPr="00471DE5">
        <w:t>explosion. Pendant toute cette période, un seul incident a été signalé comme ayant provoqué une détonation.</w:t>
      </w:r>
    </w:p>
    <w:p w14:paraId="6EBF37E4" w14:textId="3FDC0893" w:rsidR="00DE134C" w:rsidRPr="00471DE5" w:rsidRDefault="00DE134C" w:rsidP="00DE134C">
      <w:pPr>
        <w:pStyle w:val="SingleTxtG"/>
      </w:pPr>
      <w:r w:rsidRPr="00471DE5">
        <w:t>2.</w:t>
      </w:r>
      <w:r w:rsidRPr="00471DE5">
        <w:tab/>
        <w:t>L</w:t>
      </w:r>
      <w:r w:rsidR="005742FE" w:rsidRPr="00471DE5">
        <w:t>’</w:t>
      </w:r>
      <w:r w:rsidRPr="00471DE5">
        <w:t>IME a des réserves quant à la fiabilité de l</w:t>
      </w:r>
      <w:r w:rsidR="005742FE" w:rsidRPr="00471DE5">
        <w:t>’</w:t>
      </w:r>
      <w:r w:rsidRPr="00471DE5">
        <w:t>épreuve 8 d) pour ce qui est de prévoir les réactions des ENA en cas d</w:t>
      </w:r>
      <w:r w:rsidR="005742FE" w:rsidRPr="00471DE5">
        <w:t>’</w:t>
      </w:r>
      <w:r w:rsidRPr="00471DE5">
        <w:t>incident entraînant un incendie, et ce</w:t>
      </w:r>
      <w:r w:rsidR="007E208B" w:rsidRPr="00471DE5">
        <w:t>,</w:t>
      </w:r>
      <w:r w:rsidRPr="00471DE5">
        <w:t xml:space="preserve"> pour deux raisons. Premièrement, les travaux de modélisation ont mis en évidence des risques de faux positifs dans le cadre de l</w:t>
      </w:r>
      <w:r w:rsidR="005742FE" w:rsidRPr="00471DE5">
        <w:t>’</w:t>
      </w:r>
      <w:r w:rsidRPr="00471DE5">
        <w:t xml:space="preserve">épreuve de </w:t>
      </w:r>
      <w:proofErr w:type="spellStart"/>
      <w:r w:rsidRPr="00471DE5">
        <w:t>Koenen</w:t>
      </w:r>
      <w:proofErr w:type="spellEnd"/>
      <w:r w:rsidRPr="00471DE5">
        <w:t xml:space="preserve"> 8 c). L</w:t>
      </w:r>
      <w:r w:rsidR="005742FE" w:rsidRPr="00471DE5">
        <w:t>’</w:t>
      </w:r>
      <w:r w:rsidRPr="00471DE5">
        <w:t>épreuve 8 d) est en fait une version améliorée de l</w:t>
      </w:r>
      <w:r w:rsidR="005742FE" w:rsidRPr="00471DE5">
        <w:t>’</w:t>
      </w:r>
      <w:r w:rsidRPr="00471DE5">
        <w:t xml:space="preserve">épreuve de </w:t>
      </w:r>
      <w:proofErr w:type="spellStart"/>
      <w:r w:rsidRPr="00471DE5">
        <w:t>Koenen</w:t>
      </w:r>
      <w:proofErr w:type="spellEnd"/>
      <w:r w:rsidRPr="00471DE5">
        <w:t>. Deuxièmement, un incident récent en Australie occidentale concernant une ENA a entraîné une détonation, ce qui montre que l</w:t>
      </w:r>
      <w:r w:rsidR="005742FE" w:rsidRPr="00471DE5">
        <w:t>’</w:t>
      </w:r>
      <w:r w:rsidRPr="00471DE5">
        <w:t>épreuve 8 d) peut produire de faux négatifs.</w:t>
      </w:r>
    </w:p>
    <w:p w14:paraId="38D02236" w14:textId="240ED6BD" w:rsidR="00DE134C" w:rsidRPr="00471DE5" w:rsidRDefault="00DE134C" w:rsidP="00DE134C">
      <w:pPr>
        <w:pStyle w:val="SingleTxtG"/>
      </w:pPr>
      <w:r w:rsidRPr="00471DE5">
        <w:t>3.</w:t>
      </w:r>
      <w:r w:rsidRPr="00471DE5">
        <w:tab/>
        <w:t>Les ENA, en particulier les émulsions, ont une forte teneur en eau, laquelle assure des fonctions d</w:t>
      </w:r>
      <w:r w:rsidR="005742FE" w:rsidRPr="00471DE5">
        <w:t>’</w:t>
      </w:r>
      <w:r w:rsidRPr="00471DE5">
        <w:t>inertage et de puits thermique. Il en résulte une matière dont la pression minimale de combustion (PMC) est élevée. Pour les ENA, la PMC est mesurée dans le cadre de l</w:t>
      </w:r>
      <w:r w:rsidR="005742FE" w:rsidRPr="00471DE5">
        <w:t>’</w:t>
      </w:r>
      <w:r w:rsidRPr="00471DE5">
        <w:t>épreuve 8 e).</w:t>
      </w:r>
    </w:p>
    <w:p w14:paraId="23BD392D" w14:textId="7524158A" w:rsidR="00DE134C" w:rsidRPr="00471DE5" w:rsidRDefault="00DE134C" w:rsidP="00DE134C">
      <w:pPr>
        <w:pStyle w:val="SingleTxtG"/>
      </w:pPr>
      <w:r w:rsidRPr="00471DE5">
        <w:t>4.</w:t>
      </w:r>
      <w:r w:rsidRPr="00471DE5">
        <w:tab/>
        <w:t>Dans le présent document, il est proposé d</w:t>
      </w:r>
      <w:r w:rsidR="005742FE" w:rsidRPr="00471DE5">
        <w:t>’</w:t>
      </w:r>
      <w:r w:rsidRPr="00471DE5">
        <w:t>exclure de l</w:t>
      </w:r>
      <w:r w:rsidR="005742FE" w:rsidRPr="00471DE5">
        <w:t>’</w:t>
      </w:r>
      <w:r w:rsidRPr="00471DE5">
        <w:t>épreuve 8 d) les ENA qui satisfont à l</w:t>
      </w:r>
      <w:r w:rsidR="005742FE" w:rsidRPr="00471DE5">
        <w:t>’</w:t>
      </w:r>
      <w:r w:rsidRPr="00471DE5">
        <w:t>épreuve 8 e).</w:t>
      </w:r>
    </w:p>
    <w:p w14:paraId="7E9EA7E9" w14:textId="73F50F14" w:rsidR="00DE134C" w:rsidRPr="00471DE5" w:rsidRDefault="00DE134C" w:rsidP="00DE134C">
      <w:pPr>
        <w:pStyle w:val="SingleTxtG"/>
      </w:pPr>
      <w:r w:rsidRPr="00471DE5">
        <w:lastRenderedPageBreak/>
        <w:t>5.</w:t>
      </w:r>
      <w:r w:rsidRPr="00471DE5">
        <w:tab/>
        <w:t>On trouvera en annexe toutes les figures auxquelles il est fait référence dans le présent document.</w:t>
      </w:r>
    </w:p>
    <w:p w14:paraId="7AC23E1C" w14:textId="77777777" w:rsidR="00177AA7" w:rsidRPr="00471DE5" w:rsidRDefault="00177AA7" w:rsidP="00177AA7">
      <w:pPr>
        <w:pStyle w:val="HChG"/>
      </w:pPr>
      <w:r w:rsidRPr="00471DE5">
        <w:tab/>
      </w:r>
      <w:r w:rsidRPr="00471DE5">
        <w:tab/>
        <w:t>Contexte</w:t>
      </w:r>
    </w:p>
    <w:p w14:paraId="08D5BD2C" w14:textId="1EB42A31" w:rsidR="00177AA7" w:rsidRPr="00471DE5" w:rsidRDefault="00177AA7" w:rsidP="00177AA7">
      <w:pPr>
        <w:pStyle w:val="SingleTxtG"/>
      </w:pPr>
      <w:r w:rsidRPr="00471DE5">
        <w:t>6.</w:t>
      </w:r>
      <w:r w:rsidRPr="00471DE5">
        <w:tab/>
        <w:t>Pour être classés dans la division 5.1, les ENA doivent satisfaire aux épreuves 8 a), 8 b) et 8 c) ou, si la matière ne satisfait pas à l</w:t>
      </w:r>
      <w:r w:rsidR="005742FE" w:rsidRPr="00471DE5">
        <w:t>’</w:t>
      </w:r>
      <w:r w:rsidRPr="00471DE5">
        <w:t>épreuve 8 c), si le temps de réaction pendant l</w:t>
      </w:r>
      <w:r w:rsidR="005742FE" w:rsidRPr="00471DE5">
        <w:t>’</w:t>
      </w:r>
      <w:r w:rsidRPr="00471DE5">
        <w:t>épreuve 8 c) dépasse 60 secondes et si la teneur en eau excède 14 %, elles doivent satisfaire aux épreuves 8 a), 8 b) et 8 e). L</w:t>
      </w:r>
      <w:r w:rsidR="005742FE" w:rsidRPr="00471DE5">
        <w:t>’</w:t>
      </w:r>
      <w:r w:rsidRPr="00471DE5">
        <w:t>épreuve 8 d) est en outre maintenant utilisée pour déterminer si une ENA peut être transportée en citerne.</w:t>
      </w:r>
    </w:p>
    <w:p w14:paraId="0AC70459" w14:textId="723401D8" w:rsidR="00177AA7" w:rsidRPr="00471DE5" w:rsidRDefault="00177AA7" w:rsidP="00177AA7">
      <w:pPr>
        <w:pStyle w:val="SingleTxtG"/>
      </w:pPr>
      <w:r w:rsidRPr="00471DE5">
        <w:t>7.</w:t>
      </w:r>
      <w:r w:rsidRPr="00471DE5">
        <w:tab/>
      </w:r>
      <w:r w:rsidR="00471DE5" w:rsidRPr="00471DE5">
        <w:t>À</w:t>
      </w:r>
      <w:r w:rsidRPr="00471DE5">
        <w:t xml:space="preserve"> la soixantième session du Sous-Comité, l</w:t>
      </w:r>
      <w:r w:rsidR="005742FE" w:rsidRPr="00471DE5">
        <w:t>’</w:t>
      </w:r>
      <w:r w:rsidRPr="00471DE5">
        <w:t>IME a soumis le document ST/SG/AC.10/C.3/2022/18, dans lequel étaient présentés les résultats de la modélisation numérique du transport d</w:t>
      </w:r>
      <w:r w:rsidR="005742FE" w:rsidRPr="00471DE5">
        <w:t>’</w:t>
      </w:r>
      <w:r w:rsidRPr="00471DE5">
        <w:t>ENA dans des citernes mobiles en acier inoxydable. Ces résultats appuyaient les conclusions figurant dans le document informel INF.8 (cinquante-huitième session) en ce qui concerne les phénomènes de transfert de chaleur, de quantité de mouvement et de masse qui se produisent à l</w:t>
      </w:r>
      <w:r w:rsidR="005742FE" w:rsidRPr="00471DE5">
        <w:t>’</w:t>
      </w:r>
      <w:r w:rsidRPr="00471DE5">
        <w:t>intérieur d</w:t>
      </w:r>
      <w:r w:rsidR="005742FE" w:rsidRPr="00471DE5">
        <w:t>’</w:t>
      </w:r>
      <w:r w:rsidRPr="00471DE5">
        <w:t>une citerne contenant une ENA soumise à un incendie extérieur. La modélisation, fondée sur les flux de chaleur et de fluide déterminés expérimentalement à partir de scénarios de feux de pneumatiques de camion et de gazole, intégrait la cinétique de décomposition de l</w:t>
      </w:r>
      <w:r w:rsidR="005742FE" w:rsidRPr="00471DE5">
        <w:t>’</w:t>
      </w:r>
      <w:r w:rsidRPr="00471DE5">
        <w:t>ENA et la formation d</w:t>
      </w:r>
      <w:r w:rsidR="005742FE" w:rsidRPr="00471DE5">
        <w:t>’</w:t>
      </w:r>
      <w:r w:rsidRPr="00471DE5">
        <w:t>une croûte (principalement du nitrate d</w:t>
      </w:r>
      <w:r w:rsidR="005742FE" w:rsidRPr="00471DE5">
        <w:t>’</w:t>
      </w:r>
      <w:r w:rsidRPr="00471DE5">
        <w:t>ammonium) pendant un scénario d</w:t>
      </w:r>
      <w:r w:rsidR="005742FE" w:rsidRPr="00471DE5">
        <w:t>’</w:t>
      </w:r>
      <w:r w:rsidRPr="00471DE5">
        <w:t>incendie.</w:t>
      </w:r>
    </w:p>
    <w:p w14:paraId="0FFE8920" w14:textId="0242565A" w:rsidR="00177AA7" w:rsidRPr="00471DE5" w:rsidRDefault="00177AA7" w:rsidP="00177AA7">
      <w:pPr>
        <w:pStyle w:val="SingleTxtG"/>
      </w:pPr>
      <w:r w:rsidRPr="00471DE5">
        <w:t>8.</w:t>
      </w:r>
      <w:r w:rsidRPr="00471DE5">
        <w:tab/>
        <w:t>Les résultats de la modélisation semblent confirmer les observations faites sur le terrain, à savoir qu</w:t>
      </w:r>
      <w:r w:rsidR="005742FE" w:rsidRPr="00471DE5">
        <w:t>’</w:t>
      </w:r>
      <w:r w:rsidRPr="00471DE5">
        <w:t>aucune détonation n</w:t>
      </w:r>
      <w:r w:rsidR="005742FE" w:rsidRPr="00471DE5">
        <w:t>’</w:t>
      </w:r>
      <w:r w:rsidRPr="00471DE5">
        <w:t>a résulté des incendies en question. Des résultats similaires ont été obtenus en appliquant le modèle à des ENA ayant échoué à l</w:t>
      </w:r>
      <w:r w:rsidR="005742FE" w:rsidRPr="00471DE5">
        <w:t>’</w:t>
      </w:r>
      <w:r w:rsidRPr="00471DE5">
        <w:t>épreuve 8 d). Ces données constituent le fondement scientifique de la proposition visant à exclure de l</w:t>
      </w:r>
      <w:r w:rsidR="005742FE" w:rsidRPr="00471DE5">
        <w:t>’</w:t>
      </w:r>
      <w:r w:rsidRPr="00471DE5">
        <w:t>épreuve 8 d) les ENA qui satisfont à l</w:t>
      </w:r>
      <w:r w:rsidR="005742FE" w:rsidRPr="00471DE5">
        <w:t>’</w:t>
      </w:r>
      <w:r w:rsidRPr="00471DE5">
        <w:t>épreuve 8 e) étant donné que, dans le cas de certains ENA, il existe un risque que l</w:t>
      </w:r>
      <w:r w:rsidR="005742FE" w:rsidRPr="00471DE5">
        <w:t>’</w:t>
      </w:r>
      <w:r w:rsidRPr="00471DE5">
        <w:t>épreuve 8 d) produise des faux positifs.</w:t>
      </w:r>
    </w:p>
    <w:p w14:paraId="32DF4C58" w14:textId="77777777" w:rsidR="00177AA7" w:rsidRPr="00471DE5" w:rsidRDefault="00177AA7" w:rsidP="00177AA7">
      <w:pPr>
        <w:pStyle w:val="HChG"/>
      </w:pPr>
      <w:r w:rsidRPr="00471DE5">
        <w:tab/>
      </w:r>
      <w:r w:rsidRPr="00471DE5">
        <w:tab/>
        <w:t>Examen</w:t>
      </w:r>
    </w:p>
    <w:p w14:paraId="3B809CE4" w14:textId="410387D3" w:rsidR="00177AA7" w:rsidRPr="00471DE5" w:rsidRDefault="00177AA7" w:rsidP="00177AA7">
      <w:pPr>
        <w:pStyle w:val="SingleTxtG"/>
      </w:pPr>
      <w:r w:rsidRPr="00471DE5">
        <w:t>9.</w:t>
      </w:r>
      <w:r w:rsidRPr="00471DE5">
        <w:tab/>
        <w:t>Jusqu</w:t>
      </w:r>
      <w:r w:rsidR="005742FE" w:rsidRPr="00471DE5">
        <w:t>’</w:t>
      </w:r>
      <w:r w:rsidRPr="00471DE5">
        <w:t>à récemment, les incendies survenant lors du transport d</w:t>
      </w:r>
      <w:r w:rsidR="005742FE" w:rsidRPr="00471DE5">
        <w:t>’</w:t>
      </w:r>
      <w:r w:rsidRPr="00471DE5">
        <w:t>ENA n</w:t>
      </w:r>
      <w:r w:rsidR="005742FE" w:rsidRPr="00471DE5">
        <w:t>’</w:t>
      </w:r>
      <w:r w:rsidRPr="00471DE5">
        <w:t>avaient pas entraîné d</w:t>
      </w:r>
      <w:r w:rsidR="005742FE" w:rsidRPr="00471DE5">
        <w:t>’</w:t>
      </w:r>
      <w:r w:rsidRPr="00471DE5">
        <w:t>explosion. Un incendie survenu en Australie occidentale en octobre 2022 a mis en évidence les effets d</w:t>
      </w:r>
      <w:r w:rsidR="005742FE" w:rsidRPr="00471DE5">
        <w:t>’</w:t>
      </w:r>
      <w:r w:rsidRPr="00471DE5">
        <w:t>un chauffage prolongé des ENA. L</w:t>
      </w:r>
      <w:r w:rsidR="005742FE" w:rsidRPr="00471DE5">
        <w:t>’</w:t>
      </w:r>
      <w:r w:rsidRPr="00471DE5">
        <w:t>ENA a explosé après environ deux heures d</w:t>
      </w:r>
      <w:r w:rsidR="005742FE" w:rsidRPr="00471DE5">
        <w:t>’</w:t>
      </w:r>
      <w:r w:rsidRPr="00471DE5">
        <w:t>exposition au feu. Cet incident est décrit dans l</w:t>
      </w:r>
      <w:r w:rsidR="005742FE" w:rsidRPr="00471DE5">
        <w:t>’</w:t>
      </w:r>
      <w:r w:rsidRPr="00471DE5">
        <w:t>annexe du présent document.</w:t>
      </w:r>
    </w:p>
    <w:p w14:paraId="500FB743" w14:textId="7A263BC8" w:rsidR="00177AA7" w:rsidRPr="00471DE5" w:rsidRDefault="00177AA7" w:rsidP="00177AA7">
      <w:pPr>
        <w:pStyle w:val="SingleTxtG"/>
      </w:pPr>
      <w:r w:rsidRPr="00471DE5">
        <w:t>10.</w:t>
      </w:r>
      <w:r w:rsidRPr="00471DE5">
        <w:tab/>
        <w:t>Dans leur communiqué, les autorités australiennes précisent que « la remorque transportait une ENA autorisée et chargée adéquatement »</w:t>
      </w:r>
      <w:r w:rsidRPr="00471DE5">
        <w:rPr>
          <w:rStyle w:val="Appelnotedebasdep"/>
        </w:rPr>
        <w:footnoteReference w:id="3"/>
      </w:r>
      <w:r w:rsidRPr="00471DE5">
        <w:t>. On peut donc en conclure que l</w:t>
      </w:r>
      <w:r w:rsidR="005742FE" w:rsidRPr="00471DE5">
        <w:t>’</w:t>
      </w:r>
      <w:r w:rsidRPr="00471DE5">
        <w:t>ENA avait satisfait à l</w:t>
      </w:r>
      <w:r w:rsidR="005742FE" w:rsidRPr="00471DE5">
        <w:t>’</w:t>
      </w:r>
      <w:r w:rsidRPr="00471DE5">
        <w:t>épreuve 8 d), comme exigé par l</w:t>
      </w:r>
      <w:r w:rsidR="005742FE" w:rsidRPr="00471DE5">
        <w:t>’</w:t>
      </w:r>
      <w:r w:rsidRPr="00471DE5">
        <w:t>autorité compétente de l</w:t>
      </w:r>
      <w:r w:rsidR="005742FE" w:rsidRPr="00471DE5">
        <w:t>’</w:t>
      </w:r>
      <w:r w:rsidRPr="00471DE5">
        <w:t>Australie occidentale.</w:t>
      </w:r>
    </w:p>
    <w:p w14:paraId="05F6566B" w14:textId="7EC2CF35" w:rsidR="00177AA7" w:rsidRPr="00471DE5" w:rsidRDefault="00177AA7" w:rsidP="00177AA7">
      <w:pPr>
        <w:pStyle w:val="SingleTxtG"/>
      </w:pPr>
      <w:r w:rsidRPr="00471DE5">
        <w:t>11.</w:t>
      </w:r>
      <w:r w:rsidRPr="00471DE5">
        <w:tab/>
        <w:t>L</w:t>
      </w:r>
      <w:r w:rsidR="005742FE" w:rsidRPr="00471DE5">
        <w:t>’</w:t>
      </w:r>
      <w:r w:rsidRPr="00471DE5">
        <w:t>incident de transport survenu en Australie occidentale montre que les ENA évalué</w:t>
      </w:r>
      <w:r w:rsidR="008E36A4">
        <w:t>e</w:t>
      </w:r>
      <w:r w:rsidRPr="00471DE5">
        <w:t>s au moyen de l</w:t>
      </w:r>
      <w:r w:rsidR="005742FE" w:rsidRPr="00471DE5">
        <w:t>’</w:t>
      </w:r>
      <w:r w:rsidRPr="00471DE5">
        <w:t>épreuve 8 d) et dont le transport en citernes mobiles en tant que matière oxydante est autorisé peuvent tout de même exploser en cas d</w:t>
      </w:r>
      <w:r w:rsidR="005742FE" w:rsidRPr="00471DE5">
        <w:t>’</w:t>
      </w:r>
      <w:r w:rsidRPr="00471DE5">
        <w:t>incendie. Ce résultat remet en question la fiabilité de l</w:t>
      </w:r>
      <w:r w:rsidR="005742FE" w:rsidRPr="00471DE5">
        <w:t>’</w:t>
      </w:r>
      <w:r w:rsidRPr="00471DE5">
        <w:t>épreuve 8 d) dans la mesure où celle-ci peut produire des faux négatifs.</w:t>
      </w:r>
    </w:p>
    <w:p w14:paraId="565DE883" w14:textId="2178366D" w:rsidR="00177AA7" w:rsidRPr="00471DE5" w:rsidRDefault="00177AA7" w:rsidP="00177AA7">
      <w:pPr>
        <w:pStyle w:val="SingleTxtG"/>
      </w:pPr>
      <w:r w:rsidRPr="00471DE5">
        <w:t>12.</w:t>
      </w:r>
      <w:r w:rsidRPr="00471DE5">
        <w:tab/>
        <w:t>Les ENA, en particulier les émulsions, contiennent généralement 60 % à 75 % de nitrate d</w:t>
      </w:r>
      <w:r w:rsidR="005742FE" w:rsidRPr="00471DE5">
        <w:t>’</w:t>
      </w:r>
      <w:r w:rsidRPr="00471DE5">
        <w:t>ammonium, le reste étant essentiellement constitué d</w:t>
      </w:r>
      <w:r w:rsidR="005742FE" w:rsidRPr="00471DE5">
        <w:t>’</w:t>
      </w:r>
      <w:r w:rsidRPr="00471DE5">
        <w:t>eau. L</w:t>
      </w:r>
      <w:r w:rsidR="005742FE" w:rsidRPr="00471DE5">
        <w:t>’</w:t>
      </w:r>
      <w:r w:rsidRPr="00471DE5">
        <w:t>eau assure des fonctions d</w:t>
      </w:r>
      <w:r w:rsidR="005742FE" w:rsidRPr="00471DE5">
        <w:t>’</w:t>
      </w:r>
      <w:r w:rsidRPr="00471DE5">
        <w:t>inertage et de puits thermique grâce à son point d</w:t>
      </w:r>
      <w:r w:rsidR="005742FE" w:rsidRPr="00471DE5">
        <w:t>’</w:t>
      </w:r>
      <w:r w:rsidRPr="00471DE5">
        <w:t>évaporation élevé. Cependant, en cas de chauffage prolongé d</w:t>
      </w:r>
      <w:r w:rsidR="005742FE" w:rsidRPr="00471DE5">
        <w:t>’</w:t>
      </w:r>
      <w:r w:rsidRPr="00471DE5">
        <w:t>une ENA, l</w:t>
      </w:r>
      <w:r w:rsidR="005742FE" w:rsidRPr="00471DE5">
        <w:t>’</w:t>
      </w:r>
      <w:r w:rsidRPr="00471DE5">
        <w:t>eau s</w:t>
      </w:r>
      <w:r w:rsidR="005742FE" w:rsidRPr="00471DE5">
        <w:t>’</w:t>
      </w:r>
      <w:r w:rsidRPr="00471DE5">
        <w:t>évapore, laissant derrière elle une masse chaude et réactive constituée de nitrate d</w:t>
      </w:r>
      <w:r w:rsidR="005742FE" w:rsidRPr="00471DE5">
        <w:t>’</w:t>
      </w:r>
      <w:r w:rsidRPr="00471DE5">
        <w:t>ammonium et de toute la matière organique qui ne s</w:t>
      </w:r>
      <w:r w:rsidR="005742FE" w:rsidRPr="00471DE5">
        <w:t>’</w:t>
      </w:r>
      <w:r w:rsidRPr="00471DE5">
        <w:t>est pas évaporée. Une explication de l</w:t>
      </w:r>
      <w:r w:rsidR="005742FE" w:rsidRPr="00471DE5">
        <w:t>’</w:t>
      </w:r>
      <w:r w:rsidRPr="00471DE5">
        <w:t>incident survenu en Australie occidentale est que l</w:t>
      </w:r>
      <w:r w:rsidR="005742FE" w:rsidRPr="00471DE5">
        <w:t>’</w:t>
      </w:r>
      <w:r w:rsidRPr="00471DE5">
        <w:t>ENA, après environ deux heures d</w:t>
      </w:r>
      <w:r w:rsidR="005742FE" w:rsidRPr="00471DE5">
        <w:t>’</w:t>
      </w:r>
      <w:r w:rsidRPr="00471DE5">
        <w:t>exposition au feu, a explosé parce que la matière résultante était principalement du nitrate d</w:t>
      </w:r>
      <w:r w:rsidR="005742FE" w:rsidRPr="00471DE5">
        <w:t>’</w:t>
      </w:r>
      <w:r w:rsidRPr="00471DE5">
        <w:t>ammonium sous forme de masse fondue en décomposition.</w:t>
      </w:r>
    </w:p>
    <w:p w14:paraId="6BADD8C8" w14:textId="6D8E9702" w:rsidR="00177AA7" w:rsidRPr="00471DE5" w:rsidRDefault="00177AA7" w:rsidP="00177AA7">
      <w:pPr>
        <w:pStyle w:val="SingleTxtG"/>
      </w:pPr>
      <w:r w:rsidRPr="00471DE5">
        <w:lastRenderedPageBreak/>
        <w:t>13.</w:t>
      </w:r>
      <w:r w:rsidRPr="00471DE5">
        <w:tab/>
        <w:t>En ce qui concerne le nitrate d</w:t>
      </w:r>
      <w:r w:rsidR="005742FE" w:rsidRPr="00471DE5">
        <w:t>’</w:t>
      </w:r>
      <w:r w:rsidRPr="00471DE5">
        <w:t>ammonium solide, transporté sous les Nos ONU 1942 et 2067, seules les épreuves de la série 2 sont prescrites. Sa réaction à l</w:t>
      </w:r>
      <w:r w:rsidR="005742FE" w:rsidRPr="00471DE5">
        <w:t>’</w:t>
      </w:r>
      <w:r w:rsidRPr="00471DE5">
        <w:t>échauffement est bien comprise, et l</w:t>
      </w:r>
      <w:r w:rsidR="005742FE" w:rsidRPr="00471DE5">
        <w:t>’</w:t>
      </w:r>
      <w:r w:rsidRPr="00471DE5">
        <w:t>accent est mis sur l</w:t>
      </w:r>
      <w:r w:rsidR="005742FE" w:rsidRPr="00471DE5">
        <w:t>’</w:t>
      </w:r>
      <w:r w:rsidRPr="00471DE5">
        <w:t>élimination des sources de chaleur pendant le stockage. Pendant le transport, en cas d</w:t>
      </w:r>
      <w:r w:rsidR="005742FE" w:rsidRPr="00471DE5">
        <w:t>’</w:t>
      </w:r>
      <w:r w:rsidRPr="00471DE5">
        <w:t>incendie, la procédure d</w:t>
      </w:r>
      <w:r w:rsidR="005742FE" w:rsidRPr="00471DE5">
        <w:t>’</w:t>
      </w:r>
      <w:r w:rsidRPr="00471DE5">
        <w:t>urgence prévoit une évacuation, compte tenu du risque d</w:t>
      </w:r>
      <w:r w:rsidR="005742FE" w:rsidRPr="00471DE5">
        <w:t>’</w:t>
      </w:r>
      <w:r w:rsidRPr="00471DE5">
        <w:t>explosion du produit.</w:t>
      </w:r>
    </w:p>
    <w:p w14:paraId="07625FC7" w14:textId="6403E42B" w:rsidR="00177AA7" w:rsidRPr="00471DE5" w:rsidRDefault="00177AA7" w:rsidP="00177AA7">
      <w:pPr>
        <w:pStyle w:val="SingleTxtG"/>
      </w:pPr>
      <w:r w:rsidRPr="00471DE5">
        <w:t>14.</w:t>
      </w:r>
      <w:r w:rsidRPr="00471DE5">
        <w:tab/>
        <w:t>En cas d</w:t>
      </w:r>
      <w:r w:rsidR="005742FE" w:rsidRPr="00471DE5">
        <w:t>’</w:t>
      </w:r>
      <w:r w:rsidRPr="00471DE5">
        <w:t>incendie au cours d</w:t>
      </w:r>
      <w:r w:rsidR="005742FE" w:rsidRPr="00471DE5">
        <w:t>’</w:t>
      </w:r>
      <w:r w:rsidRPr="00471DE5">
        <w:t>un transport d</w:t>
      </w:r>
      <w:r w:rsidR="005742FE" w:rsidRPr="00471DE5">
        <w:t>’</w:t>
      </w:r>
      <w:r w:rsidRPr="00471DE5">
        <w:t>ENA, l</w:t>
      </w:r>
      <w:r w:rsidR="005742FE" w:rsidRPr="00471DE5">
        <w:t>’</w:t>
      </w:r>
      <w:r w:rsidRPr="00471DE5">
        <w:t>évacuation est également requise. L</w:t>
      </w:r>
      <w:r w:rsidR="005742FE" w:rsidRPr="00471DE5">
        <w:t>’</w:t>
      </w:r>
      <w:r w:rsidRPr="00471DE5">
        <w:t>eau contenue dans les ENA laisse davantage de temps pour mener à bien le processus d</w:t>
      </w:r>
      <w:r w:rsidR="005742FE" w:rsidRPr="00471DE5">
        <w:t>’</w:t>
      </w:r>
      <w:r w:rsidRPr="00471DE5">
        <w:t>évacuation, en raison de ses caractéristiques d</w:t>
      </w:r>
      <w:r w:rsidR="005742FE" w:rsidRPr="00471DE5">
        <w:t>’</w:t>
      </w:r>
      <w:r w:rsidRPr="00471DE5">
        <w:t>inertage. Ainsi, dans le cas de l</w:t>
      </w:r>
      <w:r w:rsidR="005742FE" w:rsidRPr="00471DE5">
        <w:t>’</w:t>
      </w:r>
      <w:r w:rsidRPr="00471DE5">
        <w:t>incident survenu en Australie occidentale, l</w:t>
      </w:r>
      <w:r w:rsidR="005742FE" w:rsidRPr="00471DE5">
        <w:t>’</w:t>
      </w:r>
      <w:r w:rsidRPr="00471DE5">
        <w:t>explosion a eu lieu deux heures après le début de l</w:t>
      </w:r>
      <w:r w:rsidR="005742FE" w:rsidRPr="00471DE5">
        <w:t>’</w:t>
      </w:r>
      <w:r w:rsidRPr="00471DE5">
        <w:t>incendie. Par comparaison, dans le cas du nitrate d</w:t>
      </w:r>
      <w:r w:rsidR="005742FE" w:rsidRPr="00471DE5">
        <w:t>’</w:t>
      </w:r>
      <w:r w:rsidRPr="00471DE5">
        <w:t>ammonium solide, il a été constaté que les explosions avaient lieu 20 à 30 minutes après le début des incendies, même s</w:t>
      </w:r>
      <w:r w:rsidR="005742FE" w:rsidRPr="00471DE5">
        <w:t>’</w:t>
      </w:r>
      <w:r w:rsidRPr="00471DE5">
        <w:t>il convient de noter que de tels incendies ne conduisent pas toujours à une explosion.</w:t>
      </w:r>
    </w:p>
    <w:p w14:paraId="64011727" w14:textId="584D2DFE" w:rsidR="00177AA7" w:rsidRPr="00471DE5" w:rsidRDefault="00177AA7" w:rsidP="00177AA7">
      <w:pPr>
        <w:pStyle w:val="SingleTxtG"/>
      </w:pPr>
      <w:r w:rsidRPr="00471DE5">
        <w:t>15.</w:t>
      </w:r>
      <w:r w:rsidRPr="00471DE5">
        <w:tab/>
        <w:t>La PMC, mesurée dans le cadre de l</w:t>
      </w:r>
      <w:r w:rsidR="005742FE" w:rsidRPr="00471DE5">
        <w:t>’</w:t>
      </w:r>
      <w:r w:rsidRPr="00471DE5">
        <w:t>épreuve 8 e), donne une idée du comportement d</w:t>
      </w:r>
      <w:r w:rsidR="005742FE" w:rsidRPr="00471DE5">
        <w:t>’</w:t>
      </w:r>
      <w:r w:rsidRPr="00471DE5">
        <w:t>une ENA en cas d</w:t>
      </w:r>
      <w:r w:rsidR="005742FE" w:rsidRPr="00471DE5">
        <w:t>’</w:t>
      </w:r>
      <w:r w:rsidRPr="00471DE5">
        <w:t>incendie. La valeur de la PMC dépend directement de la présence d</w:t>
      </w:r>
      <w:r w:rsidR="005742FE" w:rsidRPr="00471DE5">
        <w:t>’</w:t>
      </w:r>
      <w:r w:rsidRPr="00471DE5">
        <w:t>eau : plus la teneur en eau augmente, plus la PMC sera élevée. Dans une situation d</w:t>
      </w:r>
      <w:r w:rsidR="005742FE" w:rsidRPr="00471DE5">
        <w:t>’</w:t>
      </w:r>
      <w:r w:rsidRPr="00471DE5">
        <w:t>urgence, par exemple un incendie, plus la PMC d</w:t>
      </w:r>
      <w:r w:rsidR="005742FE" w:rsidRPr="00471DE5">
        <w:t>’</w:t>
      </w:r>
      <w:r w:rsidRPr="00471DE5">
        <w:t>une ENA est élevée, plus le délai d</w:t>
      </w:r>
      <w:r w:rsidR="005742FE" w:rsidRPr="00471DE5">
        <w:t>’</w:t>
      </w:r>
      <w:r w:rsidRPr="00471DE5">
        <w:t>évacuation peut être</w:t>
      </w:r>
      <w:r w:rsidR="008E36A4">
        <w:t> </w:t>
      </w:r>
      <w:r w:rsidRPr="00471DE5">
        <w:t>long.</w:t>
      </w:r>
    </w:p>
    <w:p w14:paraId="18E22669" w14:textId="77777777" w:rsidR="00177AA7" w:rsidRPr="00471DE5" w:rsidRDefault="00177AA7" w:rsidP="00177AA7">
      <w:pPr>
        <w:pStyle w:val="HChG"/>
      </w:pPr>
      <w:r w:rsidRPr="00471DE5">
        <w:tab/>
      </w:r>
      <w:r w:rsidRPr="00471DE5">
        <w:tab/>
        <w:t>Proposition</w:t>
      </w:r>
    </w:p>
    <w:p w14:paraId="36E84B8F" w14:textId="21039FA8" w:rsidR="00177AA7" w:rsidRPr="00471DE5" w:rsidRDefault="00177AA7" w:rsidP="00177AA7">
      <w:pPr>
        <w:pStyle w:val="SingleTxtG"/>
      </w:pPr>
      <w:r w:rsidRPr="00471DE5">
        <w:t>16.</w:t>
      </w:r>
      <w:r w:rsidRPr="00471DE5">
        <w:tab/>
        <w:t>Il n</w:t>
      </w:r>
      <w:r w:rsidR="005742FE" w:rsidRPr="00471DE5">
        <w:t>’</w:t>
      </w:r>
      <w:r w:rsidRPr="00471DE5">
        <w:t>est pas nécessaire de soumettre à l</w:t>
      </w:r>
      <w:r w:rsidR="005742FE" w:rsidRPr="00471DE5">
        <w:t>’</w:t>
      </w:r>
      <w:r w:rsidRPr="00471DE5">
        <w:t>épreuve 8 d) les ENA qui respectent les critères d</w:t>
      </w:r>
      <w:r w:rsidR="005742FE" w:rsidRPr="00471DE5">
        <w:t>’</w:t>
      </w:r>
      <w:r w:rsidRPr="00471DE5">
        <w:t>acceptation de l</w:t>
      </w:r>
      <w:r w:rsidR="005742FE" w:rsidRPr="00471DE5">
        <w:t>’</w:t>
      </w:r>
      <w:r w:rsidRPr="00471DE5">
        <w:t>épreuve 8 e), et il convient de considérer qu</w:t>
      </w:r>
      <w:r w:rsidR="005742FE" w:rsidRPr="00471DE5">
        <w:t>’</w:t>
      </w:r>
      <w:r w:rsidRPr="00471DE5">
        <w:t>elles peuvent être confinées dans des citernes mobiles en tant que matières comburantes étant donné que leur PMC dépasse de loin les pressions auxquelles les citernes mobiles se rompent.</w:t>
      </w:r>
    </w:p>
    <w:p w14:paraId="08A77662" w14:textId="50C21F5F" w:rsidR="00177AA7" w:rsidRPr="00471DE5" w:rsidRDefault="00177AA7" w:rsidP="00177AA7">
      <w:pPr>
        <w:pStyle w:val="SingleTxtG"/>
      </w:pPr>
      <w:r w:rsidRPr="00471DE5">
        <w:t>17.</w:t>
      </w:r>
      <w:r w:rsidRPr="00471DE5">
        <w:tab/>
        <w:t>Modifier la note de bas de page « </w:t>
      </w:r>
      <w:r w:rsidRPr="00471DE5">
        <w:rPr>
          <w:vertAlign w:val="superscript"/>
        </w:rPr>
        <w:t>b</w:t>
      </w:r>
      <w:r w:rsidRPr="00471DE5">
        <w:t> » du tableau 18.1 de la section 18.2 du Manuel d</w:t>
      </w:r>
      <w:r w:rsidR="005742FE" w:rsidRPr="00471DE5">
        <w:t>’</w:t>
      </w:r>
      <w:r w:rsidRPr="00471DE5">
        <w:t xml:space="preserve">épreuves et de critères comme suit (les ajouts sont </w:t>
      </w:r>
      <w:r w:rsidRPr="00471DE5">
        <w:rPr>
          <w:u w:val="single"/>
        </w:rPr>
        <w:t>soulignés</w:t>
      </w:r>
      <w:r w:rsidRPr="00471DE5">
        <w:t>) :</w:t>
      </w:r>
    </w:p>
    <w:p w14:paraId="1B754161" w14:textId="45482AA1" w:rsidR="00177AA7" w:rsidRPr="008E36A4" w:rsidRDefault="00741660" w:rsidP="00177AA7">
      <w:pPr>
        <w:pStyle w:val="SingleTxtG"/>
      </w:pPr>
      <w:r w:rsidRPr="00471DE5">
        <w:t>« </w:t>
      </w:r>
      <w:r w:rsidR="00177AA7" w:rsidRPr="00471DE5">
        <w:rPr>
          <w:vertAlign w:val="superscript"/>
        </w:rPr>
        <w:t>b</w:t>
      </w:r>
      <w:r w:rsidR="00177AA7" w:rsidRPr="00471DE5">
        <w:tab/>
      </w:r>
      <w:r w:rsidR="00177AA7" w:rsidRPr="00471DE5">
        <w:rPr>
          <w:i/>
          <w:iCs/>
        </w:rPr>
        <w:t>Ces épreuves visent à déterminer si les ENA peuvent être placées en tant que matières comburantes dans des citernes mobiles.</w:t>
      </w:r>
      <w:r w:rsidR="00177AA7" w:rsidRPr="00471DE5">
        <w:t xml:space="preserve"> </w:t>
      </w:r>
      <w:r w:rsidR="00177AA7" w:rsidRPr="00471DE5">
        <w:rPr>
          <w:i/>
          <w:iCs/>
          <w:u w:val="single"/>
        </w:rPr>
        <w:t>Il n</w:t>
      </w:r>
      <w:r w:rsidR="005742FE" w:rsidRPr="00471DE5">
        <w:rPr>
          <w:i/>
          <w:iCs/>
          <w:u w:val="single"/>
        </w:rPr>
        <w:t>’</w:t>
      </w:r>
      <w:r w:rsidR="00177AA7" w:rsidRPr="00471DE5">
        <w:rPr>
          <w:i/>
          <w:iCs/>
          <w:u w:val="single"/>
        </w:rPr>
        <w:t>est pas nécessaire de soumettre à l</w:t>
      </w:r>
      <w:r w:rsidR="005742FE" w:rsidRPr="00471DE5">
        <w:rPr>
          <w:i/>
          <w:iCs/>
          <w:u w:val="single"/>
        </w:rPr>
        <w:t>’</w:t>
      </w:r>
      <w:r w:rsidR="00177AA7" w:rsidRPr="00471DE5">
        <w:rPr>
          <w:i/>
          <w:iCs/>
          <w:u w:val="single"/>
        </w:rPr>
        <w:t>épreuve 8 d) les ENA qui respectent les critères d</w:t>
      </w:r>
      <w:r w:rsidR="005742FE" w:rsidRPr="00471DE5">
        <w:rPr>
          <w:i/>
          <w:iCs/>
          <w:u w:val="single"/>
        </w:rPr>
        <w:t>’</w:t>
      </w:r>
      <w:r w:rsidR="00177AA7" w:rsidRPr="00471DE5">
        <w:rPr>
          <w:i/>
          <w:iCs/>
          <w:u w:val="single"/>
        </w:rPr>
        <w:t>acceptation de l</w:t>
      </w:r>
      <w:r w:rsidR="005742FE" w:rsidRPr="00471DE5">
        <w:rPr>
          <w:i/>
          <w:iCs/>
          <w:u w:val="single"/>
        </w:rPr>
        <w:t>’</w:t>
      </w:r>
      <w:r w:rsidR="00177AA7" w:rsidRPr="00471DE5">
        <w:rPr>
          <w:i/>
          <w:iCs/>
          <w:u w:val="single"/>
        </w:rPr>
        <w:t>épreuve 8 e), étant donné qu</w:t>
      </w:r>
      <w:r w:rsidR="005742FE" w:rsidRPr="00471DE5">
        <w:rPr>
          <w:i/>
          <w:iCs/>
          <w:u w:val="single"/>
        </w:rPr>
        <w:t>’</w:t>
      </w:r>
      <w:r w:rsidR="00177AA7" w:rsidRPr="00471DE5">
        <w:rPr>
          <w:i/>
          <w:iCs/>
          <w:u w:val="single"/>
        </w:rPr>
        <w:t>elles sont déjà considérées comme aptes à être confinées dans des citernes mobiles en tant que matières comburantes</w:t>
      </w:r>
      <w:r w:rsidR="008E36A4" w:rsidRPr="008E36A4">
        <w:t> ».</w:t>
      </w:r>
    </w:p>
    <w:p w14:paraId="7C59ED6B" w14:textId="7DCC18DD" w:rsidR="00177AA7" w:rsidRPr="00471DE5" w:rsidRDefault="00177AA7" w:rsidP="00177AA7">
      <w:pPr>
        <w:pStyle w:val="SingleTxtG"/>
      </w:pPr>
      <w:r w:rsidRPr="00471DE5">
        <w:t>18.</w:t>
      </w:r>
      <w:r w:rsidRPr="00471DE5">
        <w:tab/>
        <w:t>Modifier le premier paragraphe de la section 18.7.1.1 du Manuel d</w:t>
      </w:r>
      <w:r w:rsidR="005742FE" w:rsidRPr="00471DE5">
        <w:t>’</w:t>
      </w:r>
      <w:r w:rsidRPr="00471DE5">
        <w:t xml:space="preserve">épreuves et de critères comme suit (les ajouts sont </w:t>
      </w:r>
      <w:r w:rsidRPr="00471DE5">
        <w:rPr>
          <w:u w:val="single"/>
        </w:rPr>
        <w:t>soulignés</w:t>
      </w:r>
      <w:r w:rsidRPr="00471DE5">
        <w:t>) :</w:t>
      </w:r>
    </w:p>
    <w:p w14:paraId="20F61124" w14:textId="4F92FF38" w:rsidR="00177AA7" w:rsidRPr="00471DE5" w:rsidRDefault="004F53D9" w:rsidP="00177AA7">
      <w:pPr>
        <w:pStyle w:val="SingleTxtG"/>
        <w:rPr>
          <w:u w:val="single"/>
        </w:rPr>
      </w:pPr>
      <w:r>
        <w:t>« </w:t>
      </w:r>
      <w:r w:rsidR="00177AA7" w:rsidRPr="00471DE5">
        <w:t>Cette épreuve n</w:t>
      </w:r>
      <w:r w:rsidR="005742FE" w:rsidRPr="00471DE5">
        <w:t>’</w:t>
      </w:r>
      <w:r w:rsidR="00177AA7" w:rsidRPr="00471DE5">
        <w:t xml:space="preserve">est pas destinée au classement mais elle figure dans le présent Manuel en tant que méthode visant à déterminer si une matière peut être transportée en citernes. </w:t>
      </w:r>
      <w:r w:rsidR="00177AA7" w:rsidRPr="00471DE5">
        <w:rPr>
          <w:u w:val="single"/>
        </w:rPr>
        <w:t>Il n</w:t>
      </w:r>
      <w:r w:rsidR="005742FE" w:rsidRPr="00471DE5">
        <w:rPr>
          <w:u w:val="single"/>
        </w:rPr>
        <w:t>’</w:t>
      </w:r>
      <w:r w:rsidR="00177AA7" w:rsidRPr="00471DE5">
        <w:rPr>
          <w:u w:val="single"/>
        </w:rPr>
        <w:t>est pas nécessaire de soumettre à l</w:t>
      </w:r>
      <w:r w:rsidR="005742FE" w:rsidRPr="00471DE5">
        <w:rPr>
          <w:u w:val="single"/>
        </w:rPr>
        <w:t>’</w:t>
      </w:r>
      <w:r w:rsidR="00177AA7" w:rsidRPr="00471DE5">
        <w:rPr>
          <w:u w:val="single"/>
        </w:rPr>
        <w:t>épreuve 8 d) les ENA qui respectent les critères d</w:t>
      </w:r>
      <w:r w:rsidR="005742FE" w:rsidRPr="00471DE5">
        <w:rPr>
          <w:u w:val="single"/>
        </w:rPr>
        <w:t>’</w:t>
      </w:r>
      <w:r w:rsidR="00177AA7" w:rsidRPr="00471DE5">
        <w:rPr>
          <w:u w:val="single"/>
        </w:rPr>
        <w:t>acceptation de l</w:t>
      </w:r>
      <w:r w:rsidR="005742FE" w:rsidRPr="00471DE5">
        <w:rPr>
          <w:u w:val="single"/>
        </w:rPr>
        <w:t>’</w:t>
      </w:r>
      <w:r w:rsidR="00177AA7" w:rsidRPr="00471DE5">
        <w:rPr>
          <w:u w:val="single"/>
        </w:rPr>
        <w:t>épreuve 8 e), étant donné qu</w:t>
      </w:r>
      <w:r w:rsidR="005742FE" w:rsidRPr="00471DE5">
        <w:rPr>
          <w:u w:val="single"/>
        </w:rPr>
        <w:t>’</w:t>
      </w:r>
      <w:r w:rsidR="00177AA7" w:rsidRPr="00471DE5">
        <w:rPr>
          <w:u w:val="single"/>
        </w:rPr>
        <w:t>elles sont déjà considérées comme aptes à être confinées dans des citernes mobiles en tant que matières comburantes</w:t>
      </w:r>
      <w:r w:rsidRPr="0082663B">
        <w:t> »</w:t>
      </w:r>
      <w:r w:rsidR="00177AA7" w:rsidRPr="0082663B">
        <w:t>.</w:t>
      </w:r>
    </w:p>
    <w:p w14:paraId="1AFC61E1" w14:textId="7084ECB1" w:rsidR="00177AA7" w:rsidRPr="00471DE5" w:rsidRDefault="00177AA7" w:rsidP="00177AA7">
      <w:pPr>
        <w:pStyle w:val="SingleTxtG"/>
      </w:pPr>
      <w:r w:rsidRPr="00471DE5">
        <w:t>19.</w:t>
      </w:r>
      <w:r w:rsidRPr="00471DE5">
        <w:tab/>
        <w:t>Modifier le premier paragraphe de la section 18.7.2.1 du Manuel d</w:t>
      </w:r>
      <w:r w:rsidR="005742FE" w:rsidRPr="00471DE5">
        <w:t>’</w:t>
      </w:r>
      <w:r w:rsidRPr="00471DE5">
        <w:t xml:space="preserve">épreuves et de critères comme suit (les ajouts sont </w:t>
      </w:r>
      <w:r w:rsidRPr="00471DE5">
        <w:rPr>
          <w:u w:val="single"/>
        </w:rPr>
        <w:t>soulignés</w:t>
      </w:r>
      <w:r w:rsidRPr="00471DE5">
        <w:t>)</w:t>
      </w:r>
      <w:r w:rsidR="00741660" w:rsidRPr="00471DE5">
        <w:t> </w:t>
      </w:r>
      <w:r w:rsidRPr="00471DE5">
        <w:t>:</w:t>
      </w:r>
    </w:p>
    <w:p w14:paraId="5F43B95F" w14:textId="57F8650F" w:rsidR="00177AA7" w:rsidRPr="00471DE5" w:rsidRDefault="00177AA7" w:rsidP="00177AA7">
      <w:pPr>
        <w:pStyle w:val="SingleTxtG"/>
        <w:rPr>
          <w:u w:val="single"/>
        </w:rPr>
      </w:pPr>
      <w:r w:rsidRPr="00471DE5">
        <w:t>«</w:t>
      </w:r>
      <w:r w:rsidR="004F53D9">
        <w:t> </w:t>
      </w:r>
      <w:r w:rsidRPr="00471DE5">
        <w:t>Cette épreuve n</w:t>
      </w:r>
      <w:r w:rsidR="005742FE" w:rsidRPr="00471DE5">
        <w:t>’</w:t>
      </w:r>
      <w:r w:rsidRPr="00471DE5">
        <w:t>est pas destinée au classement mais elle figure dans le présent Manuel en tant que méthode visant à déterminer si une matière susceptible d</w:t>
      </w:r>
      <w:r w:rsidR="005742FE" w:rsidRPr="00471DE5">
        <w:t>’</w:t>
      </w:r>
      <w:r w:rsidRPr="00471DE5">
        <w:t>être classée comme nitrate d</w:t>
      </w:r>
      <w:r w:rsidR="005742FE" w:rsidRPr="00471DE5">
        <w:t>’</w:t>
      </w:r>
      <w:r w:rsidRPr="00471DE5">
        <w:t>ammonium en émulsion, suspension ou gel servant à la fabrication d</w:t>
      </w:r>
      <w:r w:rsidR="005742FE" w:rsidRPr="00471DE5">
        <w:t>’</w:t>
      </w:r>
      <w:r w:rsidRPr="00471DE5">
        <w:t xml:space="preserve">explosif de mine peut être placée en citerne mobile en tant que matière comburante. </w:t>
      </w:r>
      <w:r w:rsidRPr="00471DE5">
        <w:rPr>
          <w:u w:val="single"/>
        </w:rPr>
        <w:t>Il n</w:t>
      </w:r>
      <w:r w:rsidR="005742FE" w:rsidRPr="00471DE5">
        <w:rPr>
          <w:u w:val="single"/>
        </w:rPr>
        <w:t>’</w:t>
      </w:r>
      <w:r w:rsidRPr="00471DE5">
        <w:rPr>
          <w:u w:val="single"/>
        </w:rPr>
        <w:t>est pas nécessaire de soumettre à l</w:t>
      </w:r>
      <w:r w:rsidR="005742FE" w:rsidRPr="00471DE5">
        <w:rPr>
          <w:u w:val="single"/>
        </w:rPr>
        <w:t>’</w:t>
      </w:r>
      <w:r w:rsidRPr="00471DE5">
        <w:rPr>
          <w:u w:val="single"/>
        </w:rPr>
        <w:t>épreuve 8 d) les ENA qui respectent les critères d</w:t>
      </w:r>
      <w:r w:rsidR="005742FE" w:rsidRPr="00471DE5">
        <w:rPr>
          <w:u w:val="single"/>
        </w:rPr>
        <w:t>’</w:t>
      </w:r>
      <w:r w:rsidRPr="00471DE5">
        <w:rPr>
          <w:u w:val="single"/>
        </w:rPr>
        <w:t>acceptation de l</w:t>
      </w:r>
      <w:r w:rsidR="005742FE" w:rsidRPr="00471DE5">
        <w:rPr>
          <w:u w:val="single"/>
        </w:rPr>
        <w:t>’</w:t>
      </w:r>
      <w:r w:rsidRPr="00471DE5">
        <w:rPr>
          <w:u w:val="single"/>
        </w:rPr>
        <w:t>épreuve 8</w:t>
      </w:r>
      <w:r w:rsidR="00741660" w:rsidRPr="00471DE5">
        <w:rPr>
          <w:u w:val="single"/>
        </w:rPr>
        <w:t> </w:t>
      </w:r>
      <w:r w:rsidRPr="00471DE5">
        <w:rPr>
          <w:u w:val="single"/>
        </w:rPr>
        <w:t>e), étant donné qu</w:t>
      </w:r>
      <w:r w:rsidR="005742FE" w:rsidRPr="00471DE5">
        <w:rPr>
          <w:u w:val="single"/>
        </w:rPr>
        <w:t>’</w:t>
      </w:r>
      <w:r w:rsidRPr="00471DE5">
        <w:rPr>
          <w:u w:val="single"/>
        </w:rPr>
        <w:t>elles sont déjà considérées comme aptes à être confinées dans des citernes mobiles en tant que matières comburantes</w:t>
      </w:r>
      <w:r w:rsidR="004F53D9" w:rsidRPr="004F53D9">
        <w:t> »</w:t>
      </w:r>
      <w:r w:rsidRPr="004F53D9">
        <w:t>.</w:t>
      </w:r>
    </w:p>
    <w:p w14:paraId="442B5A09" w14:textId="7F354FC8" w:rsidR="00177AA7" w:rsidRPr="00471DE5" w:rsidRDefault="00177AA7" w:rsidP="00177AA7">
      <w:pPr>
        <w:pStyle w:val="SingleTxtG"/>
      </w:pPr>
      <w:r w:rsidRPr="00471DE5">
        <w:t>20.</w:t>
      </w:r>
      <w:r w:rsidRPr="00471DE5">
        <w:tab/>
        <w:t>Modifier le premier paragraphe de la section 18.8.1.1 du Manuel d</w:t>
      </w:r>
      <w:r w:rsidR="005742FE" w:rsidRPr="00471DE5">
        <w:t>’</w:t>
      </w:r>
      <w:r w:rsidRPr="00471DE5">
        <w:t xml:space="preserve">épreuves et de critères comme suit (les ajouts sont </w:t>
      </w:r>
      <w:r w:rsidRPr="00471DE5">
        <w:rPr>
          <w:u w:val="single"/>
        </w:rPr>
        <w:t>soulignés</w:t>
      </w:r>
      <w:r w:rsidRPr="00471DE5">
        <w:t>)</w:t>
      </w:r>
      <w:r w:rsidR="004F53D9">
        <w:t> </w:t>
      </w:r>
      <w:r w:rsidRPr="00471DE5">
        <w:t>:</w:t>
      </w:r>
    </w:p>
    <w:p w14:paraId="4E29F405" w14:textId="0A899405" w:rsidR="00177AA7" w:rsidRPr="00471DE5" w:rsidRDefault="00741660" w:rsidP="00177AA7">
      <w:pPr>
        <w:pStyle w:val="SingleTxtG"/>
      </w:pPr>
      <w:r w:rsidRPr="00471DE5">
        <w:t>« </w:t>
      </w:r>
      <w:r w:rsidR="00177AA7" w:rsidRPr="00471DE5">
        <w:t>18.8.1.1</w:t>
      </w:r>
      <w:r w:rsidR="00177AA7" w:rsidRPr="00471DE5">
        <w:tab/>
        <w:t>Introduction</w:t>
      </w:r>
    </w:p>
    <w:p w14:paraId="3A833B1C" w14:textId="43A6121F" w:rsidR="00177AA7" w:rsidRPr="00471DE5" w:rsidRDefault="00177AA7" w:rsidP="00177AA7">
      <w:pPr>
        <w:pStyle w:val="SingleTxtG"/>
      </w:pPr>
      <w:r w:rsidRPr="00471DE5">
        <w:t>Cette épreuve sert à déterminer la sensibilité d</w:t>
      </w:r>
      <w:r w:rsidR="005742FE" w:rsidRPr="00471DE5">
        <w:t>’</w:t>
      </w:r>
      <w:r w:rsidRPr="00471DE5">
        <w:t>une matière susceptible d</w:t>
      </w:r>
      <w:r w:rsidR="005742FE" w:rsidRPr="00471DE5">
        <w:t>’</w:t>
      </w:r>
      <w:r w:rsidRPr="00471DE5">
        <w:t>être classée comme nitrate d</w:t>
      </w:r>
      <w:r w:rsidR="005742FE" w:rsidRPr="00471DE5">
        <w:t>’</w:t>
      </w:r>
      <w:r w:rsidRPr="00471DE5">
        <w:t>ammonium en émulsion, suspension ou gel servant à la fabrication d</w:t>
      </w:r>
      <w:r w:rsidR="005742FE" w:rsidRPr="00471DE5">
        <w:t>’</w:t>
      </w:r>
      <w:r w:rsidRPr="00471DE5">
        <w:t>explosifs de mine à l</w:t>
      </w:r>
      <w:r w:rsidR="005742FE" w:rsidRPr="00471DE5">
        <w:t>’</w:t>
      </w:r>
      <w:r w:rsidRPr="00471DE5">
        <w:t>effet d</w:t>
      </w:r>
      <w:r w:rsidR="005742FE" w:rsidRPr="00471DE5">
        <w:t>’</w:t>
      </w:r>
      <w:r w:rsidRPr="00471DE5">
        <w:t xml:space="preserve">une combustion thermique intense et localisée sous fort confinement. Elle </w:t>
      </w:r>
      <w:r w:rsidRPr="00471DE5">
        <w:lastRenderedPageBreak/>
        <w:t>peut être exécutée en cas de résultat positif (+) à l</w:t>
      </w:r>
      <w:r w:rsidR="005742FE" w:rsidRPr="00471DE5">
        <w:t>’</w:t>
      </w:r>
      <w:r w:rsidRPr="00471DE5">
        <w:t>épreuve 8 c) lorsque le temps de réaction de cette épreuve dépasse 60 secondes et que la matière a une teneur en eau supérieure à 14</w:t>
      </w:r>
      <w:r w:rsidR="00741660" w:rsidRPr="00471DE5">
        <w:t> </w:t>
      </w:r>
      <w:r w:rsidRPr="00471DE5">
        <w:t>%.</w:t>
      </w:r>
    </w:p>
    <w:p w14:paraId="577F6C19" w14:textId="548DAA41" w:rsidR="00177AA7" w:rsidRPr="00471DE5" w:rsidRDefault="00177AA7" w:rsidP="00177AA7">
      <w:pPr>
        <w:pStyle w:val="SingleTxtG"/>
        <w:rPr>
          <w:u w:val="single"/>
        </w:rPr>
      </w:pPr>
      <w:r w:rsidRPr="00471DE5">
        <w:rPr>
          <w:u w:val="single"/>
        </w:rPr>
        <w:t>Elle est également applicable pour déterminer si les ENA peuvent être confinées dans des citernes mobiles en tant que matières comburantes</w:t>
      </w:r>
      <w:r w:rsidR="004F53D9" w:rsidRPr="004F53D9">
        <w:t> »</w:t>
      </w:r>
      <w:r w:rsidRPr="004F53D9">
        <w:t>.</w:t>
      </w:r>
    </w:p>
    <w:p w14:paraId="4E62ED7F" w14:textId="1E8A7105" w:rsidR="00177AA7" w:rsidRPr="00471DE5" w:rsidRDefault="00177AA7" w:rsidP="00177AA7">
      <w:pPr>
        <w:pStyle w:val="SingleTxtG"/>
      </w:pPr>
      <w:r w:rsidRPr="00471DE5">
        <w:t>21.</w:t>
      </w:r>
      <w:r w:rsidRPr="00471DE5">
        <w:tab/>
        <w:t>Modifier le premier paragraphe de la section 18.8.1.4.1 du Manuel d</w:t>
      </w:r>
      <w:r w:rsidR="005742FE" w:rsidRPr="00471DE5">
        <w:t>’</w:t>
      </w:r>
      <w:r w:rsidRPr="00471DE5">
        <w:t xml:space="preserve">épreuves et de critères comme suit (les ajouts sont </w:t>
      </w:r>
      <w:r w:rsidRPr="00471DE5">
        <w:rPr>
          <w:u w:val="single"/>
        </w:rPr>
        <w:t>soulignés</w:t>
      </w:r>
      <w:r w:rsidRPr="00471DE5">
        <w:t>)</w:t>
      </w:r>
      <w:r w:rsidR="004F53D9">
        <w:t> </w:t>
      </w:r>
      <w:r w:rsidRPr="00471DE5">
        <w:t>:</w:t>
      </w:r>
    </w:p>
    <w:p w14:paraId="1B507A30" w14:textId="131003EC" w:rsidR="009006C3" w:rsidRPr="00471DE5" w:rsidRDefault="00177AA7" w:rsidP="00177AA7">
      <w:pPr>
        <w:pStyle w:val="SingleTxtG"/>
      </w:pPr>
      <w:bookmarkStart w:id="0" w:name="_Hlk134771683"/>
      <w:r w:rsidRPr="00471DE5">
        <w:t>« 18.8.1.4.1</w:t>
      </w:r>
      <w:r w:rsidRPr="00471DE5">
        <w:tab/>
        <w:t xml:space="preserve">Le résultat est considéré positif (+) et la matière ne doit pas être classée dans la division 5.1 si la pression minimale de combustion est </w:t>
      </w:r>
      <w:r w:rsidRPr="0095633C">
        <w:t>inférieure à 5</w:t>
      </w:r>
      <w:r w:rsidR="0095633C" w:rsidRPr="0095633C">
        <w:t>,</w:t>
      </w:r>
      <w:r w:rsidRPr="0095633C">
        <w:t>6 MPa (800 </w:t>
      </w:r>
      <w:proofErr w:type="spellStart"/>
      <w:r w:rsidRPr="0095633C">
        <w:t>psig</w:t>
      </w:r>
      <w:proofErr w:type="spellEnd"/>
      <w:r w:rsidRPr="0095633C">
        <w:t xml:space="preserve">). </w:t>
      </w:r>
      <w:r w:rsidRPr="0095633C">
        <w:rPr>
          <w:u w:val="single"/>
        </w:rPr>
        <w:t>Les matières dont la pression minimale de combustion est égale ou supérieure à 5,6 MPa (800</w:t>
      </w:r>
      <w:r w:rsidR="00741660" w:rsidRPr="0095633C">
        <w:rPr>
          <w:u w:val="single"/>
        </w:rPr>
        <w:t> </w:t>
      </w:r>
      <w:proofErr w:type="spellStart"/>
      <w:r w:rsidRPr="0095633C">
        <w:rPr>
          <w:u w:val="single"/>
        </w:rPr>
        <w:t>psig</w:t>
      </w:r>
      <w:proofErr w:type="spellEnd"/>
      <w:r w:rsidRPr="0095633C">
        <w:rPr>
          <w:u w:val="single"/>
        </w:rPr>
        <w:t>) sont considérées comme aptes à être confinées dans des citernes mobiles en tant que matières comburantes (voir 18.8.1.1)</w:t>
      </w:r>
      <w:r w:rsidR="00741660" w:rsidRPr="0095633C">
        <w:t> »</w:t>
      </w:r>
      <w:r w:rsidRPr="0095633C">
        <w:t>.</w:t>
      </w:r>
      <w:bookmarkEnd w:id="0"/>
    </w:p>
    <w:p w14:paraId="12B95AF7" w14:textId="77777777" w:rsidR="009006C3" w:rsidRPr="00471DE5" w:rsidRDefault="009006C3">
      <w:pPr>
        <w:suppressAutoHyphens w:val="0"/>
        <w:kinsoku/>
        <w:overflowPunct/>
        <w:autoSpaceDE/>
        <w:autoSpaceDN/>
        <w:adjustRightInd/>
        <w:snapToGrid/>
        <w:spacing w:after="200" w:line="276" w:lineRule="auto"/>
      </w:pPr>
      <w:r w:rsidRPr="00471DE5">
        <w:br w:type="page"/>
      </w:r>
    </w:p>
    <w:p w14:paraId="37A573F6" w14:textId="77777777" w:rsidR="009006C3" w:rsidRPr="00471DE5" w:rsidRDefault="009006C3" w:rsidP="009006C3">
      <w:pPr>
        <w:pStyle w:val="HChG"/>
      </w:pPr>
      <w:r w:rsidRPr="00471DE5">
        <w:lastRenderedPageBreak/>
        <w:t>Annexe</w:t>
      </w:r>
    </w:p>
    <w:p w14:paraId="615E7D28" w14:textId="0671134E" w:rsidR="009006C3" w:rsidRPr="00471DE5" w:rsidRDefault="009006C3" w:rsidP="005742FE">
      <w:pPr>
        <w:pStyle w:val="HChG"/>
        <w:kinsoku/>
        <w:overflowPunct/>
        <w:autoSpaceDE/>
        <w:autoSpaceDN/>
        <w:adjustRightInd/>
        <w:snapToGrid/>
        <w:spacing w:before="320" w:after="200"/>
      </w:pPr>
      <w:r w:rsidRPr="00471DE5">
        <w:tab/>
      </w:r>
      <w:r w:rsidRPr="00471DE5">
        <w:tab/>
      </w:r>
      <w:r w:rsidRPr="00471DE5">
        <w:rPr>
          <w:bCs/>
        </w:rPr>
        <w:t xml:space="preserve">Incendie durant un transport, Australie occidentale, </w:t>
      </w:r>
      <w:r w:rsidRPr="00471DE5">
        <w:rPr>
          <w:bCs/>
        </w:rPr>
        <w:br/>
        <w:t>octobre 2022</w:t>
      </w:r>
    </w:p>
    <w:p w14:paraId="3BE102EA" w14:textId="4DB4E9F8" w:rsidR="005742FE" w:rsidRPr="00471DE5" w:rsidRDefault="009006C3" w:rsidP="005742FE">
      <w:pPr>
        <w:pStyle w:val="SingleTxtG"/>
      </w:pPr>
      <w:r w:rsidRPr="00471DE5">
        <w:t>1.</w:t>
      </w:r>
      <w:r w:rsidRPr="00471DE5">
        <w:tab/>
        <w:t>Le 24 octobre 2022, la remorque arrière d</w:t>
      </w:r>
      <w:r w:rsidR="005742FE" w:rsidRPr="00471DE5">
        <w:t>’</w:t>
      </w:r>
      <w:r w:rsidRPr="00471DE5">
        <w:t>un train routier circulant sur la Great Central Highway à environ 150 km à l</w:t>
      </w:r>
      <w:r w:rsidR="005742FE" w:rsidRPr="00471DE5">
        <w:t>’</w:t>
      </w:r>
      <w:r w:rsidRPr="00471DE5">
        <w:t xml:space="preserve">est de </w:t>
      </w:r>
      <w:proofErr w:type="spellStart"/>
      <w:r w:rsidRPr="00471DE5">
        <w:t>Laverton</w:t>
      </w:r>
      <w:proofErr w:type="spellEnd"/>
      <w:r w:rsidRPr="00471DE5">
        <w:t xml:space="preserve"> (Australie occidentale) et contenant environ 34 tonnes d</w:t>
      </w:r>
      <w:r w:rsidR="005742FE" w:rsidRPr="00471DE5">
        <w:t>’</w:t>
      </w:r>
      <w:r w:rsidRPr="00471DE5">
        <w:t>ENA [conforme aux épreuves 8 a) à d)], a pris feu au niveau des roues arrière du côté passager. Après avoir tenté en vain d</w:t>
      </w:r>
      <w:r w:rsidR="005742FE" w:rsidRPr="00471DE5">
        <w:t>’</w:t>
      </w:r>
      <w:r w:rsidRPr="00471DE5">
        <w:t>éteindre l</w:t>
      </w:r>
      <w:r w:rsidR="005742FE" w:rsidRPr="00471DE5">
        <w:t>’</w:t>
      </w:r>
      <w:r w:rsidRPr="00471DE5">
        <w:t>incendie des pneus, le conducteur a détaché la remorque arrière et s</w:t>
      </w:r>
      <w:r w:rsidR="005742FE" w:rsidRPr="00471DE5">
        <w:t>’</w:t>
      </w:r>
      <w:r w:rsidRPr="00471DE5">
        <w:t>est mis à bonne distance. Environ deux heures après le début de l</w:t>
      </w:r>
      <w:r w:rsidR="005742FE" w:rsidRPr="00471DE5">
        <w:t>’</w:t>
      </w:r>
      <w:r w:rsidRPr="00471DE5">
        <w:t>incendie, une explosion s</w:t>
      </w:r>
      <w:r w:rsidR="005742FE" w:rsidRPr="00471DE5">
        <w:t>’</w:t>
      </w:r>
      <w:r w:rsidRPr="00471DE5">
        <w:t>est produite, détruisant la remorque (fig. 1 et 2)</w:t>
      </w:r>
      <w:r w:rsidRPr="00471DE5">
        <w:rPr>
          <w:rFonts w:eastAsia="Times New Roman"/>
          <w:sz w:val="18"/>
          <w:vertAlign w:val="superscript"/>
          <w:lang w:eastAsia="x-none"/>
        </w:rPr>
        <w:footnoteReference w:id="4"/>
      </w:r>
      <w:r w:rsidRPr="00471DE5">
        <w:t>. Un cratère (d</w:t>
      </w:r>
      <w:r w:rsidR="005742FE" w:rsidRPr="00471DE5">
        <w:t>’</w:t>
      </w:r>
      <w:r w:rsidRPr="00471DE5">
        <w:t>environ 15 m x 17 m de large et 1 m de profondeur) s</w:t>
      </w:r>
      <w:r w:rsidR="005742FE" w:rsidRPr="00471DE5">
        <w:t>’</w:t>
      </w:r>
      <w:r w:rsidRPr="00471DE5">
        <w:t>est formé et des éclats de métal ont été retrouvés jusqu</w:t>
      </w:r>
      <w:r w:rsidR="005742FE" w:rsidRPr="00471DE5">
        <w:t>’</w:t>
      </w:r>
      <w:r w:rsidRPr="00471DE5">
        <w:t>à 800 m du centre de l</w:t>
      </w:r>
      <w:r w:rsidR="005742FE" w:rsidRPr="00471DE5">
        <w:t>’</w:t>
      </w:r>
      <w:r w:rsidRPr="00471DE5">
        <w:t>explosion. L</w:t>
      </w:r>
      <w:r w:rsidR="005742FE" w:rsidRPr="00471DE5">
        <w:t>’</w:t>
      </w:r>
      <w:r w:rsidRPr="00471DE5">
        <w:t>explosion n</w:t>
      </w:r>
      <w:r w:rsidR="005742FE" w:rsidRPr="00471DE5">
        <w:t>’</w:t>
      </w:r>
      <w:r w:rsidRPr="00471DE5">
        <w:t>a fait ni blessé ni mort. Ce cas est le seul incendie observé durant un transport d</w:t>
      </w:r>
      <w:r w:rsidR="005742FE" w:rsidRPr="00471DE5">
        <w:t>’</w:t>
      </w:r>
      <w:r w:rsidRPr="00471DE5">
        <w:t>ENA par camion qui ait donné lieu à une explosion. L</w:t>
      </w:r>
      <w:r w:rsidR="005742FE" w:rsidRPr="00471DE5">
        <w:t>’</w:t>
      </w:r>
      <w:r w:rsidRPr="00471DE5">
        <w:t>enquête ouverte par le Département des mines de l</w:t>
      </w:r>
      <w:r w:rsidR="005742FE" w:rsidRPr="00471DE5">
        <w:t>’</w:t>
      </w:r>
      <w:r w:rsidRPr="00471DE5">
        <w:t>Australie occidentale est toujours en cours.</w:t>
      </w:r>
    </w:p>
    <w:p w14:paraId="633537D9" w14:textId="77777777" w:rsidR="005742FE" w:rsidRPr="00471DE5" w:rsidRDefault="005742FE">
      <w:pPr>
        <w:suppressAutoHyphens w:val="0"/>
        <w:kinsoku/>
        <w:overflowPunct/>
        <w:autoSpaceDE/>
        <w:autoSpaceDN/>
        <w:adjustRightInd/>
        <w:snapToGrid/>
        <w:spacing w:after="200" w:line="276" w:lineRule="auto"/>
      </w:pPr>
      <w:r w:rsidRPr="00471DE5">
        <w:br w:type="page"/>
      </w:r>
    </w:p>
    <w:p w14:paraId="78074DE5" w14:textId="060AB101" w:rsidR="00177AA7" w:rsidRPr="00471DE5" w:rsidRDefault="009006C3" w:rsidP="005742FE">
      <w:pPr>
        <w:pStyle w:val="SingleTxtG"/>
        <w:jc w:val="left"/>
        <w:rPr>
          <w:b/>
          <w:bCs/>
        </w:rPr>
      </w:pPr>
      <w:r w:rsidRPr="00471DE5">
        <w:lastRenderedPageBreak/>
        <w:t xml:space="preserve">Figure 1 </w:t>
      </w:r>
      <w:r w:rsidRPr="00471DE5">
        <w:br/>
      </w:r>
      <w:r w:rsidRPr="00471DE5">
        <w:rPr>
          <w:b/>
          <w:bCs/>
        </w:rPr>
        <w:t>Nuage résultant de l</w:t>
      </w:r>
      <w:r w:rsidR="005742FE" w:rsidRPr="00471DE5">
        <w:rPr>
          <w:b/>
          <w:bCs/>
        </w:rPr>
        <w:t>’</w:t>
      </w:r>
      <w:r w:rsidRPr="00471DE5">
        <w:rPr>
          <w:b/>
          <w:bCs/>
        </w:rPr>
        <w:t>explosion de la remorque d</w:t>
      </w:r>
      <w:r w:rsidR="005742FE" w:rsidRPr="00471DE5">
        <w:rPr>
          <w:b/>
          <w:bCs/>
        </w:rPr>
        <w:t>’</w:t>
      </w:r>
      <w:r w:rsidRPr="00471DE5">
        <w:rPr>
          <w:b/>
          <w:bCs/>
        </w:rPr>
        <w:t>ENA (Australie occidentale)</w:t>
      </w:r>
      <w:r w:rsidRPr="00471DE5">
        <w:rPr>
          <w:rStyle w:val="Appelnotedebasdep"/>
        </w:rPr>
        <w:footnoteReference w:id="5"/>
      </w:r>
    </w:p>
    <w:p w14:paraId="268B88AA" w14:textId="4B2AA548" w:rsidR="009006C3" w:rsidRPr="00471DE5" w:rsidRDefault="00E81AD4" w:rsidP="007A3EA5">
      <w:pPr>
        <w:pStyle w:val="SingleTxtG"/>
        <w:spacing w:after="240" w:line="240" w:lineRule="auto"/>
      </w:pPr>
      <w:r w:rsidRPr="00471DE5">
        <w:rPr>
          <w:noProof/>
        </w:rPr>
        <w:drawing>
          <wp:inline distT="0" distB="0" distL="0" distR="0" wp14:anchorId="17D48E28" wp14:editId="09E6DCFD">
            <wp:extent cx="4057650" cy="5410200"/>
            <wp:effectExtent l="0" t="0" r="0" b="0"/>
            <wp:docPr id="6" name="Picture 6" descr="Une image contenant plein air, ciel, route, fumé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Une image contenant plein air, ciel, route, fumé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541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B23A58" w14:textId="77777777" w:rsidR="005742FE" w:rsidRPr="00471DE5" w:rsidRDefault="005742FE">
      <w:pPr>
        <w:suppressAutoHyphens w:val="0"/>
        <w:kinsoku/>
        <w:overflowPunct/>
        <w:autoSpaceDE/>
        <w:autoSpaceDN/>
        <w:adjustRightInd/>
        <w:snapToGrid/>
        <w:spacing w:after="200" w:line="276" w:lineRule="auto"/>
      </w:pPr>
      <w:r w:rsidRPr="00471DE5">
        <w:br w:type="page"/>
      </w:r>
    </w:p>
    <w:p w14:paraId="3E13A8C7" w14:textId="1AA23162" w:rsidR="00E81AD4" w:rsidRPr="00471DE5" w:rsidRDefault="007A3EA5" w:rsidP="007A3EA5">
      <w:pPr>
        <w:pStyle w:val="Titre1"/>
        <w:spacing w:after="120"/>
      </w:pPr>
      <w:r w:rsidRPr="00471DE5">
        <w:lastRenderedPageBreak/>
        <w:t xml:space="preserve">Figure 2 </w:t>
      </w:r>
      <w:r w:rsidRPr="00471DE5">
        <w:br/>
      </w:r>
      <w:r w:rsidRPr="00471DE5">
        <w:rPr>
          <w:b/>
          <w:bCs/>
        </w:rPr>
        <w:t>Cratère résultant de l</w:t>
      </w:r>
      <w:r w:rsidR="005742FE" w:rsidRPr="00471DE5">
        <w:rPr>
          <w:b/>
          <w:bCs/>
        </w:rPr>
        <w:t>’</w:t>
      </w:r>
      <w:r w:rsidRPr="00471DE5">
        <w:rPr>
          <w:b/>
          <w:bCs/>
        </w:rPr>
        <w:t>explosion de la remorque d</w:t>
      </w:r>
      <w:r w:rsidR="005742FE" w:rsidRPr="00471DE5">
        <w:rPr>
          <w:b/>
          <w:bCs/>
        </w:rPr>
        <w:t>’</w:t>
      </w:r>
      <w:r w:rsidRPr="00471DE5">
        <w:rPr>
          <w:b/>
          <w:bCs/>
        </w:rPr>
        <w:t>ENA (Australie occidentale)</w:t>
      </w:r>
    </w:p>
    <w:p w14:paraId="6612FF39" w14:textId="59130D1B" w:rsidR="00E81AD4" w:rsidRPr="00471DE5" w:rsidRDefault="00E81AD4" w:rsidP="007A3EA5">
      <w:pPr>
        <w:pStyle w:val="SingleTxtG"/>
        <w:spacing w:after="240" w:line="240" w:lineRule="auto"/>
      </w:pPr>
      <w:r w:rsidRPr="00471DE5">
        <w:rPr>
          <w:noProof/>
        </w:rPr>
        <w:drawing>
          <wp:inline distT="0" distB="0" distL="0" distR="0" wp14:anchorId="32B2D5F4" wp14:editId="1BE29037">
            <wp:extent cx="4644000" cy="2080800"/>
            <wp:effectExtent l="0" t="0" r="4445" b="0"/>
            <wp:docPr id="9" name="Picture 9" descr="Une image contenant plein air, sol, ciel, fusé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Une image contenant plein air, sol, ciel, fusé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4000" cy="208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D3858C" w14:textId="4756F2E0" w:rsidR="00E81AD4" w:rsidRPr="00471DE5" w:rsidRDefault="00E81AD4" w:rsidP="005742FE">
      <w:pPr>
        <w:pStyle w:val="SingleTxtG"/>
        <w:spacing w:after="240" w:line="240" w:lineRule="auto"/>
      </w:pPr>
      <w:r w:rsidRPr="00471DE5">
        <w:rPr>
          <w:noProof/>
        </w:rPr>
        <w:drawing>
          <wp:inline distT="0" distB="0" distL="0" distR="0" wp14:anchorId="4AAA89B1" wp14:editId="2603FD7C">
            <wp:extent cx="4644000" cy="3495600"/>
            <wp:effectExtent l="0" t="0" r="4445" b="0"/>
            <wp:docPr id="10" name="Picture 10" descr="A group of people standing in a fiel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group of people standing in a field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4000" cy="34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3F07AF" w14:textId="7D774FAC" w:rsidR="005742FE" w:rsidRPr="00471DE5" w:rsidRDefault="005742FE" w:rsidP="005742FE">
      <w:pPr>
        <w:pStyle w:val="Titre1"/>
        <w:spacing w:after="120"/>
        <w:ind w:left="0"/>
        <w:rPr>
          <w:b/>
          <w:bCs/>
        </w:rPr>
      </w:pPr>
      <w:r w:rsidRPr="00471DE5">
        <w:lastRenderedPageBreak/>
        <w:t xml:space="preserve">Figure 3 </w:t>
      </w:r>
      <w:r w:rsidRPr="00471DE5">
        <w:br/>
      </w:r>
      <w:r w:rsidRPr="00471DE5">
        <w:rPr>
          <w:b/>
          <w:bCs/>
        </w:rPr>
        <w:t>Incident de transport d</w:t>
      </w:r>
      <w:r w:rsidRPr="00471DE5">
        <w:rPr>
          <w:b/>
          <w:bCs/>
        </w:rPr>
        <w:t>’</w:t>
      </w:r>
      <w:r w:rsidRPr="00471DE5">
        <w:rPr>
          <w:b/>
          <w:bCs/>
        </w:rPr>
        <w:t>ENA survenu le 12</w:t>
      </w:r>
      <w:r w:rsidR="004F53D9">
        <w:rPr>
          <w:b/>
          <w:bCs/>
        </w:rPr>
        <w:t> </w:t>
      </w:r>
      <w:r w:rsidRPr="00471DE5">
        <w:rPr>
          <w:b/>
          <w:bCs/>
        </w:rPr>
        <w:t>mars 2018 dans le Queensland (SAFEX Incident Notice IN18-01)</w:t>
      </w:r>
    </w:p>
    <w:p w14:paraId="334F5968" w14:textId="70422E18" w:rsidR="00E81AD4" w:rsidRPr="00471DE5" w:rsidRDefault="00E81AD4" w:rsidP="005742FE">
      <w:pPr>
        <w:pStyle w:val="SingleTxtG"/>
        <w:spacing w:after="240" w:line="240" w:lineRule="auto"/>
        <w:ind w:left="0" w:right="0"/>
      </w:pPr>
      <w:r w:rsidRPr="00471DE5">
        <w:rPr>
          <w:noProof/>
        </w:rPr>
        <w:drawing>
          <wp:inline distT="0" distB="0" distL="0" distR="0" wp14:anchorId="6E5A22F2" wp14:editId="171F164A">
            <wp:extent cx="6084000" cy="3470400"/>
            <wp:effectExtent l="0" t="0" r="0" b="0"/>
            <wp:docPr id="5" name="Picture 5" descr="Une image contenant plein air, ciel, route, ar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Une image contenant plein air, ciel, route, arbr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4000" cy="347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EF4D33" w14:textId="67B1AB42" w:rsidR="005742FE" w:rsidRPr="00471DE5" w:rsidRDefault="005742FE" w:rsidP="005742FE">
      <w:pPr>
        <w:pStyle w:val="SingleTxtG"/>
        <w:spacing w:before="240" w:after="0"/>
        <w:jc w:val="center"/>
        <w:rPr>
          <w:u w:val="single"/>
        </w:rPr>
      </w:pPr>
      <w:r w:rsidRPr="00471DE5">
        <w:rPr>
          <w:u w:val="single"/>
        </w:rPr>
        <w:tab/>
      </w:r>
      <w:r w:rsidRPr="00471DE5">
        <w:rPr>
          <w:u w:val="single"/>
        </w:rPr>
        <w:tab/>
      </w:r>
      <w:r w:rsidRPr="00471DE5">
        <w:rPr>
          <w:u w:val="single"/>
        </w:rPr>
        <w:tab/>
      </w:r>
    </w:p>
    <w:sectPr w:rsidR="005742FE" w:rsidRPr="00471DE5" w:rsidSect="00DE134C">
      <w:headerReference w:type="even" r:id="rId12"/>
      <w:headerReference w:type="default" r:id="rId13"/>
      <w:footerReference w:type="even" r:id="rId14"/>
      <w:footerReference w:type="default" r:id="rId15"/>
      <w:footerReference w:type="first" r:id="rId16"/>
      <w:endnotePr>
        <w:numFmt w:val="decimal"/>
      </w:endnotePr>
      <w:pgSz w:w="11906" w:h="16838" w:code="9"/>
      <w:pgMar w:top="1417" w:right="1134" w:bottom="1134" w:left="1134" w:header="850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4A7F5D" w14:textId="77777777" w:rsidR="007C07B7" w:rsidRDefault="007C07B7" w:rsidP="00F95C08">
      <w:pPr>
        <w:spacing w:line="240" w:lineRule="auto"/>
      </w:pPr>
    </w:p>
  </w:endnote>
  <w:endnote w:type="continuationSeparator" w:id="0">
    <w:p w14:paraId="3966F9C6" w14:textId="77777777" w:rsidR="007C07B7" w:rsidRPr="00AC3823" w:rsidRDefault="007C07B7" w:rsidP="00AC3823">
      <w:pPr>
        <w:pStyle w:val="Pieddepage"/>
      </w:pPr>
    </w:p>
  </w:endnote>
  <w:endnote w:type="continuationNotice" w:id="1">
    <w:p w14:paraId="27934E8B" w14:textId="77777777" w:rsidR="007C07B7" w:rsidRDefault="007C07B7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4E5922" w14:textId="411279FC" w:rsidR="00DE134C" w:rsidRPr="00DE134C" w:rsidRDefault="00DE134C" w:rsidP="00DE134C">
    <w:pPr>
      <w:pStyle w:val="Pieddepage"/>
      <w:tabs>
        <w:tab w:val="right" w:pos="9638"/>
      </w:tabs>
    </w:pPr>
    <w:r w:rsidRPr="00DE134C">
      <w:rPr>
        <w:b/>
        <w:sz w:val="18"/>
      </w:rPr>
      <w:fldChar w:fldCharType="begin"/>
    </w:r>
    <w:r w:rsidRPr="00DE134C">
      <w:rPr>
        <w:b/>
        <w:sz w:val="18"/>
      </w:rPr>
      <w:instrText xml:space="preserve"> PAGE  \* MERGEFORMAT </w:instrText>
    </w:r>
    <w:r w:rsidRPr="00DE134C">
      <w:rPr>
        <w:b/>
        <w:sz w:val="18"/>
      </w:rPr>
      <w:fldChar w:fldCharType="separate"/>
    </w:r>
    <w:r w:rsidRPr="00DE134C">
      <w:rPr>
        <w:b/>
        <w:noProof/>
        <w:sz w:val="18"/>
      </w:rPr>
      <w:t>2</w:t>
    </w:r>
    <w:r w:rsidRPr="00DE134C">
      <w:rPr>
        <w:b/>
        <w:sz w:val="18"/>
      </w:rPr>
      <w:fldChar w:fldCharType="end"/>
    </w:r>
    <w:r>
      <w:rPr>
        <w:b/>
        <w:sz w:val="18"/>
      </w:rPr>
      <w:tab/>
    </w:r>
    <w:r>
      <w:t>GE.23-07483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42E2B7" w14:textId="15BBA1C7" w:rsidR="00DE134C" w:rsidRPr="00DE134C" w:rsidRDefault="00DE134C" w:rsidP="00DE134C">
    <w:pPr>
      <w:pStyle w:val="Pieddepage"/>
      <w:tabs>
        <w:tab w:val="right" w:pos="9638"/>
      </w:tabs>
      <w:rPr>
        <w:b/>
        <w:sz w:val="18"/>
      </w:rPr>
    </w:pPr>
    <w:r>
      <w:t>GE.23-07483</w:t>
    </w:r>
    <w:r>
      <w:tab/>
    </w:r>
    <w:r w:rsidRPr="00DE134C">
      <w:rPr>
        <w:b/>
        <w:sz w:val="18"/>
      </w:rPr>
      <w:fldChar w:fldCharType="begin"/>
    </w:r>
    <w:r w:rsidRPr="00DE134C">
      <w:rPr>
        <w:b/>
        <w:sz w:val="18"/>
      </w:rPr>
      <w:instrText xml:space="preserve"> PAGE  \* MERGEFORMAT </w:instrText>
    </w:r>
    <w:r w:rsidRPr="00DE134C">
      <w:rPr>
        <w:b/>
        <w:sz w:val="18"/>
      </w:rPr>
      <w:fldChar w:fldCharType="separate"/>
    </w:r>
    <w:r w:rsidRPr="00DE134C">
      <w:rPr>
        <w:b/>
        <w:noProof/>
        <w:sz w:val="18"/>
      </w:rPr>
      <w:t>3</w:t>
    </w:r>
    <w:r w:rsidRPr="00DE134C">
      <w:rPr>
        <w:b/>
        <w:sz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EA3122" w14:textId="6E415E72" w:rsidR="0068456F" w:rsidRPr="00DE134C" w:rsidRDefault="00DE134C" w:rsidP="00DE134C">
    <w:pPr>
      <w:pStyle w:val="Pieddepage"/>
      <w:spacing w:before="120"/>
      <w:rPr>
        <w:sz w:val="20"/>
      </w:rPr>
    </w:pPr>
    <w:r>
      <w:rPr>
        <w:sz w:val="20"/>
      </w:rPr>
      <w:t>GE.</w:t>
    </w:r>
    <w:r w:rsidR="0068456F">
      <w:rPr>
        <w:noProof/>
        <w:lang w:eastAsia="fr-CH"/>
      </w:rPr>
      <w:drawing>
        <wp:anchor distT="0" distB="0" distL="114300" distR="114300" simplePos="0" relativeHeight="251659264" behindDoc="0" locked="0" layoutInCell="1" allowOverlap="0" wp14:anchorId="20FF8EF8" wp14:editId="543AE91B">
          <wp:simplePos x="0" y="0"/>
          <wp:positionH relativeFrom="margin">
            <wp:posOffset>4319905</wp:posOffset>
          </wp:positionH>
          <wp:positionV relativeFrom="margin">
            <wp:posOffset>9144000</wp:posOffset>
          </wp:positionV>
          <wp:extent cx="1105200" cy="234000"/>
          <wp:effectExtent l="0" t="0" r="0" b="0"/>
          <wp:wrapNone/>
          <wp:docPr id="2" name="Image 2" descr="recycle_Frenc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ecycle_French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5200" cy="234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 w:val="20"/>
      </w:rPr>
      <w:t>23-07483  (F)</w:t>
    </w:r>
    <w:r>
      <w:rPr>
        <w:noProof/>
        <w:sz w:val="20"/>
      </w:rPr>
      <w:drawing>
        <wp:anchor distT="0" distB="0" distL="114300" distR="114300" simplePos="0" relativeHeight="251660288" behindDoc="0" locked="0" layoutInCell="1" allowOverlap="1" wp14:anchorId="447300D1" wp14:editId="08445826">
          <wp:simplePos x="0" y="0"/>
          <wp:positionH relativeFrom="margin">
            <wp:posOffset>5489575</wp:posOffset>
          </wp:positionH>
          <wp:positionV relativeFrom="margin">
            <wp:posOffset>8891905</wp:posOffset>
          </wp:positionV>
          <wp:extent cx="638175" cy="638175"/>
          <wp:effectExtent l="0" t="0" r="9525" b="9525"/>
          <wp:wrapNone/>
          <wp:docPr id="930111396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17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 w:val="20"/>
      </w:rPr>
      <w:t xml:space="preserve">    110523    120523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532130" w14:textId="77777777" w:rsidR="007C07B7" w:rsidRPr="00AC3823" w:rsidRDefault="007C07B7" w:rsidP="00AC3823">
      <w:pPr>
        <w:pStyle w:val="Pieddepage"/>
        <w:tabs>
          <w:tab w:val="right" w:pos="2155"/>
        </w:tabs>
        <w:spacing w:after="80" w:line="240" w:lineRule="atLeast"/>
        <w:ind w:left="680"/>
        <w:rPr>
          <w:u w:val="single"/>
        </w:rPr>
      </w:pPr>
      <w:r>
        <w:rPr>
          <w:u w:val="single"/>
        </w:rPr>
        <w:tab/>
      </w:r>
    </w:p>
  </w:footnote>
  <w:footnote w:type="continuationSeparator" w:id="0">
    <w:p w14:paraId="209A66D6" w14:textId="77777777" w:rsidR="007C07B7" w:rsidRPr="00AC3823" w:rsidRDefault="007C07B7" w:rsidP="00AC3823">
      <w:pPr>
        <w:pStyle w:val="Pieddepage"/>
        <w:tabs>
          <w:tab w:val="right" w:pos="2155"/>
        </w:tabs>
        <w:spacing w:after="80" w:line="240" w:lineRule="atLeast"/>
        <w:ind w:left="680"/>
        <w:rPr>
          <w:u w:val="single"/>
        </w:rPr>
      </w:pPr>
      <w:r>
        <w:rPr>
          <w:u w:val="single"/>
        </w:rPr>
        <w:tab/>
      </w:r>
    </w:p>
  </w:footnote>
  <w:footnote w:type="continuationNotice" w:id="1">
    <w:p w14:paraId="5135B078" w14:textId="77777777" w:rsidR="007C07B7" w:rsidRPr="00AC3823" w:rsidRDefault="007C07B7">
      <w:pPr>
        <w:spacing w:line="240" w:lineRule="auto"/>
        <w:rPr>
          <w:sz w:val="2"/>
          <w:szCs w:val="2"/>
        </w:rPr>
      </w:pPr>
    </w:p>
  </w:footnote>
  <w:footnote w:id="2">
    <w:p w14:paraId="04D586E9" w14:textId="4A05CA74" w:rsidR="00177AA7" w:rsidRPr="00177AA7" w:rsidRDefault="00177AA7" w:rsidP="009006C3">
      <w:pPr>
        <w:pStyle w:val="Notedebasdepage"/>
      </w:pPr>
      <w:r>
        <w:rPr>
          <w:rStyle w:val="Appelnotedebasdep"/>
        </w:rPr>
        <w:tab/>
      </w:r>
      <w:r w:rsidRPr="00177AA7">
        <w:rPr>
          <w:rStyle w:val="Appelnotedebasdep"/>
          <w:sz w:val="20"/>
          <w:vertAlign w:val="baseline"/>
        </w:rPr>
        <w:t>*</w:t>
      </w:r>
      <w:r>
        <w:rPr>
          <w:rStyle w:val="Appelnotedebasdep"/>
          <w:sz w:val="20"/>
          <w:vertAlign w:val="baseline"/>
        </w:rPr>
        <w:tab/>
      </w:r>
      <w:r>
        <w:rPr>
          <w:lang w:val="fr-FR"/>
        </w:rPr>
        <w:t>A/77/6 (Sect. 20), tableau 20.6.</w:t>
      </w:r>
    </w:p>
  </w:footnote>
  <w:footnote w:id="3">
    <w:p w14:paraId="1AEBA250" w14:textId="1CDCB8E3" w:rsidR="00177AA7" w:rsidRPr="00714AAA" w:rsidRDefault="00177AA7" w:rsidP="009006C3">
      <w:pPr>
        <w:pStyle w:val="Notedebasdepage"/>
        <w:rPr>
          <w:lang w:val="fr-FR"/>
        </w:rPr>
      </w:pPr>
      <w:r>
        <w:rPr>
          <w:lang w:val="fr-FR"/>
        </w:rPr>
        <w:tab/>
      </w:r>
      <w:r w:rsidRPr="009006C3">
        <w:rPr>
          <w:rStyle w:val="Appelnotedebasdep"/>
        </w:rPr>
        <w:footnoteRef/>
      </w:r>
      <w:r>
        <w:rPr>
          <w:lang w:val="fr-FR"/>
        </w:rPr>
        <w:tab/>
      </w:r>
      <w:hyperlink r:id="rId1" w:history="1">
        <w:r w:rsidRPr="00177AA7">
          <w:rPr>
            <w:rStyle w:val="Lienhypertexte"/>
            <w:lang w:val="fr-FR"/>
          </w:rPr>
          <w:t>Signalement d</w:t>
        </w:r>
        <w:r w:rsidR="00E81AD4">
          <w:rPr>
            <w:rStyle w:val="Lienhypertexte"/>
            <w:lang w:val="fr-FR"/>
          </w:rPr>
          <w:t>’</w:t>
        </w:r>
        <w:r w:rsidRPr="00177AA7">
          <w:rPr>
            <w:rStyle w:val="Lienhypertexte"/>
            <w:lang w:val="fr-FR"/>
          </w:rPr>
          <w:t>incident − Explosion de la remorque d</w:t>
        </w:r>
        <w:r w:rsidR="00E81AD4">
          <w:rPr>
            <w:rStyle w:val="Lienhypertexte"/>
            <w:lang w:val="fr-FR"/>
          </w:rPr>
          <w:t>’</w:t>
        </w:r>
        <w:r w:rsidRPr="00177AA7">
          <w:rPr>
            <w:rStyle w:val="Lienhypertexte"/>
            <w:lang w:val="fr-FR"/>
          </w:rPr>
          <w:t>un camion-citerne transportant une émulsion de nitrate d</w:t>
        </w:r>
        <w:r w:rsidR="00E81AD4">
          <w:rPr>
            <w:rStyle w:val="Lienhypertexte"/>
            <w:lang w:val="fr-FR"/>
          </w:rPr>
          <w:t>’</w:t>
        </w:r>
        <w:r w:rsidRPr="00177AA7">
          <w:rPr>
            <w:rStyle w:val="Lienhypertexte"/>
            <w:lang w:val="fr-FR"/>
          </w:rPr>
          <w:t>ammonium (dmp.wa.gov.au)</w:t>
        </w:r>
      </w:hyperlink>
      <w:r>
        <w:rPr>
          <w:lang w:val="fr-FR"/>
        </w:rPr>
        <w:t>.</w:t>
      </w:r>
    </w:p>
  </w:footnote>
  <w:footnote w:id="4">
    <w:p w14:paraId="6321B7CC" w14:textId="1B4B3FBA" w:rsidR="009006C3" w:rsidRPr="00714AAA" w:rsidRDefault="009006C3" w:rsidP="009006C3">
      <w:pPr>
        <w:pStyle w:val="Notedebasdepage"/>
        <w:rPr>
          <w:lang w:val="fr-FR"/>
        </w:rPr>
      </w:pPr>
      <w:r>
        <w:rPr>
          <w:lang w:val="fr-FR"/>
        </w:rPr>
        <w:tab/>
      </w:r>
      <w:r w:rsidRPr="009006C3">
        <w:rPr>
          <w:rStyle w:val="Appelnotedebasdep"/>
        </w:rPr>
        <w:footnoteRef/>
      </w:r>
      <w:r>
        <w:rPr>
          <w:lang w:val="fr-FR"/>
        </w:rPr>
        <w:tab/>
        <w:t>Gouvernement d</w:t>
      </w:r>
      <w:r w:rsidR="00E81AD4">
        <w:rPr>
          <w:lang w:val="fr-FR"/>
        </w:rPr>
        <w:t>’</w:t>
      </w:r>
      <w:r>
        <w:rPr>
          <w:lang w:val="fr-FR"/>
        </w:rPr>
        <w:t>Australie occidentale − Département des mines, de la réglementation de l</w:t>
      </w:r>
      <w:r w:rsidR="00E81AD4">
        <w:rPr>
          <w:lang w:val="fr-FR"/>
        </w:rPr>
        <w:t>’</w:t>
      </w:r>
      <w:r>
        <w:rPr>
          <w:lang w:val="fr-FR"/>
        </w:rPr>
        <w:t>industrie et de la sécurité − Signalement d</w:t>
      </w:r>
      <w:r w:rsidR="00E81AD4">
        <w:rPr>
          <w:lang w:val="fr-FR"/>
        </w:rPr>
        <w:t>’</w:t>
      </w:r>
      <w:r>
        <w:rPr>
          <w:lang w:val="fr-FR"/>
        </w:rPr>
        <w:t>incident, 8</w:t>
      </w:r>
      <w:r w:rsidR="004F53D9">
        <w:rPr>
          <w:lang w:val="fr-FR"/>
        </w:rPr>
        <w:t> </w:t>
      </w:r>
      <w:r>
        <w:rPr>
          <w:lang w:val="fr-FR"/>
        </w:rPr>
        <w:t xml:space="preserve">novembre 2022 ; </w:t>
      </w:r>
      <w:hyperlink r:id="rId2" w:history="1">
        <w:r w:rsidRPr="009006C3">
          <w:rPr>
            <w:rStyle w:val="Lienhypertexte"/>
            <w:lang w:val="fr-FR"/>
          </w:rPr>
          <w:t>https://www.abc.net.au/news/2022-11-03/truck-explosion-wa-goldfields-mining-blasting-/101609164</w:t>
        </w:r>
      </w:hyperlink>
      <w:r>
        <w:rPr>
          <w:lang w:val="fr-FR"/>
        </w:rPr>
        <w:t>.</w:t>
      </w:r>
    </w:p>
  </w:footnote>
  <w:footnote w:id="5">
    <w:p w14:paraId="1F94EF45" w14:textId="4E22E286" w:rsidR="009006C3" w:rsidRPr="00714AAA" w:rsidRDefault="009006C3" w:rsidP="009006C3">
      <w:pPr>
        <w:pStyle w:val="Notedebasdepage"/>
        <w:rPr>
          <w:lang w:val="fr-FR"/>
        </w:rPr>
      </w:pPr>
      <w:r>
        <w:rPr>
          <w:lang w:val="fr-FR"/>
        </w:rPr>
        <w:tab/>
      </w:r>
      <w:r w:rsidRPr="009006C3">
        <w:rPr>
          <w:rStyle w:val="Appelnotedebasdep"/>
        </w:rPr>
        <w:footnoteRef/>
      </w:r>
      <w:r>
        <w:rPr>
          <w:lang w:val="fr-FR"/>
        </w:rPr>
        <w:tab/>
      </w:r>
      <w:hyperlink r:id="rId3" w:history="1">
        <w:r w:rsidRPr="009006C3">
          <w:rPr>
            <w:rStyle w:val="Lienhypertexte"/>
            <w:lang w:val="fr-FR"/>
          </w:rPr>
          <w:t>https://www.abc.net.au/news/2022-11-03/truck-explosion-wa-goldfields-mining-blasting-/101609164</w:t>
        </w:r>
      </w:hyperlink>
      <w:r>
        <w:rPr>
          <w:lang w:val="fr-FR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F36464" w14:textId="54F7A6D5" w:rsidR="00DE134C" w:rsidRPr="00DE134C" w:rsidRDefault="0082663B">
    <w:pPr>
      <w:pStyle w:val="En-tte"/>
    </w:pPr>
    <w:r>
      <w:fldChar w:fldCharType="begin"/>
    </w:r>
    <w:r>
      <w:instrText xml:space="preserve"> TITLE  \* MERGEFORMAT </w:instrText>
    </w:r>
    <w:r>
      <w:fldChar w:fldCharType="separate"/>
    </w:r>
    <w:r>
      <w:t>ST/SG/AC.10/C.3/2023/16</w:t>
    </w:r>
    <w: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3DE552" w14:textId="05D55A2D" w:rsidR="00DE134C" w:rsidRPr="00DE134C" w:rsidRDefault="0082663B" w:rsidP="00DE134C">
    <w:pPr>
      <w:pStyle w:val="En-tte"/>
      <w:jc w:val="right"/>
    </w:pPr>
    <w:r>
      <w:fldChar w:fldCharType="begin"/>
    </w:r>
    <w:r>
      <w:instrText xml:space="preserve"> TITLE  \* MERGEFORMAT </w:instrText>
    </w:r>
    <w:r>
      <w:fldChar w:fldCharType="separate"/>
    </w:r>
    <w:r>
      <w:t>ST/SG/AC.10/C.3/2023/16</w:t>
    </w:r>
    <w: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834EEA8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B08445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D50032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44CBCB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4A6243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F9AED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A9AA68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E1AE61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45C69F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B0402C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D954887"/>
    <w:multiLevelType w:val="hybridMultilevel"/>
    <w:tmpl w:val="274CD73A"/>
    <w:lvl w:ilvl="0" w:tplc="F560206C">
      <w:start w:val="1"/>
      <w:numFmt w:val="decimal"/>
      <w:pStyle w:val="ParNoG"/>
      <w:lvlText w:val="%1."/>
      <w:lvlJc w:val="left"/>
      <w:pPr>
        <w:tabs>
          <w:tab w:val="num" w:pos="1701"/>
        </w:tabs>
        <w:ind w:left="1134" w:firstLine="0"/>
      </w:pPr>
      <w:rPr>
        <w:rFonts w:ascii="Times New Roman" w:hAnsi="Times New Roman" w:hint="default"/>
        <w:b w:val="0"/>
        <w:i w:val="0"/>
        <w:sz w:val="20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ACF4EB2"/>
    <w:multiLevelType w:val="hybridMultilevel"/>
    <w:tmpl w:val="981AAA34"/>
    <w:lvl w:ilvl="0" w:tplc="78607ACC">
      <w:start w:val="1"/>
      <w:numFmt w:val="bullet"/>
      <w:pStyle w:val="Bullet2G"/>
      <w:lvlText w:val="•"/>
      <w:lvlJc w:val="left"/>
      <w:pPr>
        <w:tabs>
          <w:tab w:val="num" w:pos="2268"/>
        </w:tabs>
        <w:ind w:left="2268" w:hanging="170"/>
      </w:pPr>
      <w:rPr>
        <w:rFonts w:ascii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3708"/>
        </w:tabs>
        <w:ind w:left="370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4428"/>
        </w:tabs>
        <w:ind w:left="442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5148"/>
        </w:tabs>
        <w:ind w:left="514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868"/>
        </w:tabs>
        <w:ind w:left="586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6588"/>
        </w:tabs>
        <w:ind w:left="658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7308"/>
        </w:tabs>
        <w:ind w:left="730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8028"/>
        </w:tabs>
        <w:ind w:left="802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8748"/>
        </w:tabs>
        <w:ind w:left="8748" w:hanging="360"/>
      </w:pPr>
      <w:rPr>
        <w:rFonts w:ascii="Wingdings" w:hAnsi="Wingdings" w:hint="default"/>
      </w:rPr>
    </w:lvl>
  </w:abstractNum>
  <w:abstractNum w:abstractNumId="12" w15:restartNumberingAfterBreak="0">
    <w:nsid w:val="68AD07B2"/>
    <w:multiLevelType w:val="hybridMultilevel"/>
    <w:tmpl w:val="FE2C9A28"/>
    <w:lvl w:ilvl="0" w:tplc="3B64B33E">
      <w:start w:val="1"/>
      <w:numFmt w:val="bullet"/>
      <w:pStyle w:val="Bullet1G"/>
      <w:lvlText w:val="•"/>
      <w:lvlJc w:val="left"/>
      <w:pPr>
        <w:tabs>
          <w:tab w:val="num" w:pos="1701"/>
        </w:tabs>
        <w:ind w:left="1701" w:hanging="170"/>
      </w:pPr>
      <w:rPr>
        <w:rFonts w:ascii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3141"/>
        </w:tabs>
        <w:ind w:left="3141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861"/>
        </w:tabs>
        <w:ind w:left="386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581"/>
        </w:tabs>
        <w:ind w:left="458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301"/>
        </w:tabs>
        <w:ind w:left="5301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6021"/>
        </w:tabs>
        <w:ind w:left="602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741"/>
        </w:tabs>
        <w:ind w:left="674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461"/>
        </w:tabs>
        <w:ind w:left="7461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8181"/>
        </w:tabs>
        <w:ind w:left="8181" w:hanging="360"/>
      </w:pPr>
      <w:rPr>
        <w:rFonts w:ascii="Wingdings" w:hAnsi="Wingdings" w:hint="default"/>
      </w:rPr>
    </w:lvl>
  </w:abstractNum>
  <w:num w:numId="1" w16cid:durableId="1370835900">
    <w:abstractNumId w:val="12"/>
  </w:num>
  <w:num w:numId="2" w16cid:durableId="1903635167">
    <w:abstractNumId w:val="11"/>
  </w:num>
  <w:num w:numId="3" w16cid:durableId="623075227">
    <w:abstractNumId w:val="10"/>
  </w:num>
  <w:num w:numId="4" w16cid:durableId="1183789591">
    <w:abstractNumId w:val="8"/>
  </w:num>
  <w:num w:numId="5" w16cid:durableId="2009823375">
    <w:abstractNumId w:val="3"/>
  </w:num>
  <w:num w:numId="6" w16cid:durableId="2038892775">
    <w:abstractNumId w:val="2"/>
  </w:num>
  <w:num w:numId="7" w16cid:durableId="1364358407">
    <w:abstractNumId w:val="1"/>
  </w:num>
  <w:num w:numId="8" w16cid:durableId="1141196723">
    <w:abstractNumId w:val="0"/>
  </w:num>
  <w:num w:numId="9" w16cid:durableId="1039164815">
    <w:abstractNumId w:val="9"/>
  </w:num>
  <w:num w:numId="10" w16cid:durableId="791216781">
    <w:abstractNumId w:val="7"/>
  </w:num>
  <w:num w:numId="11" w16cid:durableId="743532085">
    <w:abstractNumId w:val="6"/>
  </w:num>
  <w:num w:numId="12" w16cid:durableId="1411391847">
    <w:abstractNumId w:val="5"/>
  </w:num>
  <w:num w:numId="13" w16cid:durableId="1154492903">
    <w:abstractNumId w:val="4"/>
  </w:num>
  <w:num w:numId="14" w16cid:durableId="1251042769">
    <w:abstractNumId w:val="12"/>
  </w:num>
  <w:num w:numId="15" w16cid:durableId="959335692">
    <w:abstractNumId w:val="11"/>
  </w:num>
  <w:num w:numId="16" w16cid:durableId="113917903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/>
  <w:attachedTemplate r:id="rId1"/>
  <w:defaultTabStop w:val="567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numFmt w:val="decimal"/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07B7"/>
    <w:rsid w:val="00017F94"/>
    <w:rsid w:val="00023842"/>
    <w:rsid w:val="000305D3"/>
    <w:rsid w:val="000334F9"/>
    <w:rsid w:val="0007796D"/>
    <w:rsid w:val="000B7790"/>
    <w:rsid w:val="00111F2F"/>
    <w:rsid w:val="00132EA9"/>
    <w:rsid w:val="0014365E"/>
    <w:rsid w:val="00172E49"/>
    <w:rsid w:val="00176178"/>
    <w:rsid w:val="00177AA7"/>
    <w:rsid w:val="001F525A"/>
    <w:rsid w:val="00223272"/>
    <w:rsid w:val="00242CEB"/>
    <w:rsid w:val="0024779E"/>
    <w:rsid w:val="00283190"/>
    <w:rsid w:val="002832AC"/>
    <w:rsid w:val="002D7C93"/>
    <w:rsid w:val="00441C3B"/>
    <w:rsid w:val="00446FE5"/>
    <w:rsid w:val="00452396"/>
    <w:rsid w:val="00471DE5"/>
    <w:rsid w:val="004E468C"/>
    <w:rsid w:val="004F53D9"/>
    <w:rsid w:val="005505B7"/>
    <w:rsid w:val="00573BE5"/>
    <w:rsid w:val="005742FE"/>
    <w:rsid w:val="00584DC4"/>
    <w:rsid w:val="00586ED3"/>
    <w:rsid w:val="00596AA9"/>
    <w:rsid w:val="0068456F"/>
    <w:rsid w:val="006E5057"/>
    <w:rsid w:val="0071601D"/>
    <w:rsid w:val="00741660"/>
    <w:rsid w:val="007A3EA5"/>
    <w:rsid w:val="007A62E6"/>
    <w:rsid w:val="007C07B7"/>
    <w:rsid w:val="007E208B"/>
    <w:rsid w:val="0080684C"/>
    <w:rsid w:val="008123E0"/>
    <w:rsid w:val="0082663B"/>
    <w:rsid w:val="00871C75"/>
    <w:rsid w:val="008776DC"/>
    <w:rsid w:val="008B40CD"/>
    <w:rsid w:val="008E36A4"/>
    <w:rsid w:val="009006C3"/>
    <w:rsid w:val="00917B7B"/>
    <w:rsid w:val="0095633C"/>
    <w:rsid w:val="009705C8"/>
    <w:rsid w:val="009C1CF4"/>
    <w:rsid w:val="00A30353"/>
    <w:rsid w:val="00A81281"/>
    <w:rsid w:val="00AC3823"/>
    <w:rsid w:val="00AE323C"/>
    <w:rsid w:val="00B00181"/>
    <w:rsid w:val="00B00B0D"/>
    <w:rsid w:val="00B765F7"/>
    <w:rsid w:val="00BA0CA9"/>
    <w:rsid w:val="00C02897"/>
    <w:rsid w:val="00D3439C"/>
    <w:rsid w:val="00DB1831"/>
    <w:rsid w:val="00DD3BFD"/>
    <w:rsid w:val="00DE134C"/>
    <w:rsid w:val="00DF6678"/>
    <w:rsid w:val="00E81AD4"/>
    <w:rsid w:val="00EF2E22"/>
    <w:rsid w:val="00F01738"/>
    <w:rsid w:val="00F660DF"/>
    <w:rsid w:val="00F730C8"/>
    <w:rsid w:val="00F95C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576FE52"/>
  <w15:docId w15:val="{65290436-AC03-4E05-B751-82175D85BA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theme="minorBidi"/>
        <w:sz w:val="22"/>
        <w:szCs w:val="22"/>
        <w:lang w:val="fr-CH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iPriority="0" w:unhideWhenUsed="1" w:qFormat="1"/>
    <w:lsdException w:name="footer" w:semiHidden="1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iPriority="0" w:unhideWhenUsed="1" w:qFormat="1"/>
    <w:lsdException w:name="endnote reference" w:semiHidden="1" w:uiPriority="0" w:unhideWhenUsed="1" w:qFormat="1"/>
    <w:lsdException w:name="endnote text" w:semiHidden="1" w:uiPriority="0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84DC4"/>
    <w:pPr>
      <w:suppressAutoHyphens/>
      <w:kinsoku w:val="0"/>
      <w:overflowPunct w:val="0"/>
      <w:autoSpaceDE w:val="0"/>
      <w:autoSpaceDN w:val="0"/>
      <w:adjustRightInd w:val="0"/>
      <w:snapToGrid w:val="0"/>
      <w:spacing w:after="0" w:line="240" w:lineRule="atLeast"/>
    </w:pPr>
    <w:rPr>
      <w:rFonts w:ascii="Times New Roman" w:eastAsiaTheme="minorHAnsi" w:hAnsi="Times New Roman" w:cs="Times New Roman"/>
      <w:sz w:val="20"/>
      <w:szCs w:val="20"/>
      <w:lang w:eastAsia="en-US"/>
    </w:rPr>
  </w:style>
  <w:style w:type="paragraph" w:styleId="Titre1">
    <w:name w:val="heading 1"/>
    <w:aliases w:val="Table_G"/>
    <w:basedOn w:val="SingleTxtG"/>
    <w:next w:val="SingleTxtG"/>
    <w:link w:val="Titre1Car"/>
    <w:qFormat/>
    <w:rsid w:val="00584DC4"/>
    <w:pPr>
      <w:keepNext/>
      <w:keepLines/>
      <w:spacing w:after="0" w:line="240" w:lineRule="auto"/>
      <w:ind w:right="0"/>
      <w:jc w:val="left"/>
      <w:outlineLvl w:val="0"/>
    </w:pPr>
  </w:style>
  <w:style w:type="paragraph" w:styleId="Titre2">
    <w:name w:val="heading 2"/>
    <w:basedOn w:val="Normal"/>
    <w:next w:val="Normal"/>
    <w:link w:val="Titre2Car"/>
    <w:semiHidden/>
    <w:qFormat/>
    <w:rsid w:val="00023842"/>
    <w:pPr>
      <w:outlineLvl w:val="1"/>
    </w:pPr>
  </w:style>
  <w:style w:type="paragraph" w:styleId="Titre3">
    <w:name w:val="heading 3"/>
    <w:basedOn w:val="Normal"/>
    <w:next w:val="Normal"/>
    <w:link w:val="Titre3Car"/>
    <w:semiHidden/>
    <w:qFormat/>
    <w:rsid w:val="00023842"/>
    <w:pPr>
      <w:outlineLvl w:val="2"/>
    </w:pPr>
  </w:style>
  <w:style w:type="paragraph" w:styleId="Titre4">
    <w:name w:val="heading 4"/>
    <w:basedOn w:val="Normal"/>
    <w:next w:val="Normal"/>
    <w:link w:val="Titre4Car"/>
    <w:semiHidden/>
    <w:qFormat/>
    <w:rsid w:val="00023842"/>
    <w:pPr>
      <w:outlineLvl w:val="3"/>
    </w:pPr>
  </w:style>
  <w:style w:type="paragraph" w:styleId="Titre5">
    <w:name w:val="heading 5"/>
    <w:basedOn w:val="Normal"/>
    <w:next w:val="Normal"/>
    <w:link w:val="Titre5Car"/>
    <w:semiHidden/>
    <w:qFormat/>
    <w:rsid w:val="00023842"/>
    <w:pPr>
      <w:outlineLvl w:val="4"/>
    </w:pPr>
  </w:style>
  <w:style w:type="paragraph" w:styleId="Titre6">
    <w:name w:val="heading 6"/>
    <w:basedOn w:val="Normal"/>
    <w:next w:val="Normal"/>
    <w:link w:val="Titre6Car"/>
    <w:semiHidden/>
    <w:qFormat/>
    <w:rsid w:val="00023842"/>
    <w:pPr>
      <w:outlineLvl w:val="5"/>
    </w:pPr>
  </w:style>
  <w:style w:type="paragraph" w:styleId="Titre7">
    <w:name w:val="heading 7"/>
    <w:basedOn w:val="Normal"/>
    <w:next w:val="Normal"/>
    <w:link w:val="Titre7Car"/>
    <w:semiHidden/>
    <w:qFormat/>
    <w:rsid w:val="00023842"/>
    <w:pPr>
      <w:outlineLvl w:val="6"/>
    </w:pPr>
  </w:style>
  <w:style w:type="paragraph" w:styleId="Titre8">
    <w:name w:val="heading 8"/>
    <w:basedOn w:val="Normal"/>
    <w:next w:val="Normal"/>
    <w:link w:val="Titre8Car"/>
    <w:semiHidden/>
    <w:qFormat/>
    <w:rsid w:val="00023842"/>
    <w:pPr>
      <w:outlineLvl w:val="7"/>
    </w:pPr>
  </w:style>
  <w:style w:type="paragraph" w:styleId="Titre9">
    <w:name w:val="heading 9"/>
    <w:basedOn w:val="Normal"/>
    <w:next w:val="Normal"/>
    <w:link w:val="Titre9Car"/>
    <w:semiHidden/>
    <w:qFormat/>
    <w:rsid w:val="00023842"/>
    <w:pPr>
      <w:outlineLvl w:val="8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aliases w:val="6_G"/>
    <w:basedOn w:val="Normal"/>
    <w:next w:val="Normal"/>
    <w:link w:val="En-tteCar"/>
    <w:qFormat/>
    <w:rsid w:val="00584DC4"/>
    <w:pPr>
      <w:pBdr>
        <w:bottom w:val="single" w:sz="4" w:space="4" w:color="auto"/>
      </w:pBdr>
      <w:spacing w:line="240" w:lineRule="auto"/>
    </w:pPr>
    <w:rPr>
      <w:b/>
      <w:sz w:val="18"/>
    </w:rPr>
  </w:style>
  <w:style w:type="character" w:customStyle="1" w:styleId="En-tteCar">
    <w:name w:val="En-tête Car"/>
    <w:aliases w:val="6_G Car"/>
    <w:basedOn w:val="Policepardfaut"/>
    <w:link w:val="En-tte"/>
    <w:rsid w:val="00584DC4"/>
    <w:rPr>
      <w:rFonts w:ascii="Times New Roman" w:eastAsiaTheme="minorHAnsi" w:hAnsi="Times New Roman" w:cs="Times New Roman"/>
      <w:b/>
      <w:sz w:val="18"/>
      <w:szCs w:val="20"/>
      <w:lang w:eastAsia="en-US"/>
    </w:rPr>
  </w:style>
  <w:style w:type="paragraph" w:styleId="Pieddepage">
    <w:name w:val="footer"/>
    <w:aliases w:val="3_G"/>
    <w:basedOn w:val="Normal"/>
    <w:next w:val="Normal"/>
    <w:link w:val="PieddepageCar"/>
    <w:qFormat/>
    <w:rsid w:val="00584DC4"/>
    <w:pPr>
      <w:spacing w:line="240" w:lineRule="auto"/>
    </w:pPr>
    <w:rPr>
      <w:sz w:val="16"/>
    </w:rPr>
  </w:style>
  <w:style w:type="character" w:customStyle="1" w:styleId="PieddepageCar">
    <w:name w:val="Pied de page Car"/>
    <w:aliases w:val="3_G Car"/>
    <w:basedOn w:val="Policepardfaut"/>
    <w:link w:val="Pieddepage"/>
    <w:rsid w:val="00584DC4"/>
    <w:rPr>
      <w:rFonts w:ascii="Times New Roman" w:eastAsiaTheme="minorHAnsi" w:hAnsi="Times New Roman" w:cs="Times New Roman"/>
      <w:sz w:val="16"/>
      <w:szCs w:val="20"/>
      <w:lang w:eastAsia="en-US"/>
    </w:rPr>
  </w:style>
  <w:style w:type="paragraph" w:customStyle="1" w:styleId="HMG">
    <w:name w:val="_ H __M_G"/>
    <w:basedOn w:val="Normal"/>
    <w:next w:val="Normal"/>
    <w:qFormat/>
    <w:rsid w:val="00584DC4"/>
    <w:pPr>
      <w:keepNext/>
      <w:keepLines/>
      <w:tabs>
        <w:tab w:val="right" w:pos="851"/>
      </w:tabs>
      <w:spacing w:before="240" w:after="240" w:line="360" w:lineRule="exact"/>
      <w:ind w:left="1134" w:right="1134" w:hanging="1134"/>
      <w:outlineLvl w:val="0"/>
    </w:pPr>
    <w:rPr>
      <w:b/>
      <w:sz w:val="34"/>
    </w:rPr>
  </w:style>
  <w:style w:type="paragraph" w:customStyle="1" w:styleId="HChG">
    <w:name w:val="_ H _Ch_G"/>
    <w:basedOn w:val="Normal"/>
    <w:next w:val="Normal"/>
    <w:link w:val="HChGChar"/>
    <w:qFormat/>
    <w:rsid w:val="00584DC4"/>
    <w:pPr>
      <w:keepNext/>
      <w:keepLines/>
      <w:tabs>
        <w:tab w:val="right" w:pos="851"/>
      </w:tabs>
      <w:spacing w:before="360" w:after="240" w:line="300" w:lineRule="exact"/>
      <w:ind w:left="1134" w:right="1134" w:hanging="1134"/>
      <w:outlineLvl w:val="1"/>
    </w:pPr>
    <w:rPr>
      <w:b/>
      <w:sz w:val="28"/>
    </w:rPr>
  </w:style>
  <w:style w:type="paragraph" w:customStyle="1" w:styleId="H1G">
    <w:name w:val="_ H_1_G"/>
    <w:basedOn w:val="Normal"/>
    <w:next w:val="Normal"/>
    <w:qFormat/>
    <w:rsid w:val="00584DC4"/>
    <w:pPr>
      <w:keepNext/>
      <w:keepLines/>
      <w:tabs>
        <w:tab w:val="right" w:pos="851"/>
      </w:tabs>
      <w:spacing w:before="360" w:after="240" w:line="270" w:lineRule="exact"/>
      <w:ind w:left="1134" w:right="1134" w:hanging="1134"/>
      <w:outlineLvl w:val="2"/>
    </w:pPr>
    <w:rPr>
      <w:b/>
      <w:sz w:val="24"/>
    </w:rPr>
  </w:style>
  <w:style w:type="paragraph" w:customStyle="1" w:styleId="H23G">
    <w:name w:val="_ H_2/3_G"/>
    <w:basedOn w:val="Normal"/>
    <w:next w:val="Normal"/>
    <w:qFormat/>
    <w:rsid w:val="00584DC4"/>
    <w:pPr>
      <w:keepNext/>
      <w:keepLines/>
      <w:tabs>
        <w:tab w:val="right" w:pos="851"/>
      </w:tabs>
      <w:spacing w:before="240" w:after="120" w:line="240" w:lineRule="exact"/>
      <w:ind w:left="1134" w:right="1134" w:hanging="1134"/>
      <w:outlineLvl w:val="3"/>
    </w:pPr>
    <w:rPr>
      <w:b/>
    </w:rPr>
  </w:style>
  <w:style w:type="paragraph" w:customStyle="1" w:styleId="H4G">
    <w:name w:val="_ H_4_G"/>
    <w:basedOn w:val="Normal"/>
    <w:next w:val="Normal"/>
    <w:qFormat/>
    <w:rsid w:val="00584DC4"/>
    <w:pPr>
      <w:keepNext/>
      <w:keepLines/>
      <w:tabs>
        <w:tab w:val="right" w:pos="851"/>
      </w:tabs>
      <w:spacing w:before="240" w:after="120" w:line="240" w:lineRule="exact"/>
      <w:ind w:left="1134" w:right="1134" w:hanging="1134"/>
      <w:outlineLvl w:val="4"/>
    </w:pPr>
    <w:rPr>
      <w:i/>
    </w:rPr>
  </w:style>
  <w:style w:type="paragraph" w:customStyle="1" w:styleId="H56G">
    <w:name w:val="_ H_5/6_G"/>
    <w:basedOn w:val="Normal"/>
    <w:next w:val="Normal"/>
    <w:qFormat/>
    <w:rsid w:val="00584DC4"/>
    <w:pPr>
      <w:keepNext/>
      <w:keepLines/>
      <w:tabs>
        <w:tab w:val="right" w:pos="851"/>
      </w:tabs>
      <w:spacing w:before="240" w:after="120" w:line="240" w:lineRule="exact"/>
      <w:ind w:left="1134" w:right="1134" w:hanging="1134"/>
      <w:outlineLvl w:val="5"/>
    </w:pPr>
  </w:style>
  <w:style w:type="paragraph" w:customStyle="1" w:styleId="SingleTxtG">
    <w:name w:val="_ Single Txt_G"/>
    <w:basedOn w:val="Normal"/>
    <w:link w:val="SingleTxtGChar"/>
    <w:qFormat/>
    <w:rsid w:val="00584DC4"/>
    <w:pPr>
      <w:tabs>
        <w:tab w:val="left" w:pos="1701"/>
        <w:tab w:val="left" w:pos="2268"/>
        <w:tab w:val="left" w:pos="2835"/>
      </w:tabs>
      <w:spacing w:after="120"/>
      <w:ind w:left="1134" w:right="1134"/>
      <w:jc w:val="both"/>
    </w:pPr>
  </w:style>
  <w:style w:type="paragraph" w:customStyle="1" w:styleId="SLG">
    <w:name w:val="__S_L_G"/>
    <w:basedOn w:val="Normal"/>
    <w:next w:val="Normal"/>
    <w:rsid w:val="00584DC4"/>
    <w:pPr>
      <w:keepNext/>
      <w:keepLines/>
      <w:spacing w:before="240" w:after="240" w:line="580" w:lineRule="exact"/>
      <w:ind w:left="1134" w:right="1134"/>
    </w:pPr>
    <w:rPr>
      <w:b/>
      <w:sz w:val="56"/>
    </w:rPr>
  </w:style>
  <w:style w:type="paragraph" w:customStyle="1" w:styleId="SMG">
    <w:name w:val="__S_M_G"/>
    <w:basedOn w:val="Normal"/>
    <w:next w:val="Normal"/>
    <w:rsid w:val="00584DC4"/>
    <w:pPr>
      <w:keepNext/>
      <w:keepLines/>
      <w:spacing w:before="240" w:after="240" w:line="420" w:lineRule="exact"/>
      <w:ind w:left="1134" w:right="1134"/>
    </w:pPr>
    <w:rPr>
      <w:b/>
      <w:sz w:val="40"/>
    </w:rPr>
  </w:style>
  <w:style w:type="paragraph" w:customStyle="1" w:styleId="SSG">
    <w:name w:val="__S_S_G"/>
    <w:basedOn w:val="Normal"/>
    <w:next w:val="Normal"/>
    <w:rsid w:val="00584DC4"/>
    <w:pPr>
      <w:keepNext/>
      <w:keepLines/>
      <w:spacing w:before="240" w:after="240" w:line="300" w:lineRule="exact"/>
      <w:ind w:left="1134" w:right="1134"/>
    </w:pPr>
    <w:rPr>
      <w:b/>
      <w:sz w:val="28"/>
    </w:rPr>
  </w:style>
  <w:style w:type="paragraph" w:customStyle="1" w:styleId="XLargeG">
    <w:name w:val="__XLarge_G"/>
    <w:basedOn w:val="Normal"/>
    <w:next w:val="Normal"/>
    <w:rsid w:val="00584DC4"/>
    <w:pPr>
      <w:keepNext/>
      <w:keepLines/>
      <w:spacing w:before="240" w:after="240" w:line="420" w:lineRule="exact"/>
      <w:ind w:left="1134" w:right="1134"/>
    </w:pPr>
    <w:rPr>
      <w:b/>
      <w:sz w:val="40"/>
    </w:rPr>
  </w:style>
  <w:style w:type="paragraph" w:customStyle="1" w:styleId="Bullet1G">
    <w:name w:val="_Bullet 1_G"/>
    <w:basedOn w:val="Normal"/>
    <w:qFormat/>
    <w:rsid w:val="00584DC4"/>
    <w:pPr>
      <w:numPr>
        <w:numId w:val="14"/>
      </w:numPr>
      <w:spacing w:after="120"/>
      <w:ind w:right="1134"/>
      <w:jc w:val="both"/>
    </w:pPr>
  </w:style>
  <w:style w:type="paragraph" w:customStyle="1" w:styleId="Bullet2G">
    <w:name w:val="_Bullet 2_G"/>
    <w:basedOn w:val="Normal"/>
    <w:qFormat/>
    <w:rsid w:val="00584DC4"/>
    <w:pPr>
      <w:numPr>
        <w:numId w:val="15"/>
      </w:numPr>
      <w:spacing w:after="120"/>
      <w:ind w:right="1134"/>
      <w:jc w:val="both"/>
    </w:pPr>
  </w:style>
  <w:style w:type="paragraph" w:customStyle="1" w:styleId="ParNoG">
    <w:name w:val="_ParNo_G"/>
    <w:basedOn w:val="Normal"/>
    <w:qFormat/>
    <w:rsid w:val="00584DC4"/>
    <w:pPr>
      <w:numPr>
        <w:numId w:val="16"/>
      </w:numPr>
      <w:tabs>
        <w:tab w:val="left" w:pos="1701"/>
        <w:tab w:val="left" w:pos="2268"/>
        <w:tab w:val="left" w:pos="2835"/>
      </w:tabs>
      <w:spacing w:after="120"/>
      <w:ind w:right="1134"/>
      <w:jc w:val="both"/>
    </w:pPr>
  </w:style>
  <w:style w:type="character" w:styleId="Appelnotedebasdep">
    <w:name w:val="footnote reference"/>
    <w:aliases w:val="4_G,Footnote Reference/"/>
    <w:basedOn w:val="Policepardfaut"/>
    <w:uiPriority w:val="99"/>
    <w:qFormat/>
    <w:rsid w:val="00584DC4"/>
    <w:rPr>
      <w:rFonts w:ascii="Times New Roman" w:hAnsi="Times New Roman"/>
      <w:sz w:val="18"/>
      <w:vertAlign w:val="superscript"/>
      <w:lang w:val="fr-CH"/>
    </w:rPr>
  </w:style>
  <w:style w:type="character" w:styleId="Appeldenotedefin">
    <w:name w:val="endnote reference"/>
    <w:aliases w:val="1_G"/>
    <w:basedOn w:val="Appelnotedebasdep"/>
    <w:qFormat/>
    <w:rsid w:val="00584DC4"/>
    <w:rPr>
      <w:rFonts w:ascii="Times New Roman" w:hAnsi="Times New Roman"/>
      <w:sz w:val="18"/>
      <w:vertAlign w:val="superscript"/>
      <w:lang w:val="fr-CH"/>
    </w:rPr>
  </w:style>
  <w:style w:type="table" w:styleId="Grilledutableau">
    <w:name w:val="Table Grid"/>
    <w:basedOn w:val="TableauNormal"/>
    <w:rsid w:val="00584DC4"/>
    <w:pPr>
      <w:suppressAutoHyphens/>
      <w:spacing w:after="0" w:line="240" w:lineRule="atLeast"/>
    </w:pPr>
    <w:rPr>
      <w:rFonts w:ascii="Times New Roman" w:eastAsiaTheme="minorHAnsi" w:hAnsi="Times New Roman" w:cs="Times New Roman"/>
      <w:sz w:val="20"/>
      <w:szCs w:val="2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character" w:styleId="Lienhypertexte">
    <w:name w:val="Hyperlink"/>
    <w:basedOn w:val="Policepardfaut"/>
    <w:unhideWhenUsed/>
    <w:rsid w:val="00584DC4"/>
    <w:rPr>
      <w:color w:val="0000FF"/>
      <w:u w:val="none"/>
    </w:rPr>
  </w:style>
  <w:style w:type="character" w:styleId="Lienhypertextesuivivisit">
    <w:name w:val="FollowedHyperlink"/>
    <w:basedOn w:val="Policepardfaut"/>
    <w:unhideWhenUsed/>
    <w:rsid w:val="00584DC4"/>
    <w:rPr>
      <w:color w:val="0000FF"/>
      <w:u w:val="none"/>
    </w:rPr>
  </w:style>
  <w:style w:type="paragraph" w:styleId="Notedebasdepage">
    <w:name w:val="footnote text"/>
    <w:aliases w:val="5_G"/>
    <w:basedOn w:val="Normal"/>
    <w:link w:val="NotedebasdepageCar"/>
    <w:uiPriority w:val="99"/>
    <w:qFormat/>
    <w:rsid w:val="00584DC4"/>
    <w:pPr>
      <w:tabs>
        <w:tab w:val="right" w:pos="1021"/>
      </w:tabs>
      <w:spacing w:line="220" w:lineRule="exact"/>
      <w:ind w:left="1134" w:right="1134" w:hanging="1134"/>
    </w:pPr>
    <w:rPr>
      <w:sz w:val="18"/>
    </w:rPr>
  </w:style>
  <w:style w:type="character" w:customStyle="1" w:styleId="NotedebasdepageCar">
    <w:name w:val="Note de bas de page Car"/>
    <w:aliases w:val="5_G Car"/>
    <w:basedOn w:val="Policepardfaut"/>
    <w:link w:val="Notedebasdepage"/>
    <w:uiPriority w:val="99"/>
    <w:rsid w:val="00584DC4"/>
    <w:rPr>
      <w:rFonts w:ascii="Times New Roman" w:eastAsiaTheme="minorHAnsi" w:hAnsi="Times New Roman" w:cs="Times New Roman"/>
      <w:sz w:val="18"/>
      <w:szCs w:val="20"/>
      <w:lang w:eastAsia="en-US"/>
    </w:rPr>
  </w:style>
  <w:style w:type="paragraph" w:styleId="Notedefin">
    <w:name w:val="endnote text"/>
    <w:aliases w:val="2_G"/>
    <w:basedOn w:val="Notedebasdepage"/>
    <w:link w:val="NotedefinCar"/>
    <w:qFormat/>
    <w:rsid w:val="00584DC4"/>
  </w:style>
  <w:style w:type="character" w:customStyle="1" w:styleId="NotedefinCar">
    <w:name w:val="Note de fin Car"/>
    <w:aliases w:val="2_G Car"/>
    <w:basedOn w:val="Policepardfaut"/>
    <w:link w:val="Notedefin"/>
    <w:rsid w:val="00584DC4"/>
    <w:rPr>
      <w:rFonts w:ascii="Times New Roman" w:eastAsiaTheme="minorHAnsi" w:hAnsi="Times New Roman" w:cs="Times New Roman"/>
      <w:sz w:val="18"/>
      <w:szCs w:val="20"/>
      <w:lang w:eastAsia="en-US"/>
    </w:rPr>
  </w:style>
  <w:style w:type="character" w:styleId="Numrodepage">
    <w:name w:val="page number"/>
    <w:aliases w:val="7_G"/>
    <w:basedOn w:val="Policepardfaut"/>
    <w:qFormat/>
    <w:rsid w:val="00584DC4"/>
    <w:rPr>
      <w:rFonts w:ascii="Times New Roman" w:hAnsi="Times New Roman"/>
      <w:b/>
      <w:sz w:val="18"/>
      <w:lang w:val="fr-CH"/>
    </w:rPr>
  </w:style>
  <w:style w:type="character" w:customStyle="1" w:styleId="Titre1Car">
    <w:name w:val="Titre 1 Car"/>
    <w:aliases w:val="Table_G Car"/>
    <w:basedOn w:val="Policepardfaut"/>
    <w:link w:val="Titre1"/>
    <w:rsid w:val="00584DC4"/>
    <w:rPr>
      <w:rFonts w:ascii="Times New Roman" w:eastAsiaTheme="minorHAnsi" w:hAnsi="Times New Roman" w:cs="Times New Roman"/>
      <w:sz w:val="20"/>
      <w:szCs w:val="20"/>
      <w:lang w:eastAsia="en-US"/>
    </w:rPr>
  </w:style>
  <w:style w:type="character" w:customStyle="1" w:styleId="Titre2Car">
    <w:name w:val="Titre 2 Car"/>
    <w:basedOn w:val="Policepardfaut"/>
    <w:link w:val="Titre2"/>
    <w:semiHidden/>
    <w:rsid w:val="00023842"/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customStyle="1" w:styleId="Titre3Car">
    <w:name w:val="Titre 3 Car"/>
    <w:basedOn w:val="Policepardfaut"/>
    <w:link w:val="Titre3"/>
    <w:semiHidden/>
    <w:rsid w:val="00023842"/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customStyle="1" w:styleId="Titre4Car">
    <w:name w:val="Titre 4 Car"/>
    <w:basedOn w:val="Policepardfaut"/>
    <w:link w:val="Titre4"/>
    <w:semiHidden/>
    <w:rsid w:val="00023842"/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customStyle="1" w:styleId="Titre5Car">
    <w:name w:val="Titre 5 Car"/>
    <w:basedOn w:val="Policepardfaut"/>
    <w:link w:val="Titre5"/>
    <w:semiHidden/>
    <w:rsid w:val="00023842"/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customStyle="1" w:styleId="Titre6Car">
    <w:name w:val="Titre 6 Car"/>
    <w:basedOn w:val="Policepardfaut"/>
    <w:link w:val="Titre6"/>
    <w:semiHidden/>
    <w:rsid w:val="00023842"/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customStyle="1" w:styleId="Titre7Car">
    <w:name w:val="Titre 7 Car"/>
    <w:basedOn w:val="Policepardfaut"/>
    <w:link w:val="Titre7"/>
    <w:semiHidden/>
    <w:rsid w:val="00023842"/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customStyle="1" w:styleId="Titre8Car">
    <w:name w:val="Titre 8 Car"/>
    <w:basedOn w:val="Policepardfaut"/>
    <w:link w:val="Titre8"/>
    <w:semiHidden/>
    <w:rsid w:val="00023842"/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customStyle="1" w:styleId="Titre9Car">
    <w:name w:val="Titre 9 Car"/>
    <w:basedOn w:val="Policepardfaut"/>
    <w:link w:val="Titre9"/>
    <w:semiHidden/>
    <w:rsid w:val="00023842"/>
    <w:rPr>
      <w:rFonts w:ascii="Times New Roman" w:eastAsia="Times New Roman" w:hAnsi="Times New Roman" w:cs="Times New Roman"/>
      <w:sz w:val="20"/>
      <w:szCs w:val="20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32EA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32EA9"/>
    <w:rPr>
      <w:rFonts w:ascii="Tahoma" w:hAnsi="Tahoma" w:cs="Tahoma"/>
      <w:sz w:val="16"/>
      <w:szCs w:val="16"/>
      <w:lang w:eastAsia="en-US"/>
    </w:rPr>
  </w:style>
  <w:style w:type="character" w:styleId="Mentionnonrsolue">
    <w:name w:val="Unresolved Mention"/>
    <w:basedOn w:val="Policepardfaut"/>
    <w:uiPriority w:val="99"/>
    <w:semiHidden/>
    <w:unhideWhenUsed/>
    <w:rsid w:val="00177AA7"/>
    <w:rPr>
      <w:color w:val="605E5C"/>
      <w:shd w:val="clear" w:color="auto" w:fill="E1DFDD"/>
    </w:rPr>
  </w:style>
  <w:style w:type="character" w:customStyle="1" w:styleId="HChGChar">
    <w:name w:val="_ H _Ch_G Char"/>
    <w:link w:val="HChG"/>
    <w:qFormat/>
    <w:locked/>
    <w:rsid w:val="009006C3"/>
    <w:rPr>
      <w:rFonts w:ascii="Times New Roman" w:eastAsiaTheme="minorHAnsi" w:hAnsi="Times New Roman" w:cs="Times New Roman"/>
      <w:b/>
      <w:sz w:val="28"/>
      <w:szCs w:val="20"/>
      <w:lang w:eastAsia="en-US"/>
    </w:rPr>
  </w:style>
  <w:style w:type="character" w:customStyle="1" w:styleId="SingleTxtGChar">
    <w:name w:val="_ Single Txt_G Char"/>
    <w:link w:val="SingleTxtG"/>
    <w:qFormat/>
    <w:locked/>
    <w:rsid w:val="009006C3"/>
    <w:rPr>
      <w:rFonts w:ascii="Times New Roman" w:eastAsiaTheme="minorHAnsi" w:hAnsi="Times New Roman" w:cs="Times New Roman"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20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7.gif"/><Relationship Id="rId1" Type="http://schemas.openxmlformats.org/officeDocument/2006/relationships/image" Target="media/image6.png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abc.net.au/news/2022-11-03/truck-explosion-wa-goldfields-mining-blasting-/101609164" TargetMode="External"/><Relationship Id="rId2" Type="http://schemas.openxmlformats.org/officeDocument/2006/relationships/hyperlink" Target="https://www.abc.net.au/news/2022-11-03/truck-explosion-wa-goldfields-mining-blasting-/101609164" TargetMode="External"/><Relationship Id="rId1" Type="http://schemas.openxmlformats.org/officeDocument/2006/relationships/hyperlink" Target="http://www.dmp.wa.gov.au/Documents/Dangerous-Goods/DGS_IncidentAlert_ANETanker.pdf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WORD\OFFICE2016\Templates\ST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B8422D08C252547BB1CFA7F78E2CB83" ma:contentTypeVersion="17" ma:contentTypeDescription="Create a new document." ma:contentTypeScope="" ma:versionID="3dda9090b5883dd13a17919601bc9337">
  <xsd:schema xmlns:xsd="http://www.w3.org/2001/XMLSchema" xmlns:xs="http://www.w3.org/2001/XMLSchema" xmlns:p="http://schemas.microsoft.com/office/2006/metadata/properties" xmlns:ns2="4b4a1c0d-4a69-4996-a84a-fc699b9f49de" xmlns:ns3="acccb6d4-dbe5-46d2-b4d3-5733603d8cc6" xmlns:ns4="985ec44e-1bab-4c0b-9df0-6ba128686fc9" targetNamespace="http://schemas.microsoft.com/office/2006/metadata/properties" ma:root="true" ma:fieldsID="ded5af2ee258f7c0b7926b0cd9be3d49" ns2:_="" ns3:_="" ns4:_="">
    <xsd:import namespace="4b4a1c0d-4a69-4996-a84a-fc699b9f49de"/>
    <xsd:import namespace="acccb6d4-dbe5-46d2-b4d3-5733603d8cc6"/>
    <xsd:import namespace="985ec44e-1bab-4c0b-9df0-6ba128686fc9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4a1c0d-4a69-4996-a84a-fc699b9f49d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ccb6d4-dbe5-46d2-b4d3-5733603d8cc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8175662-8596-484a-92c7-351d01561e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5ec44e-1bab-4c0b-9df0-6ba128686fc9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02cb41a6-c265-4598-b948-df01c7e084ec}" ma:internalName="TaxCatchAll" ma:showField="CatchAllData" ma:web="4b4a1c0d-4a69-4996-a84a-fc699b9f49d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2A39831-1AE8-4B8B-9183-076ABCE0D654}"/>
</file>

<file path=customXml/itemProps2.xml><?xml version="1.0" encoding="utf-8"?>
<ds:datastoreItem xmlns:ds="http://schemas.openxmlformats.org/officeDocument/2006/customXml" ds:itemID="{604283AD-9236-4A46-A03B-2AD5EAD0FF48}"/>
</file>

<file path=docProps/app.xml><?xml version="1.0" encoding="utf-8"?>
<Properties xmlns="http://schemas.openxmlformats.org/officeDocument/2006/extended-properties" xmlns:vt="http://schemas.openxmlformats.org/officeDocument/2006/docPropsVTypes">
  <Template>ST.dotm</Template>
  <TotalTime>6</TotalTime>
  <Pages>8</Pages>
  <Words>1806</Words>
  <Characters>10296</Characters>
  <Application>Microsoft Office Word</Application>
  <DocSecurity>0</DocSecurity>
  <Lines>85</Lines>
  <Paragraphs>24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ST/SG/AC.10/C.3/2023/16</vt:lpstr>
    </vt:vector>
  </TitlesOfParts>
  <Company>DCM</Company>
  <LinksUpToDate>false</LinksUpToDate>
  <CharactersWithSpaces>12078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ST/SG/AC.10/C.3/2023/16</dc:title>
  <dc:subject/>
  <dc:creator>Corinne ROBERT</dc:creator>
  <cp:keywords/>
  <cp:lastModifiedBy>Corinne Robert</cp:lastModifiedBy>
  <cp:revision>3</cp:revision>
  <cp:lastPrinted>2023-05-12T07:33:00Z</cp:lastPrinted>
  <dcterms:created xsi:type="dcterms:W3CDTF">2023-05-12T07:32:00Z</dcterms:created>
  <dcterms:modified xsi:type="dcterms:W3CDTF">2023-05-12T07:35:00Z</dcterms:modified>
</cp:coreProperties>
</file>