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59"/>
        <w:gridCol w:w="2236"/>
        <w:gridCol w:w="3214"/>
        <w:gridCol w:w="2930"/>
      </w:tblGrid>
      <w:tr w:rsidR="00E52109" w14:paraId="70DDBBFC" w14:textId="77777777" w:rsidTr="006476E1">
        <w:trPr>
          <w:trHeight w:val="851"/>
        </w:trPr>
        <w:tc>
          <w:tcPr>
            <w:tcW w:w="1259" w:type="dxa"/>
            <w:tcBorders>
              <w:top w:val="nil"/>
              <w:left w:val="nil"/>
              <w:bottom w:val="single" w:sz="4" w:space="0" w:color="auto"/>
              <w:right w:val="nil"/>
            </w:tcBorders>
          </w:tcPr>
          <w:p w14:paraId="5F226160" w14:textId="77777777" w:rsidR="00E52109" w:rsidRPr="002A32CB" w:rsidRDefault="00E52109" w:rsidP="004858F5"/>
        </w:tc>
        <w:tc>
          <w:tcPr>
            <w:tcW w:w="2236" w:type="dxa"/>
            <w:tcBorders>
              <w:top w:val="nil"/>
              <w:left w:val="nil"/>
              <w:bottom w:val="single" w:sz="4" w:space="0" w:color="auto"/>
              <w:right w:val="nil"/>
            </w:tcBorders>
            <w:vAlign w:val="bottom"/>
          </w:tcPr>
          <w:p w14:paraId="44FE8BEC" w14:textId="77777777" w:rsidR="00E52109" w:rsidRDefault="00E52109" w:rsidP="006476E1">
            <w:pPr>
              <w:spacing w:after="80" w:line="300" w:lineRule="exact"/>
              <w:rPr>
                <w:sz w:val="28"/>
                <w:szCs w:val="28"/>
              </w:rPr>
            </w:pPr>
            <w:r>
              <w:rPr>
                <w:sz w:val="28"/>
                <w:szCs w:val="28"/>
              </w:rPr>
              <w:t>United Nations</w:t>
            </w:r>
          </w:p>
        </w:tc>
        <w:tc>
          <w:tcPr>
            <w:tcW w:w="6144" w:type="dxa"/>
            <w:gridSpan w:val="2"/>
            <w:tcBorders>
              <w:top w:val="nil"/>
              <w:left w:val="nil"/>
              <w:bottom w:val="single" w:sz="4" w:space="0" w:color="auto"/>
              <w:right w:val="nil"/>
            </w:tcBorders>
            <w:vAlign w:val="bottom"/>
          </w:tcPr>
          <w:p w14:paraId="744AB3B9" w14:textId="6ECB4DB2" w:rsidR="00E52109" w:rsidRDefault="001423A9" w:rsidP="001423A9">
            <w:pPr>
              <w:suppressAutoHyphens w:val="0"/>
              <w:jc w:val="right"/>
            </w:pPr>
            <w:r w:rsidRPr="001423A9">
              <w:rPr>
                <w:sz w:val="40"/>
              </w:rPr>
              <w:t>ST</w:t>
            </w:r>
            <w:r>
              <w:t>/SG/AC.10/C.3/2023/16</w:t>
            </w:r>
          </w:p>
        </w:tc>
      </w:tr>
      <w:tr w:rsidR="00E52109" w14:paraId="7E9D6A89" w14:textId="77777777" w:rsidTr="006476E1">
        <w:trPr>
          <w:trHeight w:val="2835"/>
        </w:trPr>
        <w:tc>
          <w:tcPr>
            <w:tcW w:w="1259" w:type="dxa"/>
            <w:tcBorders>
              <w:top w:val="single" w:sz="4" w:space="0" w:color="auto"/>
              <w:left w:val="nil"/>
              <w:bottom w:val="single" w:sz="12" w:space="0" w:color="auto"/>
              <w:right w:val="nil"/>
            </w:tcBorders>
          </w:tcPr>
          <w:p w14:paraId="0581B573" w14:textId="77777777" w:rsidR="00E52109" w:rsidRDefault="00E52109" w:rsidP="006476E1">
            <w:pPr>
              <w:spacing w:before="120"/>
              <w:jc w:val="center"/>
            </w:pPr>
            <w:r>
              <w:rPr>
                <w:noProof/>
                <w:lang w:val="fr-CH" w:eastAsia="fr-CH"/>
              </w:rPr>
              <w:drawing>
                <wp:inline distT="0" distB="0" distL="0" distR="0" wp14:anchorId="2935B0C2" wp14:editId="0BCAC58A">
                  <wp:extent cx="714375" cy="590550"/>
                  <wp:effectExtent l="0" t="0" r="9525" b="0"/>
                  <wp:docPr id="1" name="Pictur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450" w:type="dxa"/>
            <w:gridSpan w:val="2"/>
            <w:tcBorders>
              <w:top w:val="single" w:sz="4" w:space="0" w:color="auto"/>
              <w:left w:val="nil"/>
              <w:bottom w:val="single" w:sz="12" w:space="0" w:color="auto"/>
              <w:right w:val="nil"/>
            </w:tcBorders>
          </w:tcPr>
          <w:p w14:paraId="5C1ABCD7" w14:textId="77777777" w:rsidR="00E52109" w:rsidRDefault="00D94B05" w:rsidP="006476E1">
            <w:pPr>
              <w:spacing w:before="120" w:line="420" w:lineRule="exact"/>
              <w:rPr>
                <w:b/>
                <w:sz w:val="40"/>
                <w:szCs w:val="40"/>
              </w:rPr>
            </w:pPr>
            <w:r>
              <w:rPr>
                <w:b/>
                <w:sz w:val="40"/>
                <w:szCs w:val="40"/>
              </w:rPr>
              <w:t>Secretariat</w:t>
            </w:r>
          </w:p>
        </w:tc>
        <w:tc>
          <w:tcPr>
            <w:tcW w:w="2930" w:type="dxa"/>
            <w:tcBorders>
              <w:top w:val="single" w:sz="4" w:space="0" w:color="auto"/>
              <w:left w:val="nil"/>
              <w:bottom w:val="single" w:sz="12" w:space="0" w:color="auto"/>
              <w:right w:val="nil"/>
            </w:tcBorders>
          </w:tcPr>
          <w:p w14:paraId="01051205" w14:textId="77777777" w:rsidR="00D94B05" w:rsidRDefault="001423A9" w:rsidP="001423A9">
            <w:pPr>
              <w:suppressAutoHyphens w:val="0"/>
              <w:spacing w:before="240" w:line="240" w:lineRule="exact"/>
            </w:pPr>
            <w:r>
              <w:t>Distr.: General</w:t>
            </w:r>
          </w:p>
          <w:p w14:paraId="64475291" w14:textId="77777777" w:rsidR="001423A9" w:rsidRDefault="001423A9" w:rsidP="001423A9">
            <w:pPr>
              <w:suppressAutoHyphens w:val="0"/>
              <w:spacing w:line="240" w:lineRule="exact"/>
            </w:pPr>
            <w:r>
              <w:t>20 April 2023</w:t>
            </w:r>
          </w:p>
          <w:p w14:paraId="2D569B6A" w14:textId="77777777" w:rsidR="001423A9" w:rsidRDefault="001423A9" w:rsidP="001423A9">
            <w:pPr>
              <w:suppressAutoHyphens w:val="0"/>
              <w:spacing w:line="240" w:lineRule="exact"/>
            </w:pPr>
          </w:p>
          <w:p w14:paraId="08CB6990" w14:textId="6E9507E6" w:rsidR="001423A9" w:rsidRDefault="001423A9" w:rsidP="001423A9">
            <w:pPr>
              <w:suppressAutoHyphens w:val="0"/>
              <w:spacing w:line="240" w:lineRule="exact"/>
            </w:pPr>
            <w:r>
              <w:t>Original: English</w:t>
            </w:r>
          </w:p>
        </w:tc>
      </w:tr>
    </w:tbl>
    <w:p w14:paraId="71E25CD5" w14:textId="77777777" w:rsidR="00E54249" w:rsidRPr="00846AAD" w:rsidRDefault="00E54249" w:rsidP="00E54249">
      <w:pPr>
        <w:spacing w:before="120"/>
        <w:rPr>
          <w:b/>
          <w:sz w:val="24"/>
          <w:szCs w:val="24"/>
        </w:rPr>
      </w:pPr>
      <w:r w:rsidRPr="00846AAD">
        <w:rPr>
          <w:b/>
          <w:sz w:val="24"/>
          <w:szCs w:val="24"/>
        </w:rPr>
        <w:t>Committee of Experts on the Transport of Dangerous Goods</w:t>
      </w:r>
      <w:r w:rsidRPr="00846AAD">
        <w:rPr>
          <w:b/>
          <w:sz w:val="24"/>
          <w:szCs w:val="24"/>
        </w:rPr>
        <w:br/>
        <w:t>and on the Globally Harmonized System of Classification</w:t>
      </w:r>
      <w:r w:rsidRPr="00846AAD">
        <w:rPr>
          <w:b/>
          <w:sz w:val="24"/>
          <w:szCs w:val="24"/>
        </w:rPr>
        <w:br/>
        <w:t>and Labelling of Chemicals</w:t>
      </w:r>
    </w:p>
    <w:p w14:paraId="14104AFF" w14:textId="77777777" w:rsidR="00E54249" w:rsidRPr="00846AAD" w:rsidRDefault="00E54249" w:rsidP="00E54249">
      <w:pPr>
        <w:spacing w:before="120"/>
        <w:rPr>
          <w:rFonts w:ascii="Helv" w:hAnsi="Helv" w:cs="Helv"/>
          <w:b/>
          <w:color w:val="000000"/>
        </w:rPr>
      </w:pPr>
      <w:r w:rsidRPr="00846AAD">
        <w:rPr>
          <w:b/>
        </w:rPr>
        <w:t>Sub-Committee of Experts on the Transport of Dangerous Goods</w:t>
      </w:r>
    </w:p>
    <w:p w14:paraId="5019D69A" w14:textId="77777777" w:rsidR="00E54249" w:rsidRPr="00846AAD" w:rsidRDefault="00E54249" w:rsidP="00E54249">
      <w:pPr>
        <w:spacing w:before="120"/>
        <w:rPr>
          <w:b/>
        </w:rPr>
      </w:pPr>
      <w:r w:rsidRPr="00846AAD">
        <w:rPr>
          <w:b/>
        </w:rPr>
        <w:t>Sixty-second session</w:t>
      </w:r>
    </w:p>
    <w:p w14:paraId="0A4AB41B" w14:textId="77777777" w:rsidR="00E54249" w:rsidRPr="00846AAD" w:rsidRDefault="00E54249" w:rsidP="00E54249">
      <w:r w:rsidRPr="00846AAD">
        <w:t>Geneva, 3-7 July 2023</w:t>
      </w:r>
    </w:p>
    <w:p w14:paraId="6EEC2155" w14:textId="2E2FD0AE" w:rsidR="00E54249" w:rsidRPr="00846AAD" w:rsidRDefault="00E54249" w:rsidP="00E54249">
      <w:r w:rsidRPr="00846AAD">
        <w:t>Item 2</w:t>
      </w:r>
      <w:r w:rsidR="003D3FBE" w:rsidRPr="00846AAD">
        <w:t xml:space="preserve"> </w:t>
      </w:r>
      <w:r w:rsidRPr="00846AAD">
        <w:t>(f) of the provisional agenda</w:t>
      </w:r>
    </w:p>
    <w:p w14:paraId="73C7BC8D" w14:textId="24260067" w:rsidR="00E54249" w:rsidRPr="00846AAD" w:rsidRDefault="00E54249" w:rsidP="00E54249">
      <w:pPr>
        <w:rPr>
          <w:b/>
        </w:rPr>
      </w:pPr>
      <w:r w:rsidRPr="00846AAD">
        <w:rPr>
          <w:b/>
        </w:rPr>
        <w:t xml:space="preserve">Explosives and related matters: </w:t>
      </w:r>
      <w:r w:rsidR="000915AA">
        <w:rPr>
          <w:b/>
        </w:rPr>
        <w:br/>
      </w:r>
      <w:r w:rsidR="000323FA">
        <w:rPr>
          <w:b/>
        </w:rPr>
        <w:t>r</w:t>
      </w:r>
      <w:r w:rsidRPr="00846AAD">
        <w:rPr>
          <w:b/>
        </w:rPr>
        <w:t>eview of packaging</w:t>
      </w:r>
      <w:r w:rsidR="000323FA">
        <w:rPr>
          <w:b/>
        </w:rPr>
        <w:t xml:space="preserve"> </w:t>
      </w:r>
      <w:r w:rsidRPr="00846AAD">
        <w:rPr>
          <w:b/>
        </w:rPr>
        <w:t>and transport requirements</w:t>
      </w:r>
      <w:r w:rsidR="000323FA">
        <w:rPr>
          <w:b/>
        </w:rPr>
        <w:br/>
      </w:r>
      <w:r w:rsidRPr="00846AAD">
        <w:rPr>
          <w:b/>
        </w:rPr>
        <w:t>for ammonium nitrate emulsions</w:t>
      </w:r>
    </w:p>
    <w:p w14:paraId="50996508" w14:textId="77777777" w:rsidR="00E54249" w:rsidRPr="00846AAD" w:rsidRDefault="00E54249" w:rsidP="00E54249">
      <w:pPr>
        <w:pStyle w:val="HChG"/>
        <w:ind w:right="992"/>
      </w:pPr>
      <w:r w:rsidRPr="00846AAD">
        <w:tab/>
      </w:r>
      <w:r w:rsidRPr="00846AAD">
        <w:tab/>
      </w:r>
      <w:r w:rsidRPr="00846AAD">
        <w:rPr>
          <w:rFonts w:eastAsia="Times New Roman"/>
          <w:lang w:eastAsia="ko-KR"/>
        </w:rPr>
        <w:t xml:space="preserve">Proposal to remove the requirement of test series 8(d) for assessing the suitability of </w:t>
      </w:r>
      <w:r w:rsidRPr="00846AAD">
        <w:t>ammonium nitrate emulsions</w:t>
      </w:r>
      <w:r w:rsidRPr="00846AAD">
        <w:rPr>
          <w:rFonts w:eastAsia="Times New Roman"/>
          <w:lang w:eastAsia="ko-KR"/>
        </w:rPr>
        <w:t xml:space="preserve"> for transport in portable tanks</w:t>
      </w:r>
    </w:p>
    <w:p w14:paraId="27C5CED5" w14:textId="77777777" w:rsidR="00E54249" w:rsidRPr="00846AAD" w:rsidRDefault="00E54249" w:rsidP="00E54249">
      <w:pPr>
        <w:pStyle w:val="H1G"/>
      </w:pPr>
      <w:r w:rsidRPr="00846AAD">
        <w:tab/>
      </w:r>
      <w:r w:rsidRPr="00846AAD">
        <w:tab/>
        <w:t xml:space="preserve">Transmitted by the </w:t>
      </w:r>
      <w:r w:rsidRPr="00846AAD">
        <w:rPr>
          <w:rFonts w:eastAsia="Arial Unicode MS"/>
        </w:rPr>
        <w:t>Institute of Makers of Explosives (IME)</w:t>
      </w:r>
      <w:r w:rsidRPr="00A27893">
        <w:rPr>
          <w:rStyle w:val="FootnoteReference"/>
        </w:rPr>
        <w:footnoteReference w:id="2"/>
      </w:r>
    </w:p>
    <w:p w14:paraId="6A9C7C92" w14:textId="77777777" w:rsidR="00E54249" w:rsidRPr="00846AAD" w:rsidRDefault="00E54249" w:rsidP="00E54249">
      <w:pPr>
        <w:pStyle w:val="HChG"/>
      </w:pPr>
      <w:r w:rsidRPr="00846AAD">
        <w:tab/>
      </w:r>
      <w:r w:rsidRPr="00846AAD">
        <w:tab/>
        <w:t>Introduction</w:t>
      </w:r>
    </w:p>
    <w:p w14:paraId="1063D9EA" w14:textId="77777777" w:rsidR="00E54249" w:rsidRPr="00846AAD" w:rsidRDefault="00E54249" w:rsidP="00E54249">
      <w:pPr>
        <w:pStyle w:val="SingleTxtG"/>
        <w:kinsoku/>
        <w:overflowPunct/>
        <w:autoSpaceDE/>
        <w:autoSpaceDN/>
        <w:adjustRightInd/>
        <w:snapToGrid/>
        <w:rPr>
          <w:szCs w:val="21"/>
        </w:rPr>
      </w:pPr>
      <w:r w:rsidRPr="00846AAD">
        <w:rPr>
          <w:szCs w:val="21"/>
        </w:rPr>
        <w:t>1.</w:t>
      </w:r>
      <w:r w:rsidRPr="00846AAD">
        <w:rPr>
          <w:szCs w:val="21"/>
        </w:rPr>
        <w:tab/>
      </w:r>
      <w:r w:rsidRPr="00846AAD">
        <w:rPr>
          <w:rFonts w:eastAsia="Times New Roman"/>
          <w:lang w:eastAsia="x-none"/>
        </w:rPr>
        <w:t>Ammonium nitrate emulsions (ANEs) have been transported in bulk containers on road since the 1980s. There have been several fires reported during transport of bulk ANEs that have not resulted in an explosion. Figure 3 (see annex) shows an example of an ANE trailer fire that did not lead to an explosion. Only one known event in all that time resulted in a detonation.</w:t>
      </w:r>
    </w:p>
    <w:p w14:paraId="61AB968F" w14:textId="77777777" w:rsidR="00E54249" w:rsidRPr="00846AAD" w:rsidRDefault="00E54249" w:rsidP="00E54249">
      <w:pPr>
        <w:kinsoku/>
        <w:overflowPunct/>
        <w:autoSpaceDE/>
        <w:autoSpaceDN/>
        <w:adjustRightInd/>
        <w:snapToGrid/>
        <w:spacing w:after="120"/>
        <w:ind w:left="1080" w:right="1134"/>
        <w:jc w:val="both"/>
        <w:rPr>
          <w:rFonts w:eastAsia="Times New Roman"/>
          <w:lang w:eastAsia="x-none"/>
        </w:rPr>
      </w:pPr>
      <w:r w:rsidRPr="00846AAD">
        <w:rPr>
          <w:rFonts w:eastAsia="Times New Roman"/>
          <w:lang w:eastAsia="x-none"/>
        </w:rPr>
        <w:t>2.</w:t>
      </w:r>
      <w:r w:rsidRPr="00846AAD">
        <w:rPr>
          <w:rFonts w:eastAsia="Times New Roman"/>
          <w:lang w:eastAsia="x-none"/>
        </w:rPr>
        <w:tab/>
        <w:t xml:space="preserve">IME has reservations about the reliability of test series 8(d) to predict the bulk </w:t>
      </w:r>
      <w:proofErr w:type="spellStart"/>
      <w:r w:rsidRPr="00846AAD">
        <w:rPr>
          <w:rFonts w:eastAsia="Times New Roman"/>
          <w:lang w:eastAsia="x-none"/>
        </w:rPr>
        <w:t>behavior</w:t>
      </w:r>
      <w:proofErr w:type="spellEnd"/>
      <w:r w:rsidRPr="00846AAD">
        <w:rPr>
          <w:rFonts w:eastAsia="Times New Roman"/>
          <w:lang w:eastAsia="x-none"/>
        </w:rPr>
        <w:t xml:space="preserve"> of ANEs in incidents where they are involved in fires for two reasons. First, past </w:t>
      </w:r>
      <w:proofErr w:type="spellStart"/>
      <w:r w:rsidRPr="00846AAD">
        <w:rPr>
          <w:rFonts w:eastAsia="Times New Roman"/>
          <w:lang w:eastAsia="x-none"/>
        </w:rPr>
        <w:t>modeling</w:t>
      </w:r>
      <w:proofErr w:type="spellEnd"/>
      <w:r w:rsidRPr="00846AAD">
        <w:rPr>
          <w:rFonts w:eastAsia="Times New Roman"/>
          <w:lang w:eastAsia="x-none"/>
        </w:rPr>
        <w:t xml:space="preserve"> showed that the 8(c) </w:t>
      </w:r>
      <w:proofErr w:type="spellStart"/>
      <w:r w:rsidRPr="00846AAD">
        <w:rPr>
          <w:rFonts w:eastAsia="Times New Roman"/>
          <w:lang w:eastAsia="x-none"/>
        </w:rPr>
        <w:t>Koenen</w:t>
      </w:r>
      <w:proofErr w:type="spellEnd"/>
      <w:r w:rsidRPr="00846AAD">
        <w:rPr>
          <w:rFonts w:eastAsia="Times New Roman"/>
          <w:lang w:eastAsia="x-none"/>
        </w:rPr>
        <w:t xml:space="preserve"> test can yield false positives. The 8(d) test is in effect a scaled up </w:t>
      </w:r>
      <w:proofErr w:type="spellStart"/>
      <w:r w:rsidRPr="00846AAD">
        <w:rPr>
          <w:rFonts w:eastAsia="Times New Roman"/>
          <w:lang w:eastAsia="x-none"/>
        </w:rPr>
        <w:t>Koenen</w:t>
      </w:r>
      <w:proofErr w:type="spellEnd"/>
      <w:r w:rsidRPr="00846AAD">
        <w:rPr>
          <w:rFonts w:eastAsia="Times New Roman"/>
          <w:lang w:eastAsia="x-none"/>
        </w:rPr>
        <w:t xml:space="preserve"> Test. Second, a recent incident in Western Australia involving an ANE resulted in a detonation, showing that the 8(d) test can yield false negatives.</w:t>
      </w:r>
    </w:p>
    <w:p w14:paraId="0EBBE0C4" w14:textId="77777777" w:rsidR="00E54249" w:rsidRPr="00846AAD" w:rsidRDefault="00E54249" w:rsidP="00E54249">
      <w:pPr>
        <w:kinsoku/>
        <w:overflowPunct/>
        <w:autoSpaceDE/>
        <w:autoSpaceDN/>
        <w:adjustRightInd/>
        <w:snapToGrid/>
        <w:spacing w:after="120"/>
        <w:ind w:left="1080" w:right="1134"/>
        <w:jc w:val="both"/>
        <w:rPr>
          <w:rFonts w:eastAsia="Times New Roman"/>
          <w:lang w:eastAsia="x-none"/>
        </w:rPr>
      </w:pPr>
      <w:r w:rsidRPr="00846AAD">
        <w:rPr>
          <w:rFonts w:eastAsia="Times New Roman"/>
          <w:lang w:eastAsia="x-none"/>
        </w:rPr>
        <w:t>3.</w:t>
      </w:r>
      <w:r w:rsidRPr="00846AAD">
        <w:rPr>
          <w:rFonts w:eastAsia="Times New Roman"/>
          <w:lang w:eastAsia="x-none"/>
        </w:rPr>
        <w:tab/>
        <w:t xml:space="preserve">ANEs, in particular emulsions, have a </w:t>
      </w:r>
      <w:proofErr w:type="gramStart"/>
      <w:r w:rsidRPr="00846AAD">
        <w:rPr>
          <w:rFonts w:eastAsia="Times New Roman"/>
          <w:lang w:eastAsia="x-none"/>
        </w:rPr>
        <w:t>high water</w:t>
      </w:r>
      <w:proofErr w:type="gramEnd"/>
      <w:r w:rsidRPr="00846AAD">
        <w:rPr>
          <w:rFonts w:eastAsia="Times New Roman"/>
          <w:lang w:eastAsia="x-none"/>
        </w:rPr>
        <w:t xml:space="preserve"> content which provides an </w:t>
      </w:r>
      <w:proofErr w:type="spellStart"/>
      <w:r w:rsidRPr="00846AAD">
        <w:rPr>
          <w:rFonts w:eastAsia="Times New Roman"/>
          <w:lang w:eastAsia="x-none"/>
        </w:rPr>
        <w:t>inerting</w:t>
      </w:r>
      <w:proofErr w:type="spellEnd"/>
      <w:r w:rsidRPr="00846AAD">
        <w:rPr>
          <w:rFonts w:eastAsia="Times New Roman"/>
          <w:lang w:eastAsia="x-none"/>
        </w:rPr>
        <w:t xml:space="preserve"> medium as well as a heat sink. This </w:t>
      </w:r>
      <w:proofErr w:type="gramStart"/>
      <w:r w:rsidRPr="00846AAD">
        <w:rPr>
          <w:rFonts w:eastAsia="Times New Roman"/>
          <w:lang w:eastAsia="x-none"/>
        </w:rPr>
        <w:t>high water</w:t>
      </w:r>
      <w:proofErr w:type="gramEnd"/>
      <w:r w:rsidRPr="00846AAD">
        <w:rPr>
          <w:rFonts w:eastAsia="Times New Roman"/>
          <w:lang w:eastAsia="x-none"/>
        </w:rPr>
        <w:t xml:space="preserve"> content results in a substance that has a high minimum burning pressure (MBP). The MBP is measured in the test series 8(e) for ANEs.</w:t>
      </w:r>
    </w:p>
    <w:p w14:paraId="58AA797F" w14:textId="77777777" w:rsidR="00E54249" w:rsidRPr="00846AAD" w:rsidRDefault="00E54249" w:rsidP="00E54249">
      <w:pPr>
        <w:kinsoku/>
        <w:overflowPunct/>
        <w:autoSpaceDE/>
        <w:autoSpaceDN/>
        <w:adjustRightInd/>
        <w:snapToGrid/>
        <w:spacing w:after="120"/>
        <w:ind w:left="1080" w:right="1134"/>
        <w:jc w:val="both"/>
        <w:rPr>
          <w:rFonts w:eastAsia="Times New Roman"/>
          <w:lang w:eastAsia="x-none"/>
        </w:rPr>
      </w:pPr>
      <w:r w:rsidRPr="00846AAD">
        <w:rPr>
          <w:rFonts w:eastAsia="Times New Roman"/>
          <w:lang w:eastAsia="x-none"/>
        </w:rPr>
        <w:t>4.</w:t>
      </w:r>
      <w:r w:rsidRPr="00846AAD">
        <w:rPr>
          <w:rFonts w:eastAsia="Times New Roman"/>
          <w:lang w:eastAsia="x-none"/>
        </w:rPr>
        <w:tab/>
        <w:t>This document proposes that those ANEs that are subject to and satisfy the 8(e) test be excluded from the 8(d) test.</w:t>
      </w:r>
    </w:p>
    <w:p w14:paraId="1F03E31E" w14:textId="77777777" w:rsidR="00E54249" w:rsidRPr="00846AAD" w:rsidRDefault="00E54249" w:rsidP="00E54249">
      <w:pPr>
        <w:kinsoku/>
        <w:overflowPunct/>
        <w:autoSpaceDE/>
        <w:autoSpaceDN/>
        <w:adjustRightInd/>
        <w:snapToGrid/>
        <w:spacing w:after="120"/>
        <w:ind w:left="1080" w:right="1134"/>
        <w:jc w:val="both"/>
        <w:rPr>
          <w:rFonts w:eastAsia="Times New Roman"/>
          <w:lang w:eastAsia="x-none"/>
        </w:rPr>
      </w:pPr>
      <w:r w:rsidRPr="00846AAD">
        <w:rPr>
          <w:rFonts w:eastAsia="Times New Roman"/>
          <w:lang w:eastAsia="x-none"/>
        </w:rPr>
        <w:t>5.</w:t>
      </w:r>
      <w:r w:rsidRPr="00846AAD">
        <w:rPr>
          <w:rFonts w:eastAsia="Times New Roman"/>
          <w:lang w:eastAsia="x-none"/>
        </w:rPr>
        <w:tab/>
        <w:t>All figures referred to in this document may be found in the annex hereto.</w:t>
      </w:r>
    </w:p>
    <w:p w14:paraId="3B3DB4B7" w14:textId="77777777" w:rsidR="00204542" w:rsidRPr="00846AAD" w:rsidRDefault="00204542" w:rsidP="00E54249">
      <w:pPr>
        <w:kinsoku/>
        <w:overflowPunct/>
        <w:autoSpaceDE/>
        <w:autoSpaceDN/>
        <w:adjustRightInd/>
        <w:snapToGrid/>
        <w:spacing w:after="120"/>
        <w:ind w:left="1080" w:right="1134"/>
        <w:jc w:val="both"/>
        <w:rPr>
          <w:rFonts w:eastAsia="Times New Roman"/>
          <w:lang w:eastAsia="x-none"/>
        </w:rPr>
      </w:pPr>
    </w:p>
    <w:p w14:paraId="17E9A250" w14:textId="77777777" w:rsidR="00CB602A" w:rsidRPr="00846AAD" w:rsidRDefault="00CB602A" w:rsidP="00E54249">
      <w:pPr>
        <w:pStyle w:val="HChG"/>
        <w:sectPr w:rsidR="00CB602A" w:rsidRPr="00846AAD" w:rsidSect="001423A9">
          <w:headerReference w:type="even" r:id="rId12"/>
          <w:headerReference w:type="default" r:id="rId13"/>
          <w:footerReference w:type="even" r:id="rId14"/>
          <w:footerReference w:type="default" r:id="rId15"/>
          <w:footerReference w:type="first" r:id="rId16"/>
          <w:footnotePr>
            <w:numFmt w:val="chicago"/>
          </w:footnotePr>
          <w:endnotePr>
            <w:numFmt w:val="decimal"/>
          </w:endnotePr>
          <w:pgSz w:w="11907" w:h="16840" w:code="9"/>
          <w:pgMar w:top="1417" w:right="1134" w:bottom="1134" w:left="1134" w:header="850" w:footer="567" w:gutter="0"/>
          <w:cols w:space="720"/>
          <w:titlePg/>
          <w:docGrid w:linePitch="272"/>
        </w:sectPr>
      </w:pPr>
    </w:p>
    <w:p w14:paraId="732CB18A" w14:textId="77777777" w:rsidR="00E54249" w:rsidRPr="00846AAD" w:rsidRDefault="00E54249" w:rsidP="00E54249">
      <w:pPr>
        <w:pStyle w:val="HChG"/>
      </w:pPr>
      <w:r w:rsidRPr="00846AAD">
        <w:lastRenderedPageBreak/>
        <w:tab/>
      </w:r>
      <w:r w:rsidRPr="00846AAD">
        <w:tab/>
        <w:t>Background</w:t>
      </w:r>
    </w:p>
    <w:p w14:paraId="14A3EB74" w14:textId="77777777" w:rsidR="00E54249" w:rsidRPr="00846AAD" w:rsidRDefault="00E54249" w:rsidP="00E54249">
      <w:pPr>
        <w:pStyle w:val="SingleTxtG"/>
        <w:kinsoku/>
        <w:overflowPunct/>
        <w:autoSpaceDE/>
        <w:autoSpaceDN/>
        <w:adjustRightInd/>
        <w:snapToGrid/>
        <w:ind w:left="1080"/>
      </w:pPr>
      <w:r w:rsidRPr="00846AAD">
        <w:t>6.</w:t>
      </w:r>
      <w:r w:rsidRPr="00846AAD">
        <w:tab/>
        <w:t xml:space="preserve">For ANEs to be included in division 5.1 they need to pass test series 8(a), 8(b), and 8(c), or if the substance failed the 8(c) test and had a time to reaction in 8(c) longer than 60 seconds and a water content greater than </w:t>
      </w:r>
      <w:proofErr w:type="gramStart"/>
      <w:r w:rsidRPr="00846AAD">
        <w:t>14 %</w:t>
      </w:r>
      <w:proofErr w:type="gramEnd"/>
      <w:r w:rsidRPr="00846AAD">
        <w:t xml:space="preserve"> they need to pass the test series 8(a), 8(b), and 8(e). In addition, test series 8(d) has been included as a method to assess suitability of the ANE for containment in portable tanks.</w:t>
      </w:r>
    </w:p>
    <w:p w14:paraId="6F8C7F67" w14:textId="77777777" w:rsidR="00E54249" w:rsidRPr="00846AAD" w:rsidRDefault="00E54249" w:rsidP="00E54249">
      <w:pPr>
        <w:pStyle w:val="SingleTxtG"/>
        <w:kinsoku/>
        <w:overflowPunct/>
        <w:autoSpaceDE/>
        <w:autoSpaceDN/>
        <w:adjustRightInd/>
        <w:snapToGrid/>
        <w:ind w:left="1080"/>
      </w:pPr>
      <w:r w:rsidRPr="00846AAD">
        <w:t>7.</w:t>
      </w:r>
      <w:r w:rsidRPr="00846AAD">
        <w:tab/>
        <w:t xml:space="preserve">At the sixtieth session of the Sub-Committee, IME submitted official document ST/SG/AC.10/C.3/2022/18 providing numerical </w:t>
      </w:r>
      <w:proofErr w:type="spellStart"/>
      <w:r w:rsidRPr="00846AAD">
        <w:t>modeling</w:t>
      </w:r>
      <w:proofErr w:type="spellEnd"/>
      <w:r w:rsidRPr="00846AAD">
        <w:t xml:space="preserve"> results, covering transport of ANEs in stainless steel portable tanks, supporting the findings published in informal document INF.8 (fifty-eighth session) showing the heat, momentum and mass transport phenomena that take place within a tank containing an ANE that is subject to an external fire. The model, based on heat and fluid flow determined experimentally from truck tire and diesel fuel scenarios, included kinetics of the decomposition of ANE and the formation of a crust (mainly AN) during a fire scenario.</w:t>
      </w:r>
    </w:p>
    <w:p w14:paraId="7C009072" w14:textId="77777777" w:rsidR="00E54249" w:rsidRPr="00846AAD" w:rsidRDefault="00E54249" w:rsidP="00E54249">
      <w:pPr>
        <w:pStyle w:val="SingleTxtG"/>
        <w:kinsoku/>
        <w:overflowPunct/>
        <w:autoSpaceDE/>
        <w:autoSpaceDN/>
        <w:adjustRightInd/>
        <w:snapToGrid/>
        <w:ind w:left="1080"/>
      </w:pPr>
      <w:r w:rsidRPr="00846AAD">
        <w:t>8.</w:t>
      </w:r>
      <w:r w:rsidRPr="00846AAD">
        <w:tab/>
        <w:t xml:space="preserve">The </w:t>
      </w:r>
      <w:proofErr w:type="spellStart"/>
      <w:r w:rsidRPr="00846AAD">
        <w:t>modeling</w:t>
      </w:r>
      <w:proofErr w:type="spellEnd"/>
      <w:r w:rsidRPr="00846AAD">
        <w:t xml:space="preserve"> results supported observations in the field in which no detonation resulted from involving fires. When the model was applied to ANE formulations that failed the 8(d), similar results were generated. This provides a scientific basis for the proposal to exclude the requirement of the 8(d) test for ANEs that pass the 8(e) test on the grounds that the 8(d) test can produce false positives for certain ANEs.</w:t>
      </w:r>
    </w:p>
    <w:p w14:paraId="3CB25356" w14:textId="77777777" w:rsidR="00E54249" w:rsidRPr="00846AAD" w:rsidRDefault="00E54249" w:rsidP="00E54249">
      <w:pPr>
        <w:pStyle w:val="HChG"/>
      </w:pPr>
      <w:r w:rsidRPr="00846AAD">
        <w:tab/>
      </w:r>
      <w:r w:rsidRPr="00846AAD">
        <w:tab/>
        <w:t>Discussion</w:t>
      </w:r>
    </w:p>
    <w:p w14:paraId="2033CFB4" w14:textId="77777777" w:rsidR="00E54249" w:rsidRPr="00846AAD" w:rsidRDefault="00E54249" w:rsidP="00E54249">
      <w:pPr>
        <w:pStyle w:val="SingleTxtG"/>
        <w:kinsoku/>
        <w:overflowPunct/>
        <w:autoSpaceDE/>
        <w:autoSpaceDN/>
        <w:adjustRightInd/>
        <w:snapToGrid/>
        <w:ind w:left="1080"/>
      </w:pPr>
      <w:r w:rsidRPr="00846AAD">
        <w:rPr>
          <w:rFonts w:eastAsia="Times New Roman"/>
          <w:lang w:eastAsia="x-none"/>
        </w:rPr>
        <w:t>9.</w:t>
      </w:r>
      <w:r w:rsidRPr="00846AAD">
        <w:rPr>
          <w:rFonts w:eastAsia="Times New Roman"/>
          <w:lang w:eastAsia="x-none"/>
        </w:rPr>
        <w:tab/>
        <w:t xml:space="preserve">Until recently, transport fires with ANEs have not resulted in an explosion. A transport fire in Western </w:t>
      </w:r>
      <w:r w:rsidRPr="00846AAD">
        <w:t>Australia in October 2022 showed the effect of prolonged heating of the ANE. There was an explosion of the ANE after approximately two hours of exposure to fire. This event is described in the annex to this document.</w:t>
      </w:r>
    </w:p>
    <w:p w14:paraId="7EB3EE79" w14:textId="77777777" w:rsidR="00E54249" w:rsidRPr="00846AAD" w:rsidRDefault="00E54249" w:rsidP="00E54249">
      <w:pPr>
        <w:pStyle w:val="SingleTxtG"/>
        <w:kinsoku/>
        <w:overflowPunct/>
        <w:autoSpaceDE/>
        <w:autoSpaceDN/>
        <w:adjustRightInd/>
        <w:snapToGrid/>
        <w:ind w:left="1080"/>
      </w:pPr>
      <w:r w:rsidRPr="00846AAD">
        <w:t>10.</w:t>
      </w:r>
      <w:r w:rsidRPr="00846AAD">
        <w:tab/>
        <w:t>According to the Australian Department’s communique</w:t>
      </w:r>
      <w:r w:rsidRPr="00846AAD">
        <w:rPr>
          <w:vertAlign w:val="superscript"/>
        </w:rPr>
        <w:footnoteReference w:id="3"/>
      </w:r>
      <w:r w:rsidRPr="00846AAD">
        <w:t xml:space="preserve"> "the trailer was correctly loaded with authorized ANE”. It is presupposed that this means that the ANE was subjected to the 8(d) test and passed it, as the test is required by Western Australia’s competent authority.</w:t>
      </w:r>
    </w:p>
    <w:p w14:paraId="57D0A01A" w14:textId="77777777" w:rsidR="00E54249" w:rsidRPr="00846AAD" w:rsidRDefault="00E54249" w:rsidP="00E54249">
      <w:pPr>
        <w:pStyle w:val="SingleTxtG"/>
        <w:kinsoku/>
        <w:overflowPunct/>
        <w:autoSpaceDE/>
        <w:autoSpaceDN/>
        <w:adjustRightInd/>
        <w:snapToGrid/>
        <w:ind w:left="1080"/>
      </w:pPr>
      <w:r w:rsidRPr="00846AAD">
        <w:t>11.</w:t>
      </w:r>
      <w:r w:rsidRPr="00846AAD">
        <w:tab/>
        <w:t>The ANE transport event in Western Australia indicates that ANEs that have been assessed in test series 8(d) and are approved for transport in portable tanks as an oxidizing substance can explode during a fire event. The outcome calls into question the reliability of the 8(d) test on the grounds that it can produce false negatives.</w:t>
      </w:r>
    </w:p>
    <w:p w14:paraId="799AE0EE" w14:textId="77777777" w:rsidR="00E54249" w:rsidRPr="00846AAD" w:rsidRDefault="00E54249" w:rsidP="00E54249">
      <w:pPr>
        <w:pStyle w:val="SingleTxtG"/>
        <w:kinsoku/>
        <w:overflowPunct/>
        <w:autoSpaceDE/>
        <w:autoSpaceDN/>
        <w:adjustRightInd/>
        <w:snapToGrid/>
        <w:ind w:left="1080"/>
      </w:pPr>
      <w:r w:rsidRPr="00846AAD">
        <w:t>12.</w:t>
      </w:r>
      <w:r w:rsidRPr="00846AAD">
        <w:tab/>
        <w:t xml:space="preserve">ANEs, </w:t>
      </w:r>
      <w:proofErr w:type="gramStart"/>
      <w:r w:rsidRPr="00846AAD">
        <w:t>in particular emulsions</w:t>
      </w:r>
      <w:proofErr w:type="gramEnd"/>
      <w:r w:rsidRPr="00846AAD">
        <w:t xml:space="preserve">, typically have 60-75 % ammonium nitrate, with the rest being predominantly water. Water provides both an </w:t>
      </w:r>
      <w:proofErr w:type="spellStart"/>
      <w:r w:rsidRPr="00846AAD">
        <w:t>inerting</w:t>
      </w:r>
      <w:proofErr w:type="spellEnd"/>
      <w:r w:rsidRPr="00846AAD">
        <w:t xml:space="preserve"> medium as well as a heat sink due to its high heat of evaporation. However, if the ANE is subjected to prolonged heating, the water will evaporate, leaving behind a hot and reactive mass of ammonium nitrate and any organic material that has not vaporized during the heating. An explanation for the event in Western Australia is that the ANE, after approximately two hours of exposure to fire, exploded because the resulting mass was mostly ammonium nitrate in the form of a molten decomposing mass.</w:t>
      </w:r>
    </w:p>
    <w:p w14:paraId="45B40259" w14:textId="77777777" w:rsidR="00E54249" w:rsidRPr="00846AAD" w:rsidRDefault="00E54249" w:rsidP="00E54249">
      <w:pPr>
        <w:pStyle w:val="SingleTxtG"/>
        <w:kinsoku/>
        <w:overflowPunct/>
        <w:autoSpaceDE/>
        <w:autoSpaceDN/>
        <w:adjustRightInd/>
        <w:snapToGrid/>
        <w:ind w:left="1080"/>
      </w:pPr>
      <w:r w:rsidRPr="00846AAD">
        <w:t>13.</w:t>
      </w:r>
      <w:r w:rsidRPr="00846AAD">
        <w:tab/>
        <w:t xml:space="preserve">Ammonium nitrate solid, transported as UN 1942 and UN 2067, requires only test series 2. Its </w:t>
      </w:r>
      <w:proofErr w:type="spellStart"/>
      <w:r w:rsidRPr="00846AAD">
        <w:t>behavior</w:t>
      </w:r>
      <w:proofErr w:type="spellEnd"/>
      <w:r w:rsidRPr="00846AAD">
        <w:t xml:space="preserve"> under heating is well understood, and the focus during storage is to eliminate sources of heat. During transport, should there be a fire, the emergency procedure mandates evacuation since there is a likelihood that the product could explode.</w:t>
      </w:r>
    </w:p>
    <w:p w14:paraId="25CADBC9" w14:textId="77777777" w:rsidR="00E54249" w:rsidRPr="00846AAD" w:rsidRDefault="00E54249" w:rsidP="00E54249">
      <w:pPr>
        <w:pStyle w:val="SingleTxtG"/>
        <w:kinsoku/>
        <w:overflowPunct/>
        <w:autoSpaceDE/>
        <w:autoSpaceDN/>
        <w:adjustRightInd/>
        <w:snapToGrid/>
        <w:ind w:left="1080"/>
      </w:pPr>
      <w:r w:rsidRPr="00846AAD">
        <w:t>14.</w:t>
      </w:r>
      <w:r w:rsidRPr="00846AAD">
        <w:tab/>
        <w:t xml:space="preserve">In the event of a fire during transport involving an ANE, the response mandated is also evacuation. Since ANEs contain water, this </w:t>
      </w:r>
      <w:proofErr w:type="spellStart"/>
      <w:r w:rsidRPr="00846AAD">
        <w:t>inerting</w:t>
      </w:r>
      <w:proofErr w:type="spellEnd"/>
      <w:r w:rsidRPr="00846AAD">
        <w:t xml:space="preserve"> medium provides additional time for the evacuation process. The ANE event in Western Australia, for example, showed that the fire burned for two hours before there was an explosion. In contrast, the progression to an </w:t>
      </w:r>
      <w:r w:rsidRPr="00846AAD">
        <w:lastRenderedPageBreak/>
        <w:t>explosion from fires involving solid ammonium nitrate has been in the order of 20-30 minutes, noting that not all fires progress to an explosion.</w:t>
      </w:r>
    </w:p>
    <w:p w14:paraId="725E847C" w14:textId="77777777" w:rsidR="00E54249" w:rsidRPr="00846AAD" w:rsidRDefault="00E54249" w:rsidP="00E54249">
      <w:pPr>
        <w:pStyle w:val="SingleTxtG"/>
        <w:kinsoku/>
        <w:overflowPunct/>
        <w:autoSpaceDE/>
        <w:autoSpaceDN/>
        <w:adjustRightInd/>
        <w:snapToGrid/>
        <w:ind w:left="1080"/>
      </w:pPr>
      <w:r w:rsidRPr="00846AAD">
        <w:t>15.</w:t>
      </w:r>
      <w:r w:rsidRPr="00846AAD">
        <w:tab/>
        <w:t>The MBP, which is measured in the 8(e) test provides insight into the behaviour of an ANE. The MBP is a direct function of water – increasing in value as the water content is increased. In event of a transport emergency, as in the case of a fire, an ANE with a higher MBP will provide a longer evacuation time.</w:t>
      </w:r>
    </w:p>
    <w:p w14:paraId="2F0D7A6A" w14:textId="77777777" w:rsidR="00E54249" w:rsidRPr="00846AAD" w:rsidRDefault="00E54249" w:rsidP="00E54249">
      <w:pPr>
        <w:pStyle w:val="HChG"/>
        <w:rPr>
          <w:bCs/>
        </w:rPr>
      </w:pPr>
      <w:r w:rsidRPr="00846AAD">
        <w:tab/>
      </w:r>
      <w:r w:rsidRPr="00846AAD">
        <w:tab/>
        <w:t>Proposal</w:t>
      </w:r>
    </w:p>
    <w:p w14:paraId="331E079B" w14:textId="77777777" w:rsidR="00E54249" w:rsidRPr="00846AAD" w:rsidRDefault="00E54249" w:rsidP="00E54249">
      <w:pPr>
        <w:pStyle w:val="SingleTxtG"/>
        <w:kinsoku/>
        <w:overflowPunct/>
        <w:autoSpaceDE/>
        <w:autoSpaceDN/>
        <w:adjustRightInd/>
        <w:snapToGrid/>
        <w:ind w:left="1080"/>
      </w:pPr>
      <w:r w:rsidRPr="00846AAD">
        <w:t>16.</w:t>
      </w:r>
      <w:r w:rsidRPr="00846AAD">
        <w:tab/>
        <w:t>ANEs that satisfy the acceptance criteria of the 8(e) test should not need to be subjected to the 8(d) test and should be considered suitable for containment in portable tanks as oxidizing substances since their MBPs far exceed the pressures at which portable tanks will fail.</w:t>
      </w:r>
    </w:p>
    <w:p w14:paraId="221689A5" w14:textId="1DE35F4B" w:rsidR="00E54249" w:rsidRPr="00846AAD" w:rsidRDefault="00E54249" w:rsidP="00E54249">
      <w:pPr>
        <w:pStyle w:val="SingleTxtG"/>
        <w:kinsoku/>
        <w:overflowPunct/>
        <w:autoSpaceDE/>
        <w:autoSpaceDN/>
        <w:adjustRightInd/>
        <w:snapToGrid/>
        <w:ind w:left="1080"/>
      </w:pPr>
      <w:r w:rsidRPr="00846AAD">
        <w:t>17.</w:t>
      </w:r>
      <w:r w:rsidRPr="00846AAD">
        <w:tab/>
        <w:t xml:space="preserve">Amend footnote </w:t>
      </w:r>
      <w:r w:rsidRPr="00846AAD">
        <w:rPr>
          <w:vertAlign w:val="superscript"/>
        </w:rPr>
        <w:t>b</w:t>
      </w:r>
      <w:r w:rsidRPr="00846AAD">
        <w:t xml:space="preserve"> of </w:t>
      </w:r>
      <w:r w:rsidR="003B0222">
        <w:t>t</w:t>
      </w:r>
      <w:r w:rsidRPr="00846AAD">
        <w:t xml:space="preserve">able 18.1 in section 18.2 of the Manual of Tests and Criteria (MTC) as shown below (new text is indicated in </w:t>
      </w:r>
      <w:r w:rsidRPr="00846AAD">
        <w:rPr>
          <w:u w:val="single"/>
        </w:rPr>
        <w:t>underlined text</w:t>
      </w:r>
      <w:r w:rsidRPr="00846AAD">
        <w:t>):</w:t>
      </w:r>
    </w:p>
    <w:p w14:paraId="55AB4B98" w14:textId="77777777" w:rsidR="00E54249" w:rsidRPr="00846AAD" w:rsidRDefault="00E54249" w:rsidP="00E54249">
      <w:pPr>
        <w:pStyle w:val="SingleTxtG"/>
        <w:ind w:left="1080"/>
        <w:rPr>
          <w:iCs/>
        </w:rPr>
      </w:pPr>
      <w:proofErr w:type="gramStart"/>
      <w:r w:rsidRPr="00846AAD">
        <w:rPr>
          <w:szCs w:val="22"/>
        </w:rPr>
        <w:t>“</w:t>
      </w:r>
      <w:r w:rsidRPr="00846AAD">
        <w:rPr>
          <w:szCs w:val="22"/>
          <w:vertAlign w:val="superscript"/>
        </w:rPr>
        <w:t xml:space="preserve"> b</w:t>
      </w:r>
      <w:proofErr w:type="gramEnd"/>
      <w:r w:rsidRPr="00846AAD">
        <w:rPr>
          <w:szCs w:val="22"/>
          <w:vertAlign w:val="superscript"/>
        </w:rPr>
        <w:tab/>
      </w:r>
      <w:r w:rsidRPr="00846AAD">
        <w:rPr>
          <w:i/>
          <w:szCs w:val="22"/>
        </w:rPr>
        <w:t xml:space="preserve">These tests are intended for evaluating the suitability of ANEs for containment in portable tanks as an oxidizing substance. </w:t>
      </w:r>
      <w:r w:rsidRPr="00846AAD">
        <w:rPr>
          <w:i/>
          <w:szCs w:val="22"/>
          <w:u w:val="single"/>
        </w:rPr>
        <w:t>ANEs that satisfy the acceptance criteria of Test 8 (e) need not be subjected to Test 8 (d) as they are already considered suitable for containment in portable tanks as an oxidizing substance</w:t>
      </w:r>
      <w:r w:rsidRPr="00846AAD">
        <w:rPr>
          <w:iCs/>
          <w:szCs w:val="22"/>
        </w:rPr>
        <w:t>.”</w:t>
      </w:r>
    </w:p>
    <w:p w14:paraId="277FD917" w14:textId="77777777" w:rsidR="00E54249" w:rsidRPr="00846AAD" w:rsidRDefault="00E54249" w:rsidP="00E54249">
      <w:pPr>
        <w:pStyle w:val="SingleTxtG"/>
        <w:kinsoku/>
        <w:overflowPunct/>
        <w:autoSpaceDE/>
        <w:autoSpaceDN/>
        <w:adjustRightInd/>
        <w:snapToGrid/>
        <w:ind w:left="1080"/>
      </w:pPr>
      <w:r w:rsidRPr="00846AAD">
        <w:t>18.</w:t>
      </w:r>
      <w:r w:rsidRPr="00846AAD">
        <w:tab/>
        <w:t xml:space="preserve">Amend the first paragraph of section 18.7.1.1 of the MTC as shown below (new text is indicated in </w:t>
      </w:r>
      <w:r w:rsidRPr="00846AAD">
        <w:rPr>
          <w:u w:val="single"/>
        </w:rPr>
        <w:t>underlined text</w:t>
      </w:r>
      <w:r w:rsidRPr="00846AAD">
        <w:t>):</w:t>
      </w:r>
    </w:p>
    <w:p w14:paraId="6EB81D25" w14:textId="77777777" w:rsidR="00E54249" w:rsidRPr="00846AAD" w:rsidRDefault="00E54249" w:rsidP="00E54249">
      <w:pPr>
        <w:pStyle w:val="SingleTxtG"/>
        <w:kinsoku/>
        <w:overflowPunct/>
        <w:autoSpaceDE/>
        <w:autoSpaceDN/>
        <w:adjustRightInd/>
        <w:snapToGrid/>
        <w:ind w:left="1080"/>
        <w:rPr>
          <w:u w:val="single"/>
        </w:rPr>
      </w:pPr>
      <w:r w:rsidRPr="00846AAD">
        <w:t>“This test is not intended for classification but is included in this Manual for evaluating the suitability for containment in portable tanks as an oxidizing substance</w:t>
      </w:r>
      <w:r w:rsidRPr="00846AAD">
        <w:rPr>
          <w:color w:val="0070C0"/>
        </w:rPr>
        <w:t xml:space="preserve">. </w:t>
      </w:r>
      <w:r w:rsidRPr="00846AAD">
        <w:rPr>
          <w:u w:val="single"/>
        </w:rPr>
        <w:t>ANEs that satisfy the acceptance criteria of Test 8 (e) need not be subjected to Test 8 (d) as they are already considered suitable for containment in portable tanks as an oxidizing substance</w:t>
      </w:r>
      <w:r w:rsidRPr="00846AAD">
        <w:t>.”</w:t>
      </w:r>
    </w:p>
    <w:p w14:paraId="284313D2" w14:textId="77777777" w:rsidR="00E54249" w:rsidRPr="00846AAD" w:rsidRDefault="00E54249" w:rsidP="00E54249">
      <w:pPr>
        <w:pStyle w:val="SingleTxtG"/>
        <w:kinsoku/>
        <w:overflowPunct/>
        <w:autoSpaceDE/>
        <w:autoSpaceDN/>
        <w:adjustRightInd/>
        <w:snapToGrid/>
        <w:ind w:left="1080"/>
      </w:pPr>
      <w:r w:rsidRPr="00846AAD">
        <w:t>19.</w:t>
      </w:r>
      <w:r w:rsidRPr="00846AAD">
        <w:tab/>
        <w:t xml:space="preserve">Amend the first paragraph of section 18.7.2.1 of the MTC as shown below (new text is indicated in </w:t>
      </w:r>
      <w:r w:rsidRPr="00846AAD">
        <w:rPr>
          <w:u w:val="single"/>
        </w:rPr>
        <w:t>underlined text</w:t>
      </w:r>
      <w:r w:rsidRPr="00846AAD">
        <w:t>):</w:t>
      </w:r>
    </w:p>
    <w:p w14:paraId="305C310A" w14:textId="77777777" w:rsidR="00E54249" w:rsidRPr="00846AAD" w:rsidRDefault="00E54249" w:rsidP="00E54249">
      <w:pPr>
        <w:pStyle w:val="SingleTxtG"/>
        <w:kinsoku/>
        <w:overflowPunct/>
        <w:autoSpaceDE/>
        <w:autoSpaceDN/>
        <w:adjustRightInd/>
        <w:snapToGrid/>
        <w:ind w:left="1080"/>
        <w:rPr>
          <w:u w:val="single"/>
        </w:rPr>
      </w:pPr>
      <w:r w:rsidRPr="00846AAD">
        <w:t xml:space="preserve">“This test is not intended for classification but is included in this Manual for evaluating the suitability of a candidate for "ammonium nitrate emulsion or suspension or gel, intermediate for blasting explosives", to be contained in portable tanks as an oxidizing substance. </w:t>
      </w:r>
      <w:r w:rsidRPr="00846AAD">
        <w:rPr>
          <w:u w:val="single"/>
        </w:rPr>
        <w:t>ANEs that satisfy the acceptance criteria of Test 8 (e) need not be subjected to Test 8 (d) as they are already considered suitable for containment in portable tanks as an oxidizing substance</w:t>
      </w:r>
      <w:r w:rsidRPr="00846AAD">
        <w:t>.”</w:t>
      </w:r>
    </w:p>
    <w:p w14:paraId="5BD206A0" w14:textId="77777777" w:rsidR="00E54249" w:rsidRPr="00846AAD" w:rsidRDefault="00E54249" w:rsidP="00E54249">
      <w:pPr>
        <w:pStyle w:val="SingleTxtG"/>
        <w:kinsoku/>
        <w:overflowPunct/>
        <w:autoSpaceDE/>
        <w:autoSpaceDN/>
        <w:adjustRightInd/>
        <w:snapToGrid/>
        <w:ind w:left="1080"/>
      </w:pPr>
      <w:r w:rsidRPr="00846AAD">
        <w:t>20.</w:t>
      </w:r>
      <w:r w:rsidRPr="00846AAD">
        <w:tab/>
        <w:t xml:space="preserve">Amend section 18.8.1.1 of the MTC as shown below (new text is indicated in </w:t>
      </w:r>
      <w:r w:rsidRPr="00846AAD">
        <w:rPr>
          <w:u w:val="single"/>
        </w:rPr>
        <w:t>underlined text</w:t>
      </w:r>
      <w:r w:rsidRPr="00846AAD">
        <w:t>):</w:t>
      </w:r>
    </w:p>
    <w:p w14:paraId="23551898" w14:textId="77777777" w:rsidR="00E54249" w:rsidRPr="00846AAD" w:rsidRDefault="00E54249" w:rsidP="00E54249">
      <w:pPr>
        <w:pStyle w:val="SingleTxtG"/>
        <w:kinsoku/>
        <w:overflowPunct/>
        <w:autoSpaceDE/>
        <w:autoSpaceDN/>
        <w:adjustRightInd/>
        <w:snapToGrid/>
        <w:ind w:left="1080"/>
      </w:pPr>
      <w:r w:rsidRPr="00846AAD">
        <w:t>“18.8.1.1</w:t>
      </w:r>
      <w:r w:rsidRPr="00846AAD">
        <w:tab/>
        <w:t>Introduction</w:t>
      </w:r>
    </w:p>
    <w:p w14:paraId="129D4B59" w14:textId="77777777" w:rsidR="00E54249" w:rsidRPr="00846AAD" w:rsidRDefault="00E54249" w:rsidP="00E54249">
      <w:pPr>
        <w:pStyle w:val="SingleTxtG"/>
        <w:tabs>
          <w:tab w:val="left" w:pos="2268"/>
        </w:tabs>
        <w:kinsoku/>
        <w:overflowPunct/>
        <w:autoSpaceDE/>
        <w:autoSpaceDN/>
        <w:adjustRightInd/>
        <w:snapToGrid/>
        <w:ind w:left="1080"/>
        <w:rPr>
          <w:rFonts w:asciiTheme="majorBidi" w:hAnsiTheme="majorBidi" w:cstheme="majorBidi"/>
        </w:rPr>
      </w:pPr>
      <w:r w:rsidRPr="00846AAD">
        <w:rPr>
          <w:rFonts w:asciiTheme="majorBidi" w:hAnsiTheme="majorBidi" w:cstheme="majorBidi"/>
        </w:rPr>
        <w:t xml:space="preserve">This test </w:t>
      </w:r>
      <w:r w:rsidRPr="00846AAD">
        <w:t>is</w:t>
      </w:r>
      <w:r w:rsidRPr="00846AAD">
        <w:rPr>
          <w:rFonts w:asciiTheme="majorBidi" w:hAnsiTheme="majorBidi" w:cstheme="majorBidi"/>
        </w:rPr>
        <w:t xml:space="preserve"> used to determine the sensitiveness of a candidate ammonium nitrate emulsion or suspension or gel, intermediate for blasting explosive, to the effect of intense localized thermal ignition under high confinement. This test can be performed in case of a positive ("+") result in Test 8(c) when the time to reaction in this test has exceeded 60 seconds and the substance has a water content greater than 14 %.</w:t>
      </w:r>
    </w:p>
    <w:p w14:paraId="37605DCA" w14:textId="77777777" w:rsidR="00E54249" w:rsidRPr="00846AAD" w:rsidRDefault="00E54249" w:rsidP="00E54249">
      <w:pPr>
        <w:pStyle w:val="SingleTxtG"/>
        <w:tabs>
          <w:tab w:val="left" w:pos="2880"/>
        </w:tabs>
        <w:ind w:left="1080"/>
        <w:rPr>
          <w:u w:val="single"/>
        </w:rPr>
      </w:pPr>
      <w:r w:rsidRPr="00846AAD">
        <w:rPr>
          <w:u w:val="single"/>
        </w:rPr>
        <w:t>This test is also applicable for determining the suitability of ANEs for containment in portable tanks as an oxidizing substance</w:t>
      </w:r>
      <w:r w:rsidRPr="00846AAD">
        <w:t>.”</w:t>
      </w:r>
    </w:p>
    <w:p w14:paraId="06FADAAA" w14:textId="77777777" w:rsidR="00E54249" w:rsidRPr="00846AAD" w:rsidRDefault="00E54249" w:rsidP="00E54249">
      <w:pPr>
        <w:pStyle w:val="SingleTxtG"/>
        <w:kinsoku/>
        <w:overflowPunct/>
        <w:autoSpaceDE/>
        <w:autoSpaceDN/>
        <w:adjustRightInd/>
        <w:snapToGrid/>
        <w:ind w:left="1080"/>
      </w:pPr>
      <w:r w:rsidRPr="00846AAD">
        <w:t>21.</w:t>
      </w:r>
      <w:r w:rsidRPr="00846AAD">
        <w:tab/>
        <w:t xml:space="preserve">Amend section 18.8.1.4.1 of the MTC as shown below (new text is indicated in </w:t>
      </w:r>
      <w:r w:rsidRPr="00846AAD">
        <w:rPr>
          <w:u w:val="single"/>
        </w:rPr>
        <w:t>underlined text</w:t>
      </w:r>
      <w:r w:rsidRPr="00846AAD">
        <w:t>):</w:t>
      </w:r>
    </w:p>
    <w:p w14:paraId="60A35BC9" w14:textId="77777777" w:rsidR="00E54249" w:rsidRPr="00846AAD" w:rsidRDefault="00E54249" w:rsidP="00E54249">
      <w:pPr>
        <w:pStyle w:val="SingleTxtG"/>
        <w:ind w:left="1080"/>
      </w:pPr>
      <w:r w:rsidRPr="00846AAD">
        <w:t>“18.8.1.4.1</w:t>
      </w:r>
      <w:r w:rsidRPr="00846AAD">
        <w:tab/>
        <w:t xml:space="preserve">The result is considered positive ("+") and the substance should not be classified in Division 5.1 if the MBP is less than 5.6 MPa (800 </w:t>
      </w:r>
      <w:proofErr w:type="spellStart"/>
      <w:r w:rsidRPr="00846AAD">
        <w:t>psig</w:t>
      </w:r>
      <w:proofErr w:type="spellEnd"/>
      <w:r w:rsidRPr="00846AAD">
        <w:t xml:space="preserve">). </w:t>
      </w:r>
      <w:r w:rsidRPr="00846AAD">
        <w:rPr>
          <w:u w:val="single"/>
        </w:rPr>
        <w:t xml:space="preserve">Substances with MBPs equal to or greater than 5.6 MPa (800 </w:t>
      </w:r>
      <w:proofErr w:type="spellStart"/>
      <w:r w:rsidRPr="00846AAD">
        <w:rPr>
          <w:u w:val="single"/>
        </w:rPr>
        <w:t>psig</w:t>
      </w:r>
      <w:proofErr w:type="spellEnd"/>
      <w:r w:rsidRPr="00846AAD">
        <w:rPr>
          <w:u w:val="single"/>
        </w:rPr>
        <w:t>) are considered suitable for containment in portable tanks as an oxidizing substance (see 18.8.1.1)</w:t>
      </w:r>
      <w:r w:rsidRPr="00846AAD">
        <w:t>.”</w:t>
      </w:r>
    </w:p>
    <w:p w14:paraId="7605186A" w14:textId="77777777" w:rsidR="00E54249" w:rsidRPr="00846AAD" w:rsidRDefault="00E54249" w:rsidP="00E54249">
      <w:pPr>
        <w:pStyle w:val="HChG"/>
        <w:tabs>
          <w:tab w:val="left" w:pos="6804"/>
        </w:tabs>
        <w:kinsoku/>
        <w:overflowPunct/>
        <w:autoSpaceDE/>
        <w:autoSpaceDN/>
        <w:adjustRightInd/>
        <w:snapToGrid/>
      </w:pPr>
      <w:r w:rsidRPr="00846AAD">
        <w:br w:type="page"/>
      </w:r>
      <w:r w:rsidRPr="00846AAD">
        <w:rPr>
          <w:szCs w:val="28"/>
        </w:rPr>
        <w:lastRenderedPageBreak/>
        <w:t>Annex</w:t>
      </w:r>
    </w:p>
    <w:p w14:paraId="3C869803" w14:textId="77777777" w:rsidR="00E54249" w:rsidRPr="00846AAD" w:rsidRDefault="00E54249" w:rsidP="00E54249">
      <w:pPr>
        <w:pStyle w:val="HChG"/>
        <w:kinsoku/>
        <w:overflowPunct/>
        <w:autoSpaceDE/>
        <w:autoSpaceDN/>
        <w:adjustRightInd/>
        <w:snapToGrid/>
      </w:pPr>
      <w:r w:rsidRPr="00846AAD">
        <w:tab/>
      </w:r>
      <w:r w:rsidRPr="00846AAD">
        <w:tab/>
        <w:t>Transport fire in Western Australia in October 2022</w:t>
      </w:r>
    </w:p>
    <w:p w14:paraId="12828E86" w14:textId="1466DEBF" w:rsidR="00E54249" w:rsidRPr="00846AAD" w:rsidRDefault="00E54249" w:rsidP="00E54249">
      <w:pPr>
        <w:pStyle w:val="SingleTxtG"/>
        <w:kinsoku/>
        <w:overflowPunct/>
        <w:autoSpaceDE/>
        <w:autoSpaceDN/>
        <w:adjustRightInd/>
        <w:snapToGrid/>
        <w:ind w:left="1080"/>
        <w:rPr>
          <w:rFonts w:eastAsia="Times New Roman"/>
          <w:lang w:eastAsia="x-none"/>
        </w:rPr>
      </w:pPr>
      <w:r w:rsidRPr="00846AAD">
        <w:rPr>
          <w:rFonts w:eastAsia="Times New Roman"/>
          <w:lang w:eastAsia="x-none"/>
        </w:rPr>
        <w:t>1.</w:t>
      </w:r>
      <w:r w:rsidRPr="00846AAD">
        <w:rPr>
          <w:rFonts w:eastAsia="Times New Roman"/>
          <w:lang w:eastAsia="x-none"/>
        </w:rPr>
        <w:tab/>
        <w:t xml:space="preserve">On 24 October 2022 the rear trailer of a road train traveling on the Great Central Highway approximately 150 km </w:t>
      </w:r>
      <w:r w:rsidRPr="00846AAD">
        <w:t>east</w:t>
      </w:r>
      <w:r w:rsidRPr="00846AAD">
        <w:rPr>
          <w:rFonts w:eastAsia="Times New Roman"/>
          <w:lang w:eastAsia="x-none"/>
        </w:rPr>
        <w:t xml:space="preserve"> of Laverton (Western Australia), containing approximately 34 tonnes of ANE [compliant with Test Series 8(a)-(d)], caught fire on the rear passenger side wheels. Following failed attempts to extinguish the tire fire the driver disconnected the rear trailer and evacuated to a safe distance. Approximately 2 hours post start of the fire, an explosion occurred, destroying the trailer (Figures 1 and 2)</w:t>
      </w:r>
      <w:r w:rsidRPr="00846AAD">
        <w:rPr>
          <w:rFonts w:eastAsia="Times New Roman"/>
          <w:sz w:val="18"/>
          <w:vertAlign w:val="superscript"/>
          <w:lang w:eastAsia="x-none"/>
        </w:rPr>
        <w:footnoteReference w:id="4"/>
      </w:r>
      <w:r w:rsidRPr="00846AAD">
        <w:rPr>
          <w:rFonts w:eastAsia="Times New Roman"/>
          <w:lang w:eastAsia="x-none"/>
        </w:rPr>
        <w:t xml:space="preserve">. A crater (approximately 15 m x 17 m wide and 1 m deep) formed, and shrapnel was found up to 800 m from the </w:t>
      </w:r>
      <w:r w:rsidR="00846AAD" w:rsidRPr="00846AAD">
        <w:rPr>
          <w:rFonts w:eastAsia="Times New Roman"/>
          <w:lang w:eastAsia="x-none"/>
        </w:rPr>
        <w:t>centre</w:t>
      </w:r>
      <w:r w:rsidRPr="00846AAD">
        <w:rPr>
          <w:rFonts w:eastAsia="Times New Roman"/>
          <w:lang w:eastAsia="x-none"/>
        </w:rPr>
        <w:t xml:space="preserve"> of the explosion. No injuries or fatalities resulted from the explosion. This event is the first ANE Transport truck fire incident where an explosion was observed. An investigation by the Western Australia Department of Mines is still ongoing.</w:t>
      </w:r>
    </w:p>
    <w:p w14:paraId="35A25F94" w14:textId="77777777" w:rsidR="00E54249" w:rsidRPr="00846AAD" w:rsidRDefault="00E54249" w:rsidP="00E54249">
      <w:pPr>
        <w:pStyle w:val="SingleTxtG"/>
        <w:spacing w:before="240" w:line="240" w:lineRule="auto"/>
        <w:ind w:left="1570" w:right="1138" w:hanging="432"/>
        <w:jc w:val="center"/>
      </w:pPr>
      <w:r w:rsidRPr="00846AAD">
        <w:rPr>
          <w:b/>
          <w:bCs/>
        </w:rPr>
        <w:t>Figure 1: Cloud resulting from ANE trailer explosion (Western Australia)</w:t>
      </w:r>
      <w:r w:rsidRPr="00846AAD">
        <w:rPr>
          <w:rStyle w:val="FootnoteReference"/>
        </w:rPr>
        <w:footnoteReference w:id="5"/>
      </w:r>
    </w:p>
    <w:p w14:paraId="313993BF" w14:textId="77777777" w:rsidR="00E54249" w:rsidRPr="00846AAD" w:rsidRDefault="00E54249" w:rsidP="00E54249">
      <w:pPr>
        <w:pStyle w:val="SingleTxtG"/>
        <w:spacing w:before="240" w:line="240" w:lineRule="auto"/>
        <w:ind w:right="1138"/>
        <w:jc w:val="center"/>
      </w:pPr>
      <w:r w:rsidRPr="00846AAD">
        <w:rPr>
          <w:noProof/>
        </w:rPr>
        <w:drawing>
          <wp:inline distT="0" distB="0" distL="0" distR="0" wp14:anchorId="0E97E9FB" wp14:editId="74F8022B">
            <wp:extent cx="4057650" cy="5410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57650" cy="5410200"/>
                    </a:xfrm>
                    <a:prstGeom prst="rect">
                      <a:avLst/>
                    </a:prstGeom>
                    <a:noFill/>
                    <a:ln>
                      <a:noFill/>
                    </a:ln>
                  </pic:spPr>
                </pic:pic>
              </a:graphicData>
            </a:graphic>
          </wp:inline>
        </w:drawing>
      </w:r>
    </w:p>
    <w:p w14:paraId="08E5DE35" w14:textId="77777777" w:rsidR="00E54249" w:rsidRPr="00846AAD" w:rsidRDefault="00E54249" w:rsidP="00E54249">
      <w:pPr>
        <w:pStyle w:val="SingleTxtG"/>
        <w:spacing w:before="240" w:line="240" w:lineRule="auto"/>
        <w:ind w:left="1570" w:right="1138" w:hanging="432"/>
        <w:jc w:val="center"/>
        <w:rPr>
          <w:b/>
          <w:bCs/>
        </w:rPr>
      </w:pPr>
      <w:r w:rsidRPr="00846AAD">
        <w:rPr>
          <w:b/>
          <w:bCs/>
        </w:rPr>
        <w:lastRenderedPageBreak/>
        <w:t>Figure 2: Crater resulting from ANE trailer explosion (Western Australia)</w:t>
      </w:r>
    </w:p>
    <w:p w14:paraId="758A463B" w14:textId="77777777" w:rsidR="00E54249" w:rsidRPr="00846AAD" w:rsidRDefault="00E54249" w:rsidP="00E54249">
      <w:pPr>
        <w:pStyle w:val="SingleTxtG"/>
        <w:spacing w:before="240" w:line="240" w:lineRule="auto"/>
        <w:ind w:right="1138"/>
        <w:jc w:val="center"/>
      </w:pPr>
      <w:r w:rsidRPr="00846AAD">
        <w:rPr>
          <w:noProof/>
        </w:rPr>
        <w:drawing>
          <wp:inline distT="0" distB="0" distL="0" distR="0" wp14:anchorId="69783077" wp14:editId="42E84762">
            <wp:extent cx="4848225" cy="217429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54172" cy="2176966"/>
                    </a:xfrm>
                    <a:prstGeom prst="rect">
                      <a:avLst/>
                    </a:prstGeom>
                    <a:noFill/>
                    <a:ln>
                      <a:noFill/>
                    </a:ln>
                  </pic:spPr>
                </pic:pic>
              </a:graphicData>
            </a:graphic>
          </wp:inline>
        </w:drawing>
      </w:r>
    </w:p>
    <w:p w14:paraId="54B5415D" w14:textId="77777777" w:rsidR="00E54249" w:rsidRPr="00846AAD" w:rsidRDefault="00E54249" w:rsidP="00E54249">
      <w:pPr>
        <w:pStyle w:val="SingleTxtG"/>
        <w:spacing w:before="240" w:line="240" w:lineRule="auto"/>
        <w:ind w:right="1138"/>
        <w:jc w:val="center"/>
      </w:pPr>
      <w:r w:rsidRPr="00846AAD">
        <w:rPr>
          <w:noProof/>
        </w:rPr>
        <w:drawing>
          <wp:inline distT="0" distB="0" distL="0" distR="0" wp14:anchorId="640741A2" wp14:editId="056DC530">
            <wp:extent cx="4848225" cy="3648075"/>
            <wp:effectExtent l="0" t="0" r="9525" b="9525"/>
            <wp:docPr id="10" name="Picture 10" descr="A group of people standing in a fie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standing in a field&#10;&#10;Description automatically generated with low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48225" cy="3648075"/>
                    </a:xfrm>
                    <a:prstGeom prst="rect">
                      <a:avLst/>
                    </a:prstGeom>
                    <a:noFill/>
                    <a:ln>
                      <a:noFill/>
                    </a:ln>
                  </pic:spPr>
                </pic:pic>
              </a:graphicData>
            </a:graphic>
          </wp:inline>
        </w:drawing>
      </w:r>
    </w:p>
    <w:p w14:paraId="48997768" w14:textId="77777777" w:rsidR="00E54249" w:rsidRPr="00846AAD" w:rsidRDefault="00E54249" w:rsidP="00E54249">
      <w:pPr>
        <w:pStyle w:val="SingleTxtG"/>
        <w:spacing w:before="240" w:line="240" w:lineRule="auto"/>
        <w:ind w:left="0" w:right="1138"/>
        <w:jc w:val="center"/>
      </w:pPr>
    </w:p>
    <w:p w14:paraId="4286BCD4" w14:textId="77777777" w:rsidR="00E54249" w:rsidRPr="00846AAD" w:rsidRDefault="00E54249" w:rsidP="00E54249">
      <w:pPr>
        <w:pStyle w:val="SingleTxtG"/>
        <w:spacing w:before="240" w:line="240" w:lineRule="auto"/>
        <w:ind w:left="0" w:right="992"/>
        <w:rPr>
          <w:b/>
          <w:bCs/>
        </w:rPr>
      </w:pPr>
      <w:r w:rsidRPr="00846AAD">
        <w:br w:type="column"/>
      </w:r>
      <w:r w:rsidRPr="00846AAD">
        <w:rPr>
          <w:b/>
          <w:bCs/>
        </w:rPr>
        <w:lastRenderedPageBreak/>
        <w:t>Figure 3: ANE transport incident 12 March 2018 in Queensland (SAFEX Incident Notice IN18-01)</w:t>
      </w:r>
    </w:p>
    <w:p w14:paraId="4606E802" w14:textId="77777777" w:rsidR="00E54249" w:rsidRDefault="00E54249" w:rsidP="00E54249">
      <w:pPr>
        <w:pStyle w:val="SingleTxtG"/>
        <w:spacing w:before="240" w:line="240" w:lineRule="auto"/>
        <w:ind w:left="0" w:right="1138"/>
        <w:jc w:val="center"/>
        <w:rPr>
          <w:u w:val="single"/>
        </w:rPr>
      </w:pPr>
      <w:r>
        <w:rPr>
          <w:noProof/>
        </w:rPr>
        <w:drawing>
          <wp:inline distT="0" distB="0" distL="0" distR="0" wp14:anchorId="5F32740A" wp14:editId="2D9A86EA">
            <wp:extent cx="6115050" cy="3486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5050" cy="3486150"/>
                    </a:xfrm>
                    <a:prstGeom prst="rect">
                      <a:avLst/>
                    </a:prstGeom>
                    <a:noFill/>
                    <a:ln>
                      <a:noFill/>
                    </a:ln>
                  </pic:spPr>
                </pic:pic>
              </a:graphicData>
            </a:graphic>
          </wp:inline>
        </w:drawing>
      </w:r>
    </w:p>
    <w:p w14:paraId="11FF6A26" w14:textId="77777777" w:rsidR="00E54249" w:rsidRDefault="00E54249" w:rsidP="00E54249">
      <w:pPr>
        <w:spacing w:after="120"/>
        <w:ind w:right="1134"/>
        <w:contextualSpacing/>
        <w:jc w:val="center"/>
        <w:rPr>
          <w:u w:val="single"/>
        </w:rPr>
      </w:pPr>
      <w:r>
        <w:rPr>
          <w:u w:val="single"/>
        </w:rPr>
        <w:tab/>
      </w:r>
      <w:r>
        <w:rPr>
          <w:u w:val="single"/>
        </w:rPr>
        <w:tab/>
      </w:r>
      <w:r>
        <w:rPr>
          <w:u w:val="single"/>
        </w:rPr>
        <w:tab/>
      </w:r>
    </w:p>
    <w:sectPr w:rsidR="00E54249" w:rsidSect="00CB602A">
      <w:footnotePr>
        <w:numRestart w:val="eachSect"/>
      </w:footnotePr>
      <w:endnotePr>
        <w:numFmt w:val="decimal"/>
      </w:endnotePr>
      <w:pgSz w:w="11907" w:h="16840" w:code="9"/>
      <w:pgMar w:top="1417" w:right="1134" w:bottom="1134" w:left="1134" w:header="85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01B596" w14:textId="77777777" w:rsidR="001C4A34" w:rsidRPr="00C47B2E" w:rsidRDefault="001C4A34" w:rsidP="00C47B2E">
      <w:pPr>
        <w:pStyle w:val="Footer"/>
      </w:pPr>
    </w:p>
  </w:endnote>
  <w:endnote w:type="continuationSeparator" w:id="0">
    <w:p w14:paraId="364B677A" w14:textId="77777777" w:rsidR="001C4A34" w:rsidRPr="00C47B2E" w:rsidRDefault="001C4A34" w:rsidP="00C47B2E">
      <w:pPr>
        <w:pStyle w:val="Footer"/>
      </w:pPr>
    </w:p>
  </w:endnote>
  <w:endnote w:type="continuationNotice" w:id="1">
    <w:p w14:paraId="38E118C0" w14:textId="77777777" w:rsidR="001C4A34" w:rsidRPr="00C47B2E" w:rsidRDefault="001C4A34" w:rsidP="00C47B2E">
      <w:pPr>
        <w:pStyle w:val="Foote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
    <w:altName w:val="Arial"/>
    <w:panose1 w:val="020B060402020203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1FC5F" w14:textId="4966B0B0" w:rsidR="00D94B05" w:rsidRPr="001423A9" w:rsidRDefault="001423A9" w:rsidP="001423A9">
    <w:pPr>
      <w:pStyle w:val="Footer"/>
      <w:tabs>
        <w:tab w:val="right" w:pos="9598"/>
        <w:tab w:val="right" w:pos="9638"/>
      </w:tabs>
      <w:rPr>
        <w:sz w:val="18"/>
      </w:rPr>
    </w:pPr>
    <w:r w:rsidRPr="001423A9">
      <w:rPr>
        <w:b/>
        <w:sz w:val="18"/>
      </w:rPr>
      <w:fldChar w:fldCharType="begin"/>
    </w:r>
    <w:r w:rsidRPr="001423A9">
      <w:rPr>
        <w:b/>
        <w:sz w:val="18"/>
      </w:rPr>
      <w:instrText xml:space="preserve"> PAGE  \* MERGEFORMAT </w:instrText>
    </w:r>
    <w:r w:rsidRPr="001423A9">
      <w:rPr>
        <w:b/>
        <w:sz w:val="18"/>
      </w:rPr>
      <w:fldChar w:fldCharType="separate"/>
    </w:r>
    <w:r w:rsidRPr="001423A9">
      <w:rPr>
        <w:b/>
        <w:noProof/>
        <w:sz w:val="18"/>
      </w:rPr>
      <w:t>2</w:t>
    </w:r>
    <w:r w:rsidRPr="001423A9">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FF274" w14:textId="4E0E6D67" w:rsidR="00D94B05" w:rsidRPr="001423A9" w:rsidRDefault="001423A9" w:rsidP="006A2D31">
    <w:pPr>
      <w:pStyle w:val="Footer"/>
      <w:tabs>
        <w:tab w:val="right" w:pos="9598"/>
        <w:tab w:val="right" w:pos="9638"/>
      </w:tabs>
      <w:rPr>
        <w:sz w:val="18"/>
      </w:rPr>
    </w:pPr>
    <w:r>
      <w:rPr>
        <w:b/>
        <w:sz w:val="18"/>
      </w:rPr>
      <w:tab/>
    </w:r>
    <w:r w:rsidRPr="001423A9">
      <w:rPr>
        <w:sz w:val="18"/>
      </w:rPr>
      <w:fldChar w:fldCharType="begin"/>
    </w:r>
    <w:r w:rsidRPr="001423A9">
      <w:rPr>
        <w:sz w:val="18"/>
      </w:rPr>
      <w:instrText xml:space="preserve"> PAGE  \* MERGEFORMAT </w:instrText>
    </w:r>
    <w:r w:rsidRPr="001423A9">
      <w:rPr>
        <w:sz w:val="18"/>
      </w:rPr>
      <w:fldChar w:fldCharType="separate"/>
    </w:r>
    <w:r w:rsidRPr="001423A9">
      <w:rPr>
        <w:noProof/>
        <w:sz w:val="18"/>
      </w:rPr>
      <w:t>3</w:t>
    </w:r>
    <w:r w:rsidRPr="001423A9">
      <w:rPr>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7C5F1" w14:textId="0103CD4E" w:rsidR="00855022" w:rsidRDefault="00855022" w:rsidP="00855022">
    <w:pPr>
      <w:pStyle w:val="Footer"/>
    </w:pPr>
    <w:r w:rsidRPr="0027112F">
      <w:rPr>
        <w:noProof/>
        <w:lang w:val="en-US"/>
      </w:rPr>
      <w:drawing>
        <wp:anchor distT="0" distB="0" distL="114300" distR="114300" simplePos="0" relativeHeight="251659264" behindDoc="0" locked="1" layoutInCell="1" allowOverlap="1" wp14:anchorId="2668620F" wp14:editId="0D86A20F">
          <wp:simplePos x="0" y="0"/>
          <wp:positionH relativeFrom="column">
            <wp:posOffset>4558030</wp:posOffset>
          </wp:positionH>
          <wp:positionV relativeFrom="page">
            <wp:posOffset>10128250</wp:posOffset>
          </wp:positionV>
          <wp:extent cx="932400" cy="230400"/>
          <wp:effectExtent l="0" t="0" r="1270" b="0"/>
          <wp:wrapNone/>
          <wp:docPr id="3" name="Picture 3" descr="Please recyc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400" cy="230400"/>
                  </a:xfrm>
                  <a:prstGeom prst="rect">
                    <a:avLst/>
                  </a:prstGeom>
                  <a:noFill/>
                </pic:spPr>
              </pic:pic>
            </a:graphicData>
          </a:graphic>
          <wp14:sizeRelH relativeFrom="margin">
            <wp14:pctWidth>0</wp14:pctWidth>
          </wp14:sizeRelH>
          <wp14:sizeRelV relativeFrom="margin">
            <wp14:pctHeight>0</wp14:pctHeight>
          </wp14:sizeRelV>
        </wp:anchor>
      </w:drawing>
    </w:r>
  </w:p>
  <w:p w14:paraId="09E7D120" w14:textId="51F2E46F" w:rsidR="00855022" w:rsidRPr="00855022" w:rsidRDefault="00855022" w:rsidP="00855022">
    <w:pPr>
      <w:pStyle w:val="Footer"/>
      <w:kinsoku/>
      <w:overflowPunct/>
      <w:autoSpaceDE/>
      <w:autoSpaceDN/>
      <w:adjustRightInd/>
      <w:ind w:right="1134"/>
      <w:rPr>
        <w:sz w:val="20"/>
      </w:rPr>
    </w:pPr>
    <w:r>
      <w:rPr>
        <w:sz w:val="20"/>
      </w:rPr>
      <w:t>GE.23-07483(E)</w:t>
    </w:r>
    <w:r>
      <w:rPr>
        <w:noProof/>
        <w:sz w:val="20"/>
      </w:rPr>
      <w:drawing>
        <wp:anchor distT="0" distB="0" distL="114300" distR="114300" simplePos="0" relativeHeight="251660288" behindDoc="0" locked="0" layoutInCell="1" allowOverlap="1" wp14:anchorId="40996EA9" wp14:editId="48990392">
          <wp:simplePos x="0" y="0"/>
          <wp:positionH relativeFrom="margin">
            <wp:posOffset>5615940</wp:posOffset>
          </wp:positionH>
          <wp:positionV relativeFrom="margin">
            <wp:posOffset>8905875</wp:posOffset>
          </wp:positionV>
          <wp:extent cx="561975" cy="561975"/>
          <wp:effectExtent l="0" t="0" r="9525" b="9525"/>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085471" w14:textId="77777777" w:rsidR="001C4A34" w:rsidRPr="00C47B2E" w:rsidRDefault="001C4A34" w:rsidP="00C47B2E">
      <w:pPr>
        <w:tabs>
          <w:tab w:val="right" w:pos="2155"/>
        </w:tabs>
        <w:spacing w:after="80" w:line="240" w:lineRule="auto"/>
        <w:ind w:left="680"/>
      </w:pPr>
      <w:r>
        <w:rPr>
          <w:u w:val="single"/>
        </w:rPr>
        <w:tab/>
      </w:r>
    </w:p>
  </w:footnote>
  <w:footnote w:type="continuationSeparator" w:id="0">
    <w:p w14:paraId="763D9383" w14:textId="77777777" w:rsidR="001C4A34" w:rsidRPr="00C47B2E" w:rsidRDefault="001C4A34" w:rsidP="005E716E">
      <w:pPr>
        <w:tabs>
          <w:tab w:val="right" w:pos="2155"/>
        </w:tabs>
        <w:spacing w:after="80" w:line="240" w:lineRule="auto"/>
        <w:ind w:left="680"/>
      </w:pPr>
      <w:r>
        <w:rPr>
          <w:u w:val="single"/>
        </w:rPr>
        <w:tab/>
      </w:r>
    </w:p>
  </w:footnote>
  <w:footnote w:type="continuationNotice" w:id="1">
    <w:p w14:paraId="45B1722B" w14:textId="77777777" w:rsidR="001C4A34" w:rsidRPr="00C47B2E" w:rsidRDefault="001C4A34" w:rsidP="00C47B2E">
      <w:pPr>
        <w:pStyle w:val="Footer"/>
      </w:pPr>
    </w:p>
  </w:footnote>
  <w:footnote w:id="2">
    <w:p w14:paraId="1C368C56" w14:textId="77777777" w:rsidR="00E54249" w:rsidRPr="00A27893" w:rsidRDefault="00E54249" w:rsidP="00E54249">
      <w:pPr>
        <w:pStyle w:val="FootnoteText"/>
        <w:ind w:firstLine="0"/>
        <w:rPr>
          <w:lang w:val="en-US"/>
        </w:rPr>
      </w:pPr>
      <w:r>
        <w:rPr>
          <w:rStyle w:val="FootnoteReference"/>
        </w:rPr>
        <w:footnoteRef/>
      </w:r>
      <w:r>
        <w:t xml:space="preserve"> </w:t>
      </w:r>
      <w:r w:rsidRPr="00537719">
        <w:t>A/77/6 (Sect. 20), table 20.6</w:t>
      </w:r>
    </w:p>
  </w:footnote>
  <w:footnote w:id="3">
    <w:p w14:paraId="73B28419" w14:textId="77777777" w:rsidR="00E54249" w:rsidRPr="00E928F1" w:rsidRDefault="00E54249" w:rsidP="00E54249">
      <w:pPr>
        <w:pStyle w:val="FootnoteText"/>
        <w:tabs>
          <w:tab w:val="clear" w:pos="1021"/>
          <w:tab w:val="left" w:pos="1418"/>
        </w:tabs>
        <w:ind w:firstLine="0"/>
        <w:rPr>
          <w:lang w:val="en-US"/>
        </w:rPr>
      </w:pPr>
      <w:r>
        <w:rPr>
          <w:rStyle w:val="FootnoteReference"/>
        </w:rPr>
        <w:footnoteRef/>
      </w:r>
      <w:r>
        <w:tab/>
      </w:r>
      <w:hyperlink r:id="rId1" w:history="1">
        <w:r>
          <w:rPr>
            <w:rStyle w:val="Hyperlink"/>
          </w:rPr>
          <w:t>Incident alert - Ammonium nitrate emulsion tanker trailer explosion (dmp.wa.gov.au)</w:t>
        </w:r>
      </w:hyperlink>
    </w:p>
  </w:footnote>
  <w:footnote w:id="4">
    <w:p w14:paraId="2282B084" w14:textId="3B7CB994" w:rsidR="00E54249" w:rsidRPr="003E4CD0" w:rsidRDefault="00D401CF" w:rsidP="00D401CF">
      <w:pPr>
        <w:pStyle w:val="FootnoteText"/>
        <w:rPr>
          <w:lang w:val="en-AU"/>
        </w:rPr>
      </w:pPr>
      <w:r>
        <w:tab/>
      </w:r>
      <w:r w:rsidR="00E54249">
        <w:rPr>
          <w:rStyle w:val="FootnoteReference"/>
        </w:rPr>
        <w:footnoteRef/>
      </w:r>
      <w:r>
        <w:tab/>
      </w:r>
      <w:r w:rsidR="00E54249" w:rsidRPr="00D401CF">
        <w:t>Government</w:t>
      </w:r>
      <w:r w:rsidR="00E54249">
        <w:rPr>
          <w:lang w:val="en-AU"/>
        </w:rPr>
        <w:t xml:space="preserve"> of Western Australia – Department of Mines, Industry Regulation and Safety DGS – Incident Alert, November 8, 2022; </w:t>
      </w:r>
      <w:r w:rsidR="00E54249" w:rsidRPr="00C65226">
        <w:rPr>
          <w:lang w:val="en-AU"/>
        </w:rPr>
        <w:t>https://www.abc.net.au/news/2022-11-03/truck-explosion-wa-goldfields-mining-blasting-/101609164</w:t>
      </w:r>
    </w:p>
  </w:footnote>
  <w:footnote w:id="5">
    <w:p w14:paraId="0ABA6E21" w14:textId="407E59C1" w:rsidR="00E54249" w:rsidRPr="00D66B95" w:rsidRDefault="007D7ED3" w:rsidP="007D7ED3">
      <w:pPr>
        <w:pStyle w:val="FootnoteText"/>
        <w:rPr>
          <w:lang w:val="en-AU"/>
        </w:rPr>
      </w:pPr>
      <w:r>
        <w:tab/>
      </w:r>
      <w:r w:rsidR="00E54249">
        <w:rPr>
          <w:rStyle w:val="FootnoteReference"/>
        </w:rPr>
        <w:footnoteRef/>
      </w:r>
      <w:r>
        <w:tab/>
      </w:r>
      <w:r w:rsidR="00E54249" w:rsidRPr="007D7ED3">
        <w:t>https</w:t>
      </w:r>
      <w:r w:rsidR="00E54249" w:rsidRPr="00C65226">
        <w:rPr>
          <w:lang w:val="en-AU"/>
        </w:rPr>
        <w:t>://www.abc.net.au/news/2022-11-03/truck-explosion-wa-goldfields-mining-blasting-/101609164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1B3AB" w14:textId="4C2DF959" w:rsidR="001423A9" w:rsidRPr="001423A9" w:rsidRDefault="001423A9">
    <w:pPr>
      <w:pStyle w:val="Header"/>
    </w:pPr>
    <w:r>
      <w:t>ST/SG/AC.10/C.3/2023/16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6C621" w14:textId="60E340CA" w:rsidR="00D94B05" w:rsidRPr="001423A9" w:rsidRDefault="001423A9" w:rsidP="001423A9">
    <w:pPr>
      <w:pStyle w:val="Header"/>
      <w:jc w:val="right"/>
    </w:pPr>
    <w:r>
      <w:t>ST/SG/AC.10/C.3/2023/16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15:restartNumberingAfterBreak="0">
    <w:nsid w:val="15DD657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E41230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8"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8703ABA"/>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978877095">
    <w:abstractNumId w:val="5"/>
  </w:num>
  <w:num w:numId="2" w16cid:durableId="505872764">
    <w:abstractNumId w:val="4"/>
  </w:num>
  <w:num w:numId="3" w16cid:durableId="1141313223">
    <w:abstractNumId w:val="0"/>
  </w:num>
  <w:num w:numId="4" w16cid:durableId="1639531081">
    <w:abstractNumId w:val="6"/>
  </w:num>
  <w:num w:numId="5" w16cid:durableId="800265768">
    <w:abstractNumId w:val="7"/>
  </w:num>
  <w:num w:numId="6" w16cid:durableId="760757333">
    <w:abstractNumId w:val="9"/>
  </w:num>
  <w:num w:numId="7" w16cid:durableId="1743991916">
    <w:abstractNumId w:val="3"/>
  </w:num>
  <w:num w:numId="8" w16cid:durableId="818108795">
    <w:abstractNumId w:val="1"/>
  </w:num>
  <w:num w:numId="9" w16cid:durableId="1210651805">
    <w:abstractNumId w:val="8"/>
  </w:num>
  <w:num w:numId="10" w16cid:durableId="1378898893">
    <w:abstractNumId w:val="1"/>
  </w:num>
  <w:num w:numId="11" w16cid:durableId="16854997">
    <w:abstractNumId w:val="8"/>
  </w:num>
  <w:num w:numId="12" w16cid:durableId="607546123">
    <w:abstractNumId w:val="2"/>
  </w:num>
  <w:num w:numId="13" w16cid:durableId="120980566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567"/>
  <w:hyphenationZone w:val="425"/>
  <w:evenAndOddHeaders/>
  <w:characterSpacingControl w:val="doNotCompress"/>
  <w:hdrShapeDefaults>
    <o:shapedefaults v:ext="edit" spidmax="2050"/>
  </w:hdrShapeDefaults>
  <w:footnotePr>
    <w:numFmt w:val="chicago"/>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23A9"/>
    <w:rsid w:val="000323FA"/>
    <w:rsid w:val="00046E92"/>
    <w:rsid w:val="00063C90"/>
    <w:rsid w:val="000915AA"/>
    <w:rsid w:val="00101B98"/>
    <w:rsid w:val="001423A9"/>
    <w:rsid w:val="001514D1"/>
    <w:rsid w:val="001C4A34"/>
    <w:rsid w:val="00204542"/>
    <w:rsid w:val="00247E2C"/>
    <w:rsid w:val="002A32CB"/>
    <w:rsid w:val="002D5B2C"/>
    <w:rsid w:val="002D6C53"/>
    <w:rsid w:val="002F5595"/>
    <w:rsid w:val="00334F6A"/>
    <w:rsid w:val="00342AC8"/>
    <w:rsid w:val="00343302"/>
    <w:rsid w:val="003979DE"/>
    <w:rsid w:val="003B0222"/>
    <w:rsid w:val="003B4550"/>
    <w:rsid w:val="003D2A18"/>
    <w:rsid w:val="003D3FBE"/>
    <w:rsid w:val="00413386"/>
    <w:rsid w:val="0041380D"/>
    <w:rsid w:val="00461253"/>
    <w:rsid w:val="004858F5"/>
    <w:rsid w:val="004A2814"/>
    <w:rsid w:val="004C0622"/>
    <w:rsid w:val="005042C2"/>
    <w:rsid w:val="005E716E"/>
    <w:rsid w:val="006476E1"/>
    <w:rsid w:val="006604DF"/>
    <w:rsid w:val="00671529"/>
    <w:rsid w:val="006A2D31"/>
    <w:rsid w:val="0070489D"/>
    <w:rsid w:val="007268F9"/>
    <w:rsid w:val="00750282"/>
    <w:rsid w:val="00764440"/>
    <w:rsid w:val="0077101B"/>
    <w:rsid w:val="007C52B0"/>
    <w:rsid w:val="007C6033"/>
    <w:rsid w:val="007D7ED3"/>
    <w:rsid w:val="008147C8"/>
    <w:rsid w:val="0081753A"/>
    <w:rsid w:val="00846AAD"/>
    <w:rsid w:val="00855022"/>
    <w:rsid w:val="00857D23"/>
    <w:rsid w:val="009411B4"/>
    <w:rsid w:val="00946F1D"/>
    <w:rsid w:val="009D0139"/>
    <w:rsid w:val="009D717D"/>
    <w:rsid w:val="009F5CDC"/>
    <w:rsid w:val="00A072D7"/>
    <w:rsid w:val="00A27893"/>
    <w:rsid w:val="00A775CF"/>
    <w:rsid w:val="00AD1A9C"/>
    <w:rsid w:val="00AF5DE1"/>
    <w:rsid w:val="00B06045"/>
    <w:rsid w:val="00B206DD"/>
    <w:rsid w:val="00B52EF4"/>
    <w:rsid w:val="00B777AD"/>
    <w:rsid w:val="00C03015"/>
    <w:rsid w:val="00C0358D"/>
    <w:rsid w:val="00C35A27"/>
    <w:rsid w:val="00C47B2E"/>
    <w:rsid w:val="00C86171"/>
    <w:rsid w:val="00CB602A"/>
    <w:rsid w:val="00D401CF"/>
    <w:rsid w:val="00D63CD2"/>
    <w:rsid w:val="00D87DC2"/>
    <w:rsid w:val="00D94B05"/>
    <w:rsid w:val="00E02C2B"/>
    <w:rsid w:val="00E21C27"/>
    <w:rsid w:val="00E26BCF"/>
    <w:rsid w:val="00E52109"/>
    <w:rsid w:val="00E54249"/>
    <w:rsid w:val="00E75317"/>
    <w:rsid w:val="00EC0CE6"/>
    <w:rsid w:val="00EC7C1D"/>
    <w:rsid w:val="00ED6C48"/>
    <w:rsid w:val="00EE3045"/>
    <w:rsid w:val="00F65F5D"/>
    <w:rsid w:val="00F86A3A"/>
    <w:rsid w:val="00FF734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ECD2CB"/>
  <w15:docId w15:val="{823D432A-3408-4B02-9F56-8D414E2ED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lsdException w:name="heading 3" w:semiHidden="1" w:uiPriority="0" w:unhideWhenUsed="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iPriority="0" w:unhideWhenUsed="1" w:qFormat="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0CE6"/>
    <w:pPr>
      <w:suppressAutoHyphens/>
      <w:kinsoku w:val="0"/>
      <w:overflowPunct w:val="0"/>
      <w:autoSpaceDE w:val="0"/>
      <w:autoSpaceDN w:val="0"/>
      <w:adjustRightInd w:val="0"/>
      <w:snapToGrid w:val="0"/>
      <w:spacing w:after="0" w:line="240" w:lineRule="atLeast"/>
    </w:pPr>
  </w:style>
  <w:style w:type="paragraph" w:styleId="Heading1">
    <w:name w:val="heading 1"/>
    <w:aliases w:val="Table_G"/>
    <w:basedOn w:val="SingleTxtG"/>
    <w:next w:val="SingleTxtG"/>
    <w:link w:val="Heading1Char"/>
    <w:qFormat/>
    <w:rsid w:val="004A2814"/>
    <w:pPr>
      <w:spacing w:after="0" w:line="240" w:lineRule="auto"/>
      <w:ind w:right="0"/>
      <w:jc w:val="left"/>
      <w:outlineLvl w:val="0"/>
    </w:pPr>
  </w:style>
  <w:style w:type="paragraph" w:styleId="Heading2">
    <w:name w:val="heading 2"/>
    <w:basedOn w:val="Normal"/>
    <w:next w:val="Normal"/>
    <w:link w:val="Heading2Char"/>
    <w:semiHidden/>
    <w:rsid w:val="004A2814"/>
    <w:pPr>
      <w:spacing w:line="240" w:lineRule="auto"/>
      <w:outlineLvl w:val="1"/>
    </w:pPr>
  </w:style>
  <w:style w:type="paragraph" w:styleId="Heading3">
    <w:name w:val="heading 3"/>
    <w:basedOn w:val="Normal"/>
    <w:next w:val="Normal"/>
    <w:link w:val="Heading3Char"/>
    <w:semiHidden/>
    <w:rsid w:val="004A2814"/>
    <w:pPr>
      <w:spacing w:line="240" w:lineRule="auto"/>
      <w:outlineLvl w:val="2"/>
    </w:pPr>
  </w:style>
  <w:style w:type="paragraph" w:styleId="Heading4">
    <w:name w:val="heading 4"/>
    <w:basedOn w:val="Normal"/>
    <w:next w:val="Normal"/>
    <w:link w:val="Heading4Char"/>
    <w:semiHidden/>
    <w:rsid w:val="004A2814"/>
    <w:pPr>
      <w:spacing w:line="240" w:lineRule="auto"/>
      <w:outlineLvl w:val="3"/>
    </w:pPr>
  </w:style>
  <w:style w:type="paragraph" w:styleId="Heading5">
    <w:name w:val="heading 5"/>
    <w:basedOn w:val="Normal"/>
    <w:next w:val="Normal"/>
    <w:link w:val="Heading5Char"/>
    <w:semiHidden/>
    <w:rsid w:val="004A2814"/>
    <w:pPr>
      <w:spacing w:line="240" w:lineRule="auto"/>
      <w:outlineLvl w:val="4"/>
    </w:pPr>
  </w:style>
  <w:style w:type="paragraph" w:styleId="Heading6">
    <w:name w:val="heading 6"/>
    <w:basedOn w:val="Normal"/>
    <w:next w:val="Normal"/>
    <w:link w:val="Heading6Char"/>
    <w:semiHidden/>
    <w:rsid w:val="004A2814"/>
    <w:pPr>
      <w:spacing w:line="240" w:lineRule="auto"/>
      <w:outlineLvl w:val="5"/>
    </w:pPr>
  </w:style>
  <w:style w:type="paragraph" w:styleId="Heading7">
    <w:name w:val="heading 7"/>
    <w:basedOn w:val="Normal"/>
    <w:next w:val="Normal"/>
    <w:link w:val="Heading7Char"/>
    <w:semiHidden/>
    <w:rsid w:val="004A2814"/>
    <w:pPr>
      <w:spacing w:line="240" w:lineRule="auto"/>
      <w:outlineLvl w:val="6"/>
    </w:pPr>
  </w:style>
  <w:style w:type="paragraph" w:styleId="Heading8">
    <w:name w:val="heading 8"/>
    <w:basedOn w:val="Normal"/>
    <w:next w:val="Normal"/>
    <w:link w:val="Heading8Char"/>
    <w:semiHidden/>
    <w:rsid w:val="004A2814"/>
    <w:pPr>
      <w:spacing w:line="240" w:lineRule="auto"/>
      <w:outlineLvl w:val="7"/>
    </w:pPr>
  </w:style>
  <w:style w:type="paragraph" w:styleId="Heading9">
    <w:name w:val="heading 9"/>
    <w:basedOn w:val="Normal"/>
    <w:next w:val="Normal"/>
    <w:link w:val="Heading9Char"/>
    <w:semiHidden/>
    <w:rsid w:val="004A281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link w:val="HeaderChar"/>
    <w:qFormat/>
    <w:rsid w:val="004A2814"/>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3B4550"/>
    <w:rPr>
      <w:rFonts w:ascii="Times New Roman" w:eastAsiaTheme="minorHAnsi" w:hAnsi="Times New Roman" w:cs="Times New Roman"/>
      <w:b/>
      <w:sz w:val="18"/>
      <w:szCs w:val="20"/>
      <w:lang w:eastAsia="en-US"/>
    </w:rPr>
  </w:style>
  <w:style w:type="paragraph" w:styleId="Footer">
    <w:name w:val="footer"/>
    <w:aliases w:val="3_G"/>
    <w:basedOn w:val="Normal"/>
    <w:link w:val="FooterChar"/>
    <w:qFormat/>
    <w:rsid w:val="004A2814"/>
    <w:pPr>
      <w:spacing w:line="240" w:lineRule="auto"/>
    </w:pPr>
    <w:rPr>
      <w:sz w:val="16"/>
    </w:rPr>
  </w:style>
  <w:style w:type="character" w:customStyle="1" w:styleId="FooterChar">
    <w:name w:val="Footer Char"/>
    <w:aliases w:val="3_G Char"/>
    <w:basedOn w:val="DefaultParagraphFont"/>
    <w:link w:val="Footer"/>
    <w:rsid w:val="00247E2C"/>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4A281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4A2814"/>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link w:val="H1GChar"/>
    <w:uiPriority w:val="99"/>
    <w:qFormat/>
    <w:rsid w:val="004A281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4A281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4A281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4A2814"/>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4A2814"/>
    <w:pPr>
      <w:spacing w:after="120"/>
      <w:ind w:left="1134" w:right="1134"/>
      <w:jc w:val="both"/>
    </w:pPr>
  </w:style>
  <w:style w:type="paragraph" w:customStyle="1" w:styleId="SLG">
    <w:name w:val="__S_L_G"/>
    <w:basedOn w:val="Normal"/>
    <w:next w:val="Normal"/>
    <w:rsid w:val="004A2814"/>
    <w:pPr>
      <w:keepNext/>
      <w:keepLines/>
      <w:spacing w:before="240" w:after="240" w:line="580" w:lineRule="exact"/>
      <w:ind w:left="1134" w:right="1134"/>
    </w:pPr>
    <w:rPr>
      <w:b/>
      <w:sz w:val="56"/>
    </w:rPr>
  </w:style>
  <w:style w:type="paragraph" w:customStyle="1" w:styleId="SMG">
    <w:name w:val="__S_M_G"/>
    <w:basedOn w:val="Normal"/>
    <w:next w:val="Normal"/>
    <w:rsid w:val="004A2814"/>
    <w:pPr>
      <w:keepNext/>
      <w:keepLines/>
      <w:spacing w:before="240" w:after="240" w:line="420" w:lineRule="exact"/>
      <w:ind w:left="1134" w:right="1134"/>
    </w:pPr>
    <w:rPr>
      <w:b/>
      <w:sz w:val="40"/>
    </w:rPr>
  </w:style>
  <w:style w:type="paragraph" w:customStyle="1" w:styleId="SSG">
    <w:name w:val="__S_S_G"/>
    <w:basedOn w:val="Normal"/>
    <w:next w:val="Normal"/>
    <w:rsid w:val="004A2814"/>
    <w:pPr>
      <w:keepNext/>
      <w:keepLines/>
      <w:spacing w:before="240" w:after="240" w:line="300" w:lineRule="exact"/>
      <w:ind w:left="1134" w:right="1134"/>
    </w:pPr>
    <w:rPr>
      <w:b/>
      <w:sz w:val="28"/>
    </w:rPr>
  </w:style>
  <w:style w:type="paragraph" w:customStyle="1" w:styleId="XLargeG">
    <w:name w:val="__XLarge_G"/>
    <w:basedOn w:val="Normal"/>
    <w:next w:val="Normal"/>
    <w:rsid w:val="004A2814"/>
    <w:pPr>
      <w:keepNext/>
      <w:keepLines/>
      <w:spacing w:before="240" w:after="240" w:line="420" w:lineRule="exact"/>
      <w:ind w:left="1134" w:right="1134"/>
    </w:pPr>
    <w:rPr>
      <w:b/>
      <w:sz w:val="40"/>
    </w:rPr>
  </w:style>
  <w:style w:type="paragraph" w:customStyle="1" w:styleId="Bullet1G">
    <w:name w:val="_Bullet 1_G"/>
    <w:basedOn w:val="Normal"/>
    <w:qFormat/>
    <w:rsid w:val="004A2814"/>
    <w:pPr>
      <w:numPr>
        <w:numId w:val="10"/>
      </w:numPr>
      <w:spacing w:after="120"/>
      <w:ind w:right="1134"/>
      <w:jc w:val="both"/>
    </w:pPr>
  </w:style>
  <w:style w:type="paragraph" w:customStyle="1" w:styleId="Bullet2G">
    <w:name w:val="_Bullet 2_G"/>
    <w:basedOn w:val="Normal"/>
    <w:qFormat/>
    <w:rsid w:val="004A2814"/>
    <w:pPr>
      <w:numPr>
        <w:numId w:val="11"/>
      </w:numPr>
      <w:spacing w:after="120"/>
      <w:ind w:right="1134"/>
      <w:jc w:val="both"/>
    </w:pPr>
  </w:style>
  <w:style w:type="paragraph" w:customStyle="1" w:styleId="ParNoG">
    <w:name w:val="_ParNo_G"/>
    <w:basedOn w:val="SingleTxtG"/>
    <w:qFormat/>
    <w:rsid w:val="00B206DD"/>
    <w:pPr>
      <w:numPr>
        <w:numId w:val="13"/>
      </w:numPr>
      <w:suppressAutoHyphens w:val="0"/>
      <w:kinsoku/>
      <w:overflowPunct/>
      <w:autoSpaceDE/>
      <w:autoSpaceDN/>
      <w:adjustRightInd/>
      <w:snapToGrid/>
    </w:pPr>
    <w:rPr>
      <w:rFonts w:eastAsia="Times New Roman"/>
    </w:rPr>
  </w:style>
  <w:style w:type="numbering" w:styleId="111111">
    <w:name w:val="Outline List 2"/>
    <w:basedOn w:val="NoList"/>
    <w:semiHidden/>
    <w:rsid w:val="007268F9"/>
    <w:pPr>
      <w:numPr>
        <w:numId w:val="5"/>
      </w:numPr>
    </w:pPr>
  </w:style>
  <w:style w:type="numbering" w:styleId="1ai">
    <w:name w:val="Outline List 1"/>
    <w:basedOn w:val="NoList"/>
    <w:semiHidden/>
    <w:rsid w:val="007268F9"/>
    <w:pPr>
      <w:numPr>
        <w:numId w:val="6"/>
      </w:numPr>
    </w:pPr>
  </w:style>
  <w:style w:type="character" w:styleId="EndnoteReference">
    <w:name w:val="endnote reference"/>
    <w:aliases w:val="1_G"/>
    <w:qFormat/>
    <w:rsid w:val="004A2814"/>
    <w:rPr>
      <w:rFonts w:ascii="Times New Roman" w:hAnsi="Times New Roman"/>
      <w:sz w:val="18"/>
      <w:vertAlign w:val="superscript"/>
    </w:rPr>
  </w:style>
  <w:style w:type="paragraph" w:styleId="FootnoteText">
    <w:name w:val="footnote text"/>
    <w:aliases w:val="5_G"/>
    <w:basedOn w:val="Normal"/>
    <w:link w:val="FootnoteTextChar"/>
    <w:uiPriority w:val="99"/>
    <w:qFormat/>
    <w:rsid w:val="004A2814"/>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uiPriority w:val="99"/>
    <w:rsid w:val="007268F9"/>
    <w:rPr>
      <w:rFonts w:ascii="Times New Roman" w:eastAsiaTheme="minorHAnsi" w:hAnsi="Times New Roman" w:cs="Times New Roman"/>
      <w:sz w:val="18"/>
      <w:szCs w:val="20"/>
      <w:lang w:eastAsia="en-US"/>
    </w:rPr>
  </w:style>
  <w:style w:type="paragraph" w:styleId="EndnoteText">
    <w:name w:val="endnote text"/>
    <w:aliases w:val="2_G"/>
    <w:basedOn w:val="FootnoteText"/>
    <w:link w:val="EndnoteTextChar"/>
    <w:qFormat/>
    <w:rsid w:val="004A2814"/>
  </w:style>
  <w:style w:type="character" w:customStyle="1" w:styleId="EndnoteTextChar">
    <w:name w:val="Endnote Text Char"/>
    <w:aliases w:val="2_G Char"/>
    <w:basedOn w:val="DefaultParagraphFont"/>
    <w:link w:val="EndnoteText"/>
    <w:rsid w:val="007268F9"/>
    <w:rPr>
      <w:rFonts w:ascii="Times New Roman" w:eastAsiaTheme="minorHAnsi" w:hAnsi="Times New Roman" w:cs="Times New Roman"/>
      <w:sz w:val="18"/>
      <w:szCs w:val="20"/>
      <w:lang w:eastAsia="en-US"/>
    </w:rPr>
  </w:style>
  <w:style w:type="character" w:styleId="FootnoteReference">
    <w:name w:val="footnote reference"/>
    <w:aliases w:val="4_G,Footnote Reference/"/>
    <w:uiPriority w:val="99"/>
    <w:qFormat/>
    <w:rsid w:val="004A2814"/>
    <w:rPr>
      <w:rFonts w:ascii="Times New Roman" w:hAnsi="Times New Roman"/>
      <w:sz w:val="18"/>
      <w:vertAlign w:val="superscript"/>
    </w:rPr>
  </w:style>
  <w:style w:type="character" w:customStyle="1" w:styleId="Heading1Char">
    <w:name w:val="Heading 1 Char"/>
    <w:aliases w:val="Table_G Char"/>
    <w:basedOn w:val="DefaultParagraphFont"/>
    <w:link w:val="Heading1"/>
    <w:rsid w:val="003B4550"/>
    <w:rPr>
      <w:rFonts w:ascii="Times New Roman" w:eastAsiaTheme="minorHAnsi" w:hAnsi="Times New Roman" w:cs="Times New Roman"/>
      <w:sz w:val="20"/>
      <w:szCs w:val="20"/>
      <w:lang w:eastAsia="en-US"/>
    </w:rPr>
  </w:style>
  <w:style w:type="character" w:customStyle="1" w:styleId="Heading2Char">
    <w:name w:val="Heading 2 Char"/>
    <w:basedOn w:val="DefaultParagraphFont"/>
    <w:link w:val="Heading2"/>
    <w:semiHidden/>
    <w:rsid w:val="003B4550"/>
    <w:rPr>
      <w:rFonts w:ascii="Times New Roman" w:eastAsiaTheme="minorHAnsi" w:hAnsi="Times New Roman" w:cs="Times New Roman"/>
      <w:sz w:val="20"/>
      <w:szCs w:val="20"/>
      <w:lang w:eastAsia="en-US"/>
    </w:rPr>
  </w:style>
  <w:style w:type="character" w:customStyle="1" w:styleId="Heading3Char">
    <w:name w:val="Heading 3 Char"/>
    <w:basedOn w:val="DefaultParagraphFont"/>
    <w:link w:val="Heading3"/>
    <w:semiHidden/>
    <w:rsid w:val="003B4550"/>
    <w:rPr>
      <w:rFonts w:ascii="Times New Roman" w:eastAsiaTheme="minorHAnsi" w:hAnsi="Times New Roman" w:cs="Times New Roman"/>
      <w:sz w:val="20"/>
      <w:szCs w:val="20"/>
      <w:lang w:eastAsia="en-US"/>
    </w:rPr>
  </w:style>
  <w:style w:type="character" w:customStyle="1" w:styleId="Heading4Char">
    <w:name w:val="Heading 4 Char"/>
    <w:basedOn w:val="DefaultParagraphFont"/>
    <w:link w:val="Heading4"/>
    <w:semiHidden/>
    <w:rsid w:val="003B4550"/>
    <w:rPr>
      <w:rFonts w:ascii="Times New Roman" w:eastAsiaTheme="minorHAnsi" w:hAnsi="Times New Roman" w:cs="Times New Roman"/>
      <w:sz w:val="20"/>
      <w:szCs w:val="20"/>
      <w:lang w:eastAsia="en-US"/>
    </w:rPr>
  </w:style>
  <w:style w:type="character" w:customStyle="1" w:styleId="Heading5Char">
    <w:name w:val="Heading 5 Char"/>
    <w:basedOn w:val="DefaultParagraphFont"/>
    <w:link w:val="Heading5"/>
    <w:semiHidden/>
    <w:rsid w:val="003B4550"/>
    <w:rPr>
      <w:rFonts w:ascii="Times New Roman" w:eastAsiaTheme="minorHAnsi" w:hAnsi="Times New Roman" w:cs="Times New Roman"/>
      <w:sz w:val="20"/>
      <w:szCs w:val="20"/>
      <w:lang w:eastAsia="en-US"/>
    </w:rPr>
  </w:style>
  <w:style w:type="character" w:customStyle="1" w:styleId="Heading6Char">
    <w:name w:val="Heading 6 Char"/>
    <w:basedOn w:val="DefaultParagraphFont"/>
    <w:link w:val="Heading6"/>
    <w:semiHidden/>
    <w:rsid w:val="003B4550"/>
    <w:rPr>
      <w:rFonts w:ascii="Times New Roman" w:eastAsiaTheme="minorHAnsi" w:hAnsi="Times New Roman" w:cs="Times New Roman"/>
      <w:sz w:val="20"/>
      <w:szCs w:val="20"/>
      <w:lang w:eastAsia="en-US"/>
    </w:rPr>
  </w:style>
  <w:style w:type="character" w:customStyle="1" w:styleId="Heading7Char">
    <w:name w:val="Heading 7 Char"/>
    <w:basedOn w:val="DefaultParagraphFont"/>
    <w:link w:val="Heading7"/>
    <w:semiHidden/>
    <w:rsid w:val="003B4550"/>
    <w:rPr>
      <w:rFonts w:ascii="Times New Roman" w:eastAsiaTheme="minorHAnsi" w:hAnsi="Times New Roman" w:cs="Times New Roman"/>
      <w:sz w:val="20"/>
      <w:szCs w:val="20"/>
      <w:lang w:eastAsia="en-US"/>
    </w:rPr>
  </w:style>
  <w:style w:type="character" w:customStyle="1" w:styleId="Heading8Char">
    <w:name w:val="Heading 8 Char"/>
    <w:basedOn w:val="DefaultParagraphFont"/>
    <w:link w:val="Heading8"/>
    <w:semiHidden/>
    <w:rsid w:val="003B4550"/>
    <w:rPr>
      <w:rFonts w:ascii="Times New Roman" w:eastAsiaTheme="minorHAnsi" w:hAnsi="Times New Roman" w:cs="Times New Roman"/>
      <w:sz w:val="20"/>
      <w:szCs w:val="20"/>
      <w:lang w:eastAsia="en-US"/>
    </w:rPr>
  </w:style>
  <w:style w:type="character" w:customStyle="1" w:styleId="Heading9Char">
    <w:name w:val="Heading 9 Char"/>
    <w:basedOn w:val="DefaultParagraphFont"/>
    <w:link w:val="Heading9"/>
    <w:semiHidden/>
    <w:rsid w:val="003B4550"/>
    <w:rPr>
      <w:rFonts w:ascii="Times New Roman" w:eastAsiaTheme="minorHAnsi" w:hAnsi="Times New Roman" w:cs="Times New Roman"/>
      <w:sz w:val="20"/>
      <w:szCs w:val="20"/>
      <w:lang w:eastAsia="en-US"/>
    </w:rPr>
  </w:style>
  <w:style w:type="character" w:styleId="PageNumber">
    <w:name w:val="page number"/>
    <w:aliases w:val="7_G"/>
    <w:rsid w:val="004A2814"/>
    <w:rPr>
      <w:rFonts w:ascii="Times New Roman" w:hAnsi="Times New Roman"/>
      <w:b/>
      <w:sz w:val="18"/>
    </w:rPr>
  </w:style>
  <w:style w:type="paragraph" w:styleId="BalloonText">
    <w:name w:val="Balloon Text"/>
    <w:basedOn w:val="Normal"/>
    <w:link w:val="BalloonTextChar"/>
    <w:uiPriority w:val="99"/>
    <w:semiHidden/>
    <w:unhideWhenUsed/>
    <w:rsid w:val="00E5210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2109"/>
    <w:rPr>
      <w:rFonts w:ascii="Tahoma" w:eastAsia="Times New Roman" w:hAnsi="Tahoma" w:cs="Tahoma"/>
      <w:sz w:val="16"/>
      <w:szCs w:val="16"/>
      <w:lang w:eastAsia="en-US"/>
    </w:rPr>
  </w:style>
  <w:style w:type="character" w:styleId="Hyperlink">
    <w:name w:val="Hyperlink"/>
    <w:basedOn w:val="DefaultParagraphFont"/>
    <w:rsid w:val="00EC0CE6"/>
    <w:rPr>
      <w:color w:val="0000FF"/>
      <w:u w:val="none"/>
    </w:rPr>
  </w:style>
  <w:style w:type="character" w:styleId="FollowedHyperlink">
    <w:name w:val="FollowedHyperlink"/>
    <w:basedOn w:val="DefaultParagraphFont"/>
    <w:rsid w:val="00EC0CE6"/>
    <w:rPr>
      <w:color w:val="0000FF"/>
      <w:u w:val="none"/>
    </w:rPr>
  </w:style>
  <w:style w:type="table" w:styleId="TableGrid">
    <w:name w:val="Table Grid"/>
    <w:basedOn w:val="TableNormal"/>
    <w:rsid w:val="004A2814"/>
    <w:pPr>
      <w:suppressAutoHyphens/>
      <w:spacing w:after="0" w:line="240" w:lineRule="atLeast"/>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HChGChar">
    <w:name w:val="_ H _Ch_G Char"/>
    <w:link w:val="HChG"/>
    <w:qFormat/>
    <w:locked/>
    <w:rsid w:val="00E54249"/>
    <w:rPr>
      <w:b/>
      <w:sz w:val="28"/>
    </w:rPr>
  </w:style>
  <w:style w:type="character" w:customStyle="1" w:styleId="H1GChar">
    <w:name w:val="_ H_1_G Char"/>
    <w:link w:val="H1G"/>
    <w:uiPriority w:val="99"/>
    <w:locked/>
    <w:rsid w:val="00E54249"/>
    <w:rPr>
      <w:b/>
      <w:sz w:val="24"/>
    </w:rPr>
  </w:style>
  <w:style w:type="character" w:customStyle="1" w:styleId="SingleTxtGChar">
    <w:name w:val="_ Single Txt_G Char"/>
    <w:link w:val="SingleTxtG"/>
    <w:qFormat/>
    <w:locked/>
    <w:rsid w:val="00E542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232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www.dmp.wa.gov.au/Documents/Dangerous-Goods/DGS_IncidentAlert_ANETanker.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7" ma:contentTypeDescription="Create a new document." ma:contentTypeScope="" ma:versionID="3dda9090b5883dd13a17919601bc9337">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ded5af2ee258f7c0b7926b0cd9be3d49"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Props1.xml><?xml version="1.0" encoding="utf-8"?>
<ds:datastoreItem xmlns:ds="http://schemas.openxmlformats.org/officeDocument/2006/customXml" ds:itemID="{691B5BF0-B378-4BF9-BDE5-8C21274EA272}">
  <ds:schemaRefs>
    <ds:schemaRef ds:uri="http://schemas.microsoft.com/sharepoint/v3/contenttype/forms"/>
  </ds:schemaRefs>
</ds:datastoreItem>
</file>

<file path=customXml/itemProps2.xml><?xml version="1.0" encoding="utf-8"?>
<ds:datastoreItem xmlns:ds="http://schemas.openxmlformats.org/officeDocument/2006/customXml" ds:itemID="{1DB8F51E-D663-4482-BAB5-5167E13061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3518F60-7DA2-420D-843C-E28B2BAD873F}">
  <ds:schemaRefs>
    <ds:schemaRef ds:uri="http://schemas.openxmlformats.org/officeDocument/2006/bibliography"/>
  </ds:schemaRefs>
</ds:datastoreItem>
</file>

<file path=customXml/itemProps4.xml><?xml version="1.0" encoding="utf-8"?>
<ds:datastoreItem xmlns:ds="http://schemas.openxmlformats.org/officeDocument/2006/customXml" ds:itemID="{85DCDDF5-C557-4E1B-8B0C-560B459D7378}">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1712</Words>
  <Characters>8651</Characters>
  <Application>Microsoft Office Word</Application>
  <DocSecurity>0</DocSecurity>
  <Lines>158</Lines>
  <Paragraphs>52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ST/SG/AC.10/C.3/2023/16</dc:title>
  <dc:subject>2307483</dc:subject>
  <dc:creator>Editorial</dc:creator>
  <cp:keywords/>
  <dc:description/>
  <cp:lastModifiedBy>Don Canete Martin</cp:lastModifiedBy>
  <cp:revision>2</cp:revision>
  <dcterms:created xsi:type="dcterms:W3CDTF">2023-04-20T14:09:00Z</dcterms:created>
  <dcterms:modified xsi:type="dcterms:W3CDTF">2023-04-20T14:09:00Z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Office of Origin">
    <vt:lpwstr/>
  </property>
  <property fmtid="{D5CDD505-2E9C-101B-9397-08002B2CF9AE}" pid="4" name="MediaServiceImageTags">
    <vt:lpwstr/>
  </property>
  <property fmtid="{D5CDD505-2E9C-101B-9397-08002B2CF9AE}" pid="5" name="gba66df640194346a5267c50f24d4797">
    <vt:lpwstr/>
  </property>
</Properties>
</file>