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vsdx" ContentType="application/vnd.ms-visio.drawing"/>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41C0400" w14:textId="77777777" w:rsidTr="00F01738">
        <w:trPr>
          <w:trHeight w:hRule="exact" w:val="851"/>
        </w:trPr>
        <w:tc>
          <w:tcPr>
            <w:tcW w:w="1276" w:type="dxa"/>
            <w:tcBorders>
              <w:bottom w:val="single" w:sz="4" w:space="0" w:color="auto"/>
            </w:tcBorders>
          </w:tcPr>
          <w:p w14:paraId="31EE0363" w14:textId="77777777" w:rsidR="00132EA9" w:rsidRPr="00DB58B5" w:rsidRDefault="00132EA9" w:rsidP="006D087D"/>
        </w:tc>
        <w:tc>
          <w:tcPr>
            <w:tcW w:w="2268" w:type="dxa"/>
            <w:tcBorders>
              <w:bottom w:val="single" w:sz="4" w:space="0" w:color="auto"/>
            </w:tcBorders>
            <w:vAlign w:val="bottom"/>
          </w:tcPr>
          <w:p w14:paraId="1304B14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12A3A0" w14:textId="00AFC5F8" w:rsidR="00132EA9" w:rsidRPr="00DB58B5" w:rsidRDefault="006D087D" w:rsidP="006D087D">
            <w:pPr>
              <w:jc w:val="right"/>
            </w:pPr>
            <w:r w:rsidRPr="006D087D">
              <w:rPr>
                <w:sz w:val="40"/>
              </w:rPr>
              <w:t>ST</w:t>
            </w:r>
            <w:r>
              <w:t>/SG/AC</w:t>
            </w:r>
            <w:r w:rsidR="0083022B" w:rsidRPr="0083022B">
              <w:t>.</w:t>
            </w:r>
            <w:r>
              <w:t>10/C</w:t>
            </w:r>
            <w:r w:rsidR="0083022B" w:rsidRPr="0083022B">
              <w:t>.</w:t>
            </w:r>
            <w:r>
              <w:t>4/2023/4</w:t>
            </w:r>
          </w:p>
        </w:tc>
      </w:tr>
      <w:tr w:rsidR="00132EA9" w:rsidRPr="00DB58B5" w14:paraId="5D946608" w14:textId="77777777" w:rsidTr="00F01738">
        <w:trPr>
          <w:trHeight w:hRule="exact" w:val="2835"/>
        </w:trPr>
        <w:tc>
          <w:tcPr>
            <w:tcW w:w="1276" w:type="dxa"/>
            <w:tcBorders>
              <w:top w:val="single" w:sz="4" w:space="0" w:color="auto"/>
              <w:bottom w:val="single" w:sz="12" w:space="0" w:color="auto"/>
            </w:tcBorders>
          </w:tcPr>
          <w:p w14:paraId="41D2236E" w14:textId="77777777" w:rsidR="00132EA9" w:rsidRPr="00DB58B5" w:rsidRDefault="00132EA9" w:rsidP="00F01738">
            <w:pPr>
              <w:spacing w:before="120"/>
              <w:jc w:val="center"/>
            </w:pPr>
            <w:r>
              <w:rPr>
                <w:noProof/>
                <w:lang w:eastAsia="fr-CH"/>
              </w:rPr>
              <w:drawing>
                <wp:inline distT="0" distB="0" distL="0" distR="0" wp14:anchorId="2B41FC01" wp14:editId="1D6D7A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A60BF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8B91968" w14:textId="2E2175F6" w:rsidR="00132EA9" w:rsidRDefault="006D087D" w:rsidP="00F01738">
            <w:pPr>
              <w:spacing w:before="240"/>
            </w:pPr>
            <w:proofErr w:type="spellStart"/>
            <w:r>
              <w:t>Distr</w:t>
            </w:r>
            <w:proofErr w:type="spellEnd"/>
            <w:r w:rsidR="0083022B" w:rsidRPr="0083022B">
              <w:t>.</w:t>
            </w:r>
            <w:r>
              <w:t xml:space="preserve"> générale</w:t>
            </w:r>
          </w:p>
          <w:p w14:paraId="3D10A81A" w14:textId="77777777" w:rsidR="006D087D" w:rsidRDefault="006D087D" w:rsidP="006D087D">
            <w:pPr>
              <w:spacing w:line="240" w:lineRule="exact"/>
            </w:pPr>
            <w:r>
              <w:t>25 avril 2023</w:t>
            </w:r>
          </w:p>
          <w:p w14:paraId="755EAA2C" w14:textId="77777777" w:rsidR="006D087D" w:rsidRDefault="006D087D" w:rsidP="006D087D">
            <w:pPr>
              <w:spacing w:line="240" w:lineRule="exact"/>
            </w:pPr>
            <w:r>
              <w:t>Français</w:t>
            </w:r>
          </w:p>
          <w:p w14:paraId="3E264791" w14:textId="3BF0BC98" w:rsidR="006D087D" w:rsidRPr="00DB58B5" w:rsidRDefault="006D087D" w:rsidP="006D087D">
            <w:pPr>
              <w:spacing w:line="240" w:lineRule="exact"/>
            </w:pPr>
            <w:r>
              <w:t>Original : anglais</w:t>
            </w:r>
          </w:p>
        </w:tc>
      </w:tr>
    </w:tbl>
    <w:p w14:paraId="0AC42466" w14:textId="0D5CEA40" w:rsidR="003E459E" w:rsidRPr="00515B1C" w:rsidRDefault="003E459E" w:rsidP="003E459E">
      <w:pPr>
        <w:spacing w:before="120"/>
        <w:rPr>
          <w:b/>
          <w:sz w:val="24"/>
          <w:szCs w:val="24"/>
          <w:lang w:val="fr-FR"/>
        </w:rPr>
      </w:pPr>
      <w:r w:rsidRPr="00515B1C">
        <w:rPr>
          <w:b/>
          <w:bCs/>
          <w:sz w:val="24"/>
          <w:szCs w:val="24"/>
          <w:lang w:val="fr-FR"/>
        </w:rPr>
        <w:t xml:space="preserve">Comité d’experts du transport des marchandises </w:t>
      </w:r>
      <w:r w:rsidR="00515B1C">
        <w:rPr>
          <w:b/>
          <w:bCs/>
          <w:sz w:val="24"/>
          <w:szCs w:val="24"/>
          <w:lang w:val="fr-FR"/>
        </w:rPr>
        <w:br/>
      </w:r>
      <w:r w:rsidRPr="00515B1C">
        <w:rPr>
          <w:b/>
          <w:bCs/>
          <w:sz w:val="24"/>
          <w:szCs w:val="24"/>
          <w:lang w:val="fr-FR"/>
        </w:rPr>
        <w:t xml:space="preserve">dangereuses et du Système général harmonisé </w:t>
      </w:r>
      <w:r w:rsidR="00515B1C">
        <w:rPr>
          <w:b/>
          <w:bCs/>
          <w:sz w:val="24"/>
          <w:szCs w:val="24"/>
          <w:lang w:val="fr-FR"/>
        </w:rPr>
        <w:br/>
      </w:r>
      <w:r w:rsidRPr="00515B1C">
        <w:rPr>
          <w:b/>
          <w:bCs/>
          <w:sz w:val="24"/>
          <w:szCs w:val="24"/>
          <w:lang w:val="fr-FR"/>
        </w:rPr>
        <w:t>de classification et d’étiquetage des produits chimiques</w:t>
      </w:r>
    </w:p>
    <w:p w14:paraId="21B51973" w14:textId="40936394" w:rsidR="003E459E" w:rsidRPr="003A2ED3" w:rsidRDefault="003E459E" w:rsidP="003E459E">
      <w:pPr>
        <w:spacing w:before="120"/>
        <w:rPr>
          <w:b/>
          <w:color w:val="000000"/>
          <w:lang w:val="fr-FR"/>
        </w:rPr>
      </w:pPr>
      <w:r>
        <w:rPr>
          <w:b/>
          <w:bCs/>
          <w:lang w:val="fr-FR"/>
        </w:rPr>
        <w:t xml:space="preserve">Sous-Comité d’experts du Système général harmonisé </w:t>
      </w:r>
      <w:r w:rsidR="00515B1C">
        <w:rPr>
          <w:b/>
          <w:bCs/>
          <w:lang w:val="fr-FR"/>
        </w:rPr>
        <w:br/>
      </w:r>
      <w:r>
        <w:rPr>
          <w:b/>
          <w:bCs/>
          <w:lang w:val="fr-FR"/>
        </w:rPr>
        <w:t>de classification et d’étiquetage des produits chimiques</w:t>
      </w:r>
    </w:p>
    <w:p w14:paraId="3B9E13B0" w14:textId="77777777" w:rsidR="003E459E" w:rsidRPr="00676FB6" w:rsidRDefault="003E459E" w:rsidP="003E459E">
      <w:pPr>
        <w:spacing w:before="120"/>
        <w:rPr>
          <w:b/>
          <w:lang w:val="fr-FR"/>
        </w:rPr>
      </w:pPr>
      <w:r>
        <w:rPr>
          <w:b/>
          <w:bCs/>
          <w:lang w:val="fr-FR"/>
        </w:rPr>
        <w:t>Quarante-quatrième session</w:t>
      </w:r>
    </w:p>
    <w:p w14:paraId="3A6628A5" w14:textId="77777777" w:rsidR="003E459E" w:rsidRPr="00676FB6" w:rsidRDefault="003E459E" w:rsidP="003E459E">
      <w:pPr>
        <w:rPr>
          <w:lang w:val="fr-FR"/>
        </w:rPr>
      </w:pPr>
      <w:r>
        <w:rPr>
          <w:lang w:val="fr-FR"/>
        </w:rPr>
        <w:t>Genève, 10-12 juillet 2023</w:t>
      </w:r>
    </w:p>
    <w:p w14:paraId="7C321662" w14:textId="77777777" w:rsidR="003E459E" w:rsidRPr="00676FB6" w:rsidRDefault="003E459E" w:rsidP="003E459E">
      <w:pPr>
        <w:rPr>
          <w:lang w:val="fr-FR"/>
        </w:rPr>
      </w:pPr>
      <w:r>
        <w:rPr>
          <w:lang w:val="fr-FR"/>
        </w:rPr>
        <w:t>Point 2 h) de l’ordre du jour provisoire</w:t>
      </w:r>
    </w:p>
    <w:p w14:paraId="2891A2A4" w14:textId="0BCB4592" w:rsidR="003E459E" w:rsidRPr="00676FB6" w:rsidRDefault="003E459E" w:rsidP="003E459E">
      <w:pPr>
        <w:rPr>
          <w:b/>
          <w:bCs/>
          <w:lang w:val="fr-FR"/>
        </w:rPr>
      </w:pPr>
      <w:r>
        <w:rPr>
          <w:b/>
          <w:bCs/>
          <w:lang w:val="fr-FR"/>
        </w:rPr>
        <w:t xml:space="preserve">Travaux relatifs au Système général harmonisé de classification </w:t>
      </w:r>
      <w:r w:rsidR="00515B1C">
        <w:rPr>
          <w:b/>
          <w:bCs/>
          <w:lang w:val="fr-FR"/>
        </w:rPr>
        <w:br/>
      </w:r>
      <w:r>
        <w:rPr>
          <w:b/>
          <w:bCs/>
          <w:lang w:val="fr-FR"/>
        </w:rPr>
        <w:t xml:space="preserve">et d’étiquetage des produits chimiques : Communication des dangers </w:t>
      </w:r>
      <w:r w:rsidR="00515B1C">
        <w:rPr>
          <w:b/>
          <w:bCs/>
          <w:lang w:val="fr-FR"/>
        </w:rPr>
        <w:br/>
      </w:r>
      <w:r>
        <w:rPr>
          <w:b/>
          <w:bCs/>
          <w:lang w:val="fr-FR"/>
        </w:rPr>
        <w:t>des gaz visés par le Protocole de Montréal et d’autres Conventions</w:t>
      </w:r>
    </w:p>
    <w:p w14:paraId="76193CED" w14:textId="12506DCF" w:rsidR="003E459E" w:rsidRPr="00676FB6" w:rsidRDefault="003E459E" w:rsidP="00283573">
      <w:pPr>
        <w:pStyle w:val="HChG"/>
        <w:rPr>
          <w:lang w:val="fr-FR"/>
        </w:rPr>
      </w:pPr>
      <w:r>
        <w:rPr>
          <w:lang w:val="fr-FR"/>
        </w:rPr>
        <w:tab/>
      </w:r>
      <w:r>
        <w:rPr>
          <w:lang w:val="fr-FR"/>
        </w:rPr>
        <w:tab/>
        <w:t>Révision du chapitre 4</w:t>
      </w:r>
      <w:r w:rsidR="0083022B" w:rsidRPr="0083022B">
        <w:rPr>
          <w:lang w:val="fr-FR"/>
        </w:rPr>
        <w:t>.</w:t>
      </w:r>
      <w:r>
        <w:rPr>
          <w:lang w:val="fr-FR"/>
        </w:rPr>
        <w:t xml:space="preserve">2 en vue d’y ajouter la classification </w:t>
      </w:r>
      <w:r w:rsidR="00283573">
        <w:rPr>
          <w:lang w:val="fr-FR"/>
        </w:rPr>
        <w:br/>
      </w:r>
      <w:r>
        <w:rPr>
          <w:lang w:val="fr-FR"/>
        </w:rPr>
        <w:t>et la communication des dangers pour les gaz à effet de serre énumérés aux annexes du Protocole de Montréal</w:t>
      </w:r>
    </w:p>
    <w:p w14:paraId="414337A6" w14:textId="3EC5E65A" w:rsidR="003E459E" w:rsidRPr="00676FB6" w:rsidRDefault="003E459E" w:rsidP="00283573">
      <w:pPr>
        <w:pStyle w:val="H1G"/>
        <w:rPr>
          <w:lang w:val="fr-FR"/>
        </w:rPr>
      </w:pPr>
      <w:r>
        <w:rPr>
          <w:lang w:val="fr-FR"/>
        </w:rPr>
        <w:tab/>
      </w:r>
      <w:r>
        <w:rPr>
          <w:lang w:val="fr-FR"/>
        </w:rPr>
        <w:tab/>
        <w:t xml:space="preserve">Communication des experts de l’Allemagne, de l’Autriche, </w:t>
      </w:r>
      <w:r w:rsidR="00283573">
        <w:rPr>
          <w:lang w:val="fr-FR"/>
        </w:rPr>
        <w:br/>
      </w:r>
      <w:r>
        <w:rPr>
          <w:lang w:val="fr-FR"/>
        </w:rPr>
        <w:t xml:space="preserve">des États-Unis d’Amérique, de la Finlande, du Royaume-Uni </w:t>
      </w:r>
      <w:r w:rsidR="00283573">
        <w:rPr>
          <w:lang w:val="fr-FR"/>
        </w:rPr>
        <w:br/>
      </w:r>
      <w:r>
        <w:rPr>
          <w:lang w:val="fr-FR"/>
        </w:rPr>
        <w:t>et de l’Union européenne</w:t>
      </w:r>
      <w:r w:rsidRPr="00283573">
        <w:rPr>
          <w:rStyle w:val="Appelnotedebasdep"/>
          <w:rFonts w:eastAsia="MS Mincho"/>
          <w:b w:val="0"/>
          <w:bCs/>
          <w:sz w:val="20"/>
          <w:vertAlign w:val="baseline"/>
          <w:lang w:val="fr-FR"/>
        </w:rPr>
        <w:footnoteReference w:customMarkFollows="1" w:id="2"/>
        <w:t>*</w:t>
      </w:r>
      <w:bookmarkStart w:id="0" w:name="_Hlk132621945"/>
      <w:bookmarkEnd w:id="0"/>
    </w:p>
    <w:p w14:paraId="4ABAB658" w14:textId="01864C17" w:rsidR="003E459E" w:rsidRPr="00676FB6" w:rsidRDefault="003E459E" w:rsidP="00283573">
      <w:pPr>
        <w:pStyle w:val="HChG"/>
        <w:rPr>
          <w:sz w:val="24"/>
          <w:szCs w:val="24"/>
          <w:lang w:val="fr-FR"/>
        </w:rPr>
      </w:pPr>
      <w:r>
        <w:rPr>
          <w:lang w:val="fr-FR"/>
        </w:rPr>
        <w:tab/>
      </w:r>
      <w:r>
        <w:rPr>
          <w:lang w:val="fr-FR"/>
        </w:rPr>
        <w:tab/>
        <w:t>Introduction</w:t>
      </w:r>
    </w:p>
    <w:p w14:paraId="77F21C0A" w14:textId="36F5C1BB" w:rsidR="003E459E" w:rsidRPr="00676FB6" w:rsidRDefault="003E459E" w:rsidP="00283573">
      <w:pPr>
        <w:pStyle w:val="SingleTxtG"/>
        <w:rPr>
          <w:lang w:val="fr-FR"/>
        </w:rPr>
      </w:pPr>
      <w:r>
        <w:rPr>
          <w:lang w:val="fr-FR"/>
        </w:rPr>
        <w:t>1</w:t>
      </w:r>
      <w:r w:rsidR="0083022B" w:rsidRPr="0083022B">
        <w:rPr>
          <w:lang w:val="fr-FR"/>
        </w:rPr>
        <w:t>.</w:t>
      </w:r>
      <w:r>
        <w:rPr>
          <w:lang w:val="fr-FR"/>
        </w:rPr>
        <w:tab/>
        <w:t>À sa quarante-deuxième session</w:t>
      </w:r>
      <w:r w:rsidRPr="005D36D3">
        <w:rPr>
          <w:rStyle w:val="Appelnotedebasdep"/>
        </w:rPr>
        <w:footnoteReference w:id="3"/>
      </w:r>
      <w:r>
        <w:rPr>
          <w:lang w:val="fr-FR"/>
        </w:rPr>
        <w:t xml:space="preserve">, le Sous-Comité a constaté qu’à la suite de l’adoption et de l’entrée en vigueur de l’Amendement de Kigali au Protocole de Montréal (annexe F), il y avait une lacune dans le Système général harmonisé de classification et d’étiquetage des produits chimiques (SGH) concernant les </w:t>
      </w:r>
      <w:proofErr w:type="spellStart"/>
      <w:r>
        <w:rPr>
          <w:lang w:val="fr-FR"/>
        </w:rPr>
        <w:t>hydrofluorocarbones</w:t>
      </w:r>
      <w:proofErr w:type="spellEnd"/>
      <w:r>
        <w:rPr>
          <w:lang w:val="fr-FR"/>
        </w:rPr>
        <w:t xml:space="preserve"> qui sont des gaz à effet de serre connus</w:t>
      </w:r>
      <w:r w:rsidR="0083022B" w:rsidRPr="0083022B">
        <w:rPr>
          <w:lang w:val="fr-FR"/>
        </w:rPr>
        <w:t>.</w:t>
      </w:r>
      <w:r>
        <w:rPr>
          <w:lang w:val="fr-FR"/>
        </w:rPr>
        <w:t xml:space="preserve"> </w:t>
      </w:r>
    </w:p>
    <w:p w14:paraId="1E2AB62D" w14:textId="19954F13" w:rsidR="003E459E" w:rsidRPr="00676FB6" w:rsidRDefault="003E459E" w:rsidP="003E459E">
      <w:pPr>
        <w:pStyle w:val="SingleTxtG"/>
        <w:rPr>
          <w:lang w:val="fr-FR"/>
        </w:rPr>
      </w:pPr>
      <w:r>
        <w:rPr>
          <w:lang w:val="fr-FR"/>
        </w:rPr>
        <w:t>2</w:t>
      </w:r>
      <w:r w:rsidR="0083022B" w:rsidRPr="0083022B">
        <w:rPr>
          <w:lang w:val="fr-FR"/>
        </w:rPr>
        <w:t>.</w:t>
      </w:r>
      <w:r>
        <w:rPr>
          <w:lang w:val="fr-FR"/>
        </w:rPr>
        <w:tab/>
        <w:t>À sa quarante-troisième session</w:t>
      </w:r>
      <w:r w:rsidRPr="005D36D3">
        <w:rPr>
          <w:rStyle w:val="Appelnotedebasdep"/>
        </w:rPr>
        <w:footnoteReference w:id="4"/>
      </w:r>
      <w:r>
        <w:rPr>
          <w:lang w:val="fr-FR"/>
        </w:rPr>
        <w:t>, le Sous-Comité a examiné les différentes options qui pouvaient être envisagées pour poursuivre les travaux</w:t>
      </w:r>
      <w:r w:rsidR="0083022B" w:rsidRPr="0083022B">
        <w:rPr>
          <w:lang w:val="fr-FR"/>
        </w:rPr>
        <w:t>.</w:t>
      </w:r>
      <w:r>
        <w:rPr>
          <w:lang w:val="fr-FR"/>
        </w:rPr>
        <w:t xml:space="preserve"> Tous les experts qui se sont exprimés se sont prononcés en faveur de la deuxième option (à savoir, renommer le chapitre</w:t>
      </w:r>
      <w:r w:rsidR="00A11D8F">
        <w:rPr>
          <w:lang w:val="fr-FR"/>
        </w:rPr>
        <w:t> </w:t>
      </w:r>
      <w:r>
        <w:rPr>
          <w:lang w:val="fr-FR"/>
        </w:rPr>
        <w:t>4</w:t>
      </w:r>
      <w:r w:rsidR="0083022B" w:rsidRPr="0083022B">
        <w:rPr>
          <w:lang w:val="fr-FR"/>
        </w:rPr>
        <w:t>.</w:t>
      </w:r>
      <w:r>
        <w:rPr>
          <w:lang w:val="fr-FR"/>
        </w:rPr>
        <w:t xml:space="preserve">2 et ajouter une deuxième classe de danger), et certains se sont également dits favorables à l’extension du champ d’application du SGH à d’autres </w:t>
      </w:r>
      <w:proofErr w:type="spellStart"/>
      <w:r>
        <w:rPr>
          <w:lang w:val="fr-FR"/>
        </w:rPr>
        <w:t>hydrofluorocarbones</w:t>
      </w:r>
      <w:proofErr w:type="spellEnd"/>
      <w:r>
        <w:rPr>
          <w:lang w:val="fr-FR"/>
        </w:rPr>
        <w:t xml:space="preserve"> ou à tous les gaz à effet de serre (« futurs travaux » possibles) dans un chapitre distinct, comme expliqué dans le document informel INF</w:t>
      </w:r>
      <w:r w:rsidR="0083022B" w:rsidRPr="0083022B">
        <w:rPr>
          <w:lang w:val="fr-FR"/>
        </w:rPr>
        <w:t>.</w:t>
      </w:r>
      <w:r>
        <w:rPr>
          <w:lang w:val="fr-FR"/>
        </w:rPr>
        <w:t>37 de la quarante-troisième session</w:t>
      </w:r>
      <w:r w:rsidR="0083022B" w:rsidRPr="0083022B">
        <w:rPr>
          <w:lang w:val="fr-FR"/>
        </w:rPr>
        <w:t>.</w:t>
      </w:r>
      <w:r>
        <w:rPr>
          <w:lang w:val="fr-FR"/>
        </w:rPr>
        <w:t xml:space="preserve"> </w:t>
      </w:r>
    </w:p>
    <w:p w14:paraId="679BB0A4" w14:textId="50AAD5A6" w:rsidR="003E459E" w:rsidRPr="00676FB6" w:rsidRDefault="003E459E" w:rsidP="003E459E">
      <w:pPr>
        <w:pStyle w:val="SingleTxtG"/>
        <w:rPr>
          <w:lang w:val="fr-FR"/>
        </w:rPr>
      </w:pPr>
      <w:r>
        <w:rPr>
          <w:lang w:val="fr-FR"/>
        </w:rPr>
        <w:lastRenderedPageBreak/>
        <w:t>3</w:t>
      </w:r>
      <w:r w:rsidR="0083022B" w:rsidRPr="0083022B">
        <w:rPr>
          <w:lang w:val="fr-FR"/>
        </w:rPr>
        <w:t>.</w:t>
      </w:r>
      <w:r>
        <w:rPr>
          <w:lang w:val="fr-FR"/>
        </w:rPr>
        <w:tab/>
        <w:t>Dans le présent document, ainsi que dans le document informel INF</w:t>
      </w:r>
      <w:r w:rsidR="0083022B" w:rsidRPr="0083022B">
        <w:rPr>
          <w:lang w:val="fr-FR"/>
        </w:rPr>
        <w:t>.</w:t>
      </w:r>
      <w:r>
        <w:rPr>
          <w:lang w:val="fr-FR"/>
        </w:rPr>
        <w:t>3, le petit groupe de délégations intéressées soumet à l’examen du Sous-Comité une proposition de révision du chapitre 4</w:t>
      </w:r>
      <w:r w:rsidR="0083022B" w:rsidRPr="0083022B">
        <w:rPr>
          <w:lang w:val="fr-FR"/>
        </w:rPr>
        <w:t>.</w:t>
      </w:r>
      <w:r>
        <w:rPr>
          <w:lang w:val="fr-FR"/>
        </w:rPr>
        <w:t>2</w:t>
      </w:r>
      <w:r w:rsidR="0083022B" w:rsidRPr="0083022B">
        <w:rPr>
          <w:lang w:val="fr-FR"/>
        </w:rPr>
        <w:t>.</w:t>
      </w:r>
    </w:p>
    <w:p w14:paraId="5AD46AAE" w14:textId="77777777" w:rsidR="003E459E" w:rsidRPr="00676FB6" w:rsidRDefault="003E459E" w:rsidP="00A11D8F">
      <w:pPr>
        <w:pStyle w:val="HChG"/>
        <w:rPr>
          <w:lang w:val="fr-FR"/>
        </w:rPr>
      </w:pPr>
      <w:r>
        <w:rPr>
          <w:lang w:val="fr-FR"/>
        </w:rPr>
        <w:tab/>
      </w:r>
      <w:r>
        <w:rPr>
          <w:lang w:val="fr-FR"/>
        </w:rPr>
        <w:tab/>
        <w:t>Examen</w:t>
      </w:r>
    </w:p>
    <w:p w14:paraId="220D6CA8" w14:textId="5F46DBAD" w:rsidR="003E459E" w:rsidRPr="00676FB6" w:rsidRDefault="003E459E" w:rsidP="003E459E">
      <w:pPr>
        <w:pStyle w:val="SingleTxtG"/>
        <w:rPr>
          <w:lang w:val="fr-FR"/>
        </w:rPr>
      </w:pPr>
      <w:r>
        <w:rPr>
          <w:lang w:val="fr-FR"/>
        </w:rPr>
        <w:t>4</w:t>
      </w:r>
      <w:r w:rsidR="0083022B" w:rsidRPr="0083022B">
        <w:rPr>
          <w:lang w:val="fr-FR"/>
        </w:rPr>
        <w:t>.</w:t>
      </w:r>
      <w:r>
        <w:rPr>
          <w:lang w:val="fr-FR"/>
        </w:rPr>
        <w:tab/>
        <w:t>En janvier 2023, le groupe a débuté ses travaux visant à réviser le chapitre 4</w:t>
      </w:r>
      <w:r w:rsidR="0083022B" w:rsidRPr="0083022B">
        <w:rPr>
          <w:lang w:val="fr-FR"/>
        </w:rPr>
        <w:t>.</w:t>
      </w:r>
      <w:r>
        <w:rPr>
          <w:lang w:val="fr-FR"/>
        </w:rPr>
        <w:t>2 de sorte qu’il contienne deux classes de danger faisant l’objet de sous-sections distinctes où seraient présentés leurs différents critères et éléments de communication des dangers, sur le modèle de ce qui avait déjà été fait dans le chapitre 2</w:t>
      </w:r>
      <w:r w:rsidR="0083022B" w:rsidRPr="0083022B">
        <w:rPr>
          <w:lang w:val="fr-FR"/>
        </w:rPr>
        <w:t>.</w:t>
      </w:r>
      <w:r>
        <w:rPr>
          <w:lang w:val="fr-FR"/>
        </w:rPr>
        <w:t>3, « Aérosols et produits chimiques sous pression »</w:t>
      </w:r>
      <w:r w:rsidR="0083022B" w:rsidRPr="0083022B">
        <w:rPr>
          <w:lang w:val="fr-FR"/>
        </w:rPr>
        <w:t>.</w:t>
      </w:r>
      <w:r>
        <w:rPr>
          <w:lang w:val="fr-FR"/>
        </w:rPr>
        <w:t xml:space="preserve"> Ces deux classes de danger sont les suivantes :</w:t>
      </w:r>
    </w:p>
    <w:p w14:paraId="780E1B88" w14:textId="00E75C97" w:rsidR="003E459E" w:rsidRPr="00676FB6" w:rsidRDefault="003E459E" w:rsidP="003E459E">
      <w:pPr>
        <w:pStyle w:val="SingleTxtG"/>
        <w:tabs>
          <w:tab w:val="clear" w:pos="1701"/>
        </w:tabs>
        <w:ind w:left="2268" w:hanging="567"/>
        <w:rPr>
          <w:lang w:val="fr-FR"/>
        </w:rPr>
      </w:pPr>
      <w:r>
        <w:rPr>
          <w:lang w:val="fr-FR"/>
        </w:rPr>
        <w:t>a)</w:t>
      </w:r>
      <w:r>
        <w:rPr>
          <w:lang w:val="fr-FR"/>
        </w:rPr>
        <w:tab/>
        <w:t>« </w:t>
      </w:r>
      <w:r>
        <w:rPr>
          <w:b/>
          <w:bCs/>
          <w:lang w:val="fr-FR"/>
        </w:rPr>
        <w:t>Dangers pour la couche d’ozone</w:t>
      </w:r>
      <w:r>
        <w:rPr>
          <w:lang w:val="fr-FR"/>
        </w:rPr>
        <w:t xml:space="preserve"> » </w:t>
      </w:r>
      <w:r w:rsidR="00A11D8F">
        <w:rPr>
          <w:lang w:val="fr-FR"/>
        </w:rPr>
        <w:t>−</w:t>
      </w:r>
      <w:r>
        <w:rPr>
          <w:lang w:val="fr-FR"/>
        </w:rPr>
        <w:t xml:space="preserve"> il s’agit de la classe de danger existante qui figure dans le chapitre 4</w:t>
      </w:r>
      <w:r w:rsidR="0083022B" w:rsidRPr="0083022B">
        <w:rPr>
          <w:lang w:val="fr-FR"/>
        </w:rPr>
        <w:t>.</w:t>
      </w:r>
      <w:r>
        <w:rPr>
          <w:lang w:val="fr-FR"/>
        </w:rPr>
        <w:t>2 pour les substances appauvrissant la couche d’ozone</w:t>
      </w:r>
      <w:r w:rsidR="0083022B" w:rsidRPr="0083022B">
        <w:rPr>
          <w:lang w:val="fr-FR"/>
        </w:rPr>
        <w:t>.</w:t>
      </w:r>
      <w:r>
        <w:rPr>
          <w:lang w:val="fr-FR"/>
        </w:rPr>
        <w:t xml:space="preserve"> Des modifications mineures sont apportées aux critères pour préciser que cette classe de danger ne concerne que les substances présentant un potentiel d’appauvrissement de la couche d’ozone qui sont énumérées aux annexes du Protocole de Montréal, compte tenu de l’ajout d’</w:t>
      </w:r>
      <w:proofErr w:type="spellStart"/>
      <w:r>
        <w:rPr>
          <w:lang w:val="fr-FR"/>
        </w:rPr>
        <w:t>hydrofluorocarbones</w:t>
      </w:r>
      <w:proofErr w:type="spellEnd"/>
      <w:r>
        <w:rPr>
          <w:lang w:val="fr-FR"/>
        </w:rPr>
        <w:t xml:space="preserve"> dans ces annexes en application de l’Amendement de Kigali</w:t>
      </w:r>
      <w:r w:rsidR="0083022B" w:rsidRPr="0083022B">
        <w:rPr>
          <w:lang w:val="fr-FR"/>
        </w:rPr>
        <w:t>.</w:t>
      </w:r>
      <w:r>
        <w:rPr>
          <w:lang w:val="fr-FR"/>
        </w:rPr>
        <w:t xml:space="preserve"> Techniquement, les critères actuels de cette classe de danger sont (légèrement) inexacts pour les substances énumérées aux annexes qui ne présentent pas de potentiel d’appauvrissement de la couche d’ozone ;</w:t>
      </w:r>
    </w:p>
    <w:p w14:paraId="50431A94" w14:textId="68CF09CA" w:rsidR="003E459E" w:rsidRPr="00676FB6" w:rsidRDefault="003E459E" w:rsidP="003E459E">
      <w:pPr>
        <w:pStyle w:val="SingleTxtG"/>
        <w:tabs>
          <w:tab w:val="clear" w:pos="1701"/>
        </w:tabs>
        <w:ind w:left="2268" w:hanging="567"/>
        <w:rPr>
          <w:lang w:val="fr-FR"/>
        </w:rPr>
      </w:pPr>
      <w:r>
        <w:rPr>
          <w:lang w:val="fr-FR"/>
        </w:rPr>
        <w:t>b)</w:t>
      </w:r>
      <w:r>
        <w:rPr>
          <w:lang w:val="fr-FR"/>
        </w:rPr>
        <w:tab/>
        <w:t>« </w:t>
      </w:r>
      <w:r>
        <w:rPr>
          <w:b/>
          <w:bCs/>
          <w:lang w:val="fr-FR"/>
        </w:rPr>
        <w:t>Dangers du point de vue du réchauffement de la planète</w:t>
      </w:r>
      <w:r>
        <w:rPr>
          <w:lang w:val="fr-FR"/>
        </w:rPr>
        <w:t xml:space="preserve"> » </w:t>
      </w:r>
      <w:r w:rsidR="00A11D8F">
        <w:rPr>
          <w:lang w:val="fr-FR"/>
        </w:rPr>
        <w:t>−</w:t>
      </w:r>
      <w:r>
        <w:rPr>
          <w:lang w:val="fr-FR"/>
        </w:rPr>
        <w:t xml:space="preserve"> il s’agit de la nouvelle classe de danger proposée qui devrait couvrir les </w:t>
      </w:r>
      <w:proofErr w:type="spellStart"/>
      <w:r>
        <w:rPr>
          <w:lang w:val="fr-FR"/>
        </w:rPr>
        <w:t>hydrofluorocarbones</w:t>
      </w:r>
      <w:proofErr w:type="spellEnd"/>
      <w:r>
        <w:rPr>
          <w:lang w:val="fr-FR"/>
        </w:rPr>
        <w:t xml:space="preserve"> énumérés aux annexes du Protocole de Montréal</w:t>
      </w:r>
      <w:r w:rsidR="0083022B" w:rsidRPr="0083022B">
        <w:rPr>
          <w:lang w:val="fr-FR"/>
        </w:rPr>
        <w:t>.</w:t>
      </w:r>
      <w:r>
        <w:rPr>
          <w:lang w:val="fr-FR"/>
        </w:rPr>
        <w:t xml:space="preserve"> Comme les </w:t>
      </w:r>
      <w:proofErr w:type="spellStart"/>
      <w:r>
        <w:rPr>
          <w:lang w:val="fr-FR"/>
        </w:rPr>
        <w:t>hydrofluorocarbones</w:t>
      </w:r>
      <w:proofErr w:type="spellEnd"/>
      <w:r>
        <w:rPr>
          <w:lang w:val="fr-FR"/>
        </w:rPr>
        <w:t xml:space="preserve"> présentent un potentiel de réchauffement de la planète, le groupe a estimé que le nom proposé pour cette nouvelle classe de danger serait également applicable si, à l’avenir, un amendement était apporté au Protocole de Montréal pour y ajouter de nouvelles annexes énumérant d’autres substances présentant un potentiel de réchauffement de la planète, sans qu’il soit nécessaire de modifier de nouveau le SGH</w:t>
      </w:r>
      <w:r w:rsidR="0083022B" w:rsidRPr="0083022B">
        <w:rPr>
          <w:lang w:val="fr-FR"/>
        </w:rPr>
        <w:t>.</w:t>
      </w:r>
      <w:r>
        <w:rPr>
          <w:lang w:val="fr-FR"/>
        </w:rPr>
        <w:t xml:space="preserve"> Les critères, le diagramme de décision et les éléments de communication des dangers proposés sont tous fondés sur ceux utilisés pour la classe « Dangers pour la couche d’ozone », mais avec des modifications mineures (à savoir, l’utilisation de l’expression « potentiel de réchauffement de la planète » au lieu de « potentiel d’appauvrissement de la couche d’ozone ») et une nouvelle mention de danger (« Nuit à la santé publique et à l’environnement en contribuant au réchauffement de la planète ») pour qu’ils s’appliquent spécifiquement à la nouvelle classe de danger</w:t>
      </w:r>
      <w:r w:rsidR="0083022B" w:rsidRPr="0083022B">
        <w:rPr>
          <w:lang w:val="fr-FR"/>
        </w:rPr>
        <w:t>.</w:t>
      </w:r>
      <w:r>
        <w:rPr>
          <w:lang w:val="fr-FR"/>
        </w:rPr>
        <w:t xml:space="preserve"> </w:t>
      </w:r>
    </w:p>
    <w:p w14:paraId="395F8871" w14:textId="0FBBD2F4" w:rsidR="003E459E" w:rsidRPr="00676FB6" w:rsidRDefault="003E459E" w:rsidP="003E459E">
      <w:pPr>
        <w:pStyle w:val="SingleTxtG"/>
        <w:rPr>
          <w:lang w:val="fr-FR"/>
        </w:rPr>
      </w:pPr>
      <w:r>
        <w:rPr>
          <w:lang w:val="fr-FR"/>
        </w:rPr>
        <w:t>5</w:t>
      </w:r>
      <w:r w:rsidR="0083022B" w:rsidRPr="0083022B">
        <w:rPr>
          <w:lang w:val="fr-FR"/>
        </w:rPr>
        <w:t>.</w:t>
      </w:r>
      <w:r>
        <w:rPr>
          <w:lang w:val="fr-FR"/>
        </w:rPr>
        <w:tab/>
        <w:t>En outre, le groupe propose de renommer le chapitre « </w:t>
      </w:r>
      <w:r>
        <w:rPr>
          <w:b/>
          <w:bCs/>
          <w:lang w:val="fr-FR"/>
        </w:rPr>
        <w:t>Dangers pour le système atmosphérique</w:t>
      </w:r>
      <w:r>
        <w:rPr>
          <w:lang w:val="fr-FR"/>
        </w:rPr>
        <w:t> » de façon à englober les deux classes de danger</w:t>
      </w:r>
      <w:r w:rsidR="0083022B" w:rsidRPr="0083022B">
        <w:rPr>
          <w:lang w:val="fr-FR"/>
        </w:rPr>
        <w:t>.</w:t>
      </w:r>
      <w:r>
        <w:rPr>
          <w:lang w:val="fr-FR"/>
        </w:rPr>
        <w:t xml:space="preserve"> Étant donné que de futurs travaux sont à prévoir, le nouveau titre du chapitre devrait permettre d’inclure les autres dangers potentiels pour l’air qui pourraient y être ajoutés ultérieurement</w:t>
      </w:r>
      <w:r w:rsidR="0083022B" w:rsidRPr="0083022B">
        <w:rPr>
          <w:lang w:val="fr-FR"/>
        </w:rPr>
        <w:t>.</w:t>
      </w:r>
    </w:p>
    <w:p w14:paraId="21022760" w14:textId="7FDB77B2" w:rsidR="003E459E" w:rsidRPr="00676FB6" w:rsidRDefault="003E459E" w:rsidP="003E459E">
      <w:pPr>
        <w:pStyle w:val="SingleTxtG"/>
        <w:rPr>
          <w:lang w:val="fr-FR"/>
        </w:rPr>
      </w:pPr>
      <w:r>
        <w:rPr>
          <w:lang w:val="fr-FR"/>
        </w:rPr>
        <w:t>6</w:t>
      </w:r>
      <w:r w:rsidR="0083022B" w:rsidRPr="0083022B">
        <w:rPr>
          <w:lang w:val="fr-FR"/>
        </w:rPr>
        <w:t>.</w:t>
      </w:r>
      <w:r>
        <w:rPr>
          <w:lang w:val="fr-FR"/>
        </w:rPr>
        <w:tab/>
        <w:t>Les principales autres modifications qu’il est proposé d’apporter au chapitre sont les suivantes</w:t>
      </w:r>
      <w:r w:rsidR="00802AA8">
        <w:rPr>
          <w:lang w:val="fr-FR"/>
        </w:rPr>
        <w:t> </w:t>
      </w:r>
      <w:r>
        <w:rPr>
          <w:lang w:val="fr-FR"/>
        </w:rPr>
        <w:t>:</w:t>
      </w:r>
    </w:p>
    <w:p w14:paraId="6AAD5CEC" w14:textId="77777777" w:rsidR="003E459E" w:rsidRPr="00676FB6" w:rsidRDefault="003E459E" w:rsidP="003E459E">
      <w:pPr>
        <w:pStyle w:val="SingleTxtG"/>
        <w:tabs>
          <w:tab w:val="clear" w:pos="1701"/>
        </w:tabs>
        <w:ind w:left="2268" w:hanging="567"/>
        <w:rPr>
          <w:lang w:val="fr-FR"/>
        </w:rPr>
      </w:pPr>
      <w:r>
        <w:rPr>
          <w:lang w:val="fr-FR"/>
        </w:rPr>
        <w:t>a)</w:t>
      </w:r>
      <w:r>
        <w:rPr>
          <w:lang w:val="fr-FR"/>
        </w:rPr>
        <w:tab/>
        <w:t>L’ajout de nouveaux critères de danger pour la nouvelle classe de danger « Dangers du point de vue du réchauffement de la planète » ;</w:t>
      </w:r>
    </w:p>
    <w:p w14:paraId="17D2BBC7" w14:textId="77777777" w:rsidR="003E459E" w:rsidRPr="00676FB6" w:rsidRDefault="003E459E" w:rsidP="003E459E">
      <w:pPr>
        <w:pStyle w:val="SingleTxtG"/>
        <w:tabs>
          <w:tab w:val="clear" w:pos="1701"/>
        </w:tabs>
        <w:ind w:left="2268" w:hanging="567"/>
        <w:rPr>
          <w:lang w:val="fr-FR"/>
        </w:rPr>
      </w:pPr>
      <w:r>
        <w:rPr>
          <w:lang w:val="fr-FR"/>
        </w:rPr>
        <w:t>b)</w:t>
      </w:r>
      <w:r>
        <w:rPr>
          <w:lang w:val="fr-FR"/>
        </w:rPr>
        <w:tab/>
        <w:t>La modification du tableau des éléments d’étiquetage pour la classe de danger « Dangers pour la couche d’ozone », afin de tenir compte du nouveau titre du chapitre et d’inclure les éléments d’étiquetage relatifs à la nouvelle classe de danger « Dangers du point de vue du réchauffement de la planète » ;</w:t>
      </w:r>
    </w:p>
    <w:p w14:paraId="0A7A864E" w14:textId="77777777" w:rsidR="003E459E" w:rsidRPr="00676FB6" w:rsidRDefault="003E459E" w:rsidP="003E459E">
      <w:pPr>
        <w:pStyle w:val="SingleTxtG"/>
        <w:tabs>
          <w:tab w:val="clear" w:pos="1701"/>
        </w:tabs>
        <w:ind w:left="2268" w:hanging="567"/>
        <w:rPr>
          <w:lang w:val="fr-FR"/>
        </w:rPr>
      </w:pPr>
      <w:r>
        <w:rPr>
          <w:lang w:val="fr-FR"/>
        </w:rPr>
        <w:t>c)</w:t>
      </w:r>
      <w:r>
        <w:rPr>
          <w:lang w:val="fr-FR"/>
        </w:rPr>
        <w:tab/>
        <w:t>L’ajout d’un nouveau diagramme de décision pour la nouvelle classe de danger « Dangers du point de vue du réchauffement de la planète » ;</w:t>
      </w:r>
    </w:p>
    <w:p w14:paraId="197F1CFB" w14:textId="0D317982" w:rsidR="003E459E" w:rsidRPr="00676FB6" w:rsidRDefault="003E459E" w:rsidP="003E459E">
      <w:pPr>
        <w:pStyle w:val="SingleTxtG"/>
        <w:tabs>
          <w:tab w:val="clear" w:pos="1701"/>
        </w:tabs>
        <w:ind w:left="2268" w:hanging="567"/>
        <w:rPr>
          <w:lang w:val="fr-FR"/>
        </w:rPr>
      </w:pPr>
      <w:r>
        <w:rPr>
          <w:lang w:val="fr-FR"/>
        </w:rPr>
        <w:lastRenderedPageBreak/>
        <w:t>d)</w:t>
      </w:r>
      <w:r>
        <w:rPr>
          <w:lang w:val="fr-FR"/>
        </w:rPr>
        <w:tab/>
        <w:t>L’ajout d’un nouveau paragraphe dans la section « Communication du danger », afin de pouvoir combiner les mentions de danger des substances et des mélanges qui sont classés dans les deux classes de danger</w:t>
      </w:r>
      <w:r w:rsidR="0083022B" w:rsidRPr="0083022B">
        <w:rPr>
          <w:lang w:val="fr-FR"/>
        </w:rPr>
        <w:t>.</w:t>
      </w:r>
    </w:p>
    <w:p w14:paraId="3C8776F7" w14:textId="66499D04" w:rsidR="003E459E" w:rsidRPr="00676FB6" w:rsidRDefault="003E459E" w:rsidP="00A11D8F">
      <w:pPr>
        <w:pStyle w:val="H1G"/>
        <w:rPr>
          <w:noProof/>
          <w:lang w:val="fr-FR"/>
        </w:rPr>
      </w:pPr>
      <w:r>
        <w:rPr>
          <w:lang w:val="fr-FR"/>
        </w:rPr>
        <w:tab/>
      </w:r>
      <w:r>
        <w:rPr>
          <w:lang w:val="fr-FR"/>
        </w:rPr>
        <w:tab/>
        <w:t>Amendements de conséquence au chapitre 1</w:t>
      </w:r>
      <w:r w:rsidR="0083022B" w:rsidRPr="0083022B">
        <w:rPr>
          <w:lang w:val="fr-FR"/>
        </w:rPr>
        <w:t>.</w:t>
      </w:r>
      <w:r>
        <w:rPr>
          <w:lang w:val="fr-FR"/>
        </w:rPr>
        <w:t>2 et aux annexes 1 et 3</w:t>
      </w:r>
    </w:p>
    <w:p w14:paraId="33EBBAE5" w14:textId="19DBE102" w:rsidR="003E459E" w:rsidRPr="00676FB6" w:rsidRDefault="003E459E" w:rsidP="003E459E">
      <w:pPr>
        <w:pStyle w:val="SingleTxtG"/>
        <w:rPr>
          <w:lang w:val="fr-FR"/>
        </w:rPr>
      </w:pPr>
      <w:r>
        <w:rPr>
          <w:lang w:val="fr-FR"/>
        </w:rPr>
        <w:t>7</w:t>
      </w:r>
      <w:r w:rsidR="0083022B" w:rsidRPr="0083022B">
        <w:rPr>
          <w:lang w:val="fr-FR"/>
        </w:rPr>
        <w:t>.</w:t>
      </w:r>
      <w:r>
        <w:rPr>
          <w:lang w:val="fr-FR"/>
        </w:rPr>
        <w:tab/>
        <w:t>Les modifications proposées au chapitre 4</w:t>
      </w:r>
      <w:r w:rsidR="0083022B" w:rsidRPr="0083022B">
        <w:rPr>
          <w:lang w:val="fr-FR"/>
        </w:rPr>
        <w:t>.</w:t>
      </w:r>
      <w:r>
        <w:rPr>
          <w:lang w:val="fr-FR"/>
        </w:rPr>
        <w:t>2 nécessitent d’apporter un certain nombre de modifications connexes au chapitre 1</w:t>
      </w:r>
      <w:r w:rsidR="0083022B" w:rsidRPr="0083022B">
        <w:rPr>
          <w:lang w:val="fr-FR"/>
        </w:rPr>
        <w:t>.</w:t>
      </w:r>
      <w:r>
        <w:rPr>
          <w:lang w:val="fr-FR"/>
        </w:rPr>
        <w:t>2, à l’annexe 1 (tableau A1</w:t>
      </w:r>
      <w:r w:rsidR="0083022B" w:rsidRPr="0083022B">
        <w:rPr>
          <w:lang w:val="fr-FR"/>
        </w:rPr>
        <w:t>.</w:t>
      </w:r>
      <w:r>
        <w:rPr>
          <w:lang w:val="fr-FR"/>
        </w:rPr>
        <w:t>30) et à l’annexe 3 (tableaux A3</w:t>
      </w:r>
      <w:r w:rsidR="0083022B" w:rsidRPr="0083022B">
        <w:rPr>
          <w:lang w:val="fr-FR"/>
        </w:rPr>
        <w:t>.</w:t>
      </w:r>
      <w:r>
        <w:rPr>
          <w:lang w:val="fr-FR"/>
        </w:rPr>
        <w:t>1</w:t>
      </w:r>
      <w:r w:rsidR="0083022B" w:rsidRPr="0083022B">
        <w:rPr>
          <w:lang w:val="fr-FR"/>
        </w:rPr>
        <w:t>.</w:t>
      </w:r>
      <w:r>
        <w:rPr>
          <w:lang w:val="fr-FR"/>
        </w:rPr>
        <w:t>3 et A3</w:t>
      </w:r>
      <w:r w:rsidR="0083022B" w:rsidRPr="0083022B">
        <w:rPr>
          <w:lang w:val="fr-FR"/>
        </w:rPr>
        <w:t>.</w:t>
      </w:r>
      <w:r>
        <w:rPr>
          <w:lang w:val="fr-FR"/>
        </w:rPr>
        <w:t>2</w:t>
      </w:r>
      <w:r w:rsidR="0083022B" w:rsidRPr="0083022B">
        <w:rPr>
          <w:lang w:val="fr-FR"/>
        </w:rPr>
        <w:t>.</w:t>
      </w:r>
      <w:r>
        <w:rPr>
          <w:lang w:val="fr-FR"/>
        </w:rPr>
        <w:t>5 et section 3 (tableaux des conseils de prudence)), comme indiqué dans l’annexe du présent document</w:t>
      </w:r>
      <w:r w:rsidR="0083022B" w:rsidRPr="0083022B">
        <w:rPr>
          <w:lang w:val="fr-FR"/>
        </w:rPr>
        <w:t>.</w:t>
      </w:r>
      <w:r>
        <w:rPr>
          <w:lang w:val="fr-FR"/>
        </w:rPr>
        <w:t xml:space="preserve"> </w:t>
      </w:r>
    </w:p>
    <w:p w14:paraId="756DC2DF" w14:textId="77777777" w:rsidR="003E459E" w:rsidRPr="00676FB6" w:rsidRDefault="003E459E" w:rsidP="00A11D8F">
      <w:pPr>
        <w:pStyle w:val="HChG"/>
        <w:rPr>
          <w:lang w:val="fr-FR"/>
        </w:rPr>
      </w:pPr>
      <w:r>
        <w:rPr>
          <w:lang w:val="fr-FR"/>
        </w:rPr>
        <w:tab/>
      </w:r>
      <w:r>
        <w:rPr>
          <w:lang w:val="fr-FR"/>
        </w:rPr>
        <w:tab/>
        <w:t>Mesures à prendre et étapes suivantes</w:t>
      </w:r>
    </w:p>
    <w:p w14:paraId="0ED9E37E" w14:textId="60AFD22B" w:rsidR="003E459E" w:rsidRPr="00676FB6" w:rsidRDefault="003E459E" w:rsidP="00A11D8F">
      <w:pPr>
        <w:pStyle w:val="SingleTxtG"/>
        <w:rPr>
          <w:lang w:val="fr-FR"/>
        </w:rPr>
      </w:pPr>
      <w:r>
        <w:rPr>
          <w:lang w:val="fr-FR"/>
        </w:rPr>
        <w:t>8</w:t>
      </w:r>
      <w:r w:rsidR="0083022B" w:rsidRPr="0083022B">
        <w:rPr>
          <w:lang w:val="fr-FR"/>
        </w:rPr>
        <w:t>.</w:t>
      </w:r>
      <w:r>
        <w:rPr>
          <w:lang w:val="fr-FR"/>
        </w:rPr>
        <w:tab/>
        <w:t>Les auteurs du présent document ont envisagé d’ajouter le conseil de prudence P273, « Éviter le rejet dans l’environnement », pour les deux classes de danger</w:t>
      </w:r>
      <w:r w:rsidR="0083022B" w:rsidRPr="0083022B">
        <w:rPr>
          <w:lang w:val="fr-FR"/>
        </w:rPr>
        <w:t>.</w:t>
      </w:r>
      <w:r>
        <w:rPr>
          <w:lang w:val="fr-FR"/>
        </w:rPr>
        <w:t xml:space="preserve"> Toutefois, étant donné la portée limitée de ces travaux (à savoir, clarifier le champ d’application de la classe de danger du SGH correspondant aux substances dangereuses pour la couche d’ozone à la suite de l’adoption de l’Amendement de Kigali), de futurs travaux sont à prévoir</w:t>
      </w:r>
      <w:r w:rsidR="0083022B" w:rsidRPr="0083022B">
        <w:rPr>
          <w:lang w:val="fr-FR"/>
        </w:rPr>
        <w:t>.</w:t>
      </w:r>
      <w:r>
        <w:rPr>
          <w:lang w:val="fr-FR"/>
        </w:rPr>
        <w:t xml:space="preserve"> On ne sait pas exactement quelle en sera l’incidence sur le champ d’application ou sur la nécessité d’ajouter ce conseil de prudence</w:t>
      </w:r>
      <w:r w:rsidR="0083022B" w:rsidRPr="0083022B">
        <w:rPr>
          <w:lang w:val="fr-FR"/>
        </w:rPr>
        <w:t>.</w:t>
      </w:r>
      <w:r>
        <w:rPr>
          <w:lang w:val="fr-FR"/>
        </w:rPr>
        <w:t xml:space="preserve"> Par conséquent, les auteurs recommandent de reporter l’examen de cette question</w:t>
      </w:r>
      <w:r w:rsidR="0083022B" w:rsidRPr="0083022B">
        <w:rPr>
          <w:lang w:val="fr-FR"/>
        </w:rPr>
        <w:t>.</w:t>
      </w:r>
    </w:p>
    <w:p w14:paraId="57F923A0" w14:textId="788E0B85" w:rsidR="003E459E" w:rsidRPr="00676FB6" w:rsidRDefault="003E459E" w:rsidP="00A11D8F">
      <w:pPr>
        <w:pStyle w:val="SingleTxtG"/>
        <w:rPr>
          <w:lang w:val="fr-FR"/>
        </w:rPr>
      </w:pPr>
      <w:r>
        <w:rPr>
          <w:lang w:val="fr-FR"/>
        </w:rPr>
        <w:t>9</w:t>
      </w:r>
      <w:r w:rsidR="0083022B" w:rsidRPr="0083022B">
        <w:rPr>
          <w:lang w:val="fr-FR"/>
        </w:rPr>
        <w:t>.</w:t>
      </w:r>
      <w:r>
        <w:rPr>
          <w:lang w:val="fr-FR"/>
        </w:rPr>
        <w:tab/>
        <w:t>Le Sous-Comité est invité à examiner les amendements qu’il est proposé d’apporter au chapitre 4</w:t>
      </w:r>
      <w:r w:rsidR="0083022B" w:rsidRPr="0083022B">
        <w:rPr>
          <w:lang w:val="fr-FR"/>
        </w:rPr>
        <w:t>.</w:t>
      </w:r>
      <w:r>
        <w:rPr>
          <w:lang w:val="fr-FR"/>
        </w:rPr>
        <w:t>2 du SGH, ainsi que les modifications connexes à apporter au chapitre 1</w:t>
      </w:r>
      <w:r w:rsidR="0083022B" w:rsidRPr="0083022B">
        <w:rPr>
          <w:lang w:val="fr-FR"/>
        </w:rPr>
        <w:t>.</w:t>
      </w:r>
      <w:r>
        <w:rPr>
          <w:lang w:val="fr-FR"/>
        </w:rPr>
        <w:t>2 et aux annexes 1 et 3, tels qu’ils figurent dans l’annexe du présent document et tels qu’ils sont présentés dans leur intégralité dans le document informel INF</w:t>
      </w:r>
      <w:r w:rsidR="0083022B" w:rsidRPr="0083022B">
        <w:rPr>
          <w:lang w:val="fr-FR"/>
        </w:rPr>
        <w:t>.</w:t>
      </w:r>
      <w:r>
        <w:rPr>
          <w:lang w:val="fr-FR"/>
        </w:rPr>
        <w:t>3</w:t>
      </w:r>
      <w:r w:rsidR="0083022B" w:rsidRPr="0083022B">
        <w:rPr>
          <w:lang w:val="fr-FR"/>
        </w:rPr>
        <w:t>.</w:t>
      </w:r>
      <w:r>
        <w:rPr>
          <w:lang w:val="fr-FR"/>
        </w:rPr>
        <w:t xml:space="preserve"> </w:t>
      </w:r>
    </w:p>
    <w:p w14:paraId="0BD89C93" w14:textId="77777777" w:rsidR="003E459E" w:rsidRPr="00676FB6" w:rsidRDefault="003E459E" w:rsidP="003E459E">
      <w:pPr>
        <w:spacing w:after="200" w:line="276" w:lineRule="auto"/>
        <w:rPr>
          <w:b/>
          <w:sz w:val="28"/>
          <w:lang w:val="fr-FR"/>
        </w:rPr>
      </w:pPr>
      <w:r w:rsidRPr="00676FB6">
        <w:rPr>
          <w:lang w:val="fr-FR"/>
        </w:rPr>
        <w:br w:type="page"/>
      </w:r>
    </w:p>
    <w:p w14:paraId="0FFB7904" w14:textId="77777777" w:rsidR="003E459E" w:rsidRPr="00676FB6" w:rsidRDefault="003E459E" w:rsidP="00283573">
      <w:pPr>
        <w:pStyle w:val="HChG"/>
        <w:rPr>
          <w:lang w:val="fr-FR"/>
        </w:rPr>
      </w:pPr>
      <w:r>
        <w:rPr>
          <w:lang w:val="fr-FR"/>
        </w:rPr>
        <w:lastRenderedPageBreak/>
        <w:t xml:space="preserve">Annexe </w:t>
      </w:r>
    </w:p>
    <w:p w14:paraId="3D5E381D" w14:textId="1011871B" w:rsidR="003E459E" w:rsidRPr="00676FB6" w:rsidRDefault="003E459E" w:rsidP="00A11D8F">
      <w:pPr>
        <w:pStyle w:val="HChG"/>
        <w:rPr>
          <w:lang w:val="fr-FR"/>
        </w:rPr>
      </w:pPr>
      <w:r>
        <w:rPr>
          <w:lang w:val="fr-FR"/>
        </w:rPr>
        <w:tab/>
      </w:r>
      <w:r>
        <w:rPr>
          <w:lang w:val="fr-FR"/>
        </w:rPr>
        <w:tab/>
        <w:t>Amendements proposés au chapitre 4</w:t>
      </w:r>
      <w:r w:rsidR="0083022B" w:rsidRPr="0083022B">
        <w:rPr>
          <w:lang w:val="fr-FR"/>
        </w:rPr>
        <w:t>.</w:t>
      </w:r>
      <w:r>
        <w:rPr>
          <w:lang w:val="fr-FR"/>
        </w:rPr>
        <w:t xml:space="preserve">2 </w:t>
      </w:r>
    </w:p>
    <w:p w14:paraId="629B8A13" w14:textId="365688C6" w:rsidR="003E459E" w:rsidRPr="00676FB6" w:rsidRDefault="003E459E" w:rsidP="003E459E">
      <w:pPr>
        <w:spacing w:after="120" w:line="240" w:lineRule="auto"/>
        <w:ind w:left="1134"/>
        <w:rPr>
          <w:lang w:val="fr-FR"/>
        </w:rPr>
      </w:pPr>
      <w:r>
        <w:rPr>
          <w:lang w:val="fr-FR"/>
        </w:rPr>
        <w:t>Titre du chapitre</w:t>
      </w:r>
      <w:r>
        <w:rPr>
          <w:lang w:val="fr-FR"/>
        </w:rPr>
        <w:tab/>
        <w:t>Lire : « </w:t>
      </w:r>
      <w:r>
        <w:rPr>
          <w:b/>
          <w:bCs/>
          <w:lang w:val="fr-FR"/>
        </w:rPr>
        <w:t>DANGERS POUR LE SYSTÈME ATMOSPHÉRIQUE</w:t>
      </w:r>
      <w:r>
        <w:rPr>
          <w:lang w:val="fr-FR"/>
        </w:rPr>
        <w:t> »</w:t>
      </w:r>
      <w:r w:rsidR="0083022B" w:rsidRPr="0083022B">
        <w:rPr>
          <w:lang w:val="fr-FR"/>
        </w:rPr>
        <w:t>.</w:t>
      </w:r>
    </w:p>
    <w:p w14:paraId="040CD711" w14:textId="0FC08018" w:rsidR="003E459E" w:rsidRPr="00676FB6" w:rsidRDefault="003E459E" w:rsidP="003E459E">
      <w:pPr>
        <w:tabs>
          <w:tab w:val="left" w:pos="1985"/>
        </w:tabs>
        <w:spacing w:after="120" w:line="240" w:lineRule="auto"/>
        <w:ind w:left="1134"/>
        <w:rPr>
          <w:lang w:val="fr-FR"/>
        </w:rPr>
      </w:pPr>
      <w:r>
        <w:rPr>
          <w:lang w:val="fr-FR"/>
        </w:rPr>
        <w:t>4</w:t>
      </w:r>
      <w:r w:rsidR="0083022B" w:rsidRPr="0083022B">
        <w:rPr>
          <w:lang w:val="fr-FR"/>
        </w:rPr>
        <w:t>.</w:t>
      </w:r>
      <w:r>
        <w:rPr>
          <w:lang w:val="fr-FR"/>
        </w:rPr>
        <w:t>2</w:t>
      </w:r>
      <w:r w:rsidR="0083022B" w:rsidRPr="0083022B">
        <w:rPr>
          <w:lang w:val="fr-FR"/>
        </w:rPr>
        <w:t>.</w:t>
      </w:r>
      <w:r>
        <w:rPr>
          <w:lang w:val="fr-FR"/>
        </w:rPr>
        <w:t>1</w:t>
      </w:r>
      <w:r>
        <w:rPr>
          <w:lang w:val="fr-FR"/>
        </w:rPr>
        <w:tab/>
        <w:t>Modifier l’en-tête de sorte qu’il se lise comme suit : « </w:t>
      </w:r>
      <w:r>
        <w:rPr>
          <w:b/>
          <w:bCs/>
          <w:lang w:val="fr-FR"/>
        </w:rPr>
        <w:t>Définitions et considérations générales </w:t>
      </w:r>
      <w:r>
        <w:rPr>
          <w:lang w:val="fr-FR"/>
        </w:rPr>
        <w:t>»</w:t>
      </w:r>
      <w:r w:rsidR="0083022B" w:rsidRPr="0083022B">
        <w:rPr>
          <w:lang w:val="fr-FR"/>
        </w:rPr>
        <w:t>.</w:t>
      </w:r>
    </w:p>
    <w:p w14:paraId="7BA36AAF" w14:textId="77777777" w:rsidR="003E459E" w:rsidRPr="00676FB6" w:rsidRDefault="003E459E" w:rsidP="003E459E">
      <w:pPr>
        <w:tabs>
          <w:tab w:val="left" w:pos="1440"/>
        </w:tabs>
        <w:spacing w:after="120" w:line="240" w:lineRule="auto"/>
        <w:ind w:left="1985"/>
        <w:jc w:val="both"/>
        <w:rPr>
          <w:bCs/>
          <w:lang w:val="fr-FR"/>
        </w:rPr>
      </w:pPr>
      <w:r>
        <w:rPr>
          <w:lang w:val="fr-FR"/>
        </w:rPr>
        <w:t>Ajouter sous l’en-tête modifié un nouveau paragraphe libellé comme suit :</w:t>
      </w:r>
    </w:p>
    <w:p w14:paraId="4740AEAA" w14:textId="368D422A" w:rsidR="003E459E" w:rsidRPr="00676FB6" w:rsidRDefault="003E459E" w:rsidP="003E459E">
      <w:pPr>
        <w:pStyle w:val="SingleTxtG"/>
        <w:ind w:left="1985"/>
        <w:rPr>
          <w:lang w:val="fr-FR"/>
        </w:rPr>
      </w:pPr>
      <w:bookmarkStart w:id="1" w:name="_Hlk132622256"/>
      <w:r>
        <w:rPr>
          <w:lang w:val="fr-FR"/>
        </w:rPr>
        <w:t>« Le présent chapitre concerne les substances et mélanges qui sont dangereux pour le système atmosphérique en raison de leur potentiel d’appauvrissement de la couche d’ozone ou de leur potentiel de réchauffement de la planète</w:t>
      </w:r>
      <w:r w:rsidR="0083022B" w:rsidRPr="0083022B">
        <w:rPr>
          <w:lang w:val="fr-FR"/>
        </w:rPr>
        <w:t>.</w:t>
      </w:r>
      <w:r>
        <w:rPr>
          <w:lang w:val="fr-FR"/>
        </w:rPr>
        <w:t xml:space="preserve"> Aux fins du présent chapitre, les définitions ci-après s’appliquent : »</w:t>
      </w:r>
      <w:r w:rsidR="0083022B" w:rsidRPr="0083022B">
        <w:rPr>
          <w:lang w:val="fr-FR"/>
        </w:rPr>
        <w:t>.</w:t>
      </w:r>
    </w:p>
    <w:bookmarkEnd w:id="1"/>
    <w:p w14:paraId="1779899A" w14:textId="4B4422AE" w:rsidR="003E459E" w:rsidRPr="00676FB6" w:rsidRDefault="003E459E" w:rsidP="003E459E">
      <w:pPr>
        <w:pStyle w:val="SingleTxtG"/>
        <w:tabs>
          <w:tab w:val="clear" w:pos="1701"/>
        </w:tabs>
        <w:ind w:left="1985"/>
        <w:rPr>
          <w:lang w:val="fr-FR"/>
        </w:rPr>
      </w:pPr>
      <w:r>
        <w:rPr>
          <w:lang w:val="fr-FR"/>
        </w:rPr>
        <w:t xml:space="preserve">Déplacer la définition « Le </w:t>
      </w:r>
      <w:r>
        <w:rPr>
          <w:i/>
          <w:iCs/>
          <w:lang w:val="fr-FR"/>
        </w:rPr>
        <w:t>Protocole de Montréal</w:t>
      </w:r>
      <w:r>
        <w:rPr>
          <w:lang w:val="fr-FR"/>
        </w:rPr>
        <w:t xml:space="preserve"> désigne</w:t>
      </w:r>
      <w:r w:rsidR="0083022B" w:rsidRPr="0083022B">
        <w:rPr>
          <w:lang w:val="fr-FR"/>
        </w:rPr>
        <w:t>...</w:t>
      </w:r>
      <w:r>
        <w:rPr>
          <w:lang w:val="fr-FR"/>
        </w:rPr>
        <w:t xml:space="preserve"> » avant la définition « Le </w:t>
      </w:r>
      <w:r>
        <w:rPr>
          <w:i/>
          <w:iCs/>
          <w:lang w:val="fr-FR"/>
        </w:rPr>
        <w:t>potentiel d’appauvrissement de la couche d’ozone</w:t>
      </w:r>
      <w:r>
        <w:rPr>
          <w:lang w:val="fr-FR"/>
        </w:rPr>
        <w:t> »</w:t>
      </w:r>
      <w:r w:rsidR="0083022B" w:rsidRPr="0083022B">
        <w:rPr>
          <w:lang w:val="fr-FR"/>
        </w:rPr>
        <w:t>.</w:t>
      </w:r>
    </w:p>
    <w:p w14:paraId="2CA08441" w14:textId="05947165" w:rsidR="003E459E" w:rsidRPr="00676FB6" w:rsidRDefault="003E459E" w:rsidP="003E459E">
      <w:pPr>
        <w:pStyle w:val="SingleTxtG"/>
        <w:tabs>
          <w:tab w:val="clear" w:pos="1701"/>
        </w:tabs>
        <w:ind w:left="1985"/>
        <w:rPr>
          <w:bCs/>
          <w:lang w:val="fr-FR"/>
        </w:rPr>
      </w:pPr>
      <w:r>
        <w:rPr>
          <w:lang w:val="fr-FR"/>
        </w:rPr>
        <w:t>Dans la définition du « </w:t>
      </w:r>
      <w:r w:rsidRPr="005D36D3">
        <w:rPr>
          <w:lang w:val="fr-FR"/>
        </w:rPr>
        <w:t>potentiel d</w:t>
      </w:r>
      <w:r>
        <w:rPr>
          <w:lang w:val="fr-FR"/>
        </w:rPr>
        <w:t>’</w:t>
      </w:r>
      <w:r w:rsidRPr="005D36D3">
        <w:rPr>
          <w:lang w:val="fr-FR"/>
        </w:rPr>
        <w:t>appauvrissement de la couche d</w:t>
      </w:r>
      <w:r>
        <w:rPr>
          <w:lang w:val="fr-FR"/>
        </w:rPr>
        <w:t>’</w:t>
      </w:r>
      <w:r w:rsidRPr="005D36D3">
        <w:rPr>
          <w:lang w:val="fr-FR"/>
        </w:rPr>
        <w:t>ozone</w:t>
      </w:r>
      <w:r>
        <w:rPr>
          <w:lang w:val="fr-FR"/>
        </w:rPr>
        <w:t> », supprimer « </w:t>
      </w:r>
      <w:r w:rsidRPr="006B2BC5">
        <w:rPr>
          <w:i/>
          <w:iCs/>
          <w:lang w:val="fr-FR"/>
        </w:rPr>
        <w:t>(ODP)</w:t>
      </w:r>
      <w:r>
        <w:rPr>
          <w:lang w:val="fr-FR"/>
        </w:rPr>
        <w:t> » dans la première phrase</w:t>
      </w:r>
      <w:r w:rsidR="0083022B" w:rsidRPr="0083022B">
        <w:rPr>
          <w:lang w:val="fr-FR"/>
        </w:rPr>
        <w:t>.</w:t>
      </w:r>
    </w:p>
    <w:p w14:paraId="24FE8B01" w14:textId="77777777" w:rsidR="003E459E" w:rsidRPr="00676FB6" w:rsidRDefault="003E459E" w:rsidP="003E459E">
      <w:pPr>
        <w:pStyle w:val="SingleTxtG"/>
        <w:ind w:left="1985"/>
        <w:rPr>
          <w:lang w:val="fr-FR"/>
        </w:rPr>
      </w:pPr>
      <w:r>
        <w:rPr>
          <w:lang w:val="fr-FR"/>
        </w:rPr>
        <w:t>Après la définition du « </w:t>
      </w:r>
      <w:r w:rsidRPr="006B2BC5">
        <w:rPr>
          <w:i/>
          <w:iCs/>
          <w:lang w:val="fr-FR"/>
        </w:rPr>
        <w:t>potentiel d</w:t>
      </w:r>
      <w:r>
        <w:rPr>
          <w:i/>
          <w:iCs/>
          <w:lang w:val="fr-FR"/>
        </w:rPr>
        <w:t>’</w:t>
      </w:r>
      <w:r w:rsidRPr="006B2BC5">
        <w:rPr>
          <w:i/>
          <w:iCs/>
          <w:lang w:val="fr-FR"/>
        </w:rPr>
        <w:t>appauvrissement de la couche d</w:t>
      </w:r>
      <w:r>
        <w:rPr>
          <w:i/>
          <w:iCs/>
          <w:lang w:val="fr-FR"/>
        </w:rPr>
        <w:t>’</w:t>
      </w:r>
      <w:r w:rsidRPr="006B2BC5">
        <w:rPr>
          <w:i/>
          <w:iCs/>
          <w:lang w:val="fr-FR"/>
        </w:rPr>
        <w:t>ozone</w:t>
      </w:r>
      <w:r>
        <w:rPr>
          <w:lang w:val="fr-FR"/>
        </w:rPr>
        <w:t> », ajouter la nouvelle définition du « </w:t>
      </w:r>
      <w:r w:rsidRPr="006B2BC5">
        <w:rPr>
          <w:i/>
          <w:iCs/>
          <w:lang w:val="fr-FR"/>
        </w:rPr>
        <w:t>potentiel de réchauffement de la planète</w:t>
      </w:r>
      <w:r>
        <w:rPr>
          <w:lang w:val="fr-FR"/>
        </w:rPr>
        <w:t> », libellée comme suit :</w:t>
      </w:r>
    </w:p>
    <w:p w14:paraId="54277396" w14:textId="5D86BAB5" w:rsidR="003E459E" w:rsidRPr="00676FB6" w:rsidRDefault="003E459E" w:rsidP="003E459E">
      <w:pPr>
        <w:pStyle w:val="SingleTxtG"/>
        <w:ind w:left="1985"/>
        <w:rPr>
          <w:lang w:val="fr-FR"/>
        </w:rPr>
      </w:pPr>
      <w:r>
        <w:rPr>
          <w:lang w:val="fr-FR"/>
        </w:rPr>
        <w:t xml:space="preserve">« Le </w:t>
      </w:r>
      <w:r>
        <w:rPr>
          <w:i/>
          <w:iCs/>
          <w:lang w:val="fr-FR"/>
        </w:rPr>
        <w:t>potentiel de réchauffement de la planète</w:t>
      </w:r>
      <w:r>
        <w:rPr>
          <w:lang w:val="fr-FR"/>
        </w:rPr>
        <w:t xml:space="preserve"> est une mesure comparative de la capacité d’une substance ou d’un mélange à piéger la chaleur dans l’atmosphère par rapport à un gaz de référence (en général, le dioxyde de carbone)</w:t>
      </w:r>
      <w:r w:rsidR="0083022B" w:rsidRPr="0083022B">
        <w:rPr>
          <w:lang w:val="fr-FR"/>
        </w:rPr>
        <w:t>.</w:t>
      </w:r>
      <w:r>
        <w:rPr>
          <w:lang w:val="fr-FR"/>
        </w:rPr>
        <w:t xml:space="preserve"> Il est défini officiellement comme le forçage radiatif cumulé (effets directs et indirects), sur une période donnée, résultant de l’émission d’une unité de masse d’un gaz par rapport à une unité équivalente de dioxyde de carbone (gaz de référence)</w:t>
      </w:r>
      <w:r w:rsidR="0083022B" w:rsidRPr="0083022B">
        <w:rPr>
          <w:lang w:val="fr-FR"/>
        </w:rPr>
        <w:t>.</w:t>
      </w:r>
      <w:r>
        <w:rPr>
          <w:lang w:val="fr-FR"/>
        </w:rPr>
        <w:t> »</w:t>
      </w:r>
      <w:r w:rsidR="0083022B" w:rsidRPr="0083022B">
        <w:rPr>
          <w:lang w:val="fr-FR"/>
        </w:rPr>
        <w:t>.</w:t>
      </w:r>
      <w:bookmarkStart w:id="2" w:name="_Hlk126325711"/>
      <w:bookmarkStart w:id="3" w:name="_Hlk132622443"/>
      <w:bookmarkEnd w:id="2"/>
      <w:bookmarkEnd w:id="3"/>
    </w:p>
    <w:p w14:paraId="088A339D" w14:textId="74C9985E" w:rsidR="003E459E" w:rsidRPr="00676FB6" w:rsidRDefault="003E459E" w:rsidP="00802AA8">
      <w:pPr>
        <w:tabs>
          <w:tab w:val="left" w:pos="1985"/>
        </w:tabs>
        <w:spacing w:after="120" w:line="240" w:lineRule="auto"/>
        <w:ind w:left="1134" w:right="1134"/>
        <w:rPr>
          <w:lang w:val="fr-FR"/>
        </w:rPr>
      </w:pPr>
      <w:r>
        <w:rPr>
          <w:lang w:val="fr-FR"/>
        </w:rPr>
        <w:t>4</w:t>
      </w:r>
      <w:r w:rsidR="0083022B" w:rsidRPr="0083022B">
        <w:rPr>
          <w:lang w:val="fr-FR"/>
        </w:rPr>
        <w:t>.</w:t>
      </w:r>
      <w:r>
        <w:rPr>
          <w:lang w:val="fr-FR"/>
        </w:rPr>
        <w:t>2</w:t>
      </w:r>
      <w:r w:rsidR="0083022B" w:rsidRPr="0083022B">
        <w:rPr>
          <w:lang w:val="fr-FR"/>
        </w:rPr>
        <w:t>.</w:t>
      </w:r>
      <w:r>
        <w:rPr>
          <w:lang w:val="fr-FR"/>
        </w:rPr>
        <w:t>2</w:t>
      </w:r>
      <w:r>
        <w:rPr>
          <w:lang w:val="fr-FR"/>
        </w:rPr>
        <w:tab/>
        <w:t>Supprimer l’appel de note de bas de page « 1 » en exposant et ajouter sous l’en</w:t>
      </w:r>
      <w:r w:rsidR="00802AA8">
        <w:rPr>
          <w:lang w:val="fr-FR"/>
        </w:rPr>
        <w:noBreakHyphen/>
      </w:r>
      <w:r>
        <w:rPr>
          <w:lang w:val="fr-FR"/>
        </w:rPr>
        <w:t>tête « Critères de classement » un nouveau paragraphe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 xml:space="preserve">1 libellé comme suit : </w:t>
      </w:r>
    </w:p>
    <w:p w14:paraId="38EAB3A6" w14:textId="519610FD" w:rsidR="003E459E" w:rsidRPr="00676FB6" w:rsidRDefault="003E459E" w:rsidP="003E459E">
      <w:pPr>
        <w:keepNext/>
        <w:tabs>
          <w:tab w:val="left" w:pos="1418"/>
        </w:tabs>
        <w:spacing w:before="240" w:after="240" w:line="240" w:lineRule="auto"/>
        <w:ind w:left="1985"/>
        <w:outlineLvl w:val="2"/>
        <w:rPr>
          <w:b/>
          <w:bCs/>
          <w:color w:val="000000"/>
          <w:lang w:val="fr-FR"/>
        </w:rPr>
      </w:pPr>
      <w:r>
        <w:rPr>
          <w:lang w:val="fr-FR"/>
        </w:rPr>
        <w:t>« </w:t>
      </w:r>
      <w:r>
        <w:rPr>
          <w:b/>
          <w:bCs/>
          <w:lang w:val="fr-FR"/>
        </w:rPr>
        <w:t>4</w:t>
      </w:r>
      <w:r w:rsidR="0083022B" w:rsidRPr="0083022B">
        <w:rPr>
          <w:b/>
          <w:bCs/>
          <w:lang w:val="fr-FR"/>
        </w:rPr>
        <w:t>.</w:t>
      </w:r>
      <w:r>
        <w:rPr>
          <w:b/>
          <w:bCs/>
          <w:lang w:val="fr-FR"/>
        </w:rPr>
        <w:t>2</w:t>
      </w:r>
      <w:r w:rsidR="0083022B" w:rsidRPr="0083022B">
        <w:rPr>
          <w:b/>
          <w:bCs/>
          <w:lang w:val="fr-FR"/>
        </w:rPr>
        <w:t>.</w:t>
      </w:r>
      <w:r>
        <w:rPr>
          <w:b/>
          <w:bCs/>
          <w:lang w:val="fr-FR"/>
        </w:rPr>
        <w:t>2</w:t>
      </w:r>
      <w:r>
        <w:rPr>
          <w:lang w:val="fr-FR"/>
        </w:rPr>
        <w:tab/>
      </w:r>
      <w:r>
        <w:rPr>
          <w:b/>
          <w:bCs/>
          <w:lang w:val="fr-FR"/>
        </w:rPr>
        <w:t>Critères de classement</w:t>
      </w:r>
    </w:p>
    <w:p w14:paraId="1EFAC830" w14:textId="133366BB" w:rsidR="003E459E" w:rsidRPr="00676FB6" w:rsidRDefault="003E459E" w:rsidP="003E459E">
      <w:pPr>
        <w:pStyle w:val="SingleTxtG"/>
        <w:ind w:left="1985"/>
        <w:rPr>
          <w:lang w:val="fr-FR"/>
        </w:rPr>
      </w:pPr>
      <w:r>
        <w:rPr>
          <w:lang w:val="fr-FR"/>
        </w:rPr>
        <w:t>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1</w:t>
      </w:r>
      <w:r>
        <w:rPr>
          <w:lang w:val="fr-FR"/>
        </w:rPr>
        <w:tab/>
        <w:t>Les substances et mélanges sont classés de manière indépendante dans la classe des dangers pour la couche d’ozone en raison de leur potentiel d’appauvrissement de la couche d’ozone, conformément au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2, et/ou dans la classe des dangers du point de vue du réchauffement de la planète en raison de leur potentiel de réchauffement de la planète, conformément au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3</w:t>
      </w:r>
      <w:r w:rsidR="0083022B" w:rsidRPr="0083022B">
        <w:rPr>
          <w:lang w:val="fr-FR"/>
        </w:rPr>
        <w:t>.</w:t>
      </w:r>
      <w:r>
        <w:rPr>
          <w:lang w:val="fr-FR"/>
        </w:rPr>
        <w:t> »</w:t>
      </w:r>
      <w:r w:rsidR="0083022B" w:rsidRPr="0083022B">
        <w:rPr>
          <w:lang w:val="fr-FR"/>
        </w:rPr>
        <w:t>.</w:t>
      </w:r>
    </w:p>
    <w:p w14:paraId="15DEADF6" w14:textId="264FAB7D" w:rsidR="003E459E" w:rsidRPr="00676FB6" w:rsidRDefault="003E459E" w:rsidP="003E459E">
      <w:pPr>
        <w:pStyle w:val="SingleTxtG"/>
        <w:tabs>
          <w:tab w:val="clear" w:pos="1701"/>
          <w:tab w:val="left" w:pos="1985"/>
        </w:tabs>
        <w:ind w:left="1985" w:hanging="851"/>
        <w:rPr>
          <w:lang w:val="fr-FR"/>
        </w:rPr>
      </w:pPr>
      <w:r>
        <w:rPr>
          <w:lang w:val="fr-FR"/>
        </w:rPr>
        <w:t>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2</w:t>
      </w:r>
      <w:r>
        <w:rPr>
          <w:lang w:val="fr-FR"/>
        </w:rPr>
        <w:tab/>
        <w:t>Placer la phrase figurant actuellement sous l’en-tête « Critères de classement » (« Une substance ou un mélange</w:t>
      </w:r>
      <w:r w:rsidR="0083022B" w:rsidRPr="0083022B">
        <w:rPr>
          <w:lang w:val="fr-FR"/>
        </w:rPr>
        <w:t>...</w:t>
      </w:r>
      <w:r>
        <w:rPr>
          <w:lang w:val="fr-FR"/>
        </w:rPr>
        <w:t> ») sous un nouvel en-tête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 xml:space="preserve">2 et la modifier de sorte qu’elle se lise comme suit : </w:t>
      </w:r>
    </w:p>
    <w:p w14:paraId="1AC465A6" w14:textId="0689BD60" w:rsidR="003E459E" w:rsidRPr="00676FB6" w:rsidRDefault="003E459E" w:rsidP="003E459E">
      <w:pPr>
        <w:pStyle w:val="GHS1stline"/>
        <w:tabs>
          <w:tab w:val="clear" w:pos="1418"/>
          <w:tab w:val="clear" w:pos="1985"/>
          <w:tab w:val="clear" w:pos="2552"/>
          <w:tab w:val="clear" w:pos="3119"/>
          <w:tab w:val="clear" w:pos="3686"/>
          <w:tab w:val="left" w:pos="2835"/>
        </w:tabs>
        <w:spacing w:after="120"/>
        <w:ind w:left="1985" w:firstLine="0"/>
        <w:rPr>
          <w:b/>
          <w:bCs/>
          <w:i/>
          <w:iCs/>
          <w:lang w:val="fr-FR"/>
        </w:rPr>
      </w:pPr>
      <w:r>
        <w:rPr>
          <w:lang w:val="fr-FR"/>
        </w:rPr>
        <w:t>« </w:t>
      </w:r>
      <w:r>
        <w:rPr>
          <w:b/>
          <w:bCs/>
          <w:lang w:val="fr-FR"/>
        </w:rPr>
        <w:t>4</w:t>
      </w:r>
      <w:r w:rsidR="0083022B" w:rsidRPr="0083022B">
        <w:rPr>
          <w:b/>
          <w:bCs/>
          <w:lang w:val="fr-FR"/>
        </w:rPr>
        <w:t>.</w:t>
      </w:r>
      <w:r>
        <w:rPr>
          <w:b/>
          <w:bCs/>
          <w:lang w:val="fr-FR"/>
        </w:rPr>
        <w:t>2</w:t>
      </w:r>
      <w:r w:rsidR="0083022B" w:rsidRPr="0083022B">
        <w:rPr>
          <w:b/>
          <w:bCs/>
          <w:lang w:val="fr-FR"/>
        </w:rPr>
        <w:t>.</w:t>
      </w:r>
      <w:r>
        <w:rPr>
          <w:b/>
          <w:bCs/>
          <w:lang w:val="fr-FR"/>
        </w:rPr>
        <w:t>2</w:t>
      </w:r>
      <w:r w:rsidR="0083022B" w:rsidRPr="0083022B">
        <w:rPr>
          <w:b/>
          <w:bCs/>
          <w:lang w:val="fr-FR"/>
        </w:rPr>
        <w:t>.</w:t>
      </w:r>
      <w:r>
        <w:rPr>
          <w:b/>
          <w:bCs/>
          <w:lang w:val="fr-FR"/>
        </w:rPr>
        <w:t>2</w:t>
      </w:r>
      <w:r>
        <w:rPr>
          <w:lang w:val="fr-FR"/>
        </w:rPr>
        <w:tab/>
      </w:r>
      <w:r>
        <w:rPr>
          <w:b/>
          <w:bCs/>
          <w:i/>
          <w:iCs/>
          <w:lang w:val="fr-FR"/>
        </w:rPr>
        <w:t>Dangers pour la couche d’ozone</w:t>
      </w:r>
      <w:r>
        <w:rPr>
          <w:lang w:val="fr-FR"/>
        </w:rPr>
        <w:t xml:space="preserve"> </w:t>
      </w:r>
      <w:bookmarkStart w:id="4" w:name="_Hlk132622665"/>
      <w:bookmarkEnd w:id="4"/>
    </w:p>
    <w:p w14:paraId="7B7C5C61" w14:textId="4C544EDA" w:rsidR="003E459E" w:rsidRPr="00676FB6" w:rsidRDefault="003E459E" w:rsidP="003E459E">
      <w:pPr>
        <w:pStyle w:val="SingleTxtG"/>
        <w:ind w:left="1985" w:firstLine="850"/>
        <w:rPr>
          <w:lang w:val="fr-FR"/>
        </w:rPr>
      </w:pPr>
      <w:r>
        <w:rPr>
          <w:lang w:val="fr-FR"/>
        </w:rPr>
        <w:tab/>
        <w:t>Une substance ou un mélange doit être classé(e) comme un danger pour la couche d’ozone de catégorie 1 selon le tableau suivant</w:t>
      </w:r>
      <w:r w:rsidRPr="00802AA8">
        <w:rPr>
          <w:sz w:val="18"/>
          <w:szCs w:val="18"/>
          <w:vertAlign w:val="superscript"/>
          <w:lang w:val="fr-FR"/>
        </w:rPr>
        <w:t>1</w:t>
      </w:r>
      <w:r>
        <w:rPr>
          <w:lang w:val="fr-FR"/>
        </w:rPr>
        <w:t> :</w:t>
      </w:r>
      <w:bookmarkStart w:id="5" w:name="_Hlk132622897"/>
      <w:bookmarkStart w:id="6" w:name="_Hlk132622705"/>
      <w:bookmarkEnd w:id="5"/>
      <w:bookmarkEnd w:id="6"/>
      <w:r>
        <w:rPr>
          <w:lang w:val="fr-FR"/>
        </w:rPr>
        <w:t> »</w:t>
      </w:r>
      <w:r w:rsidR="0083022B" w:rsidRPr="0083022B">
        <w:rPr>
          <w:lang w:val="fr-FR"/>
        </w:rPr>
        <w:t>.</w:t>
      </w:r>
    </w:p>
    <w:p w14:paraId="6CF0F597" w14:textId="45FD2922" w:rsidR="003E459E" w:rsidRPr="00676FB6" w:rsidRDefault="003E459E" w:rsidP="003E459E">
      <w:pPr>
        <w:pStyle w:val="SingleTxtG"/>
        <w:ind w:left="1985" w:hanging="851"/>
        <w:rPr>
          <w:bCs/>
          <w:lang w:val="fr-FR"/>
        </w:rPr>
      </w:pPr>
      <w:r>
        <w:rPr>
          <w:lang w:val="fr-FR"/>
        </w:rPr>
        <w:t>Tableau 4</w:t>
      </w:r>
      <w:r w:rsidR="0083022B" w:rsidRPr="0083022B">
        <w:rPr>
          <w:lang w:val="fr-FR"/>
        </w:rPr>
        <w:t>.</w:t>
      </w:r>
      <w:r>
        <w:rPr>
          <w:lang w:val="fr-FR"/>
        </w:rPr>
        <w:t>2</w:t>
      </w:r>
      <w:r w:rsidR="0083022B" w:rsidRPr="0083022B">
        <w:rPr>
          <w:lang w:val="fr-FR"/>
        </w:rPr>
        <w:t>.</w:t>
      </w:r>
      <w:r>
        <w:rPr>
          <w:lang w:val="fr-FR"/>
        </w:rPr>
        <w:t>1, colonne « Critères »</w:t>
      </w:r>
      <w:r>
        <w:rPr>
          <w:lang w:val="fr-FR"/>
        </w:rPr>
        <w:tab/>
      </w:r>
      <w:r>
        <w:rPr>
          <w:lang w:val="fr-FR"/>
        </w:rPr>
        <w:tab/>
        <w:t>Remplacer « énumérée aux annexes » par « énumérée parmi celles présentant un potentiel d’appauvrissement de la couche d’ozone aux annexes », et « énuméré aux annexes » par « énuméré parmi ceux présentant un potentiel d’appauvrissement de la couche d’ozone aux annexes »</w:t>
      </w:r>
      <w:r w:rsidR="0083022B" w:rsidRPr="0083022B">
        <w:rPr>
          <w:lang w:val="fr-FR"/>
        </w:rPr>
        <w:t>.</w:t>
      </w:r>
    </w:p>
    <w:p w14:paraId="730A8189" w14:textId="61144EE9" w:rsidR="003E459E" w:rsidRPr="00676FB6" w:rsidRDefault="003E459E" w:rsidP="003E459E">
      <w:pPr>
        <w:pStyle w:val="SingleTxtG"/>
        <w:keepNext/>
        <w:keepLines/>
        <w:tabs>
          <w:tab w:val="clear" w:pos="2268"/>
          <w:tab w:val="left" w:pos="1985"/>
        </w:tabs>
        <w:rPr>
          <w:lang w:val="fr-FR"/>
        </w:rPr>
      </w:pPr>
      <w:r>
        <w:rPr>
          <w:lang w:val="fr-FR"/>
        </w:rPr>
        <w:lastRenderedPageBreak/>
        <w:t>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3</w:t>
      </w:r>
      <w:r>
        <w:rPr>
          <w:lang w:val="fr-FR"/>
        </w:rPr>
        <w:tab/>
      </w:r>
      <w:r>
        <w:rPr>
          <w:lang w:val="fr-FR"/>
        </w:rPr>
        <w:tab/>
        <w:t>Ajouter après le tableau 4</w:t>
      </w:r>
      <w:r w:rsidR="0083022B" w:rsidRPr="0083022B">
        <w:rPr>
          <w:lang w:val="fr-FR"/>
        </w:rPr>
        <w:t>.</w:t>
      </w:r>
      <w:r>
        <w:rPr>
          <w:lang w:val="fr-FR"/>
        </w:rPr>
        <w:t>2</w:t>
      </w:r>
      <w:r w:rsidR="0083022B" w:rsidRPr="0083022B">
        <w:rPr>
          <w:lang w:val="fr-FR"/>
        </w:rPr>
        <w:t>.</w:t>
      </w:r>
      <w:r>
        <w:rPr>
          <w:lang w:val="fr-FR"/>
        </w:rPr>
        <w:t xml:space="preserve">1 une nouvelle section libellée comme suit : </w:t>
      </w:r>
    </w:p>
    <w:p w14:paraId="75186352" w14:textId="54C7885D" w:rsidR="003E459E" w:rsidRPr="00676FB6" w:rsidRDefault="003E459E" w:rsidP="003E459E">
      <w:pPr>
        <w:pStyle w:val="SingleTxtG"/>
        <w:keepNext/>
        <w:keepLines/>
        <w:tabs>
          <w:tab w:val="clear" w:pos="2268"/>
          <w:tab w:val="left" w:pos="1985"/>
        </w:tabs>
        <w:ind w:firstLine="851"/>
        <w:rPr>
          <w:b/>
          <w:bCs/>
          <w:lang w:val="fr-FR"/>
        </w:rPr>
      </w:pPr>
      <w:bookmarkStart w:id="7" w:name="_Hlk132623002"/>
      <w:r>
        <w:rPr>
          <w:lang w:val="fr-FR"/>
        </w:rPr>
        <w:t>« </w:t>
      </w:r>
      <w:r>
        <w:rPr>
          <w:b/>
          <w:bCs/>
          <w:lang w:val="fr-FR"/>
        </w:rPr>
        <w:t>4</w:t>
      </w:r>
      <w:r w:rsidR="0083022B" w:rsidRPr="0083022B">
        <w:rPr>
          <w:b/>
          <w:bCs/>
          <w:lang w:val="fr-FR"/>
        </w:rPr>
        <w:t>.</w:t>
      </w:r>
      <w:r>
        <w:rPr>
          <w:b/>
          <w:bCs/>
          <w:lang w:val="fr-FR"/>
        </w:rPr>
        <w:t>2</w:t>
      </w:r>
      <w:r w:rsidR="0083022B" w:rsidRPr="0083022B">
        <w:rPr>
          <w:b/>
          <w:bCs/>
          <w:lang w:val="fr-FR"/>
        </w:rPr>
        <w:t>.</w:t>
      </w:r>
      <w:r>
        <w:rPr>
          <w:b/>
          <w:bCs/>
          <w:lang w:val="fr-FR"/>
        </w:rPr>
        <w:t>2</w:t>
      </w:r>
      <w:r w:rsidR="0083022B" w:rsidRPr="0083022B">
        <w:rPr>
          <w:b/>
          <w:bCs/>
          <w:lang w:val="fr-FR"/>
        </w:rPr>
        <w:t>.</w:t>
      </w:r>
      <w:r>
        <w:rPr>
          <w:b/>
          <w:bCs/>
          <w:lang w:val="fr-FR"/>
        </w:rPr>
        <w:t>3</w:t>
      </w:r>
      <w:r>
        <w:rPr>
          <w:lang w:val="fr-FR"/>
        </w:rPr>
        <w:tab/>
      </w:r>
      <w:r>
        <w:rPr>
          <w:b/>
          <w:bCs/>
          <w:i/>
          <w:iCs/>
          <w:lang w:val="fr-FR"/>
        </w:rPr>
        <w:t>Dangers du point de vue du réchauffement de la planète</w:t>
      </w:r>
    </w:p>
    <w:p w14:paraId="43A7390D" w14:textId="28729303" w:rsidR="003E459E" w:rsidRPr="00676FB6" w:rsidRDefault="003E459E" w:rsidP="003E459E">
      <w:pPr>
        <w:pStyle w:val="SingleTxtG"/>
        <w:keepNext/>
        <w:keepLines/>
        <w:tabs>
          <w:tab w:val="clear" w:pos="2268"/>
        </w:tabs>
        <w:ind w:left="1985"/>
        <w:rPr>
          <w:lang w:val="fr-FR"/>
        </w:rPr>
      </w:pPr>
      <w:r>
        <w:rPr>
          <w:lang w:val="fr-FR"/>
        </w:rPr>
        <w:tab/>
      </w:r>
      <w:r>
        <w:rPr>
          <w:lang w:val="fr-FR"/>
        </w:rPr>
        <w:tab/>
        <w:t>Une substance ou un mélange doit être classé(e) comme un danger du point de vue du réchauffement de la planète de catégorie 1 selon le tableau suivant</w:t>
      </w:r>
      <w:r w:rsidRPr="00802AA8">
        <w:rPr>
          <w:sz w:val="18"/>
          <w:szCs w:val="18"/>
          <w:vertAlign w:val="superscript"/>
          <w:lang w:val="fr-FR"/>
        </w:rPr>
        <w:t>1</w:t>
      </w:r>
      <w:r w:rsidR="00283573">
        <w:rPr>
          <w:lang w:val="fr-FR"/>
        </w:rPr>
        <w:t> </w:t>
      </w:r>
      <w:r>
        <w:rPr>
          <w:lang w:val="fr-FR"/>
        </w:rPr>
        <w:t>:</w:t>
      </w:r>
    </w:p>
    <w:p w14:paraId="01446FBC" w14:textId="110CD4F7" w:rsidR="003E459E" w:rsidRPr="00676FB6" w:rsidRDefault="003E459E" w:rsidP="003E459E">
      <w:pPr>
        <w:pStyle w:val="SingleTxtG"/>
        <w:keepNext/>
        <w:keepLines/>
        <w:ind w:left="1985"/>
        <w:jc w:val="center"/>
        <w:rPr>
          <w:b/>
          <w:bCs/>
          <w:lang w:val="fr-FR"/>
        </w:rPr>
      </w:pPr>
      <w:r>
        <w:rPr>
          <w:b/>
          <w:bCs/>
          <w:lang w:val="fr-FR"/>
        </w:rPr>
        <w:t>Tableau 4</w:t>
      </w:r>
      <w:r w:rsidR="0083022B" w:rsidRPr="0083022B">
        <w:rPr>
          <w:b/>
          <w:bCs/>
          <w:lang w:val="fr-FR"/>
        </w:rPr>
        <w:t>.</w:t>
      </w:r>
      <w:r>
        <w:rPr>
          <w:b/>
          <w:bCs/>
          <w:lang w:val="fr-FR"/>
        </w:rPr>
        <w:t>2</w:t>
      </w:r>
      <w:r w:rsidR="0083022B" w:rsidRPr="0083022B">
        <w:rPr>
          <w:b/>
          <w:bCs/>
          <w:lang w:val="fr-FR"/>
        </w:rPr>
        <w:t>.</w:t>
      </w:r>
      <w:r>
        <w:rPr>
          <w:b/>
          <w:bCs/>
          <w:lang w:val="fr-FR"/>
        </w:rPr>
        <w:t>2 : Critères applicables aux substances et mélanges dangereux du point de vue du réchauffement de la planète</w:t>
      </w:r>
    </w:p>
    <w:tbl>
      <w:tblPr>
        <w:tblW w:w="652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5103"/>
      </w:tblGrid>
      <w:tr w:rsidR="003E459E" w:rsidRPr="00916330" w14:paraId="5A79BE9E" w14:textId="77777777" w:rsidTr="00802AA8">
        <w:tc>
          <w:tcPr>
            <w:tcW w:w="1417" w:type="dxa"/>
            <w:shd w:val="clear" w:color="auto" w:fill="auto"/>
          </w:tcPr>
          <w:p w14:paraId="397F21C4" w14:textId="77777777" w:rsidR="003E459E" w:rsidRPr="00916330" w:rsidRDefault="003E459E" w:rsidP="00802AA8">
            <w:pPr>
              <w:keepNext/>
              <w:keepLines/>
              <w:tabs>
                <w:tab w:val="left" w:pos="1026"/>
              </w:tabs>
              <w:spacing w:before="60" w:after="60" w:line="220" w:lineRule="atLeast"/>
              <w:ind w:left="57" w:right="57"/>
              <w:jc w:val="center"/>
              <w:rPr>
                <w:b/>
              </w:rPr>
            </w:pPr>
            <w:r>
              <w:rPr>
                <w:b/>
                <w:bCs/>
                <w:lang w:val="fr-FR"/>
              </w:rPr>
              <w:t>Catégorie</w:t>
            </w:r>
          </w:p>
        </w:tc>
        <w:tc>
          <w:tcPr>
            <w:tcW w:w="5103" w:type="dxa"/>
            <w:shd w:val="clear" w:color="auto" w:fill="auto"/>
          </w:tcPr>
          <w:p w14:paraId="5D3F24F5" w14:textId="77777777" w:rsidR="003E459E" w:rsidRPr="00916330" w:rsidRDefault="003E459E" w:rsidP="00802AA8">
            <w:pPr>
              <w:keepNext/>
              <w:keepLines/>
              <w:tabs>
                <w:tab w:val="left" w:pos="1026"/>
              </w:tabs>
              <w:spacing w:before="60" w:after="60" w:line="220" w:lineRule="atLeast"/>
              <w:ind w:left="57" w:right="57"/>
              <w:jc w:val="center"/>
              <w:rPr>
                <w:b/>
              </w:rPr>
            </w:pPr>
            <w:r>
              <w:rPr>
                <w:b/>
                <w:bCs/>
                <w:lang w:val="fr-FR"/>
              </w:rPr>
              <w:t>Critères</w:t>
            </w:r>
          </w:p>
        </w:tc>
      </w:tr>
      <w:tr w:rsidR="003E459E" w:rsidRPr="005D36D3" w14:paraId="0FE9F993" w14:textId="77777777" w:rsidTr="00802AA8">
        <w:trPr>
          <w:trHeight w:val="700"/>
        </w:trPr>
        <w:tc>
          <w:tcPr>
            <w:tcW w:w="1417" w:type="dxa"/>
            <w:shd w:val="clear" w:color="auto" w:fill="auto"/>
            <w:vAlign w:val="center"/>
          </w:tcPr>
          <w:p w14:paraId="0B9297A8" w14:textId="77777777" w:rsidR="003E459E" w:rsidRPr="00916330" w:rsidRDefault="003E459E" w:rsidP="00802AA8">
            <w:pPr>
              <w:tabs>
                <w:tab w:val="left" w:pos="1026"/>
              </w:tabs>
              <w:spacing w:before="60" w:after="60" w:line="220" w:lineRule="atLeast"/>
              <w:ind w:left="57" w:right="57"/>
              <w:jc w:val="center"/>
              <w:rPr>
                <w:b/>
              </w:rPr>
            </w:pPr>
            <w:r>
              <w:rPr>
                <w:b/>
                <w:bCs/>
                <w:lang w:val="fr-FR"/>
              </w:rPr>
              <w:t>1</w:t>
            </w:r>
          </w:p>
        </w:tc>
        <w:tc>
          <w:tcPr>
            <w:tcW w:w="5103" w:type="dxa"/>
            <w:shd w:val="clear" w:color="auto" w:fill="auto"/>
          </w:tcPr>
          <w:p w14:paraId="11D0BCDC" w14:textId="56794AEF" w:rsidR="003E459E" w:rsidRPr="00676FB6" w:rsidRDefault="003E459E" w:rsidP="00802AA8">
            <w:pPr>
              <w:tabs>
                <w:tab w:val="left" w:pos="1026"/>
              </w:tabs>
              <w:spacing w:before="60" w:after="60" w:line="220" w:lineRule="atLeast"/>
              <w:ind w:left="57" w:right="57"/>
              <w:rPr>
                <w:lang w:val="fr-FR"/>
              </w:rPr>
            </w:pPr>
            <w:r>
              <w:rPr>
                <w:lang w:val="fr-FR"/>
              </w:rPr>
              <w:t xml:space="preserve">Toute substance réglementée qui est énumérée parmi celles présentant un potentiel de réchauffement de la planète aux annexes du Protocole de Montréal ; ou </w:t>
            </w:r>
            <w:r>
              <w:rPr>
                <w:lang w:val="fr-FR"/>
              </w:rPr>
              <w:br/>
              <w:t>Tout mélange contenant au moins un composant énuméré parmi ceux présentant un potentiel de réchauffement de la planète aux annexes du Protocole de Montréal, à une concentration ≥0,1 %</w:t>
            </w:r>
          </w:p>
        </w:tc>
      </w:tr>
    </w:tbl>
    <w:bookmarkEnd w:id="7"/>
    <w:p w14:paraId="1E1831FA" w14:textId="63EA9D2D" w:rsidR="003E459E" w:rsidRPr="00676FB6" w:rsidRDefault="00A11D8F" w:rsidP="00283573">
      <w:pPr>
        <w:pStyle w:val="GHS1stline"/>
        <w:tabs>
          <w:tab w:val="clear" w:pos="1418"/>
          <w:tab w:val="clear" w:pos="2552"/>
          <w:tab w:val="clear" w:pos="3119"/>
          <w:tab w:val="clear" w:pos="3686"/>
        </w:tabs>
        <w:spacing w:before="120" w:line="240" w:lineRule="atLeast"/>
        <w:ind w:right="1134" w:firstLine="0"/>
        <w:jc w:val="right"/>
        <w:rPr>
          <w:lang w:val="fr-FR"/>
        </w:rPr>
      </w:pPr>
      <w:r>
        <w:rPr>
          <w:lang w:val="fr-FR"/>
        </w:rPr>
        <w:t>. </w:t>
      </w:r>
      <w:r w:rsidR="003E459E">
        <w:rPr>
          <w:lang w:val="fr-FR"/>
        </w:rPr>
        <w:t>»</w:t>
      </w:r>
      <w:r w:rsidR="0083022B" w:rsidRPr="0083022B">
        <w:rPr>
          <w:lang w:val="fr-FR"/>
        </w:rPr>
        <w:t>.</w:t>
      </w:r>
    </w:p>
    <w:p w14:paraId="214218CB" w14:textId="0961C08B" w:rsidR="003E459E" w:rsidRPr="00676FB6" w:rsidRDefault="003E459E" w:rsidP="003E459E">
      <w:pPr>
        <w:pStyle w:val="SingleTxtG"/>
        <w:rPr>
          <w:lang w:val="fr-FR"/>
        </w:rPr>
      </w:pPr>
      <w:r>
        <w:rPr>
          <w:lang w:val="fr-FR"/>
        </w:rPr>
        <w:t>Note de bas de page 1</w:t>
      </w:r>
      <w:r>
        <w:rPr>
          <w:lang w:val="fr-FR"/>
        </w:rPr>
        <w:tab/>
        <w:t>Modifier le texte de la note de bas de page (qui s’applique maintenant aux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2 et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3) de sorte qu’il se lise comme suit :</w:t>
      </w:r>
    </w:p>
    <w:p w14:paraId="7FBDD678" w14:textId="19BD1C29" w:rsidR="003E459E" w:rsidRPr="00676FB6" w:rsidRDefault="003E459E" w:rsidP="003E459E">
      <w:pPr>
        <w:pStyle w:val="SingleTxtG"/>
        <w:ind w:left="1985"/>
        <w:rPr>
          <w:lang w:val="fr-FR"/>
        </w:rPr>
      </w:pPr>
      <w:r>
        <w:rPr>
          <w:lang w:val="fr-FR"/>
        </w:rPr>
        <w:t>« </w:t>
      </w:r>
      <w:r w:rsidRPr="00802AA8">
        <w:rPr>
          <w:sz w:val="18"/>
          <w:szCs w:val="18"/>
          <w:vertAlign w:val="superscript"/>
          <w:lang w:val="fr-FR"/>
        </w:rPr>
        <w:t>1</w:t>
      </w:r>
      <w:r>
        <w:rPr>
          <w:lang w:val="fr-FR"/>
        </w:rPr>
        <w:tab/>
      </w:r>
      <w:r>
        <w:rPr>
          <w:i/>
          <w:iCs/>
          <w:lang w:val="fr-FR"/>
        </w:rPr>
        <w:t>Les critères mentionnés dans le présent chapitre sont censés s’appliquer aux substances et aux mélanges</w:t>
      </w:r>
      <w:r w:rsidR="0083022B" w:rsidRPr="0083022B">
        <w:rPr>
          <w:i/>
          <w:iCs/>
          <w:lang w:val="fr-FR"/>
        </w:rPr>
        <w:t>.</w:t>
      </w:r>
      <w:r>
        <w:rPr>
          <w:lang w:val="fr-FR"/>
        </w:rPr>
        <w:t xml:space="preserve"> </w:t>
      </w:r>
      <w:r>
        <w:rPr>
          <w:i/>
          <w:iCs/>
          <w:lang w:val="fr-FR"/>
        </w:rPr>
        <w:t>Les équipements, les objets ou les appareils (tels que les équipements frigorifiques ou les équipements de climatisation) qui contiennent des substances dangereuses pour le système atmosphérique sortent du champ d’application de ces critères</w:t>
      </w:r>
      <w:r w:rsidR="0083022B" w:rsidRPr="0083022B">
        <w:rPr>
          <w:i/>
          <w:iCs/>
          <w:lang w:val="fr-FR"/>
        </w:rPr>
        <w:t>.</w:t>
      </w:r>
      <w:r>
        <w:rPr>
          <w:lang w:val="fr-FR"/>
        </w:rPr>
        <w:t xml:space="preserve"> </w:t>
      </w:r>
      <w:r>
        <w:rPr>
          <w:i/>
          <w:iCs/>
          <w:lang w:val="fr-FR"/>
        </w:rPr>
        <w:t>Conformément au 1</w:t>
      </w:r>
      <w:r w:rsidR="0083022B" w:rsidRPr="0083022B">
        <w:rPr>
          <w:i/>
          <w:iCs/>
          <w:lang w:val="fr-FR"/>
        </w:rPr>
        <w:t>.</w:t>
      </w:r>
      <w:r>
        <w:rPr>
          <w:i/>
          <w:iCs/>
          <w:lang w:val="fr-FR"/>
        </w:rPr>
        <w:t>1</w:t>
      </w:r>
      <w:r w:rsidR="0083022B" w:rsidRPr="0083022B">
        <w:rPr>
          <w:i/>
          <w:iCs/>
          <w:lang w:val="fr-FR"/>
        </w:rPr>
        <w:t>.</w:t>
      </w:r>
      <w:r>
        <w:rPr>
          <w:i/>
          <w:iCs/>
          <w:lang w:val="fr-FR"/>
        </w:rPr>
        <w:t>2</w:t>
      </w:r>
      <w:r w:rsidR="0083022B" w:rsidRPr="0083022B">
        <w:rPr>
          <w:i/>
          <w:iCs/>
          <w:lang w:val="fr-FR"/>
        </w:rPr>
        <w:t>.</w:t>
      </w:r>
      <w:r>
        <w:rPr>
          <w:i/>
          <w:iCs/>
          <w:lang w:val="fr-FR"/>
        </w:rPr>
        <w:t>5 a) iii) qui concerne les produits pharmaceutiques, les dispositions du SGH relatives au classement et à l’étiquetage ne s’appliquent pas aux aérosols médicaux dont l’inhalation est volontaire</w:t>
      </w:r>
      <w:r w:rsidR="0083022B" w:rsidRPr="0083022B">
        <w:rPr>
          <w:i/>
          <w:iCs/>
          <w:lang w:val="fr-FR"/>
        </w:rPr>
        <w:t>.</w:t>
      </w:r>
      <w:r>
        <w:rPr>
          <w:lang w:val="fr-FR"/>
        </w:rPr>
        <w:t> »</w:t>
      </w:r>
      <w:r w:rsidR="0083022B" w:rsidRPr="0083022B">
        <w:rPr>
          <w:lang w:val="fr-FR"/>
        </w:rPr>
        <w:t>.</w:t>
      </w:r>
    </w:p>
    <w:p w14:paraId="30D9B8AC" w14:textId="6208AFB5" w:rsidR="003E459E" w:rsidRPr="00676FB6" w:rsidRDefault="003E459E" w:rsidP="003E459E">
      <w:pPr>
        <w:pStyle w:val="GHS1stline"/>
        <w:tabs>
          <w:tab w:val="clear" w:pos="1418"/>
          <w:tab w:val="clear" w:pos="2552"/>
          <w:tab w:val="clear" w:pos="3119"/>
          <w:tab w:val="clear" w:pos="3686"/>
          <w:tab w:val="left" w:pos="5954"/>
        </w:tabs>
        <w:spacing w:after="120"/>
        <w:ind w:left="1134" w:firstLine="0"/>
        <w:rPr>
          <w:lang w:val="fr-FR"/>
        </w:rPr>
      </w:pPr>
      <w:r>
        <w:rPr>
          <w:lang w:val="fr-FR"/>
        </w:rPr>
        <w:t>4</w:t>
      </w:r>
      <w:r w:rsidR="0083022B" w:rsidRPr="0083022B">
        <w:rPr>
          <w:lang w:val="fr-FR"/>
        </w:rPr>
        <w:t>.</w:t>
      </w:r>
      <w:r>
        <w:rPr>
          <w:lang w:val="fr-FR"/>
        </w:rPr>
        <w:t>2</w:t>
      </w:r>
      <w:r w:rsidR="0083022B" w:rsidRPr="0083022B">
        <w:rPr>
          <w:lang w:val="fr-FR"/>
        </w:rPr>
        <w:t>.</w:t>
      </w:r>
      <w:r>
        <w:rPr>
          <w:lang w:val="fr-FR"/>
        </w:rPr>
        <w:t>3</w:t>
      </w:r>
      <w:r>
        <w:rPr>
          <w:lang w:val="fr-FR"/>
        </w:rPr>
        <w:tab/>
        <w:t>Modifier de sorte qu’il se lise comme suit :</w:t>
      </w:r>
    </w:p>
    <w:p w14:paraId="2B8E7AB9" w14:textId="483E408F" w:rsidR="003E459E" w:rsidRPr="00246C26" w:rsidRDefault="003E459E" w:rsidP="003E459E">
      <w:pPr>
        <w:pStyle w:val="GHSHeading3"/>
        <w:tabs>
          <w:tab w:val="clear" w:pos="1418"/>
          <w:tab w:val="left" w:pos="1843"/>
        </w:tabs>
        <w:spacing w:before="240" w:after="240"/>
        <w:ind w:left="1985"/>
        <w:rPr>
          <w:sz w:val="20"/>
          <w:szCs w:val="20"/>
          <w:lang w:val="fr-FR"/>
        </w:rPr>
      </w:pPr>
      <w:r w:rsidRPr="00246C26">
        <w:rPr>
          <w:b w:val="0"/>
          <w:bCs w:val="0"/>
          <w:sz w:val="20"/>
          <w:szCs w:val="20"/>
          <w:lang w:val="fr-FR"/>
        </w:rPr>
        <w:t>« </w:t>
      </w:r>
      <w:r w:rsidRPr="00246C26">
        <w:rPr>
          <w:sz w:val="20"/>
          <w:szCs w:val="20"/>
          <w:lang w:val="fr-FR"/>
        </w:rPr>
        <w:t>4</w:t>
      </w:r>
      <w:r w:rsidR="0083022B" w:rsidRPr="0083022B">
        <w:rPr>
          <w:sz w:val="20"/>
          <w:szCs w:val="20"/>
          <w:lang w:val="fr-FR"/>
        </w:rPr>
        <w:t>.</w:t>
      </w:r>
      <w:r w:rsidRPr="00246C26">
        <w:rPr>
          <w:sz w:val="20"/>
          <w:szCs w:val="20"/>
          <w:lang w:val="fr-FR"/>
        </w:rPr>
        <w:t>2</w:t>
      </w:r>
      <w:r w:rsidR="0083022B" w:rsidRPr="0083022B">
        <w:rPr>
          <w:sz w:val="20"/>
          <w:szCs w:val="20"/>
          <w:lang w:val="fr-FR"/>
        </w:rPr>
        <w:t>.</w:t>
      </w:r>
      <w:r w:rsidRPr="00246C26">
        <w:rPr>
          <w:sz w:val="20"/>
          <w:szCs w:val="20"/>
          <w:lang w:val="fr-FR"/>
        </w:rPr>
        <w:t>3</w:t>
      </w:r>
      <w:r w:rsidRPr="00246C26">
        <w:rPr>
          <w:sz w:val="20"/>
          <w:szCs w:val="20"/>
          <w:lang w:val="fr-FR"/>
        </w:rPr>
        <w:tab/>
        <w:t>Communication du danger</w:t>
      </w:r>
    </w:p>
    <w:p w14:paraId="1406D5B0" w14:textId="2104EB3E" w:rsidR="003E459E" w:rsidRPr="00676FB6" w:rsidRDefault="003E459E" w:rsidP="003E459E">
      <w:pPr>
        <w:pStyle w:val="SingleTxtG"/>
        <w:ind w:left="1985"/>
        <w:rPr>
          <w:lang w:val="fr-FR"/>
        </w:rPr>
      </w:pPr>
      <w:r>
        <w:rPr>
          <w:lang w:val="fr-FR"/>
        </w:rPr>
        <w:t>4</w:t>
      </w:r>
      <w:r w:rsidR="0083022B" w:rsidRPr="0083022B">
        <w:rPr>
          <w:lang w:val="fr-FR"/>
        </w:rPr>
        <w:t>.</w:t>
      </w:r>
      <w:r>
        <w:rPr>
          <w:lang w:val="fr-FR"/>
        </w:rPr>
        <w:t>2</w:t>
      </w:r>
      <w:r w:rsidR="0083022B" w:rsidRPr="0083022B">
        <w:rPr>
          <w:lang w:val="fr-FR"/>
        </w:rPr>
        <w:t>.</w:t>
      </w:r>
      <w:r>
        <w:rPr>
          <w:lang w:val="fr-FR"/>
        </w:rPr>
        <w:t>3</w:t>
      </w:r>
      <w:r w:rsidR="0083022B" w:rsidRPr="0083022B">
        <w:rPr>
          <w:lang w:val="fr-FR"/>
        </w:rPr>
        <w:t>.</w:t>
      </w:r>
      <w:r>
        <w:rPr>
          <w:lang w:val="fr-FR"/>
        </w:rPr>
        <w:t>1</w:t>
      </w:r>
      <w:r>
        <w:rPr>
          <w:lang w:val="fr-FR"/>
        </w:rPr>
        <w:tab/>
        <w:t>Des considérations générales et particulières concernant les prescriptions d’étiquetage sont énoncées au chapitre 1</w:t>
      </w:r>
      <w:r w:rsidR="0083022B" w:rsidRPr="0083022B">
        <w:rPr>
          <w:lang w:val="fr-FR"/>
        </w:rPr>
        <w:t>.</w:t>
      </w:r>
      <w:r>
        <w:rPr>
          <w:lang w:val="fr-FR"/>
        </w:rPr>
        <w:t>4 (Communication des dangers : Étiquetage)</w:t>
      </w:r>
      <w:r w:rsidR="0083022B" w:rsidRPr="0083022B">
        <w:rPr>
          <w:lang w:val="fr-FR"/>
        </w:rPr>
        <w:t>.</w:t>
      </w:r>
      <w:r>
        <w:rPr>
          <w:lang w:val="fr-FR"/>
        </w:rPr>
        <w:t xml:space="preserve"> L’annexe 1 contient des tableaux récapitulatifs concernant la classification et l’étiquetage</w:t>
      </w:r>
      <w:r w:rsidR="0083022B" w:rsidRPr="0083022B">
        <w:rPr>
          <w:lang w:val="fr-FR"/>
        </w:rPr>
        <w:t>.</w:t>
      </w:r>
      <w:r>
        <w:rPr>
          <w:lang w:val="fr-FR"/>
        </w:rPr>
        <w:t xml:space="preserve"> L’annexe 3 donne des exemples de conseils de prudence et de symboles qui peuvent être utilisés s’ils sont acceptés par les autorités compétentes</w:t>
      </w:r>
      <w:r w:rsidR="0083022B" w:rsidRPr="0083022B">
        <w:rPr>
          <w:lang w:val="fr-FR"/>
        </w:rPr>
        <w:t>.</w:t>
      </w:r>
      <w:r>
        <w:rPr>
          <w:lang w:val="fr-FR"/>
        </w:rPr>
        <w:t xml:space="preserve"> Le tableau 4</w:t>
      </w:r>
      <w:r w:rsidR="0083022B" w:rsidRPr="0083022B">
        <w:rPr>
          <w:lang w:val="fr-FR"/>
        </w:rPr>
        <w:t>.</w:t>
      </w:r>
      <w:r>
        <w:rPr>
          <w:lang w:val="fr-FR"/>
        </w:rPr>
        <w:t>2</w:t>
      </w:r>
      <w:r w:rsidR="0083022B" w:rsidRPr="0083022B">
        <w:rPr>
          <w:lang w:val="fr-FR"/>
        </w:rPr>
        <w:t>.</w:t>
      </w:r>
      <w:r>
        <w:rPr>
          <w:lang w:val="fr-FR"/>
        </w:rPr>
        <w:t>3 présente les éléments d’étiquetage attribués aux substances et mélanges classés dans cette classe de danger d’après les critères exposés dans le présent chapitre</w:t>
      </w:r>
      <w:r w:rsidR="0083022B" w:rsidRPr="0083022B">
        <w:rPr>
          <w:lang w:val="fr-FR"/>
        </w:rPr>
        <w:t>.</w:t>
      </w:r>
    </w:p>
    <w:p w14:paraId="6540898B" w14:textId="30B8DB42" w:rsidR="003E459E" w:rsidRPr="00676FB6" w:rsidRDefault="003E459E" w:rsidP="00E43966">
      <w:pPr>
        <w:pStyle w:val="SingleTxtG"/>
        <w:ind w:left="1701"/>
        <w:jc w:val="center"/>
        <w:rPr>
          <w:b/>
          <w:bCs/>
          <w:lang w:val="fr-FR"/>
        </w:rPr>
      </w:pPr>
      <w:r>
        <w:rPr>
          <w:b/>
          <w:bCs/>
          <w:lang w:val="fr-FR"/>
        </w:rPr>
        <w:t>Tableau 4</w:t>
      </w:r>
      <w:r w:rsidR="0083022B" w:rsidRPr="0083022B">
        <w:rPr>
          <w:b/>
          <w:bCs/>
          <w:lang w:val="fr-FR"/>
        </w:rPr>
        <w:t>.</w:t>
      </w:r>
      <w:r>
        <w:rPr>
          <w:b/>
          <w:bCs/>
          <w:lang w:val="fr-FR"/>
        </w:rPr>
        <w:t>2</w:t>
      </w:r>
      <w:r w:rsidR="0083022B" w:rsidRPr="0083022B">
        <w:rPr>
          <w:b/>
          <w:bCs/>
          <w:lang w:val="fr-FR"/>
        </w:rPr>
        <w:t>.</w:t>
      </w:r>
      <w:r>
        <w:rPr>
          <w:b/>
          <w:bCs/>
          <w:lang w:val="fr-FR"/>
        </w:rPr>
        <w:t>3 : Éléments d’étiquetage pour les substances et les mélanges dangereux pour le système atmosphérique</w:t>
      </w:r>
    </w:p>
    <w:tbl>
      <w:tblPr>
        <w:tblW w:w="666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552"/>
        <w:gridCol w:w="2551"/>
      </w:tblGrid>
      <w:tr w:rsidR="003E459E" w:rsidRPr="00916330" w14:paraId="383A1D2A" w14:textId="77777777" w:rsidTr="00E43966">
        <w:tc>
          <w:tcPr>
            <w:tcW w:w="1559" w:type="dxa"/>
          </w:tcPr>
          <w:p w14:paraId="77E973B5" w14:textId="77777777" w:rsidR="003E459E" w:rsidRPr="00676FB6" w:rsidRDefault="003E459E" w:rsidP="000F540F">
            <w:pPr>
              <w:keepNext/>
              <w:keepLines/>
              <w:spacing w:before="40" w:after="40"/>
              <w:rPr>
                <w:lang w:val="fr-FR"/>
              </w:rPr>
            </w:pPr>
          </w:p>
        </w:tc>
        <w:tc>
          <w:tcPr>
            <w:tcW w:w="2552" w:type="dxa"/>
          </w:tcPr>
          <w:p w14:paraId="5208DB44" w14:textId="77777777" w:rsidR="003E459E" w:rsidRPr="00916330" w:rsidRDefault="003E459E" w:rsidP="000F540F">
            <w:pPr>
              <w:keepNext/>
              <w:keepLines/>
              <w:spacing w:before="40" w:after="40"/>
              <w:jc w:val="center"/>
              <w:rPr>
                <w:b/>
                <w:bCs/>
              </w:rPr>
            </w:pPr>
            <w:r>
              <w:rPr>
                <w:b/>
                <w:bCs/>
                <w:lang w:val="fr-FR"/>
              </w:rPr>
              <w:t>Catégorie 1</w:t>
            </w:r>
          </w:p>
        </w:tc>
        <w:tc>
          <w:tcPr>
            <w:tcW w:w="2551" w:type="dxa"/>
          </w:tcPr>
          <w:p w14:paraId="38D0AAED" w14:textId="77777777" w:rsidR="003E459E" w:rsidRPr="00916330" w:rsidRDefault="003E459E" w:rsidP="000F540F">
            <w:pPr>
              <w:keepNext/>
              <w:keepLines/>
              <w:spacing w:before="40" w:after="40"/>
              <w:jc w:val="center"/>
              <w:rPr>
                <w:b/>
                <w:bCs/>
              </w:rPr>
            </w:pPr>
            <w:r>
              <w:rPr>
                <w:b/>
                <w:bCs/>
                <w:lang w:val="fr-FR"/>
              </w:rPr>
              <w:t>Catégorie 1</w:t>
            </w:r>
          </w:p>
        </w:tc>
      </w:tr>
      <w:tr w:rsidR="003E459E" w:rsidRPr="005D36D3" w14:paraId="6B62D10E" w14:textId="77777777" w:rsidTr="00E43966">
        <w:tc>
          <w:tcPr>
            <w:tcW w:w="1559" w:type="dxa"/>
          </w:tcPr>
          <w:p w14:paraId="287DB0A5" w14:textId="77777777" w:rsidR="003E459E" w:rsidRPr="00916330" w:rsidRDefault="003E459E" w:rsidP="000F540F">
            <w:pPr>
              <w:keepNext/>
              <w:keepLines/>
              <w:spacing w:before="40" w:after="40"/>
              <w:jc w:val="center"/>
            </w:pPr>
          </w:p>
        </w:tc>
        <w:tc>
          <w:tcPr>
            <w:tcW w:w="2552" w:type="dxa"/>
          </w:tcPr>
          <w:p w14:paraId="78EE825B" w14:textId="77777777" w:rsidR="003E459E" w:rsidRPr="00676FB6" w:rsidRDefault="003E459E" w:rsidP="000F540F">
            <w:pPr>
              <w:keepNext/>
              <w:keepLines/>
              <w:spacing w:before="40" w:after="40"/>
              <w:jc w:val="center"/>
              <w:rPr>
                <w:b/>
                <w:bCs/>
                <w:lang w:val="fr-FR"/>
              </w:rPr>
            </w:pPr>
            <w:r>
              <w:rPr>
                <w:b/>
                <w:bCs/>
                <w:lang w:val="fr-FR"/>
              </w:rPr>
              <w:t>Dangers pour la couche d’ozone</w:t>
            </w:r>
          </w:p>
        </w:tc>
        <w:tc>
          <w:tcPr>
            <w:tcW w:w="2551" w:type="dxa"/>
          </w:tcPr>
          <w:p w14:paraId="710BC3C8" w14:textId="77777777" w:rsidR="003E459E" w:rsidRPr="00676FB6" w:rsidRDefault="003E459E" w:rsidP="000F540F">
            <w:pPr>
              <w:keepNext/>
              <w:keepLines/>
              <w:spacing w:before="40" w:after="40"/>
              <w:jc w:val="center"/>
              <w:rPr>
                <w:b/>
                <w:bCs/>
                <w:lang w:val="fr-FR"/>
              </w:rPr>
            </w:pPr>
            <w:r>
              <w:rPr>
                <w:b/>
                <w:bCs/>
                <w:lang w:val="fr-FR"/>
              </w:rPr>
              <w:t>Dangers du point de vue du réchauffement de la planète</w:t>
            </w:r>
          </w:p>
        </w:tc>
      </w:tr>
      <w:tr w:rsidR="003E459E" w:rsidRPr="00916330" w14:paraId="72C1B54D" w14:textId="77777777" w:rsidTr="00E43966">
        <w:tc>
          <w:tcPr>
            <w:tcW w:w="1559" w:type="dxa"/>
            <w:vAlign w:val="center"/>
          </w:tcPr>
          <w:p w14:paraId="48FAFA99" w14:textId="77777777" w:rsidR="003E459E" w:rsidRPr="00916330" w:rsidRDefault="003E459E" w:rsidP="000F540F">
            <w:pPr>
              <w:keepNext/>
              <w:keepLines/>
              <w:spacing w:before="40" w:after="40"/>
              <w:rPr>
                <w:b/>
                <w:bCs/>
              </w:rPr>
            </w:pPr>
            <w:r>
              <w:rPr>
                <w:b/>
                <w:bCs/>
                <w:lang w:val="fr-FR"/>
              </w:rPr>
              <w:t>Symbole</w:t>
            </w:r>
          </w:p>
        </w:tc>
        <w:tc>
          <w:tcPr>
            <w:tcW w:w="2552" w:type="dxa"/>
          </w:tcPr>
          <w:p w14:paraId="5F6CAACE" w14:textId="77777777" w:rsidR="003E459E" w:rsidRPr="00916330" w:rsidRDefault="003E459E" w:rsidP="000F540F">
            <w:pPr>
              <w:keepNext/>
              <w:keepLines/>
              <w:spacing w:before="40" w:after="40"/>
              <w:jc w:val="center"/>
            </w:pPr>
            <w:r>
              <w:rPr>
                <w:lang w:val="fr-FR"/>
              </w:rPr>
              <w:t>Point d’exclamation</w:t>
            </w:r>
          </w:p>
        </w:tc>
        <w:tc>
          <w:tcPr>
            <w:tcW w:w="2551" w:type="dxa"/>
          </w:tcPr>
          <w:p w14:paraId="66E177E7" w14:textId="77777777" w:rsidR="003E459E" w:rsidRPr="00916330" w:rsidRDefault="003E459E" w:rsidP="000F540F">
            <w:pPr>
              <w:keepNext/>
              <w:keepLines/>
              <w:spacing w:before="40" w:after="40"/>
              <w:jc w:val="center"/>
            </w:pPr>
            <w:r>
              <w:rPr>
                <w:lang w:val="fr-FR"/>
              </w:rPr>
              <w:t>Point d’exclamation</w:t>
            </w:r>
          </w:p>
        </w:tc>
      </w:tr>
      <w:tr w:rsidR="003E459E" w:rsidRPr="00916330" w14:paraId="09FFE7A1" w14:textId="77777777" w:rsidTr="00E43966">
        <w:tc>
          <w:tcPr>
            <w:tcW w:w="1559" w:type="dxa"/>
            <w:vAlign w:val="center"/>
          </w:tcPr>
          <w:p w14:paraId="0C5549C1" w14:textId="77777777" w:rsidR="003E459E" w:rsidRPr="00916330" w:rsidRDefault="003E459E" w:rsidP="000F540F">
            <w:pPr>
              <w:keepNext/>
              <w:keepLines/>
              <w:spacing w:before="40" w:after="40"/>
              <w:rPr>
                <w:b/>
                <w:bCs/>
              </w:rPr>
            </w:pPr>
            <w:r>
              <w:rPr>
                <w:b/>
                <w:bCs/>
                <w:lang w:val="fr-FR"/>
              </w:rPr>
              <w:t>Mention d’avertissement</w:t>
            </w:r>
          </w:p>
        </w:tc>
        <w:tc>
          <w:tcPr>
            <w:tcW w:w="2552" w:type="dxa"/>
          </w:tcPr>
          <w:p w14:paraId="3EFB317A" w14:textId="77777777" w:rsidR="003E459E" w:rsidRPr="00916330" w:rsidRDefault="003E459E" w:rsidP="000F540F">
            <w:pPr>
              <w:keepNext/>
              <w:keepLines/>
              <w:spacing w:before="40" w:after="40"/>
              <w:jc w:val="center"/>
            </w:pPr>
            <w:r>
              <w:rPr>
                <w:lang w:val="fr-FR"/>
              </w:rPr>
              <w:t>Attention</w:t>
            </w:r>
          </w:p>
        </w:tc>
        <w:tc>
          <w:tcPr>
            <w:tcW w:w="2551" w:type="dxa"/>
          </w:tcPr>
          <w:p w14:paraId="45A5F049" w14:textId="77777777" w:rsidR="003E459E" w:rsidRPr="00916330" w:rsidRDefault="003E459E" w:rsidP="000F540F">
            <w:pPr>
              <w:keepNext/>
              <w:keepLines/>
              <w:spacing w:before="40" w:after="40"/>
              <w:jc w:val="center"/>
            </w:pPr>
            <w:r>
              <w:rPr>
                <w:lang w:val="fr-FR"/>
              </w:rPr>
              <w:t>Attention</w:t>
            </w:r>
          </w:p>
        </w:tc>
      </w:tr>
      <w:tr w:rsidR="003E459E" w:rsidRPr="005D36D3" w14:paraId="6878658E" w14:textId="77777777" w:rsidTr="00E43966">
        <w:tc>
          <w:tcPr>
            <w:tcW w:w="1559" w:type="dxa"/>
            <w:vAlign w:val="center"/>
          </w:tcPr>
          <w:p w14:paraId="3965CD6D" w14:textId="77777777" w:rsidR="003E459E" w:rsidRPr="00916330" w:rsidRDefault="003E459E" w:rsidP="000F540F">
            <w:pPr>
              <w:spacing w:before="40" w:after="40"/>
              <w:rPr>
                <w:b/>
                <w:bCs/>
              </w:rPr>
            </w:pPr>
            <w:r>
              <w:rPr>
                <w:b/>
                <w:bCs/>
                <w:lang w:val="fr-FR"/>
              </w:rPr>
              <w:t>Mention de danger</w:t>
            </w:r>
          </w:p>
        </w:tc>
        <w:tc>
          <w:tcPr>
            <w:tcW w:w="2552" w:type="dxa"/>
          </w:tcPr>
          <w:p w14:paraId="1186A272" w14:textId="77777777" w:rsidR="003E459E" w:rsidRPr="00676FB6" w:rsidRDefault="003E459E" w:rsidP="000F540F">
            <w:pPr>
              <w:spacing w:before="40" w:after="40"/>
              <w:jc w:val="center"/>
              <w:rPr>
                <w:lang w:val="fr-FR"/>
              </w:rPr>
            </w:pPr>
            <w:r>
              <w:rPr>
                <w:lang w:val="fr-FR"/>
              </w:rPr>
              <w:t>Nuit à la santé publique et à l’environnement en détruisant l’ozone dans la haute atmosphère</w:t>
            </w:r>
          </w:p>
        </w:tc>
        <w:tc>
          <w:tcPr>
            <w:tcW w:w="2551" w:type="dxa"/>
          </w:tcPr>
          <w:p w14:paraId="7512ACB4" w14:textId="77777777" w:rsidR="003E459E" w:rsidRPr="00676FB6" w:rsidRDefault="003E459E" w:rsidP="000F540F">
            <w:pPr>
              <w:spacing w:before="40" w:after="40"/>
              <w:jc w:val="center"/>
              <w:rPr>
                <w:lang w:val="fr-FR"/>
              </w:rPr>
            </w:pPr>
            <w:r>
              <w:rPr>
                <w:lang w:val="fr-FR"/>
              </w:rPr>
              <w:t>Nuit à la santé publique et à l’environnement en contribuant au réchauffement de la planète</w:t>
            </w:r>
          </w:p>
        </w:tc>
      </w:tr>
    </w:tbl>
    <w:p w14:paraId="6DDCF5A4" w14:textId="6E23EAEF" w:rsidR="003E459E" w:rsidRPr="00676FB6" w:rsidRDefault="003E459E" w:rsidP="003E459E">
      <w:pPr>
        <w:pStyle w:val="SingleTxtG"/>
        <w:tabs>
          <w:tab w:val="clear" w:pos="1701"/>
        </w:tabs>
        <w:spacing w:before="120"/>
        <w:ind w:left="1985"/>
        <w:rPr>
          <w:lang w:val="fr-FR"/>
        </w:rPr>
      </w:pPr>
      <w:bookmarkStart w:id="8" w:name="_Hlk132623264"/>
      <w:r>
        <w:rPr>
          <w:lang w:val="fr-FR"/>
        </w:rPr>
        <w:lastRenderedPageBreak/>
        <w:t>4</w:t>
      </w:r>
      <w:r w:rsidR="0083022B" w:rsidRPr="0083022B">
        <w:rPr>
          <w:lang w:val="fr-FR"/>
        </w:rPr>
        <w:t>.</w:t>
      </w:r>
      <w:r>
        <w:rPr>
          <w:lang w:val="fr-FR"/>
        </w:rPr>
        <w:t>2</w:t>
      </w:r>
      <w:r w:rsidR="0083022B" w:rsidRPr="0083022B">
        <w:rPr>
          <w:lang w:val="fr-FR"/>
        </w:rPr>
        <w:t>.</w:t>
      </w:r>
      <w:r>
        <w:rPr>
          <w:lang w:val="fr-FR"/>
        </w:rPr>
        <w:t>3</w:t>
      </w:r>
      <w:r w:rsidR="0083022B" w:rsidRPr="0083022B">
        <w:rPr>
          <w:lang w:val="fr-FR"/>
        </w:rPr>
        <w:t>.</w:t>
      </w:r>
      <w:r>
        <w:rPr>
          <w:lang w:val="fr-FR"/>
        </w:rPr>
        <w:t>2</w:t>
      </w:r>
      <w:r>
        <w:rPr>
          <w:lang w:val="fr-FR"/>
        </w:rPr>
        <w:tab/>
      </w:r>
      <w:r>
        <w:rPr>
          <w:lang w:val="fr-FR"/>
        </w:rPr>
        <w:tab/>
        <w:t>Certaines substance et certains mélange</w:t>
      </w:r>
      <w:r w:rsidR="000F090E">
        <w:rPr>
          <w:lang w:val="fr-FR"/>
        </w:rPr>
        <w:t>s</w:t>
      </w:r>
      <w:r>
        <w:rPr>
          <w:lang w:val="fr-FR"/>
        </w:rPr>
        <w:t xml:space="preserve"> satisfont à la fois aux critères permettant de les classer comme dangereux pour la couche d’ozone et à ceux permettant de les classer comme dangereux du point de vue du réchauffement de la planète</w:t>
      </w:r>
      <w:r w:rsidR="0083022B" w:rsidRPr="0083022B">
        <w:rPr>
          <w:lang w:val="fr-FR"/>
        </w:rPr>
        <w:t>.</w:t>
      </w:r>
      <w:r>
        <w:rPr>
          <w:lang w:val="fr-FR"/>
        </w:rPr>
        <w:t xml:space="preserve"> Dans ce cas, les principes énoncés au A3</w:t>
      </w:r>
      <w:r w:rsidR="0083022B" w:rsidRPr="0083022B">
        <w:rPr>
          <w:lang w:val="fr-FR"/>
        </w:rPr>
        <w:t>.</w:t>
      </w:r>
      <w:r>
        <w:rPr>
          <w:lang w:val="fr-FR"/>
        </w:rPr>
        <w:t>1</w:t>
      </w:r>
      <w:r w:rsidR="0083022B" w:rsidRPr="0083022B">
        <w:rPr>
          <w:lang w:val="fr-FR"/>
        </w:rPr>
        <w:t>.</w:t>
      </w:r>
      <w:r>
        <w:rPr>
          <w:lang w:val="fr-FR"/>
        </w:rPr>
        <w:t>2</w:t>
      </w:r>
      <w:r w:rsidR="0083022B" w:rsidRPr="0083022B">
        <w:rPr>
          <w:lang w:val="fr-FR"/>
        </w:rPr>
        <w:t>.</w:t>
      </w:r>
      <w:r>
        <w:rPr>
          <w:lang w:val="fr-FR"/>
        </w:rPr>
        <w:t>5 peuvent être appliqués pour combiner les mentions de danger relatives aux deux classes de danger en une seule (“Nuit à la santé publique et à l’environnement en contribuant au réchauffement de la planète et en détruisant l’ozone dans la haute atmosphère”)</w:t>
      </w:r>
      <w:r w:rsidR="0083022B" w:rsidRPr="0083022B">
        <w:rPr>
          <w:lang w:val="fr-FR"/>
        </w:rPr>
        <w:t>.</w:t>
      </w:r>
      <w:r>
        <w:rPr>
          <w:lang w:val="fr-FR"/>
        </w:rPr>
        <w:t> »</w:t>
      </w:r>
      <w:r w:rsidR="0083022B" w:rsidRPr="0083022B">
        <w:rPr>
          <w:lang w:val="fr-FR"/>
        </w:rPr>
        <w:t>.</w:t>
      </w:r>
      <w:r>
        <w:rPr>
          <w:lang w:val="fr-FR"/>
        </w:rPr>
        <w:t xml:space="preserve"> </w:t>
      </w:r>
    </w:p>
    <w:bookmarkEnd w:id="8"/>
    <w:p w14:paraId="50C8747C" w14:textId="53F8F221" w:rsidR="003E459E" w:rsidRPr="00676FB6" w:rsidRDefault="003E459E" w:rsidP="003E459E">
      <w:pPr>
        <w:pStyle w:val="GHS1stline"/>
        <w:keepNext/>
        <w:keepLines/>
        <w:tabs>
          <w:tab w:val="clear" w:pos="1418"/>
          <w:tab w:val="clear" w:pos="2552"/>
          <w:tab w:val="clear" w:pos="3119"/>
          <w:tab w:val="clear" w:pos="3686"/>
          <w:tab w:val="left" w:pos="5954"/>
        </w:tabs>
        <w:spacing w:after="120"/>
        <w:ind w:left="1134" w:firstLine="0"/>
        <w:rPr>
          <w:lang w:val="fr-FR"/>
        </w:rPr>
      </w:pPr>
      <w:r>
        <w:rPr>
          <w:lang w:val="fr-FR"/>
        </w:rPr>
        <w:t>4</w:t>
      </w:r>
      <w:r w:rsidR="0083022B" w:rsidRPr="0083022B">
        <w:rPr>
          <w:lang w:val="fr-FR"/>
        </w:rPr>
        <w:t>.</w:t>
      </w:r>
      <w:r>
        <w:rPr>
          <w:lang w:val="fr-FR"/>
        </w:rPr>
        <w:t>2</w:t>
      </w:r>
      <w:r w:rsidR="0083022B" w:rsidRPr="0083022B">
        <w:rPr>
          <w:lang w:val="fr-FR"/>
        </w:rPr>
        <w:t>.</w:t>
      </w:r>
      <w:r>
        <w:rPr>
          <w:lang w:val="fr-FR"/>
        </w:rPr>
        <w:t>4</w:t>
      </w:r>
      <w:r>
        <w:rPr>
          <w:lang w:val="fr-FR"/>
        </w:rPr>
        <w:tab/>
        <w:t xml:space="preserve">Modifier de sorte qu’il se lise comme suit : </w:t>
      </w:r>
    </w:p>
    <w:p w14:paraId="3529A612" w14:textId="4A3F39CF" w:rsidR="003E459E" w:rsidRPr="00676FB6" w:rsidRDefault="003E459E" w:rsidP="0083022B">
      <w:pPr>
        <w:keepNext/>
        <w:keepLines/>
        <w:spacing w:after="120"/>
        <w:ind w:left="1985" w:right="1134"/>
        <w:rPr>
          <w:lang w:val="fr-FR"/>
        </w:rPr>
      </w:pPr>
      <w:r>
        <w:rPr>
          <w:lang w:val="fr-FR"/>
        </w:rPr>
        <w:t>« </w:t>
      </w:r>
      <w:r>
        <w:rPr>
          <w:b/>
          <w:bCs/>
          <w:lang w:val="fr-FR"/>
        </w:rPr>
        <w:t>4</w:t>
      </w:r>
      <w:r w:rsidR="0083022B" w:rsidRPr="0083022B">
        <w:rPr>
          <w:b/>
          <w:bCs/>
          <w:lang w:val="fr-FR"/>
        </w:rPr>
        <w:t>.</w:t>
      </w:r>
      <w:r>
        <w:rPr>
          <w:b/>
          <w:bCs/>
          <w:lang w:val="fr-FR"/>
        </w:rPr>
        <w:t>2</w:t>
      </w:r>
      <w:r w:rsidR="0083022B" w:rsidRPr="0083022B">
        <w:rPr>
          <w:b/>
          <w:bCs/>
          <w:lang w:val="fr-FR"/>
        </w:rPr>
        <w:t>.</w:t>
      </w:r>
      <w:r>
        <w:rPr>
          <w:b/>
          <w:bCs/>
          <w:lang w:val="fr-FR"/>
        </w:rPr>
        <w:t>4</w:t>
      </w:r>
      <w:r>
        <w:rPr>
          <w:lang w:val="fr-FR"/>
        </w:rPr>
        <w:tab/>
      </w:r>
      <w:r>
        <w:rPr>
          <w:b/>
          <w:bCs/>
          <w:lang w:val="fr-FR"/>
        </w:rPr>
        <w:t>Procédures de décision pour les substances et les mélanges dangereux pour le système atmosphérique</w:t>
      </w:r>
      <w:bookmarkStart w:id="9" w:name="_Hlk132623326"/>
      <w:bookmarkEnd w:id="9"/>
    </w:p>
    <w:p w14:paraId="19D4BF08" w14:textId="12F6C883" w:rsidR="003E459E" w:rsidRPr="00676FB6" w:rsidRDefault="003E459E" w:rsidP="0083022B">
      <w:pPr>
        <w:pStyle w:val="SingleTxtG"/>
        <w:keepNext/>
        <w:keepLines/>
        <w:ind w:left="1985"/>
        <w:rPr>
          <w:lang w:val="fr-FR"/>
        </w:rPr>
      </w:pPr>
      <w:bookmarkStart w:id="10" w:name="_Hlk132623352"/>
      <w:r>
        <w:rPr>
          <w:lang w:val="fr-FR"/>
        </w:rPr>
        <w:t>Les procédures de décision ci-après concernant les dangers pour la couche d’ozone (voir le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2) et les dangers du point de vue du réchauffement de la planète (voir le 4</w:t>
      </w:r>
      <w:r w:rsidR="0083022B" w:rsidRPr="0083022B">
        <w:rPr>
          <w:lang w:val="fr-FR"/>
        </w:rPr>
        <w:t>.</w:t>
      </w:r>
      <w:r>
        <w:rPr>
          <w:lang w:val="fr-FR"/>
        </w:rPr>
        <w:t>2</w:t>
      </w:r>
      <w:r w:rsidR="0083022B" w:rsidRPr="0083022B">
        <w:rPr>
          <w:lang w:val="fr-FR"/>
        </w:rPr>
        <w:t>.</w:t>
      </w:r>
      <w:r>
        <w:rPr>
          <w:lang w:val="fr-FR"/>
        </w:rPr>
        <w:t>2</w:t>
      </w:r>
      <w:r w:rsidR="0083022B" w:rsidRPr="0083022B">
        <w:rPr>
          <w:lang w:val="fr-FR"/>
        </w:rPr>
        <w:t>.</w:t>
      </w:r>
      <w:r>
        <w:rPr>
          <w:lang w:val="fr-FR"/>
        </w:rPr>
        <w:t>3) ne font pas partie du système général harmonisé de classification, mais sont fournies ici à titre d’aide à la décision</w:t>
      </w:r>
      <w:r w:rsidR="0083022B" w:rsidRPr="0083022B">
        <w:rPr>
          <w:lang w:val="fr-FR"/>
        </w:rPr>
        <w:t>.</w:t>
      </w:r>
      <w:r>
        <w:rPr>
          <w:lang w:val="fr-FR"/>
        </w:rPr>
        <w:t xml:space="preserve"> Il est vivement recommandé que la personne chargée de la classification étudie les critères de classement avant et durant l’application de ces procédures de décision</w:t>
      </w:r>
      <w:r w:rsidR="0083022B" w:rsidRPr="0083022B">
        <w:rPr>
          <w:lang w:val="fr-FR"/>
        </w:rPr>
        <w:t>.</w:t>
      </w:r>
      <w:bookmarkEnd w:id="10"/>
    </w:p>
    <w:p w14:paraId="11B15C1E" w14:textId="76CC375D" w:rsidR="003E459E" w:rsidRPr="00676FB6" w:rsidRDefault="003E459E" w:rsidP="003E459E">
      <w:pPr>
        <w:pStyle w:val="SingleTxtG"/>
        <w:keepNext/>
        <w:keepLines/>
        <w:ind w:left="1985"/>
        <w:rPr>
          <w:b/>
          <w:bCs/>
          <w:i/>
          <w:iCs/>
          <w:lang w:val="fr-FR"/>
        </w:rPr>
      </w:pPr>
      <w:r>
        <w:rPr>
          <w:b/>
          <w:bCs/>
          <w:i/>
          <w:iCs/>
          <w:lang w:val="fr-FR"/>
        </w:rPr>
        <w:t>Diagramme de décision 4</w:t>
      </w:r>
      <w:r w:rsidR="0083022B" w:rsidRPr="0083022B">
        <w:rPr>
          <w:b/>
          <w:bCs/>
          <w:i/>
          <w:iCs/>
          <w:lang w:val="fr-FR"/>
        </w:rPr>
        <w:t>.</w:t>
      </w:r>
      <w:r>
        <w:rPr>
          <w:b/>
          <w:bCs/>
          <w:i/>
          <w:iCs/>
          <w:lang w:val="fr-FR"/>
        </w:rPr>
        <w:t>2</w:t>
      </w:r>
      <w:r w:rsidR="0083022B" w:rsidRPr="0083022B">
        <w:rPr>
          <w:b/>
          <w:bCs/>
          <w:i/>
          <w:iCs/>
          <w:lang w:val="fr-FR"/>
        </w:rPr>
        <w:t>.</w:t>
      </w:r>
      <w:r>
        <w:rPr>
          <w:b/>
          <w:bCs/>
          <w:i/>
          <w:iCs/>
          <w:lang w:val="fr-FR"/>
        </w:rPr>
        <w:t>1</w:t>
      </w:r>
      <w:r w:rsidR="0083022B">
        <w:rPr>
          <w:b/>
          <w:bCs/>
          <w:i/>
          <w:iCs/>
          <w:lang w:val="fr-FR"/>
        </w:rPr>
        <w:t xml:space="preserve"> </w:t>
      </w:r>
      <w:r>
        <w:rPr>
          <w:b/>
          <w:bCs/>
          <w:i/>
          <w:iCs/>
          <w:lang w:val="fr-FR"/>
        </w:rPr>
        <w:t>pour les dangers pour la couche d’ozone</w:t>
      </w:r>
      <w:bookmarkStart w:id="11" w:name="_Hlk132623377"/>
      <w:bookmarkEnd w:id="11"/>
    </w:p>
    <w:p w14:paraId="5C27A5F1" w14:textId="77777777" w:rsidR="003E459E" w:rsidRPr="00676FB6" w:rsidRDefault="003E459E" w:rsidP="003E459E">
      <w:pPr>
        <w:keepNext/>
        <w:keepLines/>
        <w:jc w:val="center"/>
        <w:rPr>
          <w:b/>
          <w:bCs/>
          <w:i/>
          <w:iCs/>
          <w:lang w:val="fr-FR"/>
        </w:rPr>
      </w:pPr>
    </w:p>
    <w:p w14:paraId="7815ED7B" w14:textId="1D5E3DBC" w:rsidR="003E459E" w:rsidRDefault="0083022B" w:rsidP="00A9313C">
      <w:pPr>
        <w:keepNext/>
        <w:keepLines/>
        <w:spacing w:after="240"/>
        <w:jc w:val="center"/>
      </w:pPr>
      <w:r>
        <w:object w:dxaOrig="7635" w:dyaOrig="2895" w14:anchorId="7FA8C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81.9pt;height:144.65pt" o:ole="">
            <v:imagedata r:id="rId8" o:title=""/>
          </v:shape>
          <o:OLEObject Type="Embed" ProgID="Visio.Drawing.15" ShapeID="_x0000_i1072" DrawAspect="Content" ObjectID="_1745925540" r:id="rId9"/>
        </w:object>
      </w:r>
    </w:p>
    <w:p w14:paraId="1487F028" w14:textId="704DB3C4" w:rsidR="003E459E" w:rsidRPr="00676FB6" w:rsidRDefault="003E459E" w:rsidP="003E459E">
      <w:pPr>
        <w:pStyle w:val="SingleTxtG"/>
        <w:ind w:left="1985"/>
        <w:rPr>
          <w:b/>
          <w:bCs/>
          <w:i/>
          <w:iCs/>
          <w:lang w:val="fr-FR"/>
        </w:rPr>
      </w:pPr>
      <w:bookmarkStart w:id="12" w:name="_Hlk132623472"/>
      <w:r>
        <w:rPr>
          <w:b/>
          <w:bCs/>
          <w:i/>
          <w:iCs/>
          <w:lang w:val="fr-FR"/>
        </w:rPr>
        <w:t>Diagramme de décision 4</w:t>
      </w:r>
      <w:r w:rsidR="0083022B" w:rsidRPr="0083022B">
        <w:rPr>
          <w:b/>
          <w:bCs/>
          <w:i/>
          <w:iCs/>
          <w:lang w:val="fr-FR"/>
        </w:rPr>
        <w:t>.</w:t>
      </w:r>
      <w:r>
        <w:rPr>
          <w:b/>
          <w:bCs/>
          <w:i/>
          <w:iCs/>
          <w:lang w:val="fr-FR"/>
        </w:rPr>
        <w:t>2</w:t>
      </w:r>
      <w:r w:rsidR="0083022B" w:rsidRPr="0083022B">
        <w:rPr>
          <w:b/>
          <w:bCs/>
          <w:i/>
          <w:iCs/>
          <w:lang w:val="fr-FR"/>
        </w:rPr>
        <w:t>.</w:t>
      </w:r>
      <w:r>
        <w:rPr>
          <w:b/>
          <w:bCs/>
          <w:i/>
          <w:iCs/>
          <w:lang w:val="fr-FR"/>
        </w:rPr>
        <w:t xml:space="preserve">2 pour les dangers du point de vue </w:t>
      </w:r>
      <w:r w:rsidR="00ED0743">
        <w:rPr>
          <w:b/>
          <w:bCs/>
          <w:i/>
          <w:iCs/>
          <w:lang w:val="fr-FR"/>
        </w:rPr>
        <w:br/>
      </w:r>
      <w:r>
        <w:rPr>
          <w:b/>
          <w:bCs/>
          <w:i/>
          <w:iCs/>
          <w:lang w:val="fr-FR"/>
        </w:rPr>
        <w:t>du réchauffement de la planète</w:t>
      </w:r>
    </w:p>
    <w:p w14:paraId="3E14DABD" w14:textId="77777777" w:rsidR="003E459E" w:rsidRPr="00676FB6" w:rsidRDefault="003E459E" w:rsidP="003E459E">
      <w:pPr>
        <w:tabs>
          <w:tab w:val="left" w:pos="1418"/>
        </w:tabs>
        <w:jc w:val="center"/>
        <w:rPr>
          <w:lang w:val="fr-FR"/>
        </w:rPr>
      </w:pPr>
    </w:p>
    <w:p w14:paraId="411864F1" w14:textId="0A3AEAC0" w:rsidR="003E459E" w:rsidRDefault="0083022B" w:rsidP="003E459E">
      <w:pPr>
        <w:tabs>
          <w:tab w:val="left" w:pos="1418"/>
        </w:tabs>
        <w:jc w:val="center"/>
        <w:rPr>
          <w:lang w:val="fr-FR"/>
        </w:rPr>
      </w:pPr>
      <w:r>
        <w:rPr>
          <w:lang w:val="fr-FR"/>
        </w:rPr>
        <w:object w:dxaOrig="7635" w:dyaOrig="2895" w14:anchorId="07EF84BE">
          <v:shape id="_x0000_i1075" type="#_x0000_t75" style="width:381.9pt;height:144.65pt" o:ole="">
            <v:imagedata r:id="rId10" o:title=""/>
          </v:shape>
          <o:OLEObject Type="Embed" ProgID="Visio.Drawing.15" ShapeID="_x0000_i1075" DrawAspect="Content" ObjectID="_1745925541" r:id="rId11"/>
        </w:object>
      </w:r>
      <w:bookmarkEnd w:id="12"/>
    </w:p>
    <w:p w14:paraId="740AAA3C" w14:textId="58E36B0D" w:rsidR="00835DF7" w:rsidRDefault="00835DF7" w:rsidP="00835DF7">
      <w:pPr>
        <w:tabs>
          <w:tab w:val="left" w:pos="1418"/>
        </w:tabs>
        <w:spacing w:before="120" w:after="240"/>
        <w:ind w:right="1134"/>
        <w:jc w:val="right"/>
        <w:rPr>
          <w:lang w:val="fr-FR"/>
        </w:rPr>
      </w:pPr>
      <w:r>
        <w:rPr>
          <w:lang w:val="fr-FR"/>
        </w:rPr>
        <w:t>»</w:t>
      </w:r>
      <w:r w:rsidR="0083022B" w:rsidRPr="0083022B">
        <w:rPr>
          <w:lang w:val="fr-FR"/>
        </w:rPr>
        <w:t>.</w:t>
      </w:r>
    </w:p>
    <w:p w14:paraId="05111448" w14:textId="26F109A4" w:rsidR="003E459E" w:rsidRPr="00676FB6" w:rsidRDefault="003E459E" w:rsidP="003E459E">
      <w:pPr>
        <w:pStyle w:val="H1G"/>
        <w:rPr>
          <w:b w:val="0"/>
          <w:lang w:val="fr-FR"/>
        </w:rPr>
      </w:pPr>
      <w:r>
        <w:rPr>
          <w:lang w:val="fr-FR"/>
        </w:rPr>
        <w:tab/>
      </w:r>
      <w:r>
        <w:rPr>
          <w:lang w:val="fr-FR"/>
        </w:rPr>
        <w:tab/>
      </w:r>
      <w:r>
        <w:rPr>
          <w:bCs/>
          <w:lang w:val="fr-FR"/>
        </w:rPr>
        <w:t>Modifications connexes qu’il est proposé d’apporter au chapitre 1</w:t>
      </w:r>
      <w:r w:rsidR="0083022B" w:rsidRPr="0083022B">
        <w:rPr>
          <w:bCs/>
          <w:lang w:val="fr-FR"/>
        </w:rPr>
        <w:t>.</w:t>
      </w:r>
      <w:r>
        <w:rPr>
          <w:bCs/>
          <w:lang w:val="fr-FR"/>
        </w:rPr>
        <w:t>2</w:t>
      </w:r>
    </w:p>
    <w:p w14:paraId="7B43AFDF" w14:textId="77777777" w:rsidR="003E459E" w:rsidRPr="00676FB6" w:rsidRDefault="003E459E" w:rsidP="003E459E">
      <w:pPr>
        <w:pStyle w:val="SingleTxtG"/>
        <w:rPr>
          <w:lang w:val="fr-FR"/>
        </w:rPr>
      </w:pPr>
      <w:r>
        <w:rPr>
          <w:lang w:val="fr-FR"/>
        </w:rPr>
        <w:t>Ajouter la nouvelle définition suivante dans l’ordre alphabétique :</w:t>
      </w:r>
    </w:p>
    <w:p w14:paraId="6EBEF42C" w14:textId="69615EFC" w:rsidR="003E459E" w:rsidRPr="00676FB6" w:rsidRDefault="003E459E" w:rsidP="003E459E">
      <w:pPr>
        <w:pStyle w:val="SingleTxtG"/>
        <w:rPr>
          <w:lang w:val="fr-FR"/>
        </w:rPr>
      </w:pPr>
      <w:r>
        <w:rPr>
          <w:lang w:val="fr-FR"/>
        </w:rPr>
        <w:t>« </w:t>
      </w:r>
      <w:r>
        <w:rPr>
          <w:i/>
          <w:iCs/>
          <w:lang w:val="fr-FR"/>
        </w:rPr>
        <w:t>Potentiel de réchauffement de la planète</w:t>
      </w:r>
      <w:r>
        <w:rPr>
          <w:lang w:val="fr-FR"/>
        </w:rPr>
        <w:t>, une mesure comparative de la capacité d’une substance ou d’un mélange à piéger la chaleur dans l’atmosphère par rapport à un gaz de référence (en général, le dioxyde de carbone)</w:t>
      </w:r>
      <w:r w:rsidR="0083022B" w:rsidRPr="0083022B">
        <w:rPr>
          <w:lang w:val="fr-FR"/>
        </w:rPr>
        <w:t>.</w:t>
      </w:r>
      <w:r>
        <w:rPr>
          <w:lang w:val="fr-FR"/>
        </w:rPr>
        <w:t xml:space="preserve"> Il est défini officiellement comme le forçage </w:t>
      </w:r>
      <w:r>
        <w:rPr>
          <w:lang w:val="fr-FR"/>
        </w:rPr>
        <w:lastRenderedPageBreak/>
        <w:t>radiatif cumulé (effets directs et indirects), sur une période donnée, résultant de l’émission d’une unité de masse d’un gaz par rapport à une unité équivalente de dioxyde de carbone (gaz de référence)</w:t>
      </w:r>
      <w:r w:rsidR="0083022B" w:rsidRPr="0083022B">
        <w:rPr>
          <w:lang w:val="fr-FR"/>
        </w:rPr>
        <w:t>.</w:t>
      </w:r>
      <w:r>
        <w:rPr>
          <w:lang w:val="fr-FR"/>
        </w:rPr>
        <w:t> »</w:t>
      </w:r>
      <w:r w:rsidR="0083022B" w:rsidRPr="0083022B">
        <w:rPr>
          <w:lang w:val="fr-FR"/>
        </w:rPr>
        <w:t>.</w:t>
      </w:r>
    </w:p>
    <w:p w14:paraId="2EAA270F" w14:textId="44ECD8E0" w:rsidR="003E459E" w:rsidRPr="00676FB6" w:rsidRDefault="003E459E" w:rsidP="003E459E">
      <w:pPr>
        <w:pStyle w:val="SingleTxtG"/>
        <w:rPr>
          <w:bCs/>
          <w:lang w:val="fr-FR"/>
        </w:rPr>
      </w:pPr>
      <w:r>
        <w:rPr>
          <w:lang w:val="fr-FR"/>
        </w:rPr>
        <w:t>Dans la définition du « </w:t>
      </w:r>
      <w:r w:rsidRPr="00CF5B5A">
        <w:rPr>
          <w:i/>
          <w:iCs/>
          <w:lang w:val="fr-FR"/>
        </w:rPr>
        <w:t>potentiel d</w:t>
      </w:r>
      <w:r>
        <w:rPr>
          <w:i/>
          <w:iCs/>
          <w:lang w:val="fr-FR"/>
        </w:rPr>
        <w:t>’</w:t>
      </w:r>
      <w:r w:rsidRPr="00CF5B5A">
        <w:rPr>
          <w:i/>
          <w:iCs/>
          <w:lang w:val="fr-FR"/>
        </w:rPr>
        <w:t>appauvrissement de la couche d</w:t>
      </w:r>
      <w:r>
        <w:rPr>
          <w:i/>
          <w:iCs/>
          <w:lang w:val="fr-FR"/>
        </w:rPr>
        <w:t>’</w:t>
      </w:r>
      <w:r w:rsidRPr="00CF5B5A">
        <w:rPr>
          <w:i/>
          <w:iCs/>
          <w:lang w:val="fr-FR"/>
        </w:rPr>
        <w:t>ozone</w:t>
      </w:r>
      <w:r>
        <w:rPr>
          <w:lang w:val="fr-FR"/>
        </w:rPr>
        <w:t> », supprimer « </w:t>
      </w:r>
      <w:r w:rsidRPr="00CF5B5A">
        <w:rPr>
          <w:i/>
          <w:iCs/>
          <w:lang w:val="fr-FR"/>
        </w:rPr>
        <w:t>(ODP)</w:t>
      </w:r>
      <w:r>
        <w:rPr>
          <w:lang w:val="fr-FR"/>
        </w:rPr>
        <w:t> » dans la première phrase</w:t>
      </w:r>
      <w:r w:rsidR="0083022B" w:rsidRPr="0083022B">
        <w:rPr>
          <w:lang w:val="fr-FR"/>
        </w:rPr>
        <w:t>.</w:t>
      </w:r>
    </w:p>
    <w:p w14:paraId="50A933A7" w14:textId="77777777" w:rsidR="003E459E" w:rsidRPr="00676FB6" w:rsidRDefault="003E459E" w:rsidP="003E459E">
      <w:pPr>
        <w:pStyle w:val="H1G"/>
        <w:rPr>
          <w:b w:val="0"/>
          <w:lang w:val="fr-FR"/>
        </w:rPr>
      </w:pPr>
      <w:r>
        <w:rPr>
          <w:lang w:val="fr-FR"/>
        </w:rPr>
        <w:tab/>
      </w:r>
      <w:r>
        <w:rPr>
          <w:lang w:val="fr-FR"/>
        </w:rPr>
        <w:tab/>
      </w:r>
      <w:r>
        <w:rPr>
          <w:bCs/>
          <w:lang w:val="fr-FR"/>
        </w:rPr>
        <w:t>Modifications connexes qu’il est proposé d’apporter à l’annexe 1</w:t>
      </w:r>
    </w:p>
    <w:p w14:paraId="062F7945" w14:textId="7E13DFBD" w:rsidR="003E459E" w:rsidRPr="00676FB6" w:rsidRDefault="003E459E" w:rsidP="003E459E">
      <w:pPr>
        <w:pStyle w:val="SingleTxtG"/>
        <w:keepNext/>
        <w:keepLines/>
        <w:rPr>
          <w:b/>
          <w:bCs/>
          <w:lang w:val="fr-FR"/>
        </w:rPr>
      </w:pPr>
      <w:r>
        <w:rPr>
          <w:b/>
          <w:bCs/>
          <w:lang w:val="fr-FR"/>
        </w:rPr>
        <w:t>Tableau A1</w:t>
      </w:r>
      <w:r w:rsidR="0083022B" w:rsidRPr="0083022B">
        <w:rPr>
          <w:b/>
          <w:bCs/>
          <w:lang w:val="fr-FR"/>
        </w:rPr>
        <w:t>.</w:t>
      </w:r>
      <w:r>
        <w:rPr>
          <w:b/>
          <w:bCs/>
          <w:lang w:val="fr-FR"/>
        </w:rPr>
        <w:t>30</w:t>
      </w:r>
      <w:r>
        <w:rPr>
          <w:lang w:val="fr-FR"/>
        </w:rPr>
        <w:t xml:space="preserve"> </w:t>
      </w:r>
    </w:p>
    <w:p w14:paraId="664BF93F" w14:textId="77777777" w:rsidR="003E459E" w:rsidRPr="00676FB6" w:rsidRDefault="003E459E" w:rsidP="003E459E">
      <w:pPr>
        <w:keepNext/>
        <w:keepLines/>
        <w:spacing w:after="120" w:line="240" w:lineRule="auto"/>
        <w:ind w:left="1134"/>
        <w:rPr>
          <w:lang w:val="fr-FR"/>
        </w:rPr>
      </w:pPr>
      <w:r>
        <w:rPr>
          <w:lang w:val="fr-FR"/>
        </w:rPr>
        <w:t>Modifier comme suit :</w:t>
      </w:r>
    </w:p>
    <w:p w14:paraId="0BA5D409" w14:textId="67DC68F6" w:rsidR="003E459E" w:rsidRPr="00676FB6" w:rsidRDefault="003E459E" w:rsidP="003E459E">
      <w:pPr>
        <w:pStyle w:val="SingleTxtG"/>
        <w:rPr>
          <w:noProof/>
          <w:lang w:val="fr-FR"/>
        </w:rPr>
      </w:pPr>
      <w:r>
        <w:rPr>
          <w:lang w:val="fr-FR"/>
        </w:rPr>
        <w:t>« </w:t>
      </w:r>
      <w:r>
        <w:rPr>
          <w:b/>
          <w:bCs/>
          <w:lang w:val="fr-FR"/>
        </w:rPr>
        <w:t>A1</w:t>
      </w:r>
      <w:r w:rsidR="0083022B" w:rsidRPr="0083022B">
        <w:rPr>
          <w:b/>
          <w:bCs/>
          <w:lang w:val="fr-FR"/>
        </w:rPr>
        <w:t>.</w:t>
      </w:r>
      <w:r>
        <w:rPr>
          <w:b/>
          <w:bCs/>
          <w:lang w:val="fr-FR"/>
        </w:rPr>
        <w:t>30</w:t>
      </w:r>
      <w:r>
        <w:rPr>
          <w:lang w:val="fr-FR"/>
        </w:rPr>
        <w:tab/>
      </w:r>
      <w:r>
        <w:rPr>
          <w:b/>
          <w:bCs/>
          <w:lang w:val="fr-FR"/>
        </w:rPr>
        <w:t>Dangers pour le système atmosphérique</w:t>
      </w:r>
      <w:r>
        <w:rPr>
          <w:lang w:val="fr-FR"/>
        </w:rPr>
        <w:t xml:space="preserve"> (voir chap</w:t>
      </w:r>
      <w:r w:rsidR="0083022B">
        <w:rPr>
          <w:lang w:val="fr-FR"/>
        </w:rPr>
        <w:t>. </w:t>
      </w:r>
      <w:r>
        <w:rPr>
          <w:lang w:val="fr-FR"/>
        </w:rPr>
        <w:t>4</w:t>
      </w:r>
      <w:r w:rsidR="0083022B" w:rsidRPr="0083022B">
        <w:rPr>
          <w:lang w:val="fr-FR"/>
        </w:rPr>
        <w:t>.</w:t>
      </w:r>
      <w:r>
        <w:rPr>
          <w:lang w:val="fr-FR"/>
        </w:rPr>
        <w:t>2 pour les critères de classement)</w:t>
      </w:r>
    </w:p>
    <w:p w14:paraId="73C41131" w14:textId="77777777" w:rsidR="003E459E" w:rsidRPr="00676FB6" w:rsidRDefault="003E459E" w:rsidP="003E459E">
      <w:pPr>
        <w:spacing w:line="240" w:lineRule="auto"/>
        <w:ind w:left="284"/>
        <w:jc w:val="both"/>
        <w:rPr>
          <w:noProof/>
          <w:sz w:val="6"/>
          <w:szCs w:val="6"/>
          <w:lang w:val="fr-F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5"/>
        <w:gridCol w:w="843"/>
        <w:gridCol w:w="1436"/>
        <w:gridCol w:w="1205"/>
        <w:gridCol w:w="1247"/>
        <w:gridCol w:w="1316"/>
        <w:gridCol w:w="1653"/>
        <w:gridCol w:w="752"/>
      </w:tblGrid>
      <w:tr w:rsidR="003E459E" w:rsidRPr="005D36D3" w14:paraId="0D47DFD9" w14:textId="77777777" w:rsidTr="001419AA">
        <w:trPr>
          <w:cantSplit/>
          <w:trHeight w:val="285"/>
          <w:tblHeader/>
        </w:trPr>
        <w:tc>
          <w:tcPr>
            <w:tcW w:w="3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48048" w14:textId="77777777" w:rsidR="003E459E" w:rsidRPr="0003633A" w:rsidRDefault="003E459E" w:rsidP="0083022B">
            <w:pPr>
              <w:keepNext/>
              <w:keepLines/>
              <w:tabs>
                <w:tab w:val="left" w:pos="1425"/>
              </w:tabs>
              <w:spacing w:before="80" w:after="80"/>
              <w:jc w:val="center"/>
              <w:rPr>
                <w:b/>
                <w:sz w:val="18"/>
                <w:szCs w:val="18"/>
              </w:rPr>
            </w:pPr>
            <w:r w:rsidRPr="0003633A">
              <w:rPr>
                <w:b/>
                <w:bCs/>
                <w:sz w:val="18"/>
                <w:szCs w:val="18"/>
                <w:lang w:val="fr-FR"/>
              </w:rPr>
              <w:t>Classification</w:t>
            </w:r>
          </w:p>
        </w:tc>
        <w:tc>
          <w:tcPr>
            <w:tcW w:w="5421" w:type="dxa"/>
            <w:gridSpan w:val="4"/>
            <w:tcBorders>
              <w:top w:val="single" w:sz="4" w:space="0" w:color="auto"/>
              <w:left w:val="single" w:sz="4" w:space="0" w:color="auto"/>
              <w:bottom w:val="single" w:sz="4" w:space="0" w:color="auto"/>
              <w:right w:val="single" w:sz="4" w:space="0" w:color="auto"/>
            </w:tcBorders>
            <w:shd w:val="clear" w:color="auto" w:fill="auto"/>
          </w:tcPr>
          <w:p w14:paraId="4A4A312F" w14:textId="77777777" w:rsidR="003E459E" w:rsidRPr="0003633A" w:rsidRDefault="003E459E" w:rsidP="0083022B">
            <w:pPr>
              <w:keepNext/>
              <w:keepLines/>
              <w:tabs>
                <w:tab w:val="left" w:pos="1425"/>
              </w:tabs>
              <w:spacing w:before="80" w:after="80"/>
              <w:jc w:val="center"/>
              <w:rPr>
                <w:b/>
                <w:sz w:val="18"/>
                <w:szCs w:val="18"/>
              </w:rPr>
            </w:pPr>
            <w:r w:rsidRPr="0003633A">
              <w:rPr>
                <w:b/>
                <w:bCs/>
                <w:sz w:val="18"/>
                <w:szCs w:val="18"/>
                <w:lang w:val="fr-FR"/>
              </w:rPr>
              <w:t>Étiquetage</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tcPr>
          <w:p w14:paraId="1B4DA88D" w14:textId="1DE86F33" w:rsidR="003E459E" w:rsidRPr="0003633A" w:rsidRDefault="003E459E" w:rsidP="0083022B">
            <w:pPr>
              <w:pStyle w:val="Titre5"/>
              <w:tabs>
                <w:tab w:val="left" w:pos="1425"/>
              </w:tabs>
              <w:spacing w:before="80" w:after="80"/>
              <w:jc w:val="center"/>
              <w:rPr>
                <w:b/>
                <w:bCs/>
                <w:iCs/>
                <w:sz w:val="18"/>
                <w:szCs w:val="18"/>
                <w:lang w:val="fr-FR"/>
              </w:rPr>
            </w:pPr>
            <w:r w:rsidRPr="0003633A">
              <w:rPr>
                <w:b/>
                <w:bCs/>
                <w:sz w:val="18"/>
                <w:szCs w:val="18"/>
                <w:lang w:val="fr-FR"/>
              </w:rPr>
              <w:t xml:space="preserve">Code </w:t>
            </w:r>
            <w:r w:rsidR="001419AA">
              <w:rPr>
                <w:b/>
                <w:bCs/>
                <w:sz w:val="18"/>
                <w:szCs w:val="18"/>
                <w:lang w:val="fr-FR"/>
              </w:rPr>
              <w:br/>
            </w:r>
            <w:r w:rsidRPr="0003633A">
              <w:rPr>
                <w:b/>
                <w:bCs/>
                <w:sz w:val="18"/>
                <w:szCs w:val="18"/>
                <w:lang w:val="fr-FR"/>
              </w:rPr>
              <w:t>de la mention de danger du SGH</w:t>
            </w:r>
          </w:p>
        </w:tc>
      </w:tr>
      <w:tr w:rsidR="003E459E" w:rsidRPr="005D36D3" w14:paraId="143FEC20" w14:textId="77777777" w:rsidTr="001419AA">
        <w:trPr>
          <w:cantSplit/>
          <w:trHeight w:val="380"/>
          <w:tblHeader/>
        </w:trPr>
        <w:tc>
          <w:tcPr>
            <w:tcW w:w="1185" w:type="dxa"/>
            <w:tcBorders>
              <w:bottom w:val="single" w:sz="4" w:space="0" w:color="auto"/>
            </w:tcBorders>
            <w:shd w:val="clear" w:color="auto" w:fill="auto"/>
            <w:vAlign w:val="center"/>
          </w:tcPr>
          <w:p w14:paraId="19634B45" w14:textId="3A92B299" w:rsidR="003E459E" w:rsidRPr="0003633A" w:rsidRDefault="003E459E" w:rsidP="0083022B">
            <w:pPr>
              <w:keepNext/>
              <w:keepLines/>
              <w:tabs>
                <w:tab w:val="left" w:pos="1425"/>
              </w:tabs>
              <w:spacing w:before="80" w:after="80"/>
              <w:jc w:val="center"/>
              <w:rPr>
                <w:b/>
                <w:sz w:val="18"/>
                <w:szCs w:val="18"/>
                <w:lang w:val="fr-FR"/>
              </w:rPr>
            </w:pPr>
            <w:r w:rsidRPr="0003633A">
              <w:rPr>
                <w:b/>
                <w:bCs/>
                <w:sz w:val="18"/>
                <w:szCs w:val="18"/>
                <w:lang w:val="fr-FR"/>
              </w:rPr>
              <w:t xml:space="preserve">Classe de danger </w:t>
            </w:r>
            <w:r w:rsidR="001419AA">
              <w:rPr>
                <w:b/>
                <w:bCs/>
                <w:sz w:val="18"/>
                <w:szCs w:val="18"/>
                <w:lang w:val="fr-FR"/>
              </w:rPr>
              <w:br/>
            </w:r>
            <w:r w:rsidRPr="0003633A">
              <w:rPr>
                <w:b/>
                <w:bCs/>
                <w:sz w:val="18"/>
                <w:szCs w:val="18"/>
                <w:lang w:val="fr-FR"/>
              </w:rPr>
              <w:t>du SGH</w:t>
            </w:r>
          </w:p>
        </w:tc>
        <w:tc>
          <w:tcPr>
            <w:tcW w:w="843" w:type="dxa"/>
            <w:tcBorders>
              <w:bottom w:val="single" w:sz="4" w:space="0" w:color="auto"/>
            </w:tcBorders>
            <w:shd w:val="clear" w:color="auto" w:fill="auto"/>
            <w:vAlign w:val="center"/>
          </w:tcPr>
          <w:p w14:paraId="114B5BD4" w14:textId="77777777" w:rsidR="003E459E" w:rsidRPr="0003633A" w:rsidRDefault="003E459E" w:rsidP="0083022B">
            <w:pPr>
              <w:keepNext/>
              <w:keepLines/>
              <w:tabs>
                <w:tab w:val="left" w:pos="1425"/>
              </w:tabs>
              <w:spacing w:before="80" w:after="80"/>
              <w:jc w:val="center"/>
              <w:rPr>
                <w:b/>
                <w:sz w:val="18"/>
                <w:szCs w:val="18"/>
                <w:lang w:val="fr-FR"/>
              </w:rPr>
            </w:pPr>
            <w:r w:rsidRPr="0003633A">
              <w:rPr>
                <w:b/>
                <w:bCs/>
                <w:sz w:val="18"/>
                <w:szCs w:val="18"/>
                <w:lang w:val="fr-FR"/>
              </w:rPr>
              <w:t>Catégorie de danger du SGH</w:t>
            </w:r>
          </w:p>
        </w:tc>
        <w:tc>
          <w:tcPr>
            <w:tcW w:w="1436" w:type="dxa"/>
            <w:tcBorders>
              <w:bottom w:val="single" w:sz="4" w:space="0" w:color="auto"/>
            </w:tcBorders>
          </w:tcPr>
          <w:p w14:paraId="130E8B9E" w14:textId="77777777" w:rsidR="003E459E" w:rsidRPr="0003633A" w:rsidRDefault="003E459E" w:rsidP="0083022B">
            <w:pPr>
              <w:pStyle w:val="Titre5"/>
              <w:tabs>
                <w:tab w:val="left" w:pos="1425"/>
              </w:tabs>
              <w:spacing w:before="80" w:after="80"/>
              <w:jc w:val="center"/>
              <w:rPr>
                <w:b/>
                <w:bCs/>
                <w:iCs/>
                <w:sz w:val="18"/>
                <w:szCs w:val="18"/>
                <w:lang w:val="fr-FR"/>
              </w:rPr>
            </w:pPr>
            <w:r w:rsidRPr="0003633A">
              <w:rPr>
                <w:b/>
                <w:bCs/>
                <w:sz w:val="18"/>
                <w:szCs w:val="18"/>
                <w:lang w:val="fr-FR"/>
              </w:rPr>
              <w:t>Classe ou division du Règlement type de l</w:t>
            </w:r>
            <w:r>
              <w:rPr>
                <w:b/>
                <w:bCs/>
                <w:sz w:val="18"/>
                <w:szCs w:val="18"/>
                <w:lang w:val="fr-FR"/>
              </w:rPr>
              <w:t>’</w:t>
            </w:r>
            <w:r w:rsidRPr="0003633A">
              <w:rPr>
                <w:b/>
                <w:bCs/>
                <w:sz w:val="18"/>
                <w:szCs w:val="18"/>
                <w:lang w:val="fr-FR"/>
              </w:rPr>
              <w:t>ONU</w:t>
            </w:r>
          </w:p>
        </w:tc>
        <w:tc>
          <w:tcPr>
            <w:tcW w:w="1205" w:type="dxa"/>
            <w:tcBorders>
              <w:bottom w:val="single" w:sz="4" w:space="0" w:color="auto"/>
            </w:tcBorders>
            <w:shd w:val="clear" w:color="auto" w:fill="auto"/>
            <w:vAlign w:val="center"/>
          </w:tcPr>
          <w:p w14:paraId="300ED755" w14:textId="77777777" w:rsidR="003E459E" w:rsidRPr="0003633A" w:rsidRDefault="003E459E" w:rsidP="0083022B">
            <w:pPr>
              <w:pStyle w:val="Titre5"/>
              <w:tabs>
                <w:tab w:val="left" w:pos="1425"/>
              </w:tabs>
              <w:spacing w:before="80" w:after="80"/>
              <w:jc w:val="center"/>
              <w:rPr>
                <w:b/>
                <w:bCs/>
                <w:iCs/>
                <w:sz w:val="18"/>
                <w:szCs w:val="18"/>
              </w:rPr>
            </w:pPr>
            <w:r w:rsidRPr="0003633A">
              <w:rPr>
                <w:b/>
                <w:bCs/>
                <w:sz w:val="18"/>
                <w:szCs w:val="18"/>
                <w:lang w:val="fr-FR"/>
              </w:rPr>
              <w:t>Pictogramme du SGH</w:t>
            </w:r>
          </w:p>
        </w:tc>
        <w:tc>
          <w:tcPr>
            <w:tcW w:w="1247" w:type="dxa"/>
            <w:tcBorders>
              <w:bottom w:val="single" w:sz="4" w:space="0" w:color="auto"/>
            </w:tcBorders>
            <w:shd w:val="clear" w:color="auto" w:fill="auto"/>
            <w:vAlign w:val="center"/>
          </w:tcPr>
          <w:p w14:paraId="4467B4CA" w14:textId="77777777" w:rsidR="003E459E" w:rsidRPr="0003633A" w:rsidRDefault="003E459E" w:rsidP="0083022B">
            <w:pPr>
              <w:keepNext/>
              <w:keepLines/>
              <w:tabs>
                <w:tab w:val="left" w:pos="1425"/>
              </w:tabs>
              <w:spacing w:before="40" w:after="40"/>
              <w:jc w:val="center"/>
              <w:rPr>
                <w:b/>
                <w:bCs/>
                <w:iCs/>
                <w:sz w:val="18"/>
                <w:szCs w:val="18"/>
                <w:lang w:val="fr-FR"/>
              </w:rPr>
            </w:pPr>
            <w:r w:rsidRPr="0003633A">
              <w:rPr>
                <w:b/>
                <w:bCs/>
                <w:sz w:val="18"/>
                <w:szCs w:val="18"/>
                <w:lang w:val="fr-FR"/>
              </w:rPr>
              <w:t>Pictogramme du Règlement type de l</w:t>
            </w:r>
            <w:r>
              <w:rPr>
                <w:b/>
                <w:bCs/>
                <w:sz w:val="18"/>
                <w:szCs w:val="18"/>
                <w:lang w:val="fr-FR"/>
              </w:rPr>
              <w:t>’</w:t>
            </w:r>
            <w:r w:rsidRPr="0003633A">
              <w:rPr>
                <w:b/>
                <w:bCs/>
                <w:sz w:val="18"/>
                <w:szCs w:val="18"/>
                <w:lang w:val="fr-FR"/>
              </w:rPr>
              <w:t>ONU</w:t>
            </w:r>
          </w:p>
        </w:tc>
        <w:tc>
          <w:tcPr>
            <w:tcW w:w="1316" w:type="dxa"/>
            <w:tcBorders>
              <w:bottom w:val="single" w:sz="4" w:space="0" w:color="auto"/>
            </w:tcBorders>
            <w:shd w:val="clear" w:color="auto" w:fill="auto"/>
            <w:vAlign w:val="center"/>
          </w:tcPr>
          <w:p w14:paraId="598F8C36" w14:textId="77777777" w:rsidR="003E459E" w:rsidRPr="0003633A" w:rsidRDefault="003E459E" w:rsidP="0083022B">
            <w:pPr>
              <w:pStyle w:val="Titre5"/>
              <w:tabs>
                <w:tab w:val="left" w:pos="1425"/>
              </w:tabs>
              <w:spacing w:before="80" w:after="80"/>
              <w:jc w:val="center"/>
              <w:rPr>
                <w:b/>
                <w:bCs/>
                <w:iCs/>
                <w:sz w:val="18"/>
                <w:szCs w:val="18"/>
              </w:rPr>
            </w:pPr>
            <w:r w:rsidRPr="0003633A">
              <w:rPr>
                <w:b/>
                <w:bCs/>
                <w:sz w:val="18"/>
                <w:szCs w:val="18"/>
                <w:lang w:val="fr-FR"/>
              </w:rPr>
              <w:t>Mention d</w:t>
            </w:r>
            <w:r>
              <w:rPr>
                <w:b/>
                <w:bCs/>
                <w:sz w:val="18"/>
                <w:szCs w:val="18"/>
                <w:lang w:val="fr-FR"/>
              </w:rPr>
              <w:t>’</w:t>
            </w:r>
            <w:r w:rsidRPr="0003633A">
              <w:rPr>
                <w:b/>
                <w:bCs/>
                <w:sz w:val="18"/>
                <w:szCs w:val="18"/>
                <w:lang w:val="fr-FR"/>
              </w:rPr>
              <w:t>avertissement du SGH</w:t>
            </w:r>
          </w:p>
        </w:tc>
        <w:tc>
          <w:tcPr>
            <w:tcW w:w="1653" w:type="dxa"/>
            <w:tcBorders>
              <w:bottom w:val="single" w:sz="4" w:space="0" w:color="auto"/>
              <w:right w:val="single" w:sz="4" w:space="0" w:color="auto"/>
            </w:tcBorders>
            <w:shd w:val="clear" w:color="auto" w:fill="auto"/>
            <w:vAlign w:val="center"/>
          </w:tcPr>
          <w:p w14:paraId="7302E3DB" w14:textId="78FEAE72" w:rsidR="003E459E" w:rsidRPr="0003633A" w:rsidRDefault="003E459E" w:rsidP="0083022B">
            <w:pPr>
              <w:pStyle w:val="Titre5"/>
              <w:tabs>
                <w:tab w:val="left" w:pos="1425"/>
              </w:tabs>
              <w:spacing w:before="80" w:after="80"/>
              <w:jc w:val="center"/>
              <w:rPr>
                <w:b/>
                <w:bCs/>
                <w:iCs/>
                <w:sz w:val="18"/>
                <w:szCs w:val="18"/>
                <w:lang w:val="fr-FR"/>
              </w:rPr>
            </w:pPr>
            <w:r w:rsidRPr="0003633A">
              <w:rPr>
                <w:b/>
                <w:bCs/>
                <w:sz w:val="18"/>
                <w:szCs w:val="18"/>
                <w:lang w:val="fr-FR"/>
              </w:rPr>
              <w:t xml:space="preserve">Mention de danger </w:t>
            </w:r>
            <w:r w:rsidR="001419AA">
              <w:rPr>
                <w:b/>
                <w:bCs/>
                <w:sz w:val="18"/>
                <w:szCs w:val="18"/>
                <w:lang w:val="fr-FR"/>
              </w:rPr>
              <w:br/>
            </w:r>
            <w:r w:rsidRPr="0003633A">
              <w:rPr>
                <w:b/>
                <w:bCs/>
                <w:sz w:val="18"/>
                <w:szCs w:val="18"/>
                <w:lang w:val="fr-FR"/>
              </w:rPr>
              <w:t>du SGH</w:t>
            </w:r>
          </w:p>
        </w:tc>
        <w:tc>
          <w:tcPr>
            <w:tcW w:w="752" w:type="dxa"/>
            <w:vMerge/>
            <w:tcBorders>
              <w:left w:val="single" w:sz="4" w:space="0" w:color="auto"/>
              <w:bottom w:val="single" w:sz="4" w:space="0" w:color="auto"/>
              <w:right w:val="single" w:sz="4" w:space="0" w:color="auto"/>
            </w:tcBorders>
            <w:shd w:val="clear" w:color="auto" w:fill="auto"/>
            <w:vAlign w:val="center"/>
          </w:tcPr>
          <w:p w14:paraId="50EC4C82" w14:textId="77777777" w:rsidR="003E459E" w:rsidRPr="0003633A" w:rsidRDefault="003E459E" w:rsidP="0083022B">
            <w:pPr>
              <w:pStyle w:val="Titre5"/>
              <w:tabs>
                <w:tab w:val="left" w:pos="1425"/>
              </w:tabs>
              <w:spacing w:before="80" w:after="80"/>
              <w:jc w:val="center"/>
              <w:rPr>
                <w:b/>
                <w:bCs/>
                <w:sz w:val="18"/>
                <w:szCs w:val="18"/>
                <w:lang w:val="fr-FR"/>
              </w:rPr>
            </w:pPr>
          </w:p>
        </w:tc>
      </w:tr>
      <w:tr w:rsidR="003E459E" w:rsidRPr="0003633A" w14:paraId="3BB5A36C" w14:textId="77777777" w:rsidTr="001419AA">
        <w:trPr>
          <w:cantSplit/>
          <w:trHeight w:val="459"/>
        </w:trPr>
        <w:tc>
          <w:tcPr>
            <w:tcW w:w="1185" w:type="dxa"/>
            <w:tcBorders>
              <w:top w:val="single" w:sz="4" w:space="0" w:color="auto"/>
              <w:bottom w:val="single" w:sz="4" w:space="0" w:color="auto"/>
            </w:tcBorders>
            <w:shd w:val="clear" w:color="auto" w:fill="auto"/>
            <w:vAlign w:val="center"/>
          </w:tcPr>
          <w:p w14:paraId="73523361" w14:textId="77777777" w:rsidR="003E459E" w:rsidRPr="0003633A" w:rsidRDefault="003E459E" w:rsidP="000F540F">
            <w:pPr>
              <w:keepNext/>
              <w:keepLines/>
              <w:tabs>
                <w:tab w:val="left" w:pos="1425"/>
              </w:tabs>
              <w:spacing w:before="40" w:after="40" w:line="240" w:lineRule="auto"/>
              <w:jc w:val="center"/>
              <w:rPr>
                <w:b/>
                <w:bCs/>
                <w:sz w:val="18"/>
                <w:szCs w:val="18"/>
                <w:lang w:val="fr-FR"/>
              </w:rPr>
            </w:pPr>
            <w:r w:rsidRPr="0003633A">
              <w:rPr>
                <w:b/>
                <w:bCs/>
                <w:sz w:val="18"/>
                <w:szCs w:val="18"/>
                <w:lang w:val="fr-FR"/>
              </w:rPr>
              <w:t>Dangers pour la couche d</w:t>
            </w:r>
            <w:r>
              <w:rPr>
                <w:b/>
                <w:bCs/>
                <w:sz w:val="18"/>
                <w:szCs w:val="18"/>
                <w:lang w:val="fr-FR"/>
              </w:rPr>
              <w:t>’</w:t>
            </w:r>
            <w:r w:rsidRPr="0003633A">
              <w:rPr>
                <w:b/>
                <w:bCs/>
                <w:sz w:val="18"/>
                <w:szCs w:val="18"/>
                <w:lang w:val="fr-FR"/>
              </w:rPr>
              <w:t>ozone</w:t>
            </w:r>
          </w:p>
        </w:tc>
        <w:tc>
          <w:tcPr>
            <w:tcW w:w="843" w:type="dxa"/>
            <w:tcBorders>
              <w:top w:val="single" w:sz="4" w:space="0" w:color="auto"/>
              <w:bottom w:val="single" w:sz="4" w:space="0" w:color="auto"/>
            </w:tcBorders>
            <w:shd w:val="clear" w:color="auto" w:fill="auto"/>
            <w:vAlign w:val="center"/>
          </w:tcPr>
          <w:p w14:paraId="338A1370" w14:textId="77777777" w:rsidR="003E459E" w:rsidRPr="0003633A" w:rsidRDefault="003E459E" w:rsidP="000F540F">
            <w:pPr>
              <w:keepNext/>
              <w:keepLines/>
              <w:tabs>
                <w:tab w:val="left" w:pos="1425"/>
              </w:tabs>
              <w:spacing w:before="40" w:after="40"/>
              <w:jc w:val="center"/>
              <w:rPr>
                <w:b/>
                <w:sz w:val="18"/>
                <w:szCs w:val="18"/>
              </w:rPr>
            </w:pPr>
            <w:r w:rsidRPr="0003633A">
              <w:rPr>
                <w:b/>
                <w:bCs/>
                <w:sz w:val="18"/>
                <w:szCs w:val="18"/>
                <w:lang w:val="fr-FR"/>
              </w:rPr>
              <w:t>1</w:t>
            </w:r>
          </w:p>
        </w:tc>
        <w:tc>
          <w:tcPr>
            <w:tcW w:w="1436" w:type="dxa"/>
            <w:vMerge w:val="restart"/>
            <w:tcBorders>
              <w:top w:val="single" w:sz="4" w:space="0" w:color="auto"/>
            </w:tcBorders>
            <w:vAlign w:val="center"/>
          </w:tcPr>
          <w:p w14:paraId="53188BA0" w14:textId="77777777" w:rsidR="003E459E" w:rsidRPr="0003633A" w:rsidRDefault="003E459E" w:rsidP="000F540F">
            <w:pPr>
              <w:keepNext/>
              <w:keepLines/>
              <w:tabs>
                <w:tab w:val="left" w:pos="1425"/>
              </w:tabs>
              <w:spacing w:before="40" w:after="40"/>
              <w:jc w:val="center"/>
              <w:rPr>
                <w:i/>
                <w:sz w:val="18"/>
                <w:szCs w:val="18"/>
              </w:rPr>
            </w:pPr>
            <w:r w:rsidRPr="0003633A">
              <w:rPr>
                <w:i/>
                <w:iCs/>
                <w:sz w:val="18"/>
                <w:szCs w:val="18"/>
                <w:lang w:val="fr-FR"/>
              </w:rPr>
              <w:t>Sans objet</w:t>
            </w:r>
          </w:p>
        </w:tc>
        <w:tc>
          <w:tcPr>
            <w:tcW w:w="1205" w:type="dxa"/>
            <w:vMerge w:val="restart"/>
            <w:tcBorders>
              <w:top w:val="single" w:sz="4" w:space="0" w:color="auto"/>
            </w:tcBorders>
            <w:shd w:val="clear" w:color="auto" w:fill="auto"/>
            <w:vAlign w:val="center"/>
          </w:tcPr>
          <w:p w14:paraId="6FB14E17" w14:textId="77777777" w:rsidR="003E459E" w:rsidRPr="0003633A" w:rsidRDefault="003E459E" w:rsidP="000F540F">
            <w:pPr>
              <w:keepNext/>
              <w:keepLines/>
              <w:tabs>
                <w:tab w:val="left" w:pos="1425"/>
              </w:tabs>
              <w:spacing w:before="40" w:after="40"/>
              <w:jc w:val="center"/>
              <w:rPr>
                <w:noProof/>
                <w:sz w:val="18"/>
                <w:szCs w:val="18"/>
              </w:rPr>
            </w:pPr>
            <w:r w:rsidRPr="0003633A">
              <w:rPr>
                <w:noProof/>
                <w:sz w:val="18"/>
                <w:szCs w:val="18"/>
              </w:rPr>
              <w:drawing>
                <wp:inline distT="0" distB="0" distL="0" distR="0" wp14:anchorId="2D1CACC5" wp14:editId="401CBEEF">
                  <wp:extent cx="628015" cy="62801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tc>
        <w:tc>
          <w:tcPr>
            <w:tcW w:w="1247" w:type="dxa"/>
            <w:vMerge w:val="restart"/>
            <w:tcBorders>
              <w:top w:val="single" w:sz="4" w:space="0" w:color="auto"/>
            </w:tcBorders>
            <w:shd w:val="clear" w:color="auto" w:fill="auto"/>
            <w:vAlign w:val="center"/>
          </w:tcPr>
          <w:p w14:paraId="000DC7D0" w14:textId="77777777" w:rsidR="003E459E" w:rsidRPr="0003633A" w:rsidRDefault="003E459E" w:rsidP="000F540F">
            <w:pPr>
              <w:keepNext/>
              <w:keepLines/>
              <w:tabs>
                <w:tab w:val="left" w:pos="1425"/>
              </w:tabs>
              <w:spacing w:before="40" w:after="40"/>
              <w:jc w:val="center"/>
              <w:rPr>
                <w:i/>
                <w:sz w:val="18"/>
                <w:szCs w:val="18"/>
              </w:rPr>
            </w:pPr>
            <w:r w:rsidRPr="0003633A">
              <w:rPr>
                <w:i/>
                <w:iCs/>
                <w:sz w:val="18"/>
                <w:szCs w:val="18"/>
                <w:lang w:val="fr-FR"/>
              </w:rPr>
              <w:t>Sans objet</w:t>
            </w:r>
          </w:p>
        </w:tc>
        <w:tc>
          <w:tcPr>
            <w:tcW w:w="1316" w:type="dxa"/>
            <w:vMerge w:val="restart"/>
            <w:tcBorders>
              <w:top w:val="single" w:sz="4" w:space="0" w:color="auto"/>
            </w:tcBorders>
            <w:shd w:val="clear" w:color="auto" w:fill="auto"/>
            <w:vAlign w:val="center"/>
          </w:tcPr>
          <w:p w14:paraId="2BB728FE" w14:textId="77777777" w:rsidR="003E459E" w:rsidRPr="0003633A" w:rsidRDefault="003E459E" w:rsidP="000F540F">
            <w:pPr>
              <w:keepNext/>
              <w:keepLines/>
              <w:tabs>
                <w:tab w:val="left" w:pos="1425"/>
              </w:tabs>
              <w:spacing w:before="40" w:after="40"/>
              <w:ind w:left="-69" w:right="-15"/>
              <w:jc w:val="center"/>
              <w:rPr>
                <w:b/>
                <w:sz w:val="18"/>
                <w:szCs w:val="18"/>
              </w:rPr>
            </w:pPr>
            <w:r w:rsidRPr="0003633A">
              <w:rPr>
                <w:b/>
                <w:bCs/>
                <w:sz w:val="18"/>
                <w:szCs w:val="18"/>
                <w:lang w:val="fr-FR"/>
              </w:rPr>
              <w:t>Attention</w:t>
            </w:r>
          </w:p>
        </w:tc>
        <w:tc>
          <w:tcPr>
            <w:tcW w:w="1653" w:type="dxa"/>
            <w:tcBorders>
              <w:top w:val="single" w:sz="4" w:space="0" w:color="auto"/>
              <w:bottom w:val="single" w:sz="4" w:space="0" w:color="auto"/>
            </w:tcBorders>
            <w:shd w:val="clear" w:color="auto" w:fill="auto"/>
            <w:vAlign w:val="center"/>
          </w:tcPr>
          <w:p w14:paraId="2CAC551E" w14:textId="77777777" w:rsidR="003E459E" w:rsidRPr="0003633A" w:rsidRDefault="003E459E" w:rsidP="000F540F">
            <w:pPr>
              <w:keepNext/>
              <w:keepLines/>
              <w:tabs>
                <w:tab w:val="left" w:pos="1425"/>
              </w:tabs>
              <w:spacing w:before="40" w:after="40" w:line="240" w:lineRule="auto"/>
              <w:rPr>
                <w:sz w:val="18"/>
                <w:szCs w:val="18"/>
                <w:lang w:val="fr-FR"/>
              </w:rPr>
            </w:pPr>
            <w:r w:rsidRPr="0003633A">
              <w:rPr>
                <w:sz w:val="18"/>
                <w:szCs w:val="18"/>
                <w:lang w:val="fr-FR"/>
              </w:rPr>
              <w:t>Nuit à la santé publique et à l</w:t>
            </w:r>
            <w:r>
              <w:rPr>
                <w:sz w:val="18"/>
                <w:szCs w:val="18"/>
                <w:lang w:val="fr-FR"/>
              </w:rPr>
              <w:t>’</w:t>
            </w:r>
            <w:r w:rsidRPr="0003633A">
              <w:rPr>
                <w:sz w:val="18"/>
                <w:szCs w:val="18"/>
                <w:lang w:val="fr-FR"/>
              </w:rPr>
              <w:t>environnement en détruisant l</w:t>
            </w:r>
            <w:r>
              <w:rPr>
                <w:sz w:val="18"/>
                <w:szCs w:val="18"/>
                <w:lang w:val="fr-FR"/>
              </w:rPr>
              <w:t>’</w:t>
            </w:r>
            <w:r w:rsidRPr="0003633A">
              <w:rPr>
                <w:sz w:val="18"/>
                <w:szCs w:val="18"/>
                <w:lang w:val="fr-FR"/>
              </w:rPr>
              <w:t>ozone dans la haute atmosphère</w:t>
            </w:r>
          </w:p>
        </w:tc>
        <w:tc>
          <w:tcPr>
            <w:tcW w:w="752" w:type="dxa"/>
            <w:tcBorders>
              <w:top w:val="single" w:sz="4" w:space="0" w:color="auto"/>
              <w:bottom w:val="single" w:sz="4" w:space="0" w:color="auto"/>
            </w:tcBorders>
            <w:shd w:val="clear" w:color="auto" w:fill="auto"/>
            <w:vAlign w:val="center"/>
          </w:tcPr>
          <w:p w14:paraId="6A4A33E4" w14:textId="77777777" w:rsidR="003E459E" w:rsidRPr="0003633A" w:rsidRDefault="003E459E" w:rsidP="000F540F">
            <w:pPr>
              <w:keepNext/>
              <w:keepLines/>
              <w:tabs>
                <w:tab w:val="left" w:pos="1425"/>
              </w:tabs>
              <w:spacing w:before="40" w:after="40"/>
              <w:jc w:val="center"/>
              <w:rPr>
                <w:sz w:val="18"/>
                <w:szCs w:val="18"/>
              </w:rPr>
            </w:pPr>
            <w:r w:rsidRPr="0003633A">
              <w:rPr>
                <w:sz w:val="18"/>
                <w:szCs w:val="18"/>
                <w:lang w:val="fr-FR"/>
              </w:rPr>
              <w:t>H420</w:t>
            </w:r>
          </w:p>
        </w:tc>
      </w:tr>
      <w:tr w:rsidR="003E459E" w:rsidRPr="0003633A" w14:paraId="4D08FC1F" w14:textId="77777777" w:rsidTr="001419AA">
        <w:trPr>
          <w:cantSplit/>
          <w:trHeight w:val="459"/>
        </w:trPr>
        <w:tc>
          <w:tcPr>
            <w:tcW w:w="1185" w:type="dxa"/>
            <w:tcBorders>
              <w:top w:val="single" w:sz="4" w:space="0" w:color="auto"/>
              <w:bottom w:val="single" w:sz="4" w:space="0" w:color="auto"/>
            </w:tcBorders>
            <w:shd w:val="clear" w:color="auto" w:fill="auto"/>
            <w:vAlign w:val="center"/>
          </w:tcPr>
          <w:p w14:paraId="424B27CC" w14:textId="79AC28D2" w:rsidR="003E459E" w:rsidRPr="0003633A" w:rsidRDefault="003E459E" w:rsidP="000F540F">
            <w:pPr>
              <w:keepNext/>
              <w:keepLines/>
              <w:tabs>
                <w:tab w:val="left" w:pos="1425"/>
              </w:tabs>
              <w:spacing w:before="40" w:after="40" w:line="240" w:lineRule="auto"/>
              <w:jc w:val="center"/>
              <w:rPr>
                <w:b/>
                <w:sz w:val="18"/>
                <w:szCs w:val="18"/>
                <w:lang w:val="fr-FR"/>
              </w:rPr>
            </w:pPr>
            <w:r w:rsidRPr="0003633A">
              <w:rPr>
                <w:b/>
                <w:bCs/>
                <w:sz w:val="18"/>
                <w:szCs w:val="18"/>
                <w:lang w:val="fr-FR"/>
              </w:rPr>
              <w:t xml:space="preserve">Dangers </w:t>
            </w:r>
            <w:r w:rsidR="001419AA">
              <w:rPr>
                <w:b/>
                <w:bCs/>
                <w:sz w:val="18"/>
                <w:szCs w:val="18"/>
                <w:lang w:val="fr-FR"/>
              </w:rPr>
              <w:br/>
            </w:r>
            <w:r>
              <w:rPr>
                <w:b/>
                <w:bCs/>
                <w:sz w:val="18"/>
                <w:szCs w:val="18"/>
                <w:lang w:val="fr-FR"/>
              </w:rPr>
              <w:t>du point de vue du</w:t>
            </w:r>
            <w:r w:rsidRPr="0003633A">
              <w:rPr>
                <w:b/>
                <w:bCs/>
                <w:sz w:val="18"/>
                <w:szCs w:val="18"/>
                <w:lang w:val="fr-FR"/>
              </w:rPr>
              <w:t xml:space="preserve"> réchauffement de la planète</w:t>
            </w:r>
          </w:p>
        </w:tc>
        <w:tc>
          <w:tcPr>
            <w:tcW w:w="843" w:type="dxa"/>
            <w:tcBorders>
              <w:top w:val="single" w:sz="4" w:space="0" w:color="auto"/>
            </w:tcBorders>
            <w:shd w:val="clear" w:color="auto" w:fill="auto"/>
            <w:vAlign w:val="center"/>
          </w:tcPr>
          <w:p w14:paraId="58429479" w14:textId="77777777" w:rsidR="003E459E" w:rsidRPr="0003633A" w:rsidRDefault="003E459E" w:rsidP="000F540F">
            <w:pPr>
              <w:keepNext/>
              <w:keepLines/>
              <w:tabs>
                <w:tab w:val="left" w:pos="1425"/>
              </w:tabs>
              <w:spacing w:before="40" w:after="40"/>
              <w:jc w:val="center"/>
              <w:rPr>
                <w:b/>
                <w:sz w:val="18"/>
                <w:szCs w:val="18"/>
              </w:rPr>
            </w:pPr>
            <w:r w:rsidRPr="0003633A">
              <w:rPr>
                <w:b/>
                <w:bCs/>
                <w:sz w:val="18"/>
                <w:szCs w:val="18"/>
                <w:lang w:val="fr-FR"/>
              </w:rPr>
              <w:t>1</w:t>
            </w:r>
          </w:p>
        </w:tc>
        <w:tc>
          <w:tcPr>
            <w:tcW w:w="1436" w:type="dxa"/>
            <w:vMerge/>
            <w:vAlign w:val="center"/>
          </w:tcPr>
          <w:p w14:paraId="0D46DE38" w14:textId="77777777" w:rsidR="003E459E" w:rsidRPr="0003633A" w:rsidRDefault="003E459E" w:rsidP="000F540F">
            <w:pPr>
              <w:keepNext/>
              <w:keepLines/>
              <w:tabs>
                <w:tab w:val="left" w:pos="1425"/>
              </w:tabs>
              <w:spacing w:before="40" w:after="40"/>
              <w:jc w:val="center"/>
              <w:rPr>
                <w:noProof/>
                <w:sz w:val="18"/>
                <w:szCs w:val="18"/>
              </w:rPr>
            </w:pPr>
          </w:p>
        </w:tc>
        <w:tc>
          <w:tcPr>
            <w:tcW w:w="1205" w:type="dxa"/>
            <w:vMerge/>
            <w:shd w:val="clear" w:color="auto" w:fill="auto"/>
            <w:vAlign w:val="center"/>
          </w:tcPr>
          <w:p w14:paraId="72C7D246" w14:textId="77777777" w:rsidR="003E459E" w:rsidRPr="0003633A" w:rsidRDefault="003E459E" w:rsidP="000F540F">
            <w:pPr>
              <w:keepNext/>
              <w:keepLines/>
              <w:tabs>
                <w:tab w:val="left" w:pos="1425"/>
              </w:tabs>
              <w:spacing w:before="40" w:after="40"/>
              <w:jc w:val="center"/>
              <w:rPr>
                <w:sz w:val="18"/>
                <w:szCs w:val="18"/>
              </w:rPr>
            </w:pPr>
          </w:p>
        </w:tc>
        <w:tc>
          <w:tcPr>
            <w:tcW w:w="1247" w:type="dxa"/>
            <w:vMerge/>
            <w:shd w:val="clear" w:color="auto" w:fill="auto"/>
            <w:vAlign w:val="center"/>
          </w:tcPr>
          <w:p w14:paraId="76DAAFA7" w14:textId="77777777" w:rsidR="003E459E" w:rsidRPr="0003633A" w:rsidRDefault="003E459E" w:rsidP="000F540F">
            <w:pPr>
              <w:keepNext/>
              <w:keepLines/>
              <w:tabs>
                <w:tab w:val="left" w:pos="1425"/>
              </w:tabs>
              <w:spacing w:before="40" w:after="40"/>
              <w:jc w:val="center"/>
              <w:rPr>
                <w:sz w:val="18"/>
                <w:szCs w:val="18"/>
              </w:rPr>
            </w:pPr>
          </w:p>
        </w:tc>
        <w:tc>
          <w:tcPr>
            <w:tcW w:w="1316" w:type="dxa"/>
            <w:vMerge/>
            <w:shd w:val="clear" w:color="auto" w:fill="auto"/>
            <w:vAlign w:val="center"/>
          </w:tcPr>
          <w:p w14:paraId="3E918CFC" w14:textId="77777777" w:rsidR="003E459E" w:rsidRPr="0003633A" w:rsidRDefault="003E459E" w:rsidP="000F540F">
            <w:pPr>
              <w:keepNext/>
              <w:keepLines/>
              <w:tabs>
                <w:tab w:val="left" w:pos="1425"/>
              </w:tabs>
              <w:spacing w:before="40" w:after="40"/>
              <w:ind w:left="-69" w:right="-15"/>
              <w:jc w:val="center"/>
              <w:rPr>
                <w:sz w:val="18"/>
                <w:szCs w:val="18"/>
              </w:rPr>
            </w:pPr>
          </w:p>
        </w:tc>
        <w:tc>
          <w:tcPr>
            <w:tcW w:w="1653" w:type="dxa"/>
            <w:tcBorders>
              <w:top w:val="single" w:sz="4" w:space="0" w:color="auto"/>
              <w:bottom w:val="single" w:sz="4" w:space="0" w:color="auto"/>
            </w:tcBorders>
            <w:shd w:val="clear" w:color="auto" w:fill="auto"/>
            <w:vAlign w:val="center"/>
          </w:tcPr>
          <w:p w14:paraId="70DA6800" w14:textId="2EFD78B1" w:rsidR="003E459E" w:rsidRPr="0003633A" w:rsidRDefault="003E459E" w:rsidP="000F540F">
            <w:pPr>
              <w:keepNext/>
              <w:keepLines/>
              <w:tabs>
                <w:tab w:val="left" w:pos="1425"/>
              </w:tabs>
              <w:spacing w:before="40" w:after="40" w:line="240" w:lineRule="auto"/>
              <w:rPr>
                <w:noProof/>
                <w:sz w:val="18"/>
                <w:szCs w:val="18"/>
                <w:lang w:val="fr-FR"/>
              </w:rPr>
            </w:pPr>
            <w:r w:rsidRPr="0003633A">
              <w:rPr>
                <w:sz w:val="18"/>
                <w:szCs w:val="18"/>
                <w:lang w:val="fr-FR"/>
              </w:rPr>
              <w:t>Nuit à la santé publique et à l</w:t>
            </w:r>
            <w:r>
              <w:rPr>
                <w:sz w:val="18"/>
                <w:szCs w:val="18"/>
                <w:lang w:val="fr-FR"/>
              </w:rPr>
              <w:t>’</w:t>
            </w:r>
            <w:r w:rsidRPr="0003633A">
              <w:rPr>
                <w:sz w:val="18"/>
                <w:szCs w:val="18"/>
                <w:lang w:val="fr-FR"/>
              </w:rPr>
              <w:t xml:space="preserve">environnement </w:t>
            </w:r>
            <w:r w:rsidR="0083022B">
              <w:rPr>
                <w:sz w:val="18"/>
                <w:szCs w:val="18"/>
                <w:lang w:val="fr-FR"/>
              </w:rPr>
              <w:br/>
            </w:r>
            <w:r w:rsidRPr="0003633A">
              <w:rPr>
                <w:sz w:val="18"/>
                <w:szCs w:val="18"/>
                <w:lang w:val="fr-FR"/>
              </w:rPr>
              <w:t xml:space="preserve">en contribuant au réchauffement </w:t>
            </w:r>
            <w:r w:rsidR="0083022B">
              <w:rPr>
                <w:sz w:val="18"/>
                <w:szCs w:val="18"/>
                <w:lang w:val="fr-FR"/>
              </w:rPr>
              <w:br/>
            </w:r>
            <w:r w:rsidRPr="0003633A">
              <w:rPr>
                <w:sz w:val="18"/>
                <w:szCs w:val="18"/>
                <w:lang w:val="fr-FR"/>
              </w:rPr>
              <w:t xml:space="preserve">de la planète </w:t>
            </w:r>
          </w:p>
        </w:tc>
        <w:tc>
          <w:tcPr>
            <w:tcW w:w="752" w:type="dxa"/>
            <w:tcBorders>
              <w:top w:val="single" w:sz="4" w:space="0" w:color="auto"/>
              <w:bottom w:val="single" w:sz="4" w:space="0" w:color="auto"/>
            </w:tcBorders>
            <w:shd w:val="clear" w:color="auto" w:fill="auto"/>
            <w:vAlign w:val="center"/>
          </w:tcPr>
          <w:p w14:paraId="05D4BAA5" w14:textId="77777777" w:rsidR="003E459E" w:rsidRPr="0003633A" w:rsidRDefault="003E459E" w:rsidP="000F540F">
            <w:pPr>
              <w:keepNext/>
              <w:keepLines/>
              <w:tabs>
                <w:tab w:val="left" w:pos="1425"/>
              </w:tabs>
              <w:spacing w:before="40" w:after="40"/>
              <w:jc w:val="center"/>
              <w:rPr>
                <w:sz w:val="18"/>
                <w:szCs w:val="18"/>
              </w:rPr>
            </w:pPr>
            <w:r w:rsidRPr="0003633A">
              <w:rPr>
                <w:sz w:val="18"/>
                <w:szCs w:val="18"/>
                <w:lang w:val="fr-FR"/>
              </w:rPr>
              <w:t>H421</w:t>
            </w:r>
          </w:p>
        </w:tc>
      </w:tr>
    </w:tbl>
    <w:p w14:paraId="6CBD033B" w14:textId="3E489634" w:rsidR="003E459E" w:rsidRPr="00916330" w:rsidRDefault="003E459E" w:rsidP="00835DF7">
      <w:pPr>
        <w:spacing w:before="120" w:line="240" w:lineRule="auto"/>
        <w:ind w:left="1418"/>
        <w:jc w:val="right"/>
        <w:rPr>
          <w:rFonts w:asciiTheme="majorBidi" w:hAnsiTheme="majorBidi" w:cstheme="majorBidi"/>
          <w:noProof/>
        </w:rPr>
      </w:pPr>
      <w:r>
        <w:rPr>
          <w:lang w:val="fr-FR"/>
        </w:rPr>
        <w:t>»</w:t>
      </w:r>
      <w:r w:rsidR="0083022B" w:rsidRPr="0083022B">
        <w:rPr>
          <w:lang w:val="fr-FR"/>
        </w:rPr>
        <w:t>.</w:t>
      </w:r>
    </w:p>
    <w:p w14:paraId="2A31E3B3" w14:textId="5CA6E6A4" w:rsidR="003E459E" w:rsidRPr="00676FB6" w:rsidRDefault="003E459E" w:rsidP="00835DF7">
      <w:pPr>
        <w:pStyle w:val="H1G"/>
        <w:rPr>
          <w:lang w:val="fr-FR"/>
        </w:rPr>
      </w:pPr>
      <w:r>
        <w:rPr>
          <w:lang w:val="fr-FR"/>
        </w:rPr>
        <w:tab/>
      </w:r>
      <w:r>
        <w:rPr>
          <w:lang w:val="fr-FR"/>
        </w:rPr>
        <w:tab/>
        <w:t xml:space="preserve">Modifications connexes qu’il est proposé d’apporter </w:t>
      </w:r>
      <w:r w:rsidR="001419AA">
        <w:rPr>
          <w:lang w:val="fr-FR"/>
        </w:rPr>
        <w:br/>
      </w:r>
      <w:r>
        <w:rPr>
          <w:lang w:val="fr-FR"/>
        </w:rPr>
        <w:t>à la section 1 de l’annexe 3</w:t>
      </w:r>
    </w:p>
    <w:p w14:paraId="56F907D8" w14:textId="24602CA1" w:rsidR="003E459E" w:rsidRPr="00676FB6" w:rsidRDefault="003E459E" w:rsidP="003E459E">
      <w:pPr>
        <w:pStyle w:val="SingleTxtG"/>
        <w:rPr>
          <w:b/>
          <w:bCs/>
          <w:noProof/>
          <w:lang w:val="fr-FR"/>
        </w:rPr>
      </w:pPr>
      <w:r>
        <w:rPr>
          <w:b/>
          <w:bCs/>
          <w:lang w:val="fr-FR"/>
        </w:rPr>
        <w:t>Tableau A3</w:t>
      </w:r>
      <w:r w:rsidR="0083022B" w:rsidRPr="0083022B">
        <w:rPr>
          <w:b/>
          <w:bCs/>
          <w:lang w:val="fr-FR"/>
        </w:rPr>
        <w:t>.</w:t>
      </w:r>
      <w:r>
        <w:rPr>
          <w:b/>
          <w:bCs/>
          <w:lang w:val="fr-FR"/>
        </w:rPr>
        <w:t>1</w:t>
      </w:r>
      <w:r w:rsidR="0083022B" w:rsidRPr="0083022B">
        <w:rPr>
          <w:b/>
          <w:bCs/>
          <w:lang w:val="fr-FR"/>
        </w:rPr>
        <w:t>.</w:t>
      </w:r>
      <w:r>
        <w:rPr>
          <w:b/>
          <w:bCs/>
          <w:lang w:val="fr-FR"/>
        </w:rPr>
        <w:t>3</w:t>
      </w:r>
      <w:r>
        <w:rPr>
          <w:lang w:val="fr-FR"/>
        </w:rPr>
        <w:t xml:space="preserve"> </w:t>
      </w:r>
    </w:p>
    <w:p w14:paraId="2AAEBDB1" w14:textId="77777777" w:rsidR="003E459E" w:rsidRPr="00676FB6" w:rsidRDefault="003E459E" w:rsidP="003E459E">
      <w:pPr>
        <w:spacing w:after="240" w:line="240" w:lineRule="auto"/>
        <w:ind w:left="1134"/>
        <w:jc w:val="both"/>
        <w:rPr>
          <w:lang w:val="fr-FR"/>
        </w:rPr>
      </w:pPr>
      <w:r>
        <w:rPr>
          <w:lang w:val="fr-FR"/>
        </w:rPr>
        <w:t>Insérer la nouvelle ligne suivante sous la ligne H420 :</w:t>
      </w:r>
    </w:p>
    <w:tbl>
      <w:tblPr>
        <w:tblStyle w:val="Grilledutableau"/>
        <w:tblW w:w="8050" w:type="dxa"/>
        <w:tblInd w:w="1129" w:type="dxa"/>
        <w:tblLayout w:type="fixed"/>
        <w:tblLook w:val="04A0" w:firstRow="1" w:lastRow="0" w:firstColumn="1" w:lastColumn="0" w:noHBand="0" w:noVBand="1"/>
      </w:tblPr>
      <w:tblGrid>
        <w:gridCol w:w="709"/>
        <w:gridCol w:w="3827"/>
        <w:gridCol w:w="2845"/>
        <w:gridCol w:w="669"/>
      </w:tblGrid>
      <w:tr w:rsidR="003E459E" w:rsidRPr="00B65252" w14:paraId="51512F28" w14:textId="77777777" w:rsidTr="000F540F">
        <w:tc>
          <w:tcPr>
            <w:tcW w:w="709" w:type="dxa"/>
            <w:tcBorders>
              <w:bottom w:val="single" w:sz="4" w:space="0" w:color="auto"/>
            </w:tcBorders>
          </w:tcPr>
          <w:p w14:paraId="0CAFE913"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(1)</w:t>
            </w:r>
          </w:p>
        </w:tc>
        <w:tc>
          <w:tcPr>
            <w:tcW w:w="3827" w:type="dxa"/>
            <w:tcBorders>
              <w:bottom w:val="single" w:sz="4" w:space="0" w:color="auto"/>
            </w:tcBorders>
          </w:tcPr>
          <w:p w14:paraId="538D331A"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(2)</w:t>
            </w:r>
          </w:p>
        </w:tc>
        <w:tc>
          <w:tcPr>
            <w:tcW w:w="2845" w:type="dxa"/>
          </w:tcPr>
          <w:p w14:paraId="6AEE44EF"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(3)</w:t>
            </w:r>
          </w:p>
        </w:tc>
        <w:tc>
          <w:tcPr>
            <w:tcW w:w="669" w:type="dxa"/>
          </w:tcPr>
          <w:p w14:paraId="51D77285"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(4)</w:t>
            </w:r>
          </w:p>
        </w:tc>
      </w:tr>
      <w:tr w:rsidR="003E459E" w:rsidRPr="00B65252" w14:paraId="35924FC7" w14:textId="77777777" w:rsidTr="000F540F">
        <w:trPr>
          <w:trHeight w:val="328"/>
        </w:trPr>
        <w:tc>
          <w:tcPr>
            <w:tcW w:w="709" w:type="dxa"/>
            <w:tcBorders>
              <w:bottom w:val="single" w:sz="4" w:space="0" w:color="auto"/>
              <w:right w:val="single" w:sz="4" w:space="0" w:color="auto"/>
            </w:tcBorders>
          </w:tcPr>
          <w:p w14:paraId="328AFF61" w14:textId="77777777" w:rsidR="003E459E" w:rsidRPr="00B65252" w:rsidRDefault="003E459E" w:rsidP="001419AA">
            <w:pPr>
              <w:spacing w:before="60" w:after="60" w:line="220" w:lineRule="atLeast"/>
              <w:ind w:left="57" w:right="57"/>
              <w:jc w:val="center"/>
              <w:rPr>
                <w:sz w:val="18"/>
                <w:szCs w:val="18"/>
              </w:rPr>
            </w:pPr>
            <w:r w:rsidRPr="00B65252">
              <w:rPr>
                <w:sz w:val="18"/>
                <w:szCs w:val="18"/>
                <w:lang w:val="fr-FR"/>
              </w:rPr>
              <w:t>H421</w:t>
            </w:r>
          </w:p>
        </w:tc>
        <w:tc>
          <w:tcPr>
            <w:tcW w:w="3827" w:type="dxa"/>
            <w:tcBorders>
              <w:left w:val="single" w:sz="4" w:space="0" w:color="auto"/>
              <w:bottom w:val="single" w:sz="4" w:space="0" w:color="auto"/>
            </w:tcBorders>
          </w:tcPr>
          <w:p w14:paraId="1973EAA8" w14:textId="4D0BDF6A" w:rsidR="003E459E" w:rsidRPr="00B65252" w:rsidRDefault="003E459E" w:rsidP="001419AA">
            <w:pPr>
              <w:spacing w:before="60" w:after="60" w:line="220" w:lineRule="atLeast"/>
              <w:ind w:left="57" w:right="57"/>
              <w:rPr>
                <w:b/>
                <w:bCs/>
                <w:sz w:val="18"/>
                <w:szCs w:val="18"/>
                <w:lang w:val="fr-FR"/>
              </w:rPr>
            </w:pPr>
            <w:r w:rsidRPr="00B65252">
              <w:rPr>
                <w:b/>
                <w:bCs/>
                <w:sz w:val="18"/>
                <w:szCs w:val="18"/>
                <w:lang w:val="fr-FR"/>
              </w:rPr>
              <w:t>Nuit à la santé publique et à l</w:t>
            </w:r>
            <w:r>
              <w:rPr>
                <w:b/>
                <w:bCs/>
                <w:sz w:val="18"/>
                <w:szCs w:val="18"/>
                <w:lang w:val="fr-FR"/>
              </w:rPr>
              <w:t>’</w:t>
            </w:r>
            <w:r w:rsidRPr="00B65252">
              <w:rPr>
                <w:b/>
                <w:bCs/>
                <w:sz w:val="18"/>
                <w:szCs w:val="18"/>
                <w:lang w:val="fr-FR"/>
              </w:rPr>
              <w:t xml:space="preserve">environnement </w:t>
            </w:r>
            <w:r w:rsidR="0083022B">
              <w:rPr>
                <w:b/>
                <w:bCs/>
                <w:sz w:val="18"/>
                <w:szCs w:val="18"/>
                <w:lang w:val="fr-FR"/>
              </w:rPr>
              <w:br/>
            </w:r>
            <w:r w:rsidRPr="00B65252">
              <w:rPr>
                <w:b/>
                <w:bCs/>
                <w:sz w:val="18"/>
                <w:szCs w:val="18"/>
                <w:lang w:val="fr-FR"/>
              </w:rPr>
              <w:t>en contribuant au réchauffement de la planète</w:t>
            </w:r>
          </w:p>
        </w:tc>
        <w:tc>
          <w:tcPr>
            <w:tcW w:w="2845" w:type="dxa"/>
          </w:tcPr>
          <w:p w14:paraId="0EFDEE46" w14:textId="53BA9EB4" w:rsidR="003E459E" w:rsidRPr="00B65252" w:rsidRDefault="003E459E" w:rsidP="001419AA">
            <w:pPr>
              <w:spacing w:before="60" w:after="60" w:line="220" w:lineRule="atLeast"/>
              <w:ind w:left="57" w:right="57"/>
              <w:rPr>
                <w:sz w:val="18"/>
                <w:szCs w:val="18"/>
                <w:lang w:val="fr-FR"/>
              </w:rPr>
            </w:pPr>
            <w:r w:rsidRPr="00B65252">
              <w:rPr>
                <w:sz w:val="18"/>
                <w:szCs w:val="18"/>
                <w:lang w:val="fr-FR"/>
              </w:rPr>
              <w:t xml:space="preserve">Dangers </w:t>
            </w:r>
            <w:r>
              <w:rPr>
                <w:sz w:val="18"/>
                <w:szCs w:val="18"/>
                <w:lang w:val="fr-FR"/>
              </w:rPr>
              <w:t>du point de vue du</w:t>
            </w:r>
            <w:r w:rsidRPr="00B65252">
              <w:rPr>
                <w:sz w:val="18"/>
                <w:szCs w:val="18"/>
                <w:lang w:val="fr-FR"/>
              </w:rPr>
              <w:t xml:space="preserve"> réchauffement de la planète (chap</w:t>
            </w:r>
            <w:r w:rsidR="00835DF7">
              <w:rPr>
                <w:sz w:val="18"/>
                <w:szCs w:val="18"/>
                <w:lang w:val="fr-FR"/>
              </w:rPr>
              <w:t>.</w:t>
            </w:r>
            <w:r>
              <w:rPr>
                <w:sz w:val="18"/>
                <w:szCs w:val="18"/>
                <w:lang w:val="fr-FR"/>
              </w:rPr>
              <w:t> </w:t>
            </w:r>
            <w:r w:rsidRPr="00B65252">
              <w:rPr>
                <w:sz w:val="18"/>
                <w:szCs w:val="18"/>
                <w:lang w:val="fr-FR"/>
              </w:rPr>
              <w:t>4</w:t>
            </w:r>
            <w:r w:rsidR="0083022B" w:rsidRPr="0083022B">
              <w:rPr>
                <w:sz w:val="18"/>
                <w:szCs w:val="18"/>
                <w:lang w:val="fr-FR"/>
              </w:rPr>
              <w:t>.</w:t>
            </w:r>
            <w:r w:rsidRPr="00B65252">
              <w:rPr>
                <w:sz w:val="18"/>
                <w:szCs w:val="18"/>
                <w:lang w:val="fr-FR"/>
              </w:rPr>
              <w:t>2)</w:t>
            </w:r>
          </w:p>
        </w:tc>
        <w:tc>
          <w:tcPr>
            <w:tcW w:w="669" w:type="dxa"/>
          </w:tcPr>
          <w:p w14:paraId="3EAAB298" w14:textId="77777777" w:rsidR="003E459E" w:rsidRPr="00B65252" w:rsidRDefault="003E459E" w:rsidP="001419AA">
            <w:pPr>
              <w:spacing w:before="60" w:after="60" w:line="220" w:lineRule="atLeast"/>
              <w:ind w:left="57" w:right="57"/>
              <w:jc w:val="center"/>
              <w:rPr>
                <w:sz w:val="18"/>
                <w:szCs w:val="18"/>
              </w:rPr>
            </w:pPr>
            <w:r w:rsidRPr="00B65252">
              <w:rPr>
                <w:sz w:val="18"/>
                <w:szCs w:val="18"/>
                <w:lang w:val="fr-FR"/>
              </w:rPr>
              <w:t>1</w:t>
            </w:r>
          </w:p>
        </w:tc>
      </w:tr>
    </w:tbl>
    <w:p w14:paraId="0C45A6A7" w14:textId="77777777" w:rsidR="00835DF7" w:rsidRDefault="00835DF7">
      <w:pPr>
        <w:suppressAutoHyphens w:val="0"/>
        <w:kinsoku/>
        <w:overflowPunct/>
        <w:autoSpaceDE/>
        <w:autoSpaceDN/>
        <w:adjustRightInd/>
        <w:snapToGrid/>
        <w:spacing w:after="200" w:line="276" w:lineRule="auto"/>
        <w:rPr>
          <w:b/>
          <w:sz w:val="24"/>
          <w:lang w:val="fr-FR"/>
        </w:rPr>
      </w:pPr>
      <w:r>
        <w:rPr>
          <w:lang w:val="fr-FR"/>
        </w:rPr>
        <w:br w:type="page"/>
      </w:r>
    </w:p>
    <w:p w14:paraId="490B67F9" w14:textId="548BA4FF" w:rsidR="003E459E" w:rsidRPr="00676FB6" w:rsidRDefault="003E459E" w:rsidP="00835DF7">
      <w:pPr>
        <w:pStyle w:val="H1G"/>
        <w:rPr>
          <w:lang w:val="fr-FR"/>
        </w:rPr>
      </w:pPr>
      <w:r>
        <w:rPr>
          <w:lang w:val="fr-FR"/>
        </w:rPr>
        <w:lastRenderedPageBreak/>
        <w:tab/>
      </w:r>
      <w:r>
        <w:rPr>
          <w:lang w:val="fr-FR"/>
        </w:rPr>
        <w:tab/>
        <w:t xml:space="preserve">Modifications connexes qu’il est proposé d’apporter </w:t>
      </w:r>
      <w:r w:rsidR="001419AA">
        <w:rPr>
          <w:lang w:val="fr-FR"/>
        </w:rPr>
        <w:br/>
      </w:r>
      <w:r>
        <w:rPr>
          <w:lang w:val="fr-FR"/>
        </w:rPr>
        <w:t>à la section 2 de l’annexe 3</w:t>
      </w:r>
    </w:p>
    <w:p w14:paraId="55A09DC3" w14:textId="16197AA9" w:rsidR="003E459E" w:rsidRPr="00676FB6" w:rsidRDefault="003E459E" w:rsidP="003E459E">
      <w:pPr>
        <w:pStyle w:val="SingleTxtG"/>
        <w:rPr>
          <w:b/>
          <w:bCs/>
          <w:lang w:val="fr-FR"/>
        </w:rPr>
      </w:pPr>
      <w:r>
        <w:rPr>
          <w:b/>
          <w:bCs/>
          <w:lang w:val="fr-FR"/>
        </w:rPr>
        <w:t>Tableau A3</w:t>
      </w:r>
      <w:r w:rsidR="0083022B" w:rsidRPr="0083022B">
        <w:rPr>
          <w:b/>
          <w:bCs/>
          <w:lang w:val="fr-FR"/>
        </w:rPr>
        <w:t>.</w:t>
      </w:r>
      <w:r>
        <w:rPr>
          <w:b/>
          <w:bCs/>
          <w:lang w:val="fr-FR"/>
        </w:rPr>
        <w:t>2</w:t>
      </w:r>
      <w:r w:rsidR="0083022B" w:rsidRPr="0083022B">
        <w:rPr>
          <w:b/>
          <w:bCs/>
          <w:lang w:val="fr-FR"/>
        </w:rPr>
        <w:t>.</w:t>
      </w:r>
      <w:r>
        <w:rPr>
          <w:b/>
          <w:bCs/>
          <w:lang w:val="fr-FR"/>
        </w:rPr>
        <w:t>5, ligne P502</w:t>
      </w:r>
    </w:p>
    <w:p w14:paraId="0DD127AC" w14:textId="4B121EE6" w:rsidR="003E459E" w:rsidRPr="00676FB6" w:rsidRDefault="003E459E" w:rsidP="003E459E">
      <w:pPr>
        <w:pStyle w:val="SingleTxtG"/>
        <w:rPr>
          <w:lang w:val="fr-FR"/>
        </w:rPr>
      </w:pPr>
      <w:r>
        <w:rPr>
          <w:lang w:val="fr-FR"/>
        </w:rPr>
        <w:t>Insérer la nouvelle ligne suivante sous la ligne « Dangers pour la couche d’ozone (chap</w:t>
      </w:r>
      <w:r w:rsidR="00835DF7">
        <w:rPr>
          <w:lang w:val="fr-FR"/>
        </w:rPr>
        <w:t>.</w:t>
      </w:r>
      <w:r>
        <w:rPr>
          <w:lang w:val="fr-FR"/>
        </w:rPr>
        <w:t> 4</w:t>
      </w:r>
      <w:r w:rsidR="0083022B" w:rsidRPr="0083022B">
        <w:rPr>
          <w:lang w:val="fr-FR"/>
        </w:rPr>
        <w:t>.</w:t>
      </w:r>
      <w:r>
        <w:rPr>
          <w:lang w:val="fr-FR"/>
        </w:rPr>
        <w:t>2) » :</w:t>
      </w:r>
    </w:p>
    <w:tbl>
      <w:tblPr>
        <w:tblStyle w:val="Grilledutableau"/>
        <w:tblW w:w="8075" w:type="dxa"/>
        <w:tblInd w:w="1134" w:type="dxa"/>
        <w:tblLayout w:type="fixed"/>
        <w:tblLook w:val="04A0" w:firstRow="1" w:lastRow="0" w:firstColumn="1" w:lastColumn="0" w:noHBand="0" w:noVBand="1"/>
      </w:tblPr>
      <w:tblGrid>
        <w:gridCol w:w="743"/>
        <w:gridCol w:w="746"/>
        <w:gridCol w:w="3468"/>
        <w:gridCol w:w="708"/>
        <w:gridCol w:w="2410"/>
      </w:tblGrid>
      <w:tr w:rsidR="003E459E" w:rsidRPr="00B65252" w14:paraId="621A406A" w14:textId="77777777" w:rsidTr="000F540F">
        <w:tc>
          <w:tcPr>
            <w:tcW w:w="743" w:type="dxa"/>
            <w:tcBorders>
              <w:bottom w:val="single" w:sz="4" w:space="0" w:color="auto"/>
            </w:tcBorders>
          </w:tcPr>
          <w:p w14:paraId="2BEB9F31"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(1)</w:t>
            </w:r>
          </w:p>
        </w:tc>
        <w:tc>
          <w:tcPr>
            <w:tcW w:w="746" w:type="dxa"/>
            <w:tcBorders>
              <w:bottom w:val="single" w:sz="4" w:space="0" w:color="auto"/>
            </w:tcBorders>
          </w:tcPr>
          <w:p w14:paraId="0946ED00"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(2)</w:t>
            </w:r>
          </w:p>
        </w:tc>
        <w:tc>
          <w:tcPr>
            <w:tcW w:w="3468" w:type="dxa"/>
          </w:tcPr>
          <w:p w14:paraId="00FED672"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(3)</w:t>
            </w:r>
          </w:p>
        </w:tc>
        <w:tc>
          <w:tcPr>
            <w:tcW w:w="708" w:type="dxa"/>
          </w:tcPr>
          <w:p w14:paraId="4B7584CB"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(4)</w:t>
            </w:r>
          </w:p>
        </w:tc>
        <w:tc>
          <w:tcPr>
            <w:tcW w:w="2410" w:type="dxa"/>
            <w:tcBorders>
              <w:bottom w:val="single" w:sz="4" w:space="0" w:color="auto"/>
            </w:tcBorders>
          </w:tcPr>
          <w:p w14:paraId="76742E1F" w14:textId="77777777" w:rsidR="003E459E" w:rsidRPr="00B65252" w:rsidRDefault="003E459E" w:rsidP="001419AA">
            <w:pPr>
              <w:pStyle w:val="SingleTxtG"/>
              <w:spacing w:before="60" w:after="60" w:line="220" w:lineRule="atLeast"/>
              <w:ind w:left="57" w:right="57"/>
              <w:jc w:val="center"/>
              <w:rPr>
                <w:b/>
                <w:bCs/>
                <w:sz w:val="18"/>
                <w:szCs w:val="18"/>
              </w:rPr>
            </w:pPr>
            <w:r w:rsidRPr="00B65252">
              <w:rPr>
                <w:b/>
                <w:bCs/>
                <w:sz w:val="18"/>
                <w:szCs w:val="18"/>
                <w:lang w:val="fr-FR"/>
              </w:rPr>
              <w:t>(5)</w:t>
            </w:r>
          </w:p>
        </w:tc>
      </w:tr>
      <w:tr w:rsidR="003E459E" w:rsidRPr="00B65252" w14:paraId="041334ED" w14:textId="77777777" w:rsidTr="000F540F">
        <w:tc>
          <w:tcPr>
            <w:tcW w:w="743" w:type="dxa"/>
            <w:tcBorders>
              <w:top w:val="nil"/>
              <w:right w:val="single" w:sz="4" w:space="0" w:color="auto"/>
            </w:tcBorders>
          </w:tcPr>
          <w:p w14:paraId="242604BE" w14:textId="77777777" w:rsidR="003E459E" w:rsidRPr="00B65252" w:rsidRDefault="003E459E" w:rsidP="001419AA">
            <w:pPr>
              <w:pStyle w:val="SingleTxtG"/>
              <w:spacing w:before="60" w:after="60" w:line="220" w:lineRule="atLeast"/>
              <w:ind w:left="57" w:right="57"/>
              <w:rPr>
                <w:sz w:val="18"/>
                <w:szCs w:val="18"/>
              </w:rPr>
            </w:pPr>
          </w:p>
        </w:tc>
        <w:tc>
          <w:tcPr>
            <w:tcW w:w="746" w:type="dxa"/>
            <w:tcBorders>
              <w:top w:val="nil"/>
              <w:left w:val="single" w:sz="4" w:space="0" w:color="auto"/>
            </w:tcBorders>
          </w:tcPr>
          <w:p w14:paraId="6190A585" w14:textId="77777777" w:rsidR="003E459E" w:rsidRPr="00B65252" w:rsidRDefault="003E459E" w:rsidP="001419AA">
            <w:pPr>
              <w:pStyle w:val="SingleTxtG"/>
              <w:spacing w:before="60" w:after="60" w:line="220" w:lineRule="atLeast"/>
              <w:ind w:left="57" w:right="57"/>
              <w:rPr>
                <w:sz w:val="18"/>
                <w:szCs w:val="18"/>
              </w:rPr>
            </w:pPr>
          </w:p>
        </w:tc>
        <w:tc>
          <w:tcPr>
            <w:tcW w:w="3468" w:type="dxa"/>
          </w:tcPr>
          <w:p w14:paraId="052AB783" w14:textId="376C6FF0" w:rsidR="003E459E" w:rsidRPr="00B65252" w:rsidRDefault="003E459E" w:rsidP="001419AA">
            <w:pPr>
              <w:pStyle w:val="SingleTxtG"/>
              <w:spacing w:before="60" w:after="60" w:line="220" w:lineRule="atLeast"/>
              <w:ind w:left="57" w:right="57"/>
              <w:rPr>
                <w:sz w:val="18"/>
                <w:szCs w:val="18"/>
                <w:lang w:val="fr-FR"/>
              </w:rPr>
            </w:pPr>
            <w:r w:rsidRPr="00B65252">
              <w:rPr>
                <w:sz w:val="18"/>
                <w:szCs w:val="18"/>
                <w:lang w:val="fr-FR"/>
              </w:rPr>
              <w:t xml:space="preserve">Dangers </w:t>
            </w:r>
            <w:r>
              <w:rPr>
                <w:sz w:val="18"/>
                <w:szCs w:val="18"/>
                <w:lang w:val="fr-FR"/>
              </w:rPr>
              <w:t>du point de vue du</w:t>
            </w:r>
            <w:r w:rsidRPr="00B65252">
              <w:rPr>
                <w:sz w:val="18"/>
                <w:szCs w:val="18"/>
                <w:lang w:val="fr-FR"/>
              </w:rPr>
              <w:t xml:space="preserve"> réchauffement de la planète (chap</w:t>
            </w:r>
            <w:r w:rsidR="00835DF7">
              <w:rPr>
                <w:sz w:val="18"/>
                <w:szCs w:val="18"/>
                <w:lang w:val="fr-FR"/>
              </w:rPr>
              <w:t>. </w:t>
            </w:r>
            <w:r w:rsidRPr="00B65252">
              <w:rPr>
                <w:sz w:val="18"/>
                <w:szCs w:val="18"/>
                <w:lang w:val="fr-FR"/>
              </w:rPr>
              <w:t>4</w:t>
            </w:r>
            <w:r w:rsidR="0083022B" w:rsidRPr="0083022B">
              <w:rPr>
                <w:sz w:val="18"/>
                <w:szCs w:val="18"/>
                <w:lang w:val="fr-FR"/>
              </w:rPr>
              <w:t>.</w:t>
            </w:r>
            <w:r w:rsidRPr="00B65252">
              <w:rPr>
                <w:sz w:val="18"/>
                <w:szCs w:val="18"/>
                <w:lang w:val="fr-FR"/>
              </w:rPr>
              <w:t>2)</w:t>
            </w:r>
          </w:p>
        </w:tc>
        <w:tc>
          <w:tcPr>
            <w:tcW w:w="708" w:type="dxa"/>
          </w:tcPr>
          <w:p w14:paraId="52CEC80C" w14:textId="77777777" w:rsidR="003E459E" w:rsidRPr="00B65252" w:rsidRDefault="003E459E" w:rsidP="001419AA">
            <w:pPr>
              <w:pStyle w:val="SingleTxtG"/>
              <w:spacing w:before="60" w:after="60" w:line="220" w:lineRule="atLeast"/>
              <w:ind w:left="57" w:right="57"/>
              <w:jc w:val="center"/>
              <w:rPr>
                <w:sz w:val="18"/>
                <w:szCs w:val="18"/>
              </w:rPr>
            </w:pPr>
            <w:r w:rsidRPr="00B65252">
              <w:rPr>
                <w:sz w:val="18"/>
                <w:szCs w:val="18"/>
                <w:lang w:val="fr-FR"/>
              </w:rPr>
              <w:t>1</w:t>
            </w:r>
          </w:p>
        </w:tc>
        <w:tc>
          <w:tcPr>
            <w:tcW w:w="2410" w:type="dxa"/>
          </w:tcPr>
          <w:p w14:paraId="61DD5BAF" w14:textId="77777777" w:rsidR="003E459E" w:rsidRPr="00B65252" w:rsidRDefault="003E459E" w:rsidP="001419AA">
            <w:pPr>
              <w:pStyle w:val="SingleTxtG"/>
              <w:spacing w:before="60" w:after="60" w:line="220" w:lineRule="atLeast"/>
              <w:ind w:left="57" w:right="57"/>
              <w:rPr>
                <w:sz w:val="18"/>
                <w:szCs w:val="18"/>
              </w:rPr>
            </w:pPr>
          </w:p>
        </w:tc>
      </w:tr>
    </w:tbl>
    <w:p w14:paraId="6FE20E3C" w14:textId="6C61F4C5" w:rsidR="003E459E" w:rsidRPr="00676FB6" w:rsidRDefault="003E459E" w:rsidP="001419AA">
      <w:pPr>
        <w:pStyle w:val="H1G"/>
        <w:rPr>
          <w:lang w:val="fr-FR"/>
        </w:rPr>
      </w:pPr>
      <w:r>
        <w:rPr>
          <w:lang w:val="fr-FR"/>
        </w:rPr>
        <w:tab/>
      </w:r>
      <w:r>
        <w:rPr>
          <w:lang w:val="fr-FR"/>
        </w:rPr>
        <w:tab/>
        <w:t xml:space="preserve">Modifications connexes qu’il est proposé d’apporter </w:t>
      </w:r>
      <w:r w:rsidR="001419AA">
        <w:rPr>
          <w:lang w:val="fr-FR"/>
        </w:rPr>
        <w:br/>
      </w:r>
      <w:r>
        <w:rPr>
          <w:lang w:val="fr-FR"/>
        </w:rPr>
        <w:t>à la section 3 de l’annexe 3</w:t>
      </w:r>
    </w:p>
    <w:p w14:paraId="4E48FF18" w14:textId="77777777" w:rsidR="003E459E" w:rsidRPr="00676FB6" w:rsidRDefault="003E459E" w:rsidP="003E459E">
      <w:pPr>
        <w:keepNext/>
        <w:keepLines/>
        <w:spacing w:after="120" w:line="240" w:lineRule="auto"/>
        <w:ind w:left="1134"/>
        <w:rPr>
          <w:noProof/>
          <w:lang w:val="fr-FR"/>
        </w:rPr>
      </w:pPr>
      <w:r>
        <w:rPr>
          <w:lang w:val="fr-FR"/>
        </w:rPr>
        <w:t>Dans le tableau des conseils de prudence « Dangers pour la couche d’ozone », modifier l’en-tête de sorte qu’il se lise comme suit :</w:t>
      </w:r>
    </w:p>
    <w:p w14:paraId="616F19C1" w14:textId="77777777" w:rsidR="003E459E" w:rsidRPr="00676FB6" w:rsidRDefault="003E459E" w:rsidP="003E459E">
      <w:pPr>
        <w:keepNext/>
        <w:keepLines/>
        <w:spacing w:after="40" w:line="240" w:lineRule="auto"/>
        <w:ind w:left="578"/>
        <w:jc w:val="center"/>
        <w:rPr>
          <w:b/>
          <w:bCs/>
          <w:lang w:val="fr-FR"/>
        </w:rPr>
      </w:pPr>
      <w:r>
        <w:rPr>
          <w:lang w:val="fr-FR"/>
        </w:rPr>
        <w:t xml:space="preserve">« </w:t>
      </w:r>
      <w:r>
        <w:rPr>
          <w:b/>
          <w:bCs/>
          <w:lang w:val="fr-FR"/>
        </w:rPr>
        <w:t>DANGERS POUR LE SYSTÈME ATMOSPHÉRIQUE</w:t>
      </w:r>
    </w:p>
    <w:p w14:paraId="7E3BD960" w14:textId="1D3C59D9" w:rsidR="003E459E" w:rsidRPr="00676FB6" w:rsidRDefault="003E459E" w:rsidP="003E459E">
      <w:pPr>
        <w:keepNext/>
        <w:keepLines/>
        <w:spacing w:after="40" w:line="240" w:lineRule="auto"/>
        <w:ind w:left="578"/>
        <w:jc w:val="center"/>
        <w:rPr>
          <w:b/>
          <w:bCs/>
          <w:lang w:val="fr-FR"/>
        </w:rPr>
      </w:pPr>
      <w:r>
        <w:rPr>
          <w:b/>
          <w:bCs/>
          <w:lang w:val="fr-FR"/>
        </w:rPr>
        <w:t>(CHAP</w:t>
      </w:r>
      <w:r w:rsidR="00835DF7">
        <w:rPr>
          <w:b/>
          <w:bCs/>
          <w:lang w:val="fr-FR"/>
        </w:rPr>
        <w:t>.</w:t>
      </w:r>
      <w:r>
        <w:rPr>
          <w:b/>
          <w:bCs/>
          <w:lang w:val="fr-FR"/>
        </w:rPr>
        <w:t xml:space="preserve"> 4</w:t>
      </w:r>
      <w:r w:rsidR="0083022B" w:rsidRPr="0083022B">
        <w:rPr>
          <w:b/>
          <w:bCs/>
          <w:lang w:val="fr-FR"/>
        </w:rPr>
        <w:t>.</w:t>
      </w:r>
      <w:r>
        <w:rPr>
          <w:b/>
          <w:bCs/>
          <w:lang w:val="fr-FR"/>
        </w:rPr>
        <w:t>2)</w:t>
      </w:r>
    </w:p>
    <w:p w14:paraId="590F3707" w14:textId="1BCCEBC7" w:rsidR="003E459E" w:rsidRPr="00676FB6" w:rsidRDefault="003E459E" w:rsidP="003E459E">
      <w:pPr>
        <w:keepNext/>
        <w:keepLines/>
        <w:spacing w:after="120" w:line="240" w:lineRule="auto"/>
        <w:ind w:left="577"/>
        <w:jc w:val="center"/>
        <w:rPr>
          <w:b/>
          <w:bCs/>
          <w:lang w:val="fr-FR"/>
        </w:rPr>
      </w:pPr>
      <w:r>
        <w:rPr>
          <w:b/>
          <w:bCs/>
          <w:lang w:val="fr-FR"/>
        </w:rPr>
        <w:t>(Dangers pour la couche d’ozone)</w:t>
      </w:r>
      <w:r>
        <w:rPr>
          <w:lang w:val="fr-FR"/>
        </w:rPr>
        <w:t> »</w:t>
      </w:r>
      <w:r w:rsidR="0083022B" w:rsidRPr="0083022B">
        <w:rPr>
          <w:lang w:val="fr-FR"/>
        </w:rPr>
        <w:t>.</w:t>
      </w:r>
    </w:p>
    <w:p w14:paraId="37BEEAD3" w14:textId="3C060801" w:rsidR="003E459E" w:rsidRPr="00676FB6" w:rsidRDefault="003E459E" w:rsidP="0083022B">
      <w:pPr>
        <w:keepNext/>
        <w:keepLines/>
        <w:spacing w:after="120" w:line="240" w:lineRule="auto"/>
        <w:ind w:left="1134"/>
        <w:jc w:val="both"/>
        <w:rPr>
          <w:noProof/>
          <w:lang w:val="fr-FR"/>
        </w:rPr>
      </w:pPr>
      <w:r>
        <w:rPr>
          <w:lang w:val="fr-FR"/>
        </w:rPr>
        <w:t>Sous le tableau renommé « DANGERS POUR LE SYSTÈME ATMOSPHÉRIQUE (CHAP</w:t>
      </w:r>
      <w:r w:rsidR="00835DF7">
        <w:rPr>
          <w:lang w:val="fr-FR"/>
        </w:rPr>
        <w:t>. </w:t>
      </w:r>
      <w:r>
        <w:rPr>
          <w:lang w:val="fr-FR"/>
        </w:rPr>
        <w:t>4</w:t>
      </w:r>
      <w:r w:rsidR="0083022B" w:rsidRPr="0083022B">
        <w:rPr>
          <w:lang w:val="fr-FR"/>
        </w:rPr>
        <w:t>.</w:t>
      </w:r>
      <w:r>
        <w:rPr>
          <w:lang w:val="fr-FR"/>
        </w:rPr>
        <w:t xml:space="preserve">2) </w:t>
      </w:r>
      <w:r w:rsidR="0083022B">
        <w:rPr>
          <w:lang w:val="fr-FR"/>
        </w:rPr>
        <w:br/>
      </w:r>
      <w:r>
        <w:rPr>
          <w:lang w:val="fr-FR"/>
        </w:rPr>
        <w:t>(Dangers pour la couche d’ozone) », ajouter un nouveau tableau des conseils de prudence pour la nouvelle classe de danger « Dangers du point de vue du réchauffement de la planète », libellé comme suit :</w:t>
      </w:r>
    </w:p>
    <w:tbl>
      <w:tblPr>
        <w:tblW w:w="916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026"/>
        <w:gridCol w:w="958"/>
        <w:gridCol w:w="671"/>
        <w:gridCol w:w="1350"/>
        <w:gridCol w:w="570"/>
        <w:gridCol w:w="313"/>
        <w:gridCol w:w="2638"/>
      </w:tblGrid>
      <w:tr w:rsidR="003E459E" w:rsidRPr="005D36D3" w14:paraId="5B8782F1" w14:textId="77777777" w:rsidTr="001419AA">
        <w:tc>
          <w:tcPr>
            <w:tcW w:w="9167" w:type="dxa"/>
            <w:gridSpan w:val="8"/>
            <w:tcBorders>
              <w:top w:val="nil"/>
              <w:left w:val="nil"/>
              <w:bottom w:val="nil"/>
              <w:right w:val="nil"/>
            </w:tcBorders>
          </w:tcPr>
          <w:p w14:paraId="32436DFB" w14:textId="299A3A8A" w:rsidR="003E459E" w:rsidRPr="00676FB6" w:rsidRDefault="003E459E" w:rsidP="000F540F">
            <w:pPr>
              <w:keepNext/>
              <w:keepLines/>
              <w:spacing w:after="40" w:line="240" w:lineRule="auto"/>
              <w:ind w:left="578"/>
              <w:jc w:val="center"/>
              <w:rPr>
                <w:b/>
                <w:bCs/>
                <w:lang w:val="fr-FR"/>
              </w:rPr>
            </w:pPr>
            <w:bookmarkStart w:id="13" w:name="_Hlk132623747"/>
            <w:r>
              <w:rPr>
                <w:lang w:val="fr-FR"/>
              </w:rPr>
              <w:t>« </w:t>
            </w:r>
            <w:r>
              <w:rPr>
                <w:b/>
                <w:bCs/>
                <w:lang w:val="fr-FR"/>
              </w:rPr>
              <w:t>DANGERS POUR LE SYSTÈME ATMOSPHÉRIQUE</w:t>
            </w:r>
          </w:p>
          <w:p w14:paraId="5FDEFB0B" w14:textId="6B2F7084" w:rsidR="003E459E" w:rsidRPr="00676FB6" w:rsidRDefault="003E459E" w:rsidP="000F540F">
            <w:pPr>
              <w:keepNext/>
              <w:keepLines/>
              <w:spacing w:after="40" w:line="240" w:lineRule="auto"/>
              <w:ind w:left="578"/>
              <w:jc w:val="center"/>
              <w:rPr>
                <w:b/>
                <w:bCs/>
                <w:lang w:val="fr-FR"/>
              </w:rPr>
            </w:pPr>
            <w:r>
              <w:rPr>
                <w:b/>
                <w:bCs/>
                <w:lang w:val="fr-FR"/>
              </w:rPr>
              <w:t>(CHAP</w:t>
            </w:r>
            <w:r w:rsidR="00835DF7">
              <w:rPr>
                <w:b/>
                <w:bCs/>
                <w:lang w:val="fr-FR"/>
              </w:rPr>
              <w:t>. </w:t>
            </w:r>
            <w:r>
              <w:rPr>
                <w:b/>
                <w:bCs/>
                <w:lang w:val="fr-FR"/>
              </w:rPr>
              <w:t>4</w:t>
            </w:r>
            <w:r w:rsidR="0083022B" w:rsidRPr="0083022B">
              <w:rPr>
                <w:b/>
                <w:bCs/>
                <w:lang w:val="fr-FR"/>
              </w:rPr>
              <w:t>.</w:t>
            </w:r>
            <w:r>
              <w:rPr>
                <w:b/>
                <w:bCs/>
                <w:lang w:val="fr-FR"/>
              </w:rPr>
              <w:t>2)</w:t>
            </w:r>
          </w:p>
          <w:p w14:paraId="0851AC11" w14:textId="77777777" w:rsidR="003E459E" w:rsidRPr="00676FB6" w:rsidRDefault="003E459E" w:rsidP="000F540F">
            <w:pPr>
              <w:keepNext/>
              <w:keepLines/>
              <w:spacing w:after="120" w:line="240" w:lineRule="auto"/>
              <w:ind w:left="577"/>
              <w:jc w:val="center"/>
              <w:rPr>
                <w:b/>
                <w:bCs/>
                <w:lang w:val="fr-FR"/>
              </w:rPr>
            </w:pPr>
            <w:r>
              <w:rPr>
                <w:b/>
                <w:bCs/>
                <w:lang w:val="fr-FR"/>
              </w:rPr>
              <w:t>(Dangers du point de vue du réchauffement de la planète)</w:t>
            </w:r>
          </w:p>
          <w:p w14:paraId="4042BE33" w14:textId="77777777" w:rsidR="003E459E" w:rsidRPr="00676FB6" w:rsidRDefault="003E459E" w:rsidP="000F540F">
            <w:pPr>
              <w:pStyle w:val="Titre2"/>
              <w:keepNext/>
              <w:keepLines/>
              <w:spacing w:before="60"/>
              <w:ind w:firstLine="34"/>
              <w:jc w:val="center"/>
              <w:rPr>
                <w:i/>
                <w:sz w:val="16"/>
                <w:szCs w:val="16"/>
                <w:lang w:val="fr-FR"/>
              </w:rPr>
            </w:pPr>
          </w:p>
        </w:tc>
      </w:tr>
      <w:tr w:rsidR="003E459E" w:rsidRPr="00B3631B" w14:paraId="487FB2F9" w14:textId="77777777" w:rsidTr="00835DF7">
        <w:tc>
          <w:tcPr>
            <w:tcW w:w="1641" w:type="dxa"/>
            <w:tcBorders>
              <w:top w:val="nil"/>
              <w:left w:val="nil"/>
              <w:bottom w:val="nil"/>
              <w:right w:val="nil"/>
            </w:tcBorders>
          </w:tcPr>
          <w:p w14:paraId="78B73E46" w14:textId="77777777" w:rsidR="003E459E" w:rsidRPr="00B3631B" w:rsidRDefault="003E459E" w:rsidP="000F540F">
            <w:pPr>
              <w:keepNext/>
              <w:keepLines/>
              <w:spacing w:before="40" w:after="40"/>
              <w:rPr>
                <w:b/>
                <w:bCs/>
                <w:sz w:val="16"/>
                <w:szCs w:val="16"/>
              </w:rPr>
            </w:pPr>
            <w:r w:rsidRPr="00B3631B">
              <w:rPr>
                <w:b/>
                <w:bCs/>
                <w:sz w:val="16"/>
                <w:szCs w:val="16"/>
                <w:lang w:val="fr-FR"/>
              </w:rPr>
              <w:t>Catégorie de danger</w:t>
            </w:r>
          </w:p>
        </w:tc>
        <w:tc>
          <w:tcPr>
            <w:tcW w:w="1984" w:type="dxa"/>
            <w:gridSpan w:val="2"/>
            <w:tcBorders>
              <w:top w:val="nil"/>
              <w:left w:val="nil"/>
              <w:bottom w:val="nil"/>
              <w:right w:val="nil"/>
            </w:tcBorders>
          </w:tcPr>
          <w:p w14:paraId="28DD04C2" w14:textId="77777777" w:rsidR="003E459E" w:rsidRPr="00B3631B" w:rsidRDefault="003E459E" w:rsidP="000F540F">
            <w:pPr>
              <w:keepNext/>
              <w:keepLines/>
              <w:spacing w:before="40" w:after="40"/>
              <w:rPr>
                <w:b/>
                <w:bCs/>
                <w:sz w:val="16"/>
                <w:szCs w:val="16"/>
              </w:rPr>
            </w:pPr>
            <w:r w:rsidRPr="00B3631B">
              <w:rPr>
                <w:b/>
                <w:bCs/>
                <w:sz w:val="16"/>
                <w:szCs w:val="16"/>
                <w:lang w:val="fr-FR"/>
              </w:rPr>
              <w:t>Symbole</w:t>
            </w:r>
          </w:p>
        </w:tc>
        <w:tc>
          <w:tcPr>
            <w:tcW w:w="671" w:type="dxa"/>
            <w:vMerge w:val="restart"/>
            <w:tcBorders>
              <w:top w:val="nil"/>
              <w:left w:val="nil"/>
              <w:right w:val="nil"/>
            </w:tcBorders>
          </w:tcPr>
          <w:p w14:paraId="420C4DBC" w14:textId="77777777" w:rsidR="003E459E" w:rsidRPr="00B3631B" w:rsidRDefault="003E459E" w:rsidP="000F540F">
            <w:pPr>
              <w:keepNext/>
              <w:keepLines/>
              <w:spacing w:before="40" w:after="40"/>
              <w:ind w:right="317"/>
              <w:rPr>
                <w:b/>
                <w:bCs/>
                <w:sz w:val="16"/>
                <w:szCs w:val="16"/>
              </w:rPr>
            </w:pPr>
            <w:r w:rsidRPr="00B3631B">
              <w:rPr>
                <w:noProof/>
                <w:sz w:val="16"/>
                <w:szCs w:val="16"/>
              </w:rPr>
              <w:drawing>
                <wp:inline distT="0" distB="0" distL="0" distR="0" wp14:anchorId="29D5A799" wp14:editId="048B6B15">
                  <wp:extent cx="215661" cy="301925"/>
                  <wp:effectExtent l="0" t="0" r="0" b="3175"/>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61" cy="301925"/>
                          </a:xfrm>
                          <a:prstGeom prst="rect">
                            <a:avLst/>
                          </a:prstGeom>
                          <a:noFill/>
                          <a:ln>
                            <a:noFill/>
                          </a:ln>
                        </pic:spPr>
                      </pic:pic>
                    </a:graphicData>
                  </a:graphic>
                </wp:inline>
              </w:drawing>
            </w:r>
          </w:p>
        </w:tc>
        <w:tc>
          <w:tcPr>
            <w:tcW w:w="1350" w:type="dxa"/>
            <w:tcBorders>
              <w:top w:val="nil"/>
              <w:left w:val="nil"/>
              <w:bottom w:val="nil"/>
              <w:right w:val="nil"/>
            </w:tcBorders>
          </w:tcPr>
          <w:p w14:paraId="6D0EF52B" w14:textId="77777777" w:rsidR="003E459E" w:rsidRPr="00B3631B" w:rsidRDefault="003E459E" w:rsidP="000F540F">
            <w:pPr>
              <w:keepNext/>
              <w:keepLines/>
              <w:spacing w:before="40" w:after="40"/>
              <w:rPr>
                <w:b/>
                <w:bCs/>
                <w:sz w:val="16"/>
                <w:szCs w:val="16"/>
              </w:rPr>
            </w:pPr>
            <w:r w:rsidRPr="00B3631B">
              <w:rPr>
                <w:b/>
                <w:bCs/>
                <w:sz w:val="16"/>
                <w:szCs w:val="16"/>
                <w:lang w:val="fr-FR"/>
              </w:rPr>
              <w:t>Mention d</w:t>
            </w:r>
            <w:r>
              <w:rPr>
                <w:b/>
                <w:bCs/>
                <w:sz w:val="16"/>
                <w:szCs w:val="16"/>
                <w:lang w:val="fr-FR"/>
              </w:rPr>
              <w:t>’</w:t>
            </w:r>
            <w:r w:rsidRPr="00B3631B">
              <w:rPr>
                <w:b/>
                <w:bCs/>
                <w:sz w:val="16"/>
                <w:szCs w:val="16"/>
                <w:lang w:val="fr-FR"/>
              </w:rPr>
              <w:t>avertissement</w:t>
            </w:r>
          </w:p>
        </w:tc>
        <w:tc>
          <w:tcPr>
            <w:tcW w:w="3521" w:type="dxa"/>
            <w:gridSpan w:val="3"/>
            <w:tcBorders>
              <w:top w:val="nil"/>
              <w:left w:val="nil"/>
              <w:bottom w:val="nil"/>
              <w:right w:val="nil"/>
            </w:tcBorders>
          </w:tcPr>
          <w:p w14:paraId="71E06496" w14:textId="77777777" w:rsidR="003E459E" w:rsidRPr="00B3631B" w:rsidRDefault="003E459E" w:rsidP="000F540F">
            <w:pPr>
              <w:keepNext/>
              <w:keepLines/>
              <w:spacing w:before="40" w:after="40"/>
              <w:ind w:right="252"/>
              <w:rPr>
                <w:b/>
                <w:bCs/>
                <w:sz w:val="16"/>
                <w:szCs w:val="16"/>
              </w:rPr>
            </w:pPr>
            <w:r w:rsidRPr="00B3631B">
              <w:rPr>
                <w:b/>
                <w:bCs/>
                <w:sz w:val="16"/>
                <w:szCs w:val="16"/>
                <w:lang w:val="fr-FR"/>
              </w:rPr>
              <w:t>Mention de danger</w:t>
            </w:r>
          </w:p>
        </w:tc>
      </w:tr>
      <w:tr w:rsidR="003E459E" w:rsidRPr="005D36D3" w14:paraId="08349CB6" w14:textId="77777777" w:rsidTr="00835DF7">
        <w:tc>
          <w:tcPr>
            <w:tcW w:w="1641" w:type="dxa"/>
            <w:tcBorders>
              <w:top w:val="nil"/>
              <w:left w:val="nil"/>
              <w:bottom w:val="nil"/>
              <w:right w:val="nil"/>
            </w:tcBorders>
          </w:tcPr>
          <w:p w14:paraId="6601C442" w14:textId="77777777" w:rsidR="003E459E" w:rsidRPr="00B3631B" w:rsidRDefault="003E459E" w:rsidP="000F540F">
            <w:pPr>
              <w:spacing w:before="40" w:after="40"/>
              <w:rPr>
                <w:sz w:val="16"/>
                <w:szCs w:val="16"/>
              </w:rPr>
            </w:pPr>
            <w:r w:rsidRPr="00B3631B">
              <w:rPr>
                <w:sz w:val="16"/>
                <w:szCs w:val="16"/>
                <w:lang w:val="fr-FR"/>
              </w:rPr>
              <w:t>1</w:t>
            </w:r>
          </w:p>
        </w:tc>
        <w:tc>
          <w:tcPr>
            <w:tcW w:w="1984" w:type="dxa"/>
            <w:gridSpan w:val="2"/>
            <w:tcBorders>
              <w:top w:val="nil"/>
              <w:left w:val="nil"/>
              <w:bottom w:val="nil"/>
              <w:right w:val="nil"/>
            </w:tcBorders>
          </w:tcPr>
          <w:p w14:paraId="6CD314F4" w14:textId="77777777" w:rsidR="003E459E" w:rsidRPr="000B6844" w:rsidRDefault="003E459E" w:rsidP="000F540F">
            <w:pPr>
              <w:spacing w:before="40" w:after="40"/>
              <w:rPr>
                <w:sz w:val="18"/>
                <w:szCs w:val="18"/>
              </w:rPr>
            </w:pPr>
            <w:r w:rsidRPr="000B6844">
              <w:rPr>
                <w:sz w:val="18"/>
                <w:szCs w:val="18"/>
                <w:lang w:val="fr-FR"/>
              </w:rPr>
              <w:t>Point d</w:t>
            </w:r>
            <w:r>
              <w:rPr>
                <w:sz w:val="18"/>
                <w:szCs w:val="18"/>
                <w:lang w:val="fr-FR"/>
              </w:rPr>
              <w:t>’</w:t>
            </w:r>
            <w:r w:rsidRPr="000B6844">
              <w:rPr>
                <w:sz w:val="18"/>
                <w:szCs w:val="18"/>
                <w:lang w:val="fr-FR"/>
              </w:rPr>
              <w:t>exclamation</w:t>
            </w:r>
          </w:p>
        </w:tc>
        <w:tc>
          <w:tcPr>
            <w:tcW w:w="671" w:type="dxa"/>
            <w:vMerge/>
            <w:tcBorders>
              <w:left w:val="nil"/>
              <w:right w:val="nil"/>
            </w:tcBorders>
            <w:vAlign w:val="center"/>
          </w:tcPr>
          <w:p w14:paraId="78D7D3F1" w14:textId="77777777" w:rsidR="003E459E" w:rsidRPr="00B3631B" w:rsidRDefault="003E459E" w:rsidP="000F540F">
            <w:pPr>
              <w:spacing w:before="40" w:after="40"/>
              <w:rPr>
                <w:sz w:val="16"/>
                <w:szCs w:val="16"/>
              </w:rPr>
            </w:pPr>
          </w:p>
        </w:tc>
        <w:tc>
          <w:tcPr>
            <w:tcW w:w="1350" w:type="dxa"/>
            <w:tcBorders>
              <w:top w:val="nil"/>
              <w:left w:val="nil"/>
              <w:bottom w:val="nil"/>
              <w:right w:val="nil"/>
            </w:tcBorders>
          </w:tcPr>
          <w:p w14:paraId="0AEAB5C5" w14:textId="77777777" w:rsidR="003E459E" w:rsidRPr="00B3631B" w:rsidRDefault="003E459E" w:rsidP="000F540F">
            <w:pPr>
              <w:spacing w:before="40" w:after="40"/>
              <w:rPr>
                <w:sz w:val="16"/>
                <w:szCs w:val="16"/>
              </w:rPr>
            </w:pPr>
            <w:r w:rsidRPr="00B3631B">
              <w:rPr>
                <w:sz w:val="16"/>
                <w:szCs w:val="16"/>
                <w:lang w:val="fr-FR"/>
              </w:rPr>
              <w:t>Attention</w:t>
            </w:r>
          </w:p>
        </w:tc>
        <w:tc>
          <w:tcPr>
            <w:tcW w:w="570" w:type="dxa"/>
            <w:tcBorders>
              <w:top w:val="nil"/>
              <w:left w:val="nil"/>
              <w:bottom w:val="nil"/>
              <w:right w:val="nil"/>
            </w:tcBorders>
          </w:tcPr>
          <w:p w14:paraId="694C0BB9" w14:textId="77777777" w:rsidR="003E459E" w:rsidRPr="00B3631B" w:rsidRDefault="003E459E" w:rsidP="000F540F">
            <w:pPr>
              <w:spacing w:before="40" w:after="40"/>
              <w:ind w:right="-112"/>
              <w:rPr>
                <w:sz w:val="16"/>
                <w:szCs w:val="16"/>
              </w:rPr>
            </w:pPr>
            <w:r w:rsidRPr="00B3631B">
              <w:rPr>
                <w:sz w:val="16"/>
                <w:szCs w:val="16"/>
                <w:lang w:val="fr-FR"/>
              </w:rPr>
              <w:t>H421</w:t>
            </w:r>
          </w:p>
        </w:tc>
        <w:tc>
          <w:tcPr>
            <w:tcW w:w="2951" w:type="dxa"/>
            <w:gridSpan w:val="2"/>
            <w:tcBorders>
              <w:top w:val="nil"/>
              <w:left w:val="nil"/>
              <w:bottom w:val="nil"/>
              <w:right w:val="nil"/>
            </w:tcBorders>
          </w:tcPr>
          <w:p w14:paraId="256AAB26" w14:textId="55396D99" w:rsidR="003E459E" w:rsidRPr="00B3631B" w:rsidRDefault="003E459E" w:rsidP="000F540F">
            <w:pPr>
              <w:spacing w:before="40" w:after="40"/>
              <w:ind w:left="177"/>
              <w:rPr>
                <w:sz w:val="16"/>
                <w:szCs w:val="16"/>
                <w:lang w:val="fr-FR"/>
              </w:rPr>
            </w:pPr>
            <w:r w:rsidRPr="000B6844">
              <w:rPr>
                <w:sz w:val="18"/>
                <w:szCs w:val="18"/>
                <w:lang w:val="fr-FR"/>
              </w:rPr>
              <w:t>Nuit à la santé publique et à l</w:t>
            </w:r>
            <w:r>
              <w:rPr>
                <w:sz w:val="18"/>
                <w:szCs w:val="18"/>
                <w:lang w:val="fr-FR"/>
              </w:rPr>
              <w:t>’</w:t>
            </w:r>
            <w:r w:rsidRPr="000B6844">
              <w:rPr>
                <w:sz w:val="18"/>
                <w:szCs w:val="18"/>
                <w:lang w:val="fr-FR"/>
              </w:rPr>
              <w:t xml:space="preserve">environnement en contribuant </w:t>
            </w:r>
            <w:r w:rsidR="0083022B">
              <w:rPr>
                <w:sz w:val="18"/>
                <w:szCs w:val="18"/>
                <w:lang w:val="fr-FR"/>
              </w:rPr>
              <w:br/>
            </w:r>
            <w:r w:rsidRPr="000B6844">
              <w:rPr>
                <w:sz w:val="18"/>
                <w:szCs w:val="18"/>
                <w:lang w:val="fr-FR"/>
              </w:rPr>
              <w:t>au réchauffement de la planète</w:t>
            </w:r>
          </w:p>
        </w:tc>
      </w:tr>
      <w:tr w:rsidR="003E459E" w:rsidRPr="00B3631B" w14:paraId="141C69C4" w14:textId="77777777" w:rsidTr="001419AA">
        <w:tc>
          <w:tcPr>
            <w:tcW w:w="9167" w:type="dxa"/>
            <w:gridSpan w:val="8"/>
          </w:tcPr>
          <w:p w14:paraId="656CA5AA" w14:textId="77777777" w:rsidR="003E459E" w:rsidRPr="00B3631B" w:rsidRDefault="003E459E" w:rsidP="000F540F">
            <w:pPr>
              <w:pStyle w:val="Titre7"/>
              <w:shd w:val="solid" w:color="FFFFFF" w:fill="FFFFFF"/>
              <w:spacing w:before="60"/>
              <w:ind w:left="-102"/>
              <w:jc w:val="center"/>
              <w:rPr>
                <w:b/>
                <w:bCs/>
                <w:sz w:val="16"/>
                <w:szCs w:val="16"/>
              </w:rPr>
            </w:pPr>
            <w:r w:rsidRPr="00B3631B">
              <w:rPr>
                <w:b/>
                <w:bCs/>
                <w:sz w:val="16"/>
                <w:szCs w:val="16"/>
                <w:lang w:val="fr-FR"/>
              </w:rPr>
              <w:t>Conseils de prudence</w:t>
            </w:r>
          </w:p>
        </w:tc>
      </w:tr>
      <w:tr w:rsidR="003E459E" w:rsidRPr="00B3631B" w14:paraId="7D07743E" w14:textId="77777777" w:rsidTr="00835DF7">
        <w:tc>
          <w:tcPr>
            <w:tcW w:w="2667" w:type="dxa"/>
            <w:gridSpan w:val="2"/>
          </w:tcPr>
          <w:p w14:paraId="2112331C" w14:textId="77777777" w:rsidR="003E459E" w:rsidRPr="00B3631B" w:rsidRDefault="003E459E" w:rsidP="000F540F">
            <w:pPr>
              <w:spacing w:before="60" w:after="60"/>
              <w:jc w:val="center"/>
              <w:rPr>
                <w:b/>
                <w:bCs/>
                <w:sz w:val="16"/>
                <w:szCs w:val="16"/>
              </w:rPr>
            </w:pPr>
            <w:r w:rsidRPr="00B3631B">
              <w:rPr>
                <w:b/>
                <w:bCs/>
                <w:sz w:val="16"/>
                <w:szCs w:val="16"/>
                <w:lang w:val="fr-FR"/>
              </w:rPr>
              <w:t>Prévention</w:t>
            </w:r>
          </w:p>
        </w:tc>
        <w:tc>
          <w:tcPr>
            <w:tcW w:w="2979" w:type="dxa"/>
            <w:gridSpan w:val="3"/>
          </w:tcPr>
          <w:p w14:paraId="523F87C5" w14:textId="77777777" w:rsidR="003E459E" w:rsidRPr="00B3631B" w:rsidRDefault="003E459E" w:rsidP="000F540F">
            <w:pPr>
              <w:spacing w:before="60" w:after="60"/>
              <w:jc w:val="center"/>
              <w:rPr>
                <w:b/>
                <w:bCs/>
                <w:sz w:val="16"/>
                <w:szCs w:val="16"/>
              </w:rPr>
            </w:pPr>
            <w:r w:rsidRPr="00B3631B">
              <w:rPr>
                <w:b/>
                <w:bCs/>
                <w:sz w:val="16"/>
                <w:szCs w:val="16"/>
                <w:lang w:val="fr-FR"/>
              </w:rPr>
              <w:t>Intervention</w:t>
            </w:r>
          </w:p>
        </w:tc>
        <w:tc>
          <w:tcPr>
            <w:tcW w:w="883" w:type="dxa"/>
            <w:gridSpan w:val="2"/>
          </w:tcPr>
          <w:p w14:paraId="6A487F29" w14:textId="77777777" w:rsidR="003E459E" w:rsidRPr="00B3631B" w:rsidRDefault="003E459E" w:rsidP="000F540F">
            <w:pPr>
              <w:spacing w:before="60" w:after="60"/>
              <w:jc w:val="center"/>
              <w:rPr>
                <w:b/>
                <w:bCs/>
                <w:sz w:val="16"/>
                <w:szCs w:val="16"/>
              </w:rPr>
            </w:pPr>
            <w:r w:rsidRPr="00B3631B">
              <w:rPr>
                <w:b/>
                <w:bCs/>
                <w:sz w:val="16"/>
                <w:szCs w:val="16"/>
                <w:lang w:val="fr-FR"/>
              </w:rPr>
              <w:t>Stockage</w:t>
            </w:r>
          </w:p>
        </w:tc>
        <w:tc>
          <w:tcPr>
            <w:tcW w:w="2638" w:type="dxa"/>
          </w:tcPr>
          <w:p w14:paraId="7A4325A0" w14:textId="77777777" w:rsidR="003E459E" w:rsidRPr="00B3631B" w:rsidRDefault="003E459E" w:rsidP="000F540F">
            <w:pPr>
              <w:spacing w:before="60" w:after="60"/>
              <w:jc w:val="center"/>
              <w:rPr>
                <w:b/>
                <w:bCs/>
                <w:sz w:val="16"/>
                <w:szCs w:val="16"/>
              </w:rPr>
            </w:pPr>
            <w:r w:rsidRPr="00B3631B">
              <w:rPr>
                <w:b/>
                <w:bCs/>
                <w:sz w:val="16"/>
                <w:szCs w:val="16"/>
                <w:lang w:val="fr-FR"/>
              </w:rPr>
              <w:t>Élimination</w:t>
            </w:r>
          </w:p>
        </w:tc>
      </w:tr>
      <w:tr w:rsidR="003E459E" w:rsidRPr="005D36D3" w14:paraId="0F40DA52" w14:textId="77777777" w:rsidTr="00835DF7">
        <w:tc>
          <w:tcPr>
            <w:tcW w:w="2667" w:type="dxa"/>
            <w:gridSpan w:val="2"/>
          </w:tcPr>
          <w:p w14:paraId="220357F3" w14:textId="77777777" w:rsidR="003E459E" w:rsidRPr="00B3631B" w:rsidRDefault="003E459E" w:rsidP="000F540F">
            <w:pPr>
              <w:tabs>
                <w:tab w:val="left" w:pos="459"/>
              </w:tabs>
              <w:spacing w:before="20" w:after="160"/>
              <w:rPr>
                <w:sz w:val="16"/>
                <w:szCs w:val="16"/>
              </w:rPr>
            </w:pPr>
          </w:p>
        </w:tc>
        <w:tc>
          <w:tcPr>
            <w:tcW w:w="2979" w:type="dxa"/>
            <w:gridSpan w:val="3"/>
          </w:tcPr>
          <w:p w14:paraId="7551CEA1" w14:textId="77777777" w:rsidR="003E459E" w:rsidRPr="00B3631B" w:rsidRDefault="003E459E" w:rsidP="000F540F">
            <w:pPr>
              <w:pStyle w:val="Textedebulles"/>
              <w:spacing w:before="20" w:after="160"/>
              <w:rPr>
                <w:rFonts w:ascii="Times New Roman" w:hAnsi="Times New Roman" w:cs="Times New Roman"/>
                <w:b/>
              </w:rPr>
            </w:pPr>
          </w:p>
        </w:tc>
        <w:tc>
          <w:tcPr>
            <w:tcW w:w="883" w:type="dxa"/>
            <w:gridSpan w:val="2"/>
          </w:tcPr>
          <w:p w14:paraId="5E70F005" w14:textId="77777777" w:rsidR="003E459E" w:rsidRPr="00B3631B" w:rsidRDefault="003E459E" w:rsidP="000F540F">
            <w:pPr>
              <w:spacing w:before="20" w:after="160"/>
              <w:rPr>
                <w:sz w:val="16"/>
                <w:szCs w:val="16"/>
              </w:rPr>
            </w:pPr>
          </w:p>
        </w:tc>
        <w:tc>
          <w:tcPr>
            <w:tcW w:w="2638" w:type="dxa"/>
          </w:tcPr>
          <w:p w14:paraId="2DB4E1A2" w14:textId="77777777" w:rsidR="003E459E" w:rsidRPr="000B6844" w:rsidRDefault="003E459E" w:rsidP="000F540F">
            <w:pPr>
              <w:spacing w:before="20" w:after="160"/>
              <w:rPr>
                <w:sz w:val="18"/>
                <w:szCs w:val="18"/>
                <w:lang w:val="fr-FR"/>
              </w:rPr>
            </w:pPr>
            <w:r w:rsidRPr="000B6844">
              <w:rPr>
                <w:sz w:val="18"/>
                <w:szCs w:val="18"/>
                <w:lang w:val="fr-FR"/>
              </w:rPr>
              <w:t xml:space="preserve">P502 </w:t>
            </w:r>
            <w:r w:rsidRPr="000B6844">
              <w:rPr>
                <w:sz w:val="18"/>
                <w:szCs w:val="18"/>
                <w:lang w:val="fr-FR"/>
              </w:rPr>
              <w:br/>
            </w:r>
            <w:r w:rsidRPr="000B6844">
              <w:rPr>
                <w:b/>
                <w:bCs/>
                <w:sz w:val="18"/>
                <w:szCs w:val="18"/>
                <w:lang w:val="fr-FR"/>
              </w:rPr>
              <w:t>Se reporter au fabricant ou au fournisseur pour les informations concernant la récupération ou le recyclage</w:t>
            </w:r>
          </w:p>
        </w:tc>
      </w:tr>
    </w:tbl>
    <w:bookmarkEnd w:id="13"/>
    <w:p w14:paraId="211B3160" w14:textId="69B17B58" w:rsidR="006D087D" w:rsidRDefault="003E459E" w:rsidP="001419AA">
      <w:pPr>
        <w:pStyle w:val="SingleTxtG"/>
        <w:ind w:right="0"/>
        <w:jc w:val="right"/>
      </w:pPr>
      <w:r>
        <w:rPr>
          <w:lang w:val="fr-FR"/>
        </w:rPr>
        <w:t>»</w:t>
      </w:r>
      <w:r w:rsidR="0083022B" w:rsidRPr="0083022B">
        <w:rPr>
          <w:lang w:val="fr-FR"/>
        </w:rPr>
        <w:t>.</w:t>
      </w:r>
    </w:p>
    <w:p w14:paraId="473E5122" w14:textId="015FD51F" w:rsidR="00446FE5" w:rsidRPr="003E459E" w:rsidRDefault="003E459E" w:rsidP="003E459E">
      <w:pPr>
        <w:pStyle w:val="SingleTxtG"/>
        <w:spacing w:before="240" w:after="0"/>
        <w:jc w:val="center"/>
        <w:rPr>
          <w:u w:val="single"/>
        </w:rPr>
      </w:pPr>
      <w:r>
        <w:rPr>
          <w:u w:val="single"/>
        </w:rPr>
        <w:tab/>
      </w:r>
      <w:r>
        <w:rPr>
          <w:u w:val="single"/>
        </w:rPr>
        <w:tab/>
      </w:r>
      <w:r>
        <w:rPr>
          <w:u w:val="single"/>
        </w:rPr>
        <w:tab/>
      </w:r>
    </w:p>
    <w:sectPr w:rsidR="00446FE5" w:rsidRPr="003E459E" w:rsidSect="006D087D">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48E6" w14:textId="77777777" w:rsidR="0063793B" w:rsidRDefault="0063793B" w:rsidP="00F95C08">
      <w:pPr>
        <w:spacing w:line="240" w:lineRule="auto"/>
      </w:pPr>
    </w:p>
  </w:endnote>
  <w:endnote w:type="continuationSeparator" w:id="0">
    <w:p w14:paraId="019C763E" w14:textId="77777777" w:rsidR="0063793B" w:rsidRPr="00AC3823" w:rsidRDefault="0063793B" w:rsidP="00AC3823">
      <w:pPr>
        <w:pStyle w:val="Pieddepage"/>
      </w:pPr>
    </w:p>
  </w:endnote>
  <w:endnote w:type="continuationNotice" w:id="1">
    <w:p w14:paraId="0838CC38" w14:textId="77777777" w:rsidR="0063793B" w:rsidRDefault="006379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546E" w14:textId="6482221C" w:rsidR="006D087D" w:rsidRPr="006D087D" w:rsidRDefault="006D087D" w:rsidP="006D087D">
    <w:pPr>
      <w:pStyle w:val="Pieddepage"/>
      <w:tabs>
        <w:tab w:val="right" w:pos="9638"/>
      </w:tabs>
    </w:pPr>
    <w:r w:rsidRPr="006D087D">
      <w:rPr>
        <w:b/>
        <w:sz w:val="18"/>
      </w:rPr>
      <w:fldChar w:fldCharType="begin"/>
    </w:r>
    <w:r w:rsidRPr="006D087D">
      <w:rPr>
        <w:b/>
        <w:sz w:val="18"/>
      </w:rPr>
      <w:instrText xml:space="preserve"> PAGE  \* MERGEFORMAT </w:instrText>
    </w:r>
    <w:r w:rsidRPr="006D087D">
      <w:rPr>
        <w:b/>
        <w:sz w:val="18"/>
      </w:rPr>
      <w:fldChar w:fldCharType="separate"/>
    </w:r>
    <w:r w:rsidRPr="006D087D">
      <w:rPr>
        <w:b/>
        <w:noProof/>
        <w:sz w:val="18"/>
      </w:rPr>
      <w:t>2</w:t>
    </w:r>
    <w:r w:rsidRPr="006D087D">
      <w:rPr>
        <w:b/>
        <w:sz w:val="18"/>
      </w:rPr>
      <w:fldChar w:fldCharType="end"/>
    </w:r>
    <w:r>
      <w:rPr>
        <w:b/>
        <w:sz w:val="18"/>
      </w:rPr>
      <w:tab/>
    </w:r>
    <w:r>
      <w:t>GE</w:t>
    </w:r>
    <w:r w:rsidR="0083022B" w:rsidRPr="0083022B">
      <w:t>.</w:t>
    </w:r>
    <w:r>
      <w:t>23-07731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5B23" w14:textId="54950405" w:rsidR="006D087D" w:rsidRPr="006D087D" w:rsidRDefault="006D087D" w:rsidP="006D087D">
    <w:pPr>
      <w:pStyle w:val="Pieddepage"/>
      <w:tabs>
        <w:tab w:val="right" w:pos="9638"/>
      </w:tabs>
      <w:rPr>
        <w:b/>
        <w:sz w:val="18"/>
      </w:rPr>
    </w:pPr>
    <w:r>
      <w:t>GE</w:t>
    </w:r>
    <w:r w:rsidR="0083022B" w:rsidRPr="0083022B">
      <w:t>.</w:t>
    </w:r>
    <w:r>
      <w:t>23-07731</w:t>
    </w:r>
    <w:r>
      <w:tab/>
    </w:r>
    <w:r w:rsidRPr="006D087D">
      <w:rPr>
        <w:b/>
        <w:sz w:val="18"/>
      </w:rPr>
      <w:fldChar w:fldCharType="begin"/>
    </w:r>
    <w:r w:rsidRPr="006D087D">
      <w:rPr>
        <w:b/>
        <w:sz w:val="18"/>
      </w:rPr>
      <w:instrText xml:space="preserve"> PAGE  \* MERGEFORMAT </w:instrText>
    </w:r>
    <w:r w:rsidRPr="006D087D">
      <w:rPr>
        <w:b/>
        <w:sz w:val="18"/>
      </w:rPr>
      <w:fldChar w:fldCharType="separate"/>
    </w:r>
    <w:r w:rsidRPr="006D087D">
      <w:rPr>
        <w:b/>
        <w:noProof/>
        <w:sz w:val="18"/>
      </w:rPr>
      <w:t>3</w:t>
    </w:r>
    <w:r w:rsidRPr="006D08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9F30" w14:textId="5B4548C6" w:rsidR="0068456F" w:rsidRPr="006D087D" w:rsidRDefault="006D087D" w:rsidP="006D087D">
    <w:pPr>
      <w:pStyle w:val="Pieddepage"/>
      <w:spacing w:before="120"/>
      <w:rPr>
        <w:sz w:val="20"/>
      </w:rPr>
    </w:pPr>
    <w:r>
      <w:rPr>
        <w:sz w:val="20"/>
      </w:rPr>
      <w:t>GE</w:t>
    </w:r>
    <w:r w:rsidR="0083022B" w:rsidRPr="0083022B">
      <w:rPr>
        <w:sz w:val="20"/>
      </w:rPr>
      <w:t>.</w:t>
    </w:r>
    <w:r w:rsidR="0068456F">
      <w:rPr>
        <w:noProof/>
        <w:lang w:eastAsia="fr-CH"/>
      </w:rPr>
      <w:drawing>
        <wp:anchor distT="0" distB="0" distL="114300" distR="114300" simplePos="0" relativeHeight="251659264" behindDoc="0" locked="0" layoutInCell="1" allowOverlap="0" wp14:anchorId="6DAA908D" wp14:editId="4203674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23-07731  (F)</w:t>
    </w:r>
    <w:r>
      <w:rPr>
        <w:noProof/>
        <w:sz w:val="20"/>
      </w:rPr>
      <w:drawing>
        <wp:anchor distT="0" distB="0" distL="114300" distR="114300" simplePos="0" relativeHeight="251660288" behindDoc="0" locked="0" layoutInCell="1" allowOverlap="1" wp14:anchorId="0DAE30AE" wp14:editId="6106E62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180523    180523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9692" w14:textId="77777777" w:rsidR="0063793B" w:rsidRPr="00AC3823" w:rsidRDefault="0063793B" w:rsidP="00AC3823">
      <w:pPr>
        <w:pStyle w:val="Pieddepage"/>
        <w:tabs>
          <w:tab w:val="right" w:pos="2155"/>
        </w:tabs>
        <w:spacing w:after="80" w:line="240" w:lineRule="atLeast"/>
        <w:ind w:left="680"/>
        <w:rPr>
          <w:u w:val="single"/>
        </w:rPr>
      </w:pPr>
      <w:r>
        <w:rPr>
          <w:u w:val="single"/>
        </w:rPr>
        <w:tab/>
      </w:r>
    </w:p>
  </w:footnote>
  <w:footnote w:type="continuationSeparator" w:id="0">
    <w:p w14:paraId="008CE994" w14:textId="77777777" w:rsidR="0063793B" w:rsidRPr="00AC3823" w:rsidRDefault="0063793B" w:rsidP="00AC3823">
      <w:pPr>
        <w:pStyle w:val="Pieddepage"/>
        <w:tabs>
          <w:tab w:val="right" w:pos="2155"/>
        </w:tabs>
        <w:spacing w:after="80" w:line="240" w:lineRule="atLeast"/>
        <w:ind w:left="680"/>
        <w:rPr>
          <w:u w:val="single"/>
        </w:rPr>
      </w:pPr>
      <w:r>
        <w:rPr>
          <w:u w:val="single"/>
        </w:rPr>
        <w:tab/>
      </w:r>
    </w:p>
  </w:footnote>
  <w:footnote w:type="continuationNotice" w:id="1">
    <w:p w14:paraId="71685D39" w14:textId="77777777" w:rsidR="0063793B" w:rsidRPr="00AC3823" w:rsidRDefault="0063793B">
      <w:pPr>
        <w:spacing w:line="240" w:lineRule="auto"/>
        <w:rPr>
          <w:sz w:val="2"/>
          <w:szCs w:val="2"/>
        </w:rPr>
      </w:pPr>
    </w:p>
  </w:footnote>
  <w:footnote w:id="2">
    <w:p w14:paraId="7397B794" w14:textId="1419F8C1" w:rsidR="003E459E" w:rsidRPr="00676FB6" w:rsidRDefault="003E459E" w:rsidP="003E459E">
      <w:pPr>
        <w:pStyle w:val="Notedebasdepage"/>
        <w:rPr>
          <w:sz w:val="20"/>
          <w:lang w:val="fr-FR"/>
        </w:rPr>
      </w:pPr>
      <w:r w:rsidRPr="00283573">
        <w:rPr>
          <w:sz w:val="20"/>
          <w:lang w:val="fr-FR"/>
        </w:rPr>
        <w:tab/>
        <w:t>*</w:t>
      </w:r>
      <w:r w:rsidRPr="00283573">
        <w:rPr>
          <w:lang w:val="fr-FR"/>
        </w:rPr>
        <w:tab/>
      </w:r>
      <w:r>
        <w:rPr>
          <w:lang w:val="fr-FR"/>
        </w:rPr>
        <w:t>A/77/6 (Sect</w:t>
      </w:r>
      <w:r w:rsidR="0083022B" w:rsidRPr="0083022B">
        <w:rPr>
          <w:lang w:val="fr-FR"/>
        </w:rPr>
        <w:t>.</w:t>
      </w:r>
      <w:r>
        <w:rPr>
          <w:lang w:val="fr-FR"/>
        </w:rPr>
        <w:t xml:space="preserve"> 20), tableau 20</w:t>
      </w:r>
      <w:r w:rsidR="0083022B" w:rsidRPr="0083022B">
        <w:rPr>
          <w:lang w:val="fr-FR"/>
        </w:rPr>
        <w:t>.</w:t>
      </w:r>
      <w:r>
        <w:rPr>
          <w:lang w:val="fr-FR"/>
        </w:rPr>
        <w:t>6</w:t>
      </w:r>
      <w:r w:rsidR="0083022B" w:rsidRPr="0083022B">
        <w:rPr>
          <w:lang w:val="fr-FR"/>
        </w:rPr>
        <w:t>.</w:t>
      </w:r>
    </w:p>
  </w:footnote>
  <w:footnote w:id="3">
    <w:p w14:paraId="1E6A9663" w14:textId="617603F4" w:rsidR="003E459E" w:rsidRPr="00676FB6" w:rsidRDefault="003E459E" w:rsidP="003E459E">
      <w:pPr>
        <w:pStyle w:val="Notedebasdepage"/>
        <w:rPr>
          <w:lang w:val="fr-FR"/>
        </w:rPr>
      </w:pPr>
      <w:r>
        <w:rPr>
          <w:lang w:val="fr-FR"/>
        </w:rPr>
        <w:tab/>
      </w:r>
      <w:r w:rsidRPr="005D36D3">
        <w:rPr>
          <w:rStyle w:val="Appelnotedebasdep"/>
        </w:rPr>
        <w:footnoteRef/>
      </w:r>
      <w:r>
        <w:rPr>
          <w:lang w:val="fr-FR"/>
        </w:rPr>
        <w:tab/>
        <w:t>Voir le document informel INF</w:t>
      </w:r>
      <w:r w:rsidR="0083022B" w:rsidRPr="0083022B">
        <w:rPr>
          <w:lang w:val="fr-FR"/>
        </w:rPr>
        <w:t>.</w:t>
      </w:r>
      <w:r>
        <w:rPr>
          <w:lang w:val="fr-FR"/>
        </w:rPr>
        <w:t>14 et le rapport de la quarante-deuxième session (ST/SG/AC</w:t>
      </w:r>
      <w:r w:rsidR="0083022B" w:rsidRPr="0083022B">
        <w:rPr>
          <w:lang w:val="fr-FR"/>
        </w:rPr>
        <w:t>.</w:t>
      </w:r>
      <w:r>
        <w:rPr>
          <w:lang w:val="fr-FR"/>
        </w:rPr>
        <w:t>10/C</w:t>
      </w:r>
      <w:r w:rsidR="0083022B" w:rsidRPr="0083022B">
        <w:rPr>
          <w:lang w:val="fr-FR"/>
        </w:rPr>
        <w:t>.</w:t>
      </w:r>
      <w:r>
        <w:rPr>
          <w:lang w:val="fr-FR"/>
        </w:rPr>
        <w:t>4/84)</w:t>
      </w:r>
      <w:r w:rsidR="0083022B" w:rsidRPr="0083022B">
        <w:rPr>
          <w:lang w:val="fr-FR"/>
        </w:rPr>
        <w:t>.</w:t>
      </w:r>
    </w:p>
  </w:footnote>
  <w:footnote w:id="4">
    <w:p w14:paraId="7A1823E9" w14:textId="720A5234" w:rsidR="003E459E" w:rsidRDefault="003E459E" w:rsidP="003E459E">
      <w:pPr>
        <w:pStyle w:val="Notedebasdepage"/>
        <w:rPr>
          <w:lang w:val="fr-FR"/>
        </w:rPr>
      </w:pPr>
      <w:r>
        <w:rPr>
          <w:lang w:val="fr-FR"/>
        </w:rPr>
        <w:tab/>
      </w:r>
      <w:r w:rsidRPr="005D36D3">
        <w:rPr>
          <w:rStyle w:val="Appelnotedebasdep"/>
        </w:rPr>
        <w:footnoteRef/>
      </w:r>
      <w:r>
        <w:rPr>
          <w:lang w:val="fr-FR"/>
        </w:rPr>
        <w:tab/>
        <w:t>Voir le document informel INF</w:t>
      </w:r>
      <w:r w:rsidR="0083022B" w:rsidRPr="0083022B">
        <w:rPr>
          <w:lang w:val="fr-FR"/>
        </w:rPr>
        <w:t>.</w:t>
      </w:r>
      <w:r>
        <w:rPr>
          <w:lang w:val="fr-FR"/>
        </w:rPr>
        <w:t>37 et le rapport de la quarante-troisième session (</w:t>
      </w:r>
      <w:r>
        <w:fldChar w:fldCharType="begin"/>
      </w:r>
      <w:r w:rsidRPr="00676FB6">
        <w:rPr>
          <w:lang w:val="fr-FR"/>
        </w:rPr>
        <w:instrText xml:space="preserve"> TITLE  \* MERGEFORMAT </w:instrText>
      </w:r>
      <w:r>
        <w:fldChar w:fldCharType="separate"/>
      </w:r>
      <w:r w:rsidRPr="00C27041">
        <w:rPr>
          <w:lang w:val="fr-FR"/>
        </w:rPr>
        <w:t>ST/SG/AC</w:t>
      </w:r>
      <w:r w:rsidR="0083022B" w:rsidRPr="0083022B">
        <w:rPr>
          <w:lang w:val="fr-FR"/>
        </w:rPr>
        <w:t>.</w:t>
      </w:r>
      <w:r w:rsidRPr="00C27041">
        <w:rPr>
          <w:lang w:val="fr-FR"/>
        </w:rPr>
        <w:t>10/C</w:t>
      </w:r>
      <w:r w:rsidR="0083022B" w:rsidRPr="0083022B">
        <w:rPr>
          <w:lang w:val="fr-FR"/>
        </w:rPr>
        <w:t>.</w:t>
      </w:r>
      <w:r w:rsidRPr="00C27041">
        <w:rPr>
          <w:lang w:val="fr-FR"/>
        </w:rPr>
        <w:t>4/86</w:t>
      </w:r>
      <w:r>
        <w:fldChar w:fldCharType="end"/>
      </w:r>
      <w:r w:rsidRPr="00C27041">
        <w:rPr>
          <w:lang w:val="fr-FR"/>
        </w:rPr>
        <w:t>)</w:t>
      </w:r>
      <w:r w:rsidR="0083022B" w:rsidRPr="0083022B">
        <w:rPr>
          <w:lang w:val="fr-FR"/>
        </w:rPr>
        <w:t>.</w:t>
      </w:r>
    </w:p>
    <w:p w14:paraId="1904638A" w14:textId="77777777" w:rsidR="00283573" w:rsidRPr="00C27041" w:rsidRDefault="00283573" w:rsidP="003E459E">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FC73" w14:textId="21ADD86F" w:rsidR="006D087D" w:rsidRPr="006D087D" w:rsidRDefault="006D087D">
    <w:pPr>
      <w:pStyle w:val="En-tte"/>
    </w:pPr>
    <w:fldSimple w:instr=" TITLE  \* MERGEFORMAT ">
      <w:r w:rsidR="00870A7F">
        <w:t>ST/SG/AC.10/C.4/2023/4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07A1" w14:textId="41C3FF02" w:rsidR="006D087D" w:rsidRPr="006D087D" w:rsidRDefault="006D087D" w:rsidP="006D087D">
    <w:pPr>
      <w:pStyle w:val="En-tte"/>
      <w:jc w:val="right"/>
    </w:pPr>
    <w:fldSimple w:instr=" TITLE  \* MERGEFORMAT ">
      <w:r w:rsidR="00870A7F">
        <w:t>ST/SG/AC.10/C.4/2023/4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1855068">
    <w:abstractNumId w:val="12"/>
  </w:num>
  <w:num w:numId="2" w16cid:durableId="12346628">
    <w:abstractNumId w:val="11"/>
  </w:num>
  <w:num w:numId="3" w16cid:durableId="1894612166">
    <w:abstractNumId w:val="10"/>
  </w:num>
  <w:num w:numId="4" w16cid:durableId="1727873456">
    <w:abstractNumId w:val="8"/>
  </w:num>
  <w:num w:numId="5" w16cid:durableId="702511076">
    <w:abstractNumId w:val="3"/>
  </w:num>
  <w:num w:numId="6" w16cid:durableId="1869904046">
    <w:abstractNumId w:val="2"/>
  </w:num>
  <w:num w:numId="7" w16cid:durableId="388574559">
    <w:abstractNumId w:val="1"/>
  </w:num>
  <w:num w:numId="8" w16cid:durableId="828327863">
    <w:abstractNumId w:val="0"/>
  </w:num>
  <w:num w:numId="9" w16cid:durableId="1004818242">
    <w:abstractNumId w:val="9"/>
  </w:num>
  <w:num w:numId="10" w16cid:durableId="514882965">
    <w:abstractNumId w:val="7"/>
  </w:num>
  <w:num w:numId="11" w16cid:durableId="1802574429">
    <w:abstractNumId w:val="6"/>
  </w:num>
  <w:num w:numId="12" w16cid:durableId="905644907">
    <w:abstractNumId w:val="5"/>
  </w:num>
  <w:num w:numId="13" w16cid:durableId="1471249187">
    <w:abstractNumId w:val="4"/>
  </w:num>
  <w:num w:numId="14" w16cid:durableId="958948509">
    <w:abstractNumId w:val="12"/>
  </w:num>
  <w:num w:numId="15" w16cid:durableId="2029795043">
    <w:abstractNumId w:val="11"/>
  </w:num>
  <w:num w:numId="16" w16cid:durableId="1870679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3B"/>
    <w:rsid w:val="00017F94"/>
    <w:rsid w:val="00023842"/>
    <w:rsid w:val="000305D3"/>
    <w:rsid w:val="000334F9"/>
    <w:rsid w:val="0007796D"/>
    <w:rsid w:val="000B7790"/>
    <w:rsid w:val="000C53EA"/>
    <w:rsid w:val="000F090E"/>
    <w:rsid w:val="00111F2F"/>
    <w:rsid w:val="00132EA9"/>
    <w:rsid w:val="001419AA"/>
    <w:rsid w:val="0014365E"/>
    <w:rsid w:val="00172E49"/>
    <w:rsid w:val="00176178"/>
    <w:rsid w:val="001F525A"/>
    <w:rsid w:val="00223272"/>
    <w:rsid w:val="0024779E"/>
    <w:rsid w:val="00283190"/>
    <w:rsid w:val="002832AC"/>
    <w:rsid w:val="00283573"/>
    <w:rsid w:val="002D7C93"/>
    <w:rsid w:val="003A2ED3"/>
    <w:rsid w:val="003E459E"/>
    <w:rsid w:val="00434872"/>
    <w:rsid w:val="00441C3B"/>
    <w:rsid w:val="00446FE5"/>
    <w:rsid w:val="00452396"/>
    <w:rsid w:val="004E468C"/>
    <w:rsid w:val="00515B1C"/>
    <w:rsid w:val="005505B7"/>
    <w:rsid w:val="00573BE5"/>
    <w:rsid w:val="00584DC4"/>
    <w:rsid w:val="00586ED3"/>
    <w:rsid w:val="00596AA9"/>
    <w:rsid w:val="0063793B"/>
    <w:rsid w:val="0068456F"/>
    <w:rsid w:val="006D087D"/>
    <w:rsid w:val="0071601D"/>
    <w:rsid w:val="007A62E6"/>
    <w:rsid w:val="00802AA8"/>
    <w:rsid w:val="0080684C"/>
    <w:rsid w:val="008123E0"/>
    <w:rsid w:val="0083022B"/>
    <w:rsid w:val="00835DF7"/>
    <w:rsid w:val="00870A7F"/>
    <w:rsid w:val="00871C75"/>
    <w:rsid w:val="008776DC"/>
    <w:rsid w:val="008B40CD"/>
    <w:rsid w:val="009705C8"/>
    <w:rsid w:val="009C1CF4"/>
    <w:rsid w:val="00A11D8F"/>
    <w:rsid w:val="00A30353"/>
    <w:rsid w:val="00A81281"/>
    <w:rsid w:val="00A9313C"/>
    <w:rsid w:val="00AC3823"/>
    <w:rsid w:val="00AE323C"/>
    <w:rsid w:val="00B00181"/>
    <w:rsid w:val="00B00B0D"/>
    <w:rsid w:val="00B765F7"/>
    <w:rsid w:val="00BA0CA9"/>
    <w:rsid w:val="00C02897"/>
    <w:rsid w:val="00D3439C"/>
    <w:rsid w:val="00DB1831"/>
    <w:rsid w:val="00DD3BFD"/>
    <w:rsid w:val="00DF6678"/>
    <w:rsid w:val="00E43966"/>
    <w:rsid w:val="00ED0743"/>
    <w:rsid w:val="00EF2E22"/>
    <w:rsid w:val="00F01738"/>
    <w:rsid w:val="00F24DF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37DA"/>
  <w15:docId w15:val="{6E6E3C29-534A-4671-8868-E36FEFAD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aliases w:val="GHS Chapter Heading"/>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aliases w:val="GHS Chapter Heading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32EA9"/>
    <w:rPr>
      <w:rFonts w:ascii="Tahoma" w:hAnsi="Tahoma" w:cs="Tahoma"/>
      <w:sz w:val="16"/>
      <w:szCs w:val="16"/>
      <w:lang w:eastAsia="en-US"/>
    </w:rPr>
  </w:style>
  <w:style w:type="character" w:customStyle="1" w:styleId="SingleTxtGChar">
    <w:name w:val="_ Single Txt_G Char"/>
    <w:link w:val="SingleTxtG"/>
    <w:qFormat/>
    <w:locked/>
    <w:rsid w:val="003E459E"/>
    <w:rPr>
      <w:rFonts w:ascii="Times New Roman" w:eastAsiaTheme="minorHAnsi" w:hAnsi="Times New Roman" w:cs="Times New Roman"/>
      <w:sz w:val="20"/>
      <w:szCs w:val="20"/>
      <w:lang w:eastAsia="en-US"/>
    </w:rPr>
  </w:style>
  <w:style w:type="character" w:customStyle="1" w:styleId="HChGChar">
    <w:name w:val="_ H _Ch_G Char"/>
    <w:link w:val="HChG"/>
    <w:locked/>
    <w:rsid w:val="003E459E"/>
    <w:rPr>
      <w:rFonts w:ascii="Times New Roman" w:eastAsiaTheme="minorHAnsi" w:hAnsi="Times New Roman" w:cs="Times New Roman"/>
      <w:b/>
      <w:sz w:val="28"/>
      <w:szCs w:val="20"/>
      <w:lang w:eastAsia="en-US"/>
    </w:rPr>
  </w:style>
  <w:style w:type="character" w:customStyle="1" w:styleId="H1GChar">
    <w:name w:val="_ H_1_G Char"/>
    <w:link w:val="H1G"/>
    <w:rsid w:val="003E459E"/>
    <w:rPr>
      <w:rFonts w:ascii="Times New Roman" w:eastAsiaTheme="minorHAnsi" w:hAnsi="Times New Roman" w:cs="Times New Roman"/>
      <w:b/>
      <w:sz w:val="24"/>
      <w:szCs w:val="20"/>
      <w:lang w:eastAsia="en-US"/>
    </w:rPr>
  </w:style>
  <w:style w:type="paragraph" w:customStyle="1" w:styleId="GHS1stline">
    <w:name w:val="GHS_1st line"/>
    <w:basedOn w:val="Normal"/>
    <w:qFormat/>
    <w:rsid w:val="003E459E"/>
    <w:pPr>
      <w:tabs>
        <w:tab w:val="left" w:pos="1418"/>
        <w:tab w:val="left" w:pos="1985"/>
        <w:tab w:val="left" w:pos="2552"/>
        <w:tab w:val="left" w:pos="3119"/>
        <w:tab w:val="left" w:pos="3686"/>
      </w:tabs>
      <w:suppressAutoHyphens w:val="0"/>
      <w:kinsoku/>
      <w:overflowPunct/>
      <w:snapToGrid/>
      <w:spacing w:after="240" w:line="240" w:lineRule="auto"/>
      <w:ind w:firstLine="1418"/>
      <w:jc w:val="both"/>
    </w:pPr>
    <w:rPr>
      <w:rFonts w:eastAsia="Times New Roman"/>
      <w:lang w:val="en-GB"/>
    </w:rPr>
  </w:style>
  <w:style w:type="paragraph" w:customStyle="1" w:styleId="GHSHeading3">
    <w:name w:val="GHSHeading3"/>
    <w:basedOn w:val="Titre3"/>
    <w:rsid w:val="003E459E"/>
    <w:pPr>
      <w:keepNext/>
      <w:tabs>
        <w:tab w:val="left" w:pos="1418"/>
      </w:tabs>
      <w:suppressAutoHyphens w:val="0"/>
      <w:kinsoku/>
      <w:overflowPunct/>
      <w:snapToGrid/>
      <w:spacing w:line="240" w:lineRule="auto"/>
    </w:pPr>
    <w:rPr>
      <w:rFonts w:eastAsia="Times New Roman"/>
      <w:b/>
      <w:bCs/>
      <w:color w:val="000000"/>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37E8E-D501-42B1-9D36-E246FC26DC7D}"/>
</file>

<file path=customXml/itemProps2.xml><?xml version="1.0" encoding="utf-8"?>
<ds:datastoreItem xmlns:ds="http://schemas.openxmlformats.org/officeDocument/2006/customXml" ds:itemID="{99E6126E-ADEE-47AD-88B9-15DF002F8B8A}"/>
</file>

<file path=docProps/app.xml><?xml version="1.0" encoding="utf-8"?>
<Properties xmlns="http://schemas.openxmlformats.org/officeDocument/2006/extended-properties" xmlns:vt="http://schemas.openxmlformats.org/officeDocument/2006/docPropsVTypes">
  <Template>ST.dotm</Template>
  <TotalTime>1</TotalTime>
  <Pages>8</Pages>
  <Words>2486</Words>
  <Characters>14917</Characters>
  <Application>Microsoft Office Word</Application>
  <DocSecurity>0</DocSecurity>
  <Lines>2131</Lines>
  <Paragraphs>915</Paragraphs>
  <ScaleCrop>false</ScaleCrop>
  <HeadingPairs>
    <vt:vector size="2" baseType="variant">
      <vt:variant>
        <vt:lpstr>Titre</vt:lpstr>
      </vt:variant>
      <vt:variant>
        <vt:i4>1</vt:i4>
      </vt:variant>
    </vt:vector>
  </HeadingPairs>
  <TitlesOfParts>
    <vt:vector size="1" baseType="lpstr">
      <vt:lpstr>ST/SG/AC.10/C.4/2023/4</vt:lpstr>
    </vt:vector>
  </TitlesOfParts>
  <Company>DCM</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ST/SG/AC.10/C.4/2023/4</dc:title>
  <dc:subject/>
  <dc:creator>Maud DARICHE</dc:creator>
  <cp:keywords/>
  <cp:lastModifiedBy>Maud Dariche</cp:lastModifiedBy>
  <cp:revision>3</cp:revision>
  <cp:lastPrinted>2023-05-18T12:32:00Z</cp:lastPrinted>
  <dcterms:created xsi:type="dcterms:W3CDTF">2023-05-18T12:32:00Z</dcterms:created>
  <dcterms:modified xsi:type="dcterms:W3CDTF">2023-05-18T12:32:00Z</dcterms:modified>
</cp:coreProperties>
</file>