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C6657" w:rsidRPr="00DB58B5" w14:paraId="41D71528" w14:textId="77777777" w:rsidTr="007316B4">
        <w:trPr>
          <w:trHeight w:hRule="exact" w:val="851"/>
        </w:trPr>
        <w:tc>
          <w:tcPr>
            <w:tcW w:w="1276" w:type="dxa"/>
            <w:tcBorders>
              <w:bottom w:val="single" w:sz="4" w:space="0" w:color="auto"/>
            </w:tcBorders>
          </w:tcPr>
          <w:p w14:paraId="478DADBC" w14:textId="77777777" w:rsidR="003C6657" w:rsidRPr="00DB58B5" w:rsidRDefault="003C6657" w:rsidP="003E3933"/>
        </w:tc>
        <w:tc>
          <w:tcPr>
            <w:tcW w:w="2268" w:type="dxa"/>
            <w:tcBorders>
              <w:bottom w:val="single" w:sz="4" w:space="0" w:color="auto"/>
            </w:tcBorders>
            <w:vAlign w:val="bottom"/>
          </w:tcPr>
          <w:p w14:paraId="214EE98E" w14:textId="77777777" w:rsidR="003C6657" w:rsidRPr="00DB58B5" w:rsidRDefault="003C6657" w:rsidP="007316B4">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B62A168" w14:textId="4EE1D3AC" w:rsidR="003C6657" w:rsidRPr="00DB58B5" w:rsidRDefault="003E3933" w:rsidP="003E3933">
            <w:pPr>
              <w:jc w:val="right"/>
            </w:pPr>
            <w:r w:rsidRPr="003E3933">
              <w:rPr>
                <w:sz w:val="40"/>
              </w:rPr>
              <w:t>ST</w:t>
            </w:r>
            <w:r>
              <w:t>/SG/AC.10/C.3/2023/9</w:t>
            </w:r>
          </w:p>
        </w:tc>
      </w:tr>
      <w:tr w:rsidR="003C6657" w:rsidRPr="00DB58B5" w14:paraId="274C57E0" w14:textId="77777777" w:rsidTr="007316B4">
        <w:trPr>
          <w:trHeight w:hRule="exact" w:val="2835"/>
        </w:trPr>
        <w:tc>
          <w:tcPr>
            <w:tcW w:w="1276" w:type="dxa"/>
            <w:tcBorders>
              <w:top w:val="single" w:sz="4" w:space="0" w:color="auto"/>
              <w:bottom w:val="single" w:sz="12" w:space="0" w:color="auto"/>
            </w:tcBorders>
          </w:tcPr>
          <w:p w14:paraId="73537B77" w14:textId="77777777" w:rsidR="003C6657" w:rsidRPr="00DB58B5" w:rsidRDefault="003C6657" w:rsidP="007316B4">
            <w:pPr>
              <w:spacing w:before="120"/>
              <w:jc w:val="center"/>
            </w:pPr>
            <w:r>
              <w:rPr>
                <w:noProof/>
                <w:lang w:eastAsia="fr-CH"/>
              </w:rPr>
              <w:drawing>
                <wp:inline distT="0" distB="0" distL="0" distR="0" wp14:anchorId="7E24C77A" wp14:editId="6405995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4B47F8F" w14:textId="769BC372" w:rsidR="003C6657" w:rsidRPr="00740562" w:rsidRDefault="00565AC2" w:rsidP="007316B4">
            <w:pPr>
              <w:spacing w:before="120" w:line="420" w:lineRule="exact"/>
              <w:rPr>
                <w:b/>
                <w:sz w:val="40"/>
                <w:szCs w:val="40"/>
              </w:rPr>
            </w:pPr>
            <w:r>
              <w:rPr>
                <w:b/>
                <w:sz w:val="40"/>
                <w:szCs w:val="40"/>
              </w:rPr>
              <w:t>Secrétariat</w:t>
            </w:r>
          </w:p>
        </w:tc>
        <w:tc>
          <w:tcPr>
            <w:tcW w:w="2835" w:type="dxa"/>
            <w:tcBorders>
              <w:top w:val="single" w:sz="4" w:space="0" w:color="auto"/>
              <w:bottom w:val="single" w:sz="12" w:space="0" w:color="auto"/>
            </w:tcBorders>
          </w:tcPr>
          <w:p w14:paraId="3CE817DF" w14:textId="77777777" w:rsidR="003C6657" w:rsidRDefault="003E3933" w:rsidP="007316B4">
            <w:pPr>
              <w:spacing w:before="240"/>
            </w:pPr>
            <w:proofErr w:type="spellStart"/>
            <w:r>
              <w:t>Distr</w:t>
            </w:r>
            <w:proofErr w:type="spellEnd"/>
            <w:r>
              <w:t>. générale</w:t>
            </w:r>
          </w:p>
          <w:p w14:paraId="48AAD3A6" w14:textId="77777777" w:rsidR="003E3933" w:rsidRDefault="003E3933" w:rsidP="003E3933">
            <w:pPr>
              <w:spacing w:line="240" w:lineRule="exact"/>
            </w:pPr>
            <w:r>
              <w:t>11 avril 2023</w:t>
            </w:r>
          </w:p>
          <w:p w14:paraId="64AA23EC" w14:textId="77777777" w:rsidR="003E3933" w:rsidRDefault="003E3933" w:rsidP="003E3933">
            <w:pPr>
              <w:spacing w:line="240" w:lineRule="exact"/>
            </w:pPr>
            <w:r>
              <w:t>Français</w:t>
            </w:r>
          </w:p>
          <w:p w14:paraId="7B8E908C" w14:textId="6A3F80E7" w:rsidR="003E3933" w:rsidRPr="00DB58B5" w:rsidRDefault="003E3933" w:rsidP="003E3933">
            <w:pPr>
              <w:spacing w:line="240" w:lineRule="exact"/>
            </w:pPr>
            <w:r>
              <w:t>Original : anglais</w:t>
            </w:r>
          </w:p>
        </w:tc>
      </w:tr>
    </w:tbl>
    <w:p w14:paraId="414CCE73" w14:textId="2835EDD3" w:rsidR="003E3933" w:rsidRPr="003E3933" w:rsidRDefault="003E3933" w:rsidP="003E3933">
      <w:pPr>
        <w:spacing w:before="120"/>
        <w:rPr>
          <w:b/>
          <w:sz w:val="24"/>
          <w:szCs w:val="24"/>
          <w:lang w:val="fr-SN"/>
        </w:rPr>
      </w:pPr>
      <w:r w:rsidRPr="003E3933">
        <w:rPr>
          <w:b/>
          <w:bCs/>
          <w:sz w:val="24"/>
          <w:szCs w:val="24"/>
          <w:lang w:val="fr-FR"/>
        </w:rPr>
        <w:t xml:space="preserve">Comité d’experts du transport des marchandises </w:t>
      </w:r>
      <w:r>
        <w:rPr>
          <w:b/>
          <w:bCs/>
          <w:sz w:val="24"/>
          <w:szCs w:val="24"/>
          <w:lang w:val="fr-FR"/>
        </w:rPr>
        <w:br/>
      </w:r>
      <w:r w:rsidRPr="003E3933">
        <w:rPr>
          <w:b/>
          <w:bCs/>
          <w:sz w:val="24"/>
          <w:szCs w:val="24"/>
          <w:lang w:val="fr-FR"/>
        </w:rPr>
        <w:t xml:space="preserve">dangereuses et du Système général harmonisé </w:t>
      </w:r>
      <w:r>
        <w:rPr>
          <w:b/>
          <w:bCs/>
          <w:sz w:val="24"/>
          <w:szCs w:val="24"/>
          <w:lang w:val="fr-FR"/>
        </w:rPr>
        <w:br/>
      </w:r>
      <w:r w:rsidRPr="003E3933">
        <w:rPr>
          <w:b/>
          <w:bCs/>
          <w:sz w:val="24"/>
          <w:szCs w:val="24"/>
          <w:lang w:val="fr-FR"/>
        </w:rPr>
        <w:t>de classification et d’étiquetage des produits chimiques</w:t>
      </w:r>
    </w:p>
    <w:p w14:paraId="3A98E805" w14:textId="77777777" w:rsidR="003E3933" w:rsidRPr="00D6502D" w:rsidRDefault="003E3933" w:rsidP="003E3933">
      <w:pPr>
        <w:spacing w:before="120"/>
        <w:rPr>
          <w:rFonts w:ascii="Helv" w:hAnsi="Helv" w:cs="Helv"/>
          <w:b/>
          <w:color w:val="000000"/>
          <w:lang w:val="fr-SN"/>
        </w:rPr>
      </w:pPr>
      <w:r>
        <w:rPr>
          <w:b/>
          <w:bCs/>
          <w:lang w:val="fr-FR"/>
        </w:rPr>
        <w:t>Sous-Comité d’experts du transport des marchandises dangereuses</w:t>
      </w:r>
    </w:p>
    <w:p w14:paraId="1709E448" w14:textId="77777777" w:rsidR="003E3933" w:rsidRPr="00D6502D" w:rsidRDefault="003E3933" w:rsidP="003E3933">
      <w:pPr>
        <w:spacing w:before="120"/>
        <w:rPr>
          <w:b/>
          <w:lang w:val="fr-SN"/>
        </w:rPr>
      </w:pPr>
      <w:r>
        <w:rPr>
          <w:b/>
          <w:bCs/>
          <w:lang w:val="fr-FR"/>
        </w:rPr>
        <w:t>Soixante-deuxième session</w:t>
      </w:r>
    </w:p>
    <w:p w14:paraId="7187572D" w14:textId="77777777" w:rsidR="003E3933" w:rsidRPr="00D6502D" w:rsidRDefault="003E3933" w:rsidP="003E3933">
      <w:pPr>
        <w:rPr>
          <w:lang w:val="fr-SN"/>
        </w:rPr>
      </w:pPr>
      <w:r>
        <w:rPr>
          <w:lang w:val="fr-FR"/>
        </w:rPr>
        <w:t>Genève, 3-7 juillet 2023</w:t>
      </w:r>
    </w:p>
    <w:p w14:paraId="70283BF3" w14:textId="77777777" w:rsidR="003E3933" w:rsidRPr="00D6502D" w:rsidRDefault="003E3933" w:rsidP="003E3933">
      <w:pPr>
        <w:rPr>
          <w:lang w:val="fr-SN"/>
        </w:rPr>
      </w:pPr>
      <w:r>
        <w:rPr>
          <w:lang w:val="fr-FR"/>
        </w:rPr>
        <w:t>Point 6 d) de l’ordre du jour provisoire</w:t>
      </w:r>
    </w:p>
    <w:p w14:paraId="5290DAFA" w14:textId="2A3CC1F6" w:rsidR="003E3933" w:rsidRPr="00D6502D" w:rsidRDefault="003E3933" w:rsidP="003E3933">
      <w:pPr>
        <w:rPr>
          <w:b/>
          <w:bCs/>
          <w:lang w:val="fr-SN"/>
        </w:rPr>
      </w:pPr>
      <w:r>
        <w:rPr>
          <w:b/>
          <w:bCs/>
          <w:lang w:val="fr-FR"/>
        </w:rPr>
        <w:t xml:space="preserve">Propositions diverses d’amendements au Règlement type </w:t>
      </w:r>
      <w:r w:rsidR="00BF7382">
        <w:rPr>
          <w:b/>
          <w:bCs/>
          <w:lang w:val="fr-FR"/>
        </w:rPr>
        <w:br/>
      </w:r>
      <w:r>
        <w:rPr>
          <w:b/>
          <w:bCs/>
          <w:lang w:val="fr-FR"/>
        </w:rPr>
        <w:t xml:space="preserve">pour le transport des marchandises dangereuses : </w:t>
      </w:r>
      <w:r w:rsidR="00BF7382">
        <w:rPr>
          <w:b/>
          <w:bCs/>
          <w:lang w:val="fr-FR"/>
        </w:rPr>
        <w:br/>
      </w:r>
      <w:r>
        <w:rPr>
          <w:b/>
          <w:bCs/>
          <w:lang w:val="fr-FR"/>
        </w:rPr>
        <w:t>autres propositions diverses</w:t>
      </w:r>
    </w:p>
    <w:p w14:paraId="61674321" w14:textId="5FE76774" w:rsidR="003E3933" w:rsidRPr="00D6502D" w:rsidRDefault="003E3933" w:rsidP="003E3933">
      <w:pPr>
        <w:pStyle w:val="HChG"/>
        <w:rPr>
          <w:lang w:val="fr-SN"/>
        </w:rPr>
      </w:pPr>
      <w:r>
        <w:rPr>
          <w:lang w:val="fr-FR"/>
        </w:rPr>
        <w:tab/>
      </w:r>
      <w:r>
        <w:rPr>
          <w:lang w:val="fr-FR"/>
        </w:rPr>
        <w:tab/>
        <w:t xml:space="preserve">Proposition relative à la charge de gerbage maximale autorisée pour un suremballage contenant </w:t>
      </w:r>
      <w:r>
        <w:rPr>
          <w:lang w:val="fr-FR"/>
        </w:rPr>
        <w:br/>
        <w:t>de grands récipients pour vrac</w:t>
      </w:r>
    </w:p>
    <w:p w14:paraId="518740F3" w14:textId="11E05009" w:rsidR="003E3933" w:rsidRPr="00D6502D" w:rsidRDefault="003E3933" w:rsidP="003E3933">
      <w:pPr>
        <w:pStyle w:val="H1G"/>
        <w:rPr>
          <w:lang w:val="fr-SN"/>
        </w:rPr>
      </w:pPr>
      <w:r>
        <w:rPr>
          <w:lang w:val="fr-FR"/>
        </w:rPr>
        <w:tab/>
      </w:r>
      <w:r>
        <w:rPr>
          <w:lang w:val="fr-FR"/>
        </w:rPr>
        <w:tab/>
        <w:t>Communication de l’expert de la Chine</w:t>
      </w:r>
      <w:r w:rsidRPr="003E3933">
        <w:rPr>
          <w:rStyle w:val="Appelnotedebasdep"/>
          <w:b w:val="0"/>
          <w:bCs/>
          <w:sz w:val="20"/>
          <w:vertAlign w:val="baseline"/>
        </w:rPr>
        <w:footnoteReference w:customMarkFollows="1" w:id="2"/>
        <w:t>*</w:t>
      </w:r>
    </w:p>
    <w:p w14:paraId="4CD37CB3" w14:textId="77777777" w:rsidR="003E3933" w:rsidRPr="00D6502D" w:rsidRDefault="003E3933" w:rsidP="003E3933">
      <w:pPr>
        <w:pStyle w:val="HChG"/>
        <w:rPr>
          <w:lang w:val="fr-SN"/>
        </w:rPr>
      </w:pPr>
      <w:r>
        <w:rPr>
          <w:lang w:val="fr-FR"/>
        </w:rPr>
        <w:tab/>
      </w:r>
      <w:r>
        <w:rPr>
          <w:lang w:val="fr-FR"/>
        </w:rPr>
        <w:tab/>
        <w:t>Introduction</w:t>
      </w:r>
    </w:p>
    <w:p w14:paraId="6863B15F" w14:textId="77777777" w:rsidR="003E3933" w:rsidRPr="00D6502D" w:rsidRDefault="003E3933" w:rsidP="00BF7382">
      <w:pPr>
        <w:pStyle w:val="SingleTxtG"/>
        <w:spacing w:after="240"/>
        <w:rPr>
          <w:lang w:val="fr-SN"/>
        </w:rPr>
      </w:pPr>
      <w:r>
        <w:rPr>
          <w:lang w:val="fr-FR"/>
        </w:rPr>
        <w:t>1.</w:t>
      </w:r>
      <w:r>
        <w:rPr>
          <w:lang w:val="fr-FR"/>
        </w:rPr>
        <w:tab/>
        <w:t>Selon le 6.5.2.2.2 du Règlement type, la charge de gerbage maximale autorisée des grands récipients pour vrac (GRV) doit être indiquée sur le symbole tel que représenté à la figure 6.5.1 ou à la figure 6.5.2 ci-après. Ce symbole doit être durable et bien visible.</w:t>
      </w:r>
    </w:p>
    <w:p w14:paraId="53987B41" w14:textId="77777777" w:rsidR="003E3933" w:rsidRPr="00D6502D" w:rsidRDefault="003E3933" w:rsidP="00BF7382">
      <w:pPr>
        <w:tabs>
          <w:tab w:val="center" w:pos="2977"/>
          <w:tab w:val="center" w:pos="6946"/>
        </w:tabs>
        <w:spacing w:after="120"/>
        <w:rPr>
          <w:b/>
          <w:bCs/>
          <w:lang w:val="fr-SN"/>
        </w:rPr>
      </w:pPr>
      <w:r>
        <w:rPr>
          <w:lang w:val="fr-FR"/>
        </w:rPr>
        <w:tab/>
      </w:r>
      <w:r>
        <w:rPr>
          <w:b/>
          <w:bCs/>
          <w:lang w:val="fr-FR"/>
        </w:rPr>
        <w:t>Figure 6.5.1</w:t>
      </w:r>
      <w:r>
        <w:rPr>
          <w:lang w:val="fr-FR"/>
        </w:rPr>
        <w:tab/>
      </w:r>
      <w:r>
        <w:rPr>
          <w:b/>
          <w:bCs/>
          <w:lang w:val="fr-FR"/>
        </w:rPr>
        <w:t>Figure 6.5.2</w:t>
      </w:r>
    </w:p>
    <w:p w14:paraId="3D0B6D0A" w14:textId="77777777" w:rsidR="003E3933" w:rsidRDefault="003E3933" w:rsidP="003E3933">
      <w:pPr>
        <w:tabs>
          <w:tab w:val="center" w:pos="2977"/>
          <w:tab w:val="center" w:pos="6946"/>
        </w:tabs>
      </w:pPr>
      <w:r>
        <w:rPr>
          <w:noProof/>
        </w:rPr>
        <mc:AlternateContent>
          <mc:Choice Requires="wps">
            <w:drawing>
              <wp:anchor distT="45720" distB="45720" distL="114300" distR="114300" simplePos="0" relativeHeight="251673600" behindDoc="0" locked="0" layoutInCell="1" allowOverlap="1" wp14:anchorId="5B58D08B" wp14:editId="79454D51">
                <wp:simplePos x="0" y="0"/>
                <wp:positionH relativeFrom="column">
                  <wp:posOffset>4608830</wp:posOffset>
                </wp:positionH>
                <wp:positionV relativeFrom="paragraph">
                  <wp:posOffset>579451</wp:posOffset>
                </wp:positionV>
                <wp:extent cx="1059815" cy="375285"/>
                <wp:effectExtent l="0" t="635" r="635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9815" cy="375285"/>
                        </a:xfrm>
                        <a:prstGeom prst="rect">
                          <a:avLst/>
                        </a:prstGeom>
                        <a:solidFill>
                          <a:schemeClr val="bg1"/>
                        </a:solidFill>
                        <a:ln w="9525">
                          <a:noFill/>
                          <a:miter lim="800000"/>
                          <a:headEnd/>
                          <a:tailEnd/>
                        </a:ln>
                      </wps:spPr>
                      <wps:txbx>
                        <w:txbxContent>
                          <w:p w14:paraId="77B4BC75"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6BAECC50"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8D08B" id="_x0000_t202" coordsize="21600,21600" o:spt="202" path="m,l,21600r21600,l21600,xe">
                <v:stroke joinstyle="miter"/>
                <v:path gradientshapeok="t" o:connecttype="rect"/>
              </v:shapetype>
              <v:shape id="Text Box 2" o:spid="_x0000_s1026" type="#_x0000_t202" style="position:absolute;margin-left:362.9pt;margin-top:45.65pt;width:83.45pt;height:29.55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" fillcolor="white [3212]" stroked="f">
                <v:textbox>
                  <w:txbxContent>
                    <w:p w14:paraId="77B4BC75"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6BAECC50"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72B4210C" wp14:editId="0364B6AF">
                <wp:simplePos x="0" y="0"/>
                <wp:positionH relativeFrom="column">
                  <wp:posOffset>2075048</wp:posOffset>
                </wp:positionH>
                <wp:positionV relativeFrom="paragraph">
                  <wp:posOffset>565322</wp:posOffset>
                </wp:positionV>
                <wp:extent cx="1065627" cy="389255"/>
                <wp:effectExtent l="0" t="4763"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5627" cy="389255"/>
                        </a:xfrm>
                        <a:prstGeom prst="rect">
                          <a:avLst/>
                        </a:prstGeom>
                        <a:solidFill>
                          <a:schemeClr val="bg1"/>
                        </a:solidFill>
                        <a:ln w="9525">
                          <a:noFill/>
                          <a:miter lim="800000"/>
                          <a:headEnd/>
                          <a:tailEnd/>
                        </a:ln>
                      </wps:spPr>
                      <wps:txbx>
                        <w:txbxContent>
                          <w:p w14:paraId="7262BC2D"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50D9FE30"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210C" id="_x0000_s1027" type="#_x0000_t202" style="position:absolute;margin-left:163.4pt;margin-top:44.5pt;width:83.9pt;height:30.65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" fillcolor="white [3212]" stroked="f">
                <v:textbox>
                  <w:txbxContent>
                    <w:p w14:paraId="7262BC2D"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50D9FE30"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49C10BA6" wp14:editId="0DE8C25D">
                <wp:simplePos x="0" y="0"/>
                <wp:positionH relativeFrom="column">
                  <wp:posOffset>3761740</wp:posOffset>
                </wp:positionH>
                <wp:positionV relativeFrom="paragraph">
                  <wp:posOffset>1383996</wp:posOffset>
                </wp:positionV>
                <wp:extent cx="1059815" cy="375285"/>
                <wp:effectExtent l="0" t="0" r="6985"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375285"/>
                        </a:xfrm>
                        <a:prstGeom prst="rect">
                          <a:avLst/>
                        </a:prstGeom>
                        <a:solidFill>
                          <a:schemeClr val="bg1"/>
                        </a:solidFill>
                        <a:ln w="9525">
                          <a:noFill/>
                          <a:miter lim="800000"/>
                          <a:headEnd/>
                          <a:tailEnd/>
                        </a:ln>
                      </wps:spPr>
                      <wps:txbx>
                        <w:txbxContent>
                          <w:p w14:paraId="57A76E5D"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4D41BAAE"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10BA6" id="_x0000_s1028" type="#_x0000_t202" style="position:absolute;margin-left:296.2pt;margin-top:109pt;width:83.45pt;height:29.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" fillcolor="white [3212]" stroked="f">
                <v:textbox>
                  <w:txbxContent>
                    <w:p w14:paraId="57A76E5D"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4D41BAAE"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35752235" wp14:editId="69AE1C79">
                <wp:simplePos x="0" y="0"/>
                <wp:positionH relativeFrom="column">
                  <wp:posOffset>1203960</wp:posOffset>
                </wp:positionH>
                <wp:positionV relativeFrom="paragraph">
                  <wp:posOffset>1359231</wp:posOffset>
                </wp:positionV>
                <wp:extent cx="1059815" cy="445273"/>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45273"/>
                        </a:xfrm>
                        <a:prstGeom prst="rect">
                          <a:avLst/>
                        </a:prstGeom>
                        <a:solidFill>
                          <a:schemeClr val="bg1"/>
                        </a:solidFill>
                        <a:ln w="9525">
                          <a:noFill/>
                          <a:miter lim="800000"/>
                          <a:headEnd/>
                          <a:tailEnd/>
                        </a:ln>
                      </wps:spPr>
                      <wps:txbx>
                        <w:txbxContent>
                          <w:p w14:paraId="3325D4B7"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4D5E4C6B"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52235" id="_x0000_s1029" type="#_x0000_t202" style="position:absolute;margin-left:94.8pt;margin-top:107.05pt;width:83.45pt;height:35.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" fillcolor="white [3212]" stroked="f">
                <v:textbox>
                  <w:txbxContent>
                    <w:p w14:paraId="3325D4B7" w14:textId="77777777" w:rsidR="003E3933" w:rsidRPr="00C2235D" w:rsidRDefault="003E3933" w:rsidP="003E3933">
                      <w:pPr>
                        <w:spacing w:line="160" w:lineRule="atLeast"/>
                        <w:jc w:val="center"/>
                        <w:rPr>
                          <w:sz w:val="12"/>
                          <w:szCs w:val="12"/>
                        </w:rPr>
                      </w:pPr>
                      <w:r w:rsidRPr="00C2235D">
                        <w:rPr>
                          <w:sz w:val="16"/>
                          <w:szCs w:val="16"/>
                          <w:lang w:val="fr-FR"/>
                        </w:rPr>
                        <w:t>Dimension minimale</w:t>
                      </w:r>
                    </w:p>
                    <w:p w14:paraId="4D5E4C6B" w14:textId="77777777" w:rsidR="003E3933" w:rsidRPr="00C2235D" w:rsidRDefault="003E3933" w:rsidP="003E3933">
                      <w:pPr>
                        <w:spacing w:line="160" w:lineRule="atLeast"/>
                        <w:jc w:val="center"/>
                        <w:rPr>
                          <w:sz w:val="12"/>
                          <w:szCs w:val="12"/>
                        </w:rPr>
                      </w:pPr>
                      <w:r w:rsidRPr="00C2235D">
                        <w:rPr>
                          <w:sz w:val="16"/>
                          <w:szCs w:val="16"/>
                          <w:lang w:val="fr-FR"/>
                        </w:rPr>
                        <w:t>100 mm</w:t>
                      </w:r>
                    </w:p>
                  </w:txbxContent>
                </v:textbox>
              </v:shape>
            </w:pict>
          </mc:Fallback>
        </mc:AlternateContent>
      </w:r>
      <w:r w:rsidRPr="00D6502D">
        <w:rPr>
          <w:lang w:val="fr-SN"/>
        </w:rPr>
        <w:tab/>
      </w:r>
      <w:r w:rsidRPr="00F31284">
        <w:rPr>
          <w:noProof/>
        </w:rPr>
        <w:drawing>
          <wp:inline distT="0" distB="0" distL="0" distR="0" wp14:anchorId="57874A43" wp14:editId="7C38D34A">
            <wp:extent cx="1828800" cy="1828800"/>
            <wp:effectExtent l="0" t="0" r="0" b="0"/>
            <wp:docPr id="46" name="Picture 46" descr="Description: Description: Stac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Stacking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F31284">
        <w:tab/>
      </w:r>
      <w:r w:rsidRPr="00F31284">
        <w:rPr>
          <w:noProof/>
        </w:rPr>
        <w:drawing>
          <wp:inline distT="0" distB="0" distL="0" distR="0" wp14:anchorId="2B0EADC1" wp14:editId="6D2C7FEE">
            <wp:extent cx="1828800" cy="1828800"/>
            <wp:effectExtent l="0" t="0" r="0" b="0"/>
            <wp:docPr id="47" name="Picture 47" descr="Description: Description: No Stack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No Stacking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2FF667B" w14:textId="77777777" w:rsidR="003E3933" w:rsidRPr="00D6502D" w:rsidRDefault="003E3933" w:rsidP="003E3933">
      <w:pPr>
        <w:tabs>
          <w:tab w:val="center" w:pos="2977"/>
          <w:tab w:val="center" w:pos="6946"/>
        </w:tabs>
        <w:spacing w:after="240"/>
        <w:rPr>
          <w:lang w:val="fr-SN"/>
        </w:rPr>
      </w:pPr>
      <w:r>
        <w:rPr>
          <w:lang w:val="fr-FR"/>
        </w:rPr>
        <w:tab/>
        <w:t>GRV qu’il est possible d’empiler</w:t>
      </w:r>
      <w:r>
        <w:rPr>
          <w:lang w:val="fr-FR"/>
        </w:rPr>
        <w:tab/>
        <w:t>GRV qu’il n’est PAS possible d’empiler</w:t>
      </w:r>
    </w:p>
    <w:p w14:paraId="5B0B4D61" w14:textId="77777777" w:rsidR="003E3933" w:rsidRDefault="003E3933" w:rsidP="003E3933">
      <w:pPr>
        <w:pStyle w:val="SingleTxtG"/>
        <w:keepNext/>
        <w:keepLines/>
        <w:ind w:firstLine="567"/>
        <w:rPr>
          <w:szCs w:val="21"/>
        </w:rPr>
      </w:pPr>
      <w:r>
        <w:rPr>
          <w:lang w:val="fr-FR"/>
        </w:rPr>
        <w:lastRenderedPageBreak/>
        <w:t>Voici un exemple :</w:t>
      </w:r>
    </w:p>
    <w:tbl>
      <w:tblPr>
        <w:tblStyle w:val="Grilledutableau"/>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25"/>
        <w:gridCol w:w="3260"/>
      </w:tblGrid>
      <w:tr w:rsidR="003E3933" w14:paraId="59F8A86F" w14:textId="77777777" w:rsidTr="007E1C86">
        <w:tc>
          <w:tcPr>
            <w:tcW w:w="2694" w:type="dxa"/>
          </w:tcPr>
          <w:p w14:paraId="7F12637A" w14:textId="1BFC1F88" w:rsidR="003E3933" w:rsidRDefault="003E3933" w:rsidP="00BF7382">
            <w:pPr>
              <w:pStyle w:val="SingleTxtG"/>
              <w:keepNext/>
              <w:keepLines/>
              <w:ind w:left="0"/>
              <w:rPr>
                <w:szCs w:val="21"/>
              </w:rPr>
            </w:pPr>
            <w:r>
              <w:rPr>
                <w:rFonts w:ascii="Arial" w:hAnsi="SimSun" w:cs="Arial"/>
                <w:noProof/>
                <w:szCs w:val="21"/>
              </w:rPr>
              <mc:AlternateContent>
                <mc:Choice Requires="wps">
                  <w:drawing>
                    <wp:anchor distT="0" distB="0" distL="114300" distR="114300" simplePos="0" relativeHeight="251660288" behindDoc="0" locked="0" layoutInCell="1" allowOverlap="1" wp14:anchorId="5F34BDDA" wp14:editId="05643FB9">
                      <wp:simplePos x="0" y="0"/>
                      <wp:positionH relativeFrom="column">
                        <wp:posOffset>1061307</wp:posOffset>
                      </wp:positionH>
                      <wp:positionV relativeFrom="paragraph">
                        <wp:posOffset>822204</wp:posOffset>
                      </wp:positionV>
                      <wp:extent cx="1388274" cy="69850"/>
                      <wp:effectExtent l="19050" t="57150" r="59690" b="1016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274" cy="6985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B53BDD" id="_x0000_t32" coordsize="21600,21600" o:spt="32" o:oned="t" path="m,l21600,21600e" filled="f">
                      <v:path arrowok="t" fillok="f" o:connecttype="none"/>
                      <o:lock v:ext="edit" shapetype="t"/>
                    </v:shapetype>
                    <v:shape id="Straight Arrow Connector 7" o:spid="_x0000_s1026" type="#_x0000_t32" style="position:absolute;margin-left:83.55pt;margin-top:64.75pt;width:109.3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" strokecolor="#ffc000" strokeweight="3pt">
                      <v:stroke endarrow="block"/>
                    </v:shape>
                  </w:pict>
                </mc:Fallback>
              </mc:AlternateContent>
            </w:r>
            <w:r w:rsidRPr="00837780">
              <w:rPr>
                <w:rFonts w:ascii="Arial" w:hAnsi="SimSun" w:cs="Arial"/>
                <w:noProof/>
                <w:szCs w:val="21"/>
              </w:rPr>
              <w:drawing>
                <wp:inline distT="0" distB="0" distL="0" distR="0" wp14:anchorId="71ED426B" wp14:editId="3619F523">
                  <wp:extent cx="1628731" cy="1859778"/>
                  <wp:effectExtent l="0" t="0" r="0" b="762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36557" cy="1868714"/>
                          </a:xfrm>
                          <a:prstGeom prst="rect">
                            <a:avLst/>
                          </a:prstGeom>
                        </pic:spPr>
                      </pic:pic>
                    </a:graphicData>
                  </a:graphic>
                </wp:inline>
              </w:drawing>
            </w:r>
          </w:p>
        </w:tc>
        <w:tc>
          <w:tcPr>
            <w:tcW w:w="425" w:type="dxa"/>
          </w:tcPr>
          <w:p w14:paraId="7F7F3913" w14:textId="77777777" w:rsidR="003E3933" w:rsidRDefault="003E3933" w:rsidP="007E1C86">
            <w:pPr>
              <w:pStyle w:val="SingleTxtG"/>
              <w:keepNext/>
              <w:keepLines/>
              <w:ind w:left="0"/>
              <w:rPr>
                <w:szCs w:val="21"/>
              </w:rPr>
            </w:pPr>
          </w:p>
        </w:tc>
        <w:tc>
          <w:tcPr>
            <w:tcW w:w="3260" w:type="dxa"/>
          </w:tcPr>
          <w:p w14:paraId="4EBD948C" w14:textId="77777777" w:rsidR="003E3933" w:rsidRDefault="003E3933" w:rsidP="007E1C86">
            <w:pPr>
              <w:pStyle w:val="SingleTxtG"/>
              <w:keepNext/>
              <w:keepLines/>
              <w:ind w:left="0"/>
              <w:rPr>
                <w:szCs w:val="21"/>
              </w:rPr>
            </w:pPr>
            <w:r w:rsidRPr="00837780">
              <w:rPr>
                <w:rFonts w:ascii="Arial" w:hAnsi="SimSun" w:cs="Arial"/>
                <w:noProof/>
                <w:szCs w:val="21"/>
              </w:rPr>
              <w:drawing>
                <wp:inline distT="0" distB="0" distL="0" distR="0" wp14:anchorId="1CDE19B5" wp14:editId="0F8CEE01">
                  <wp:extent cx="2053021" cy="1866900"/>
                  <wp:effectExtent l="19050" t="0" r="4379"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69786" cy="1882145"/>
                          </a:xfrm>
                          <a:prstGeom prst="rect">
                            <a:avLst/>
                          </a:prstGeom>
                        </pic:spPr>
                      </pic:pic>
                    </a:graphicData>
                  </a:graphic>
                </wp:inline>
              </w:drawing>
            </w:r>
          </w:p>
        </w:tc>
      </w:tr>
    </w:tbl>
    <w:p w14:paraId="3362818B" w14:textId="77777777" w:rsidR="003E3933" w:rsidRPr="00D6502D" w:rsidRDefault="003E3933" w:rsidP="003E3933">
      <w:pPr>
        <w:pStyle w:val="SingleTxtG"/>
        <w:spacing w:before="240"/>
        <w:rPr>
          <w:lang w:val="fr-SN"/>
        </w:rPr>
      </w:pPr>
      <w:r>
        <w:rPr>
          <w:lang w:val="fr-FR"/>
        </w:rPr>
        <w:t>2.</w:t>
      </w:r>
      <w:r>
        <w:rPr>
          <w:lang w:val="fr-FR"/>
        </w:rPr>
        <w:tab/>
        <w:t xml:space="preserve">Cependant, lorsqu’un suremballage est utilisé, le symbole apparaissant sur les GRV à l’intérieur du suremballage peut ne pas être clairement visible. Cela peut présenter un risque pour la sécurité si les instructions spéciales de manutention ne sont pas indiquées sur la surface externe du suremballage, en particulier dans le cas des GRV tels que ceux des types 13L2 (textile avec revêtement intérieur) et 13M1 (papier </w:t>
      </w:r>
      <w:proofErr w:type="spellStart"/>
      <w:r>
        <w:rPr>
          <w:lang w:val="fr-FR"/>
        </w:rPr>
        <w:t>multiplis</w:t>
      </w:r>
      <w:proofErr w:type="spellEnd"/>
      <w:r>
        <w:rPr>
          <w:lang w:val="fr-FR"/>
        </w:rPr>
        <w:t>).</w:t>
      </w:r>
    </w:p>
    <w:p w14:paraId="65107574" w14:textId="68887D35" w:rsidR="003E3933" w:rsidRDefault="003E3933" w:rsidP="003E3933">
      <w:pPr>
        <w:pStyle w:val="SingleTxtG"/>
        <w:rPr>
          <w:lang w:val="fr-FR"/>
        </w:rPr>
      </w:pPr>
      <w:r>
        <w:rPr>
          <w:lang w:val="fr-FR"/>
        </w:rPr>
        <w:t>3.</w:t>
      </w:r>
      <w:r>
        <w:rPr>
          <w:lang w:val="fr-FR"/>
        </w:rPr>
        <w:tab/>
        <w:t>Lorsqu’un suremballage est utilisé, les GRV peuvent bien entendu être empilés dans le suremballage. La charge de gerbage maximale autorisée pour l’ensemble du suremballage peut être différente de celle de chaque GRV qu’il contient. Il convient donc d’exiger que la charge de gerbage maximale autorisée pour l’ensemble du suremballage soit également indiquée.</w:t>
      </w:r>
    </w:p>
    <w:p w14:paraId="5738530A" w14:textId="760F71BE" w:rsidR="00BF7382" w:rsidRPr="00D6502D" w:rsidRDefault="00BF7382" w:rsidP="003E3933">
      <w:pPr>
        <w:pStyle w:val="SingleTxtG"/>
        <w:rPr>
          <w:lang w:val="fr-SN"/>
        </w:rPr>
      </w:pPr>
      <w:r>
        <w:rPr>
          <w:noProof/>
        </w:rPr>
        <w:drawing>
          <wp:inline distT="0" distB="0" distL="0" distR="0" wp14:anchorId="498B6D93" wp14:editId="32379FB6">
            <wp:extent cx="4698749" cy="2403326"/>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7794" cy="2413067"/>
                    </a:xfrm>
                    <a:prstGeom prst="rect">
                      <a:avLst/>
                    </a:prstGeom>
                  </pic:spPr>
                </pic:pic>
              </a:graphicData>
            </a:graphic>
          </wp:inline>
        </w:drawing>
      </w:r>
    </w:p>
    <w:p w14:paraId="05933824" w14:textId="77777777" w:rsidR="003E3933" w:rsidRPr="00D6502D" w:rsidRDefault="003E3933" w:rsidP="00BF7382">
      <w:pPr>
        <w:pStyle w:val="HChG"/>
        <w:rPr>
          <w:rFonts w:eastAsia="Times New Roman"/>
          <w:lang w:val="fr-SN"/>
        </w:rPr>
      </w:pPr>
      <w:r>
        <w:rPr>
          <w:lang w:val="fr-FR"/>
        </w:rPr>
        <w:tab/>
      </w:r>
      <w:r>
        <w:rPr>
          <w:lang w:val="fr-FR"/>
        </w:rPr>
        <w:tab/>
      </w:r>
      <w:r>
        <w:rPr>
          <w:lang w:val="fr-FR"/>
        </w:rPr>
        <w:tab/>
        <w:t>Proposition</w:t>
      </w:r>
    </w:p>
    <w:p w14:paraId="7BDD7D24" w14:textId="77777777" w:rsidR="003E3933" w:rsidRPr="00D6502D" w:rsidRDefault="003E3933" w:rsidP="003E3933">
      <w:pPr>
        <w:pStyle w:val="SingleTxtG"/>
        <w:rPr>
          <w:lang w:val="fr-SN"/>
        </w:rPr>
      </w:pPr>
      <w:r>
        <w:rPr>
          <w:lang w:val="fr-FR"/>
        </w:rPr>
        <w:t>4.</w:t>
      </w:r>
      <w:r>
        <w:rPr>
          <w:lang w:val="fr-FR"/>
        </w:rPr>
        <w:tab/>
        <w:t xml:space="preserve">La Chine propose de modifier les 5.1.2.1 et 6.5.2.2.2 comme suit (les modifications proposées figurent en caractères </w:t>
      </w:r>
      <w:r>
        <w:rPr>
          <w:b/>
          <w:bCs/>
          <w:u w:val="single"/>
          <w:lang w:val="fr-FR"/>
        </w:rPr>
        <w:t>gras soulignés</w:t>
      </w:r>
      <w:r>
        <w:rPr>
          <w:lang w:val="fr-FR"/>
        </w:rPr>
        <w:t xml:space="preserve"> pour les ajouts et </w:t>
      </w:r>
      <w:r>
        <w:rPr>
          <w:strike/>
          <w:lang w:val="fr-FR"/>
        </w:rPr>
        <w:t>biffés</w:t>
      </w:r>
      <w:r>
        <w:rPr>
          <w:lang w:val="fr-FR"/>
        </w:rPr>
        <w:t xml:space="preserve"> pour les suppressions) :</w:t>
      </w:r>
    </w:p>
    <w:p w14:paraId="7B16CA85" w14:textId="77777777" w:rsidR="003E3933" w:rsidRPr="00D6502D" w:rsidRDefault="003E3933" w:rsidP="003E3933">
      <w:pPr>
        <w:pStyle w:val="SingleTxtG"/>
        <w:ind w:leftChars="867" w:left="1734" w:rightChars="567"/>
        <w:rPr>
          <w:lang w:val="fr-SN"/>
        </w:rPr>
      </w:pPr>
      <w:r>
        <w:rPr>
          <w:lang w:val="fr-FR"/>
        </w:rPr>
        <w:t>« 5.1.2.1</w:t>
      </w:r>
      <w:r>
        <w:rPr>
          <w:lang w:val="fr-FR"/>
        </w:rPr>
        <w:tab/>
        <w:t>À moins que les marques et les étiquettes représentatives de toutes les marchandises dangereuses contenues dans le suremballage soient visibles, celui-ci doit :</w:t>
      </w:r>
    </w:p>
    <w:p w14:paraId="34645C5C" w14:textId="3C53F979" w:rsidR="003E3933" w:rsidRPr="00D6502D" w:rsidRDefault="003E3933" w:rsidP="003E3933">
      <w:pPr>
        <w:pStyle w:val="SingleTxtG"/>
        <w:ind w:leftChars="1446" w:left="3292" w:rightChars="567" w:hangingChars="200" w:hanging="400"/>
        <w:rPr>
          <w:lang w:val="fr-SN"/>
        </w:rPr>
      </w:pPr>
      <w:r>
        <w:rPr>
          <w:lang w:val="fr-FR"/>
        </w:rPr>
        <w:t>a)</w:t>
      </w:r>
      <w:r>
        <w:rPr>
          <w:lang w:val="fr-FR"/>
        </w:rPr>
        <w:tab/>
        <w:t xml:space="preserve">Porter une marque indiquant le mot </w:t>
      </w:r>
      <w:r w:rsidR="00BF7382" w:rsidRPr="00BF7382">
        <w:t>“</w:t>
      </w:r>
      <w:r>
        <w:rPr>
          <w:lang w:val="fr-FR"/>
        </w:rPr>
        <w:t>SUREMBALLAGE</w:t>
      </w:r>
      <w:r w:rsidR="00BF7382" w:rsidRPr="00BF7382">
        <w:t>”</w:t>
      </w:r>
      <w:r>
        <w:rPr>
          <w:lang w:val="fr-FR"/>
        </w:rPr>
        <w:t xml:space="preserve">. Les lettres de la marque </w:t>
      </w:r>
      <w:r w:rsidR="00BF7382" w:rsidRPr="00BF7382">
        <w:t>“</w:t>
      </w:r>
      <w:r>
        <w:rPr>
          <w:lang w:val="fr-FR"/>
        </w:rPr>
        <w:t>SUREMBALLAGE</w:t>
      </w:r>
      <w:r w:rsidR="00BF7382" w:rsidRPr="00BF7382">
        <w:t>”</w:t>
      </w:r>
      <w:r>
        <w:rPr>
          <w:lang w:val="fr-FR"/>
        </w:rPr>
        <w:t xml:space="preserve"> doivent mesurer au moins 12 mm de hauteur ; </w:t>
      </w:r>
    </w:p>
    <w:p w14:paraId="0937FBA2" w14:textId="77777777" w:rsidR="003E3933" w:rsidRPr="00D6502D" w:rsidRDefault="003E3933" w:rsidP="00BF7382">
      <w:pPr>
        <w:pStyle w:val="SingleTxtG"/>
        <w:keepNext/>
        <w:keepLines/>
        <w:ind w:leftChars="1446" w:left="3292" w:rightChars="567" w:hangingChars="200" w:hanging="400"/>
        <w:rPr>
          <w:b/>
          <w:i/>
          <w:u w:val="single"/>
          <w:lang w:val="fr-SN"/>
        </w:rPr>
      </w:pPr>
      <w:r>
        <w:rPr>
          <w:lang w:val="fr-FR"/>
        </w:rPr>
        <w:lastRenderedPageBreak/>
        <w:t>b)</w:t>
      </w:r>
      <w:r>
        <w:rPr>
          <w:lang w:val="fr-FR"/>
        </w:rPr>
        <w:tab/>
        <w:t>Porter une marque indiquant la désignation officielle de transport, le numéro ONU, ainsi que les étiquettes et autres marques prévues pour les colis au chapitre 5.2, pour chacune des marchandises dangereuses qu’il contient</w:t>
      </w:r>
      <w:r>
        <w:rPr>
          <w:strike/>
          <w:lang w:val="fr-FR"/>
        </w:rPr>
        <w:t>.</w:t>
      </w:r>
      <w:r>
        <w:rPr>
          <w:lang w:val="fr-FR"/>
        </w:rPr>
        <w:t> </w:t>
      </w:r>
      <w:r>
        <w:rPr>
          <w:b/>
          <w:bCs/>
          <w:u w:val="single"/>
          <w:lang w:val="fr-FR"/>
        </w:rPr>
        <w:t>;</w:t>
      </w:r>
      <w:r>
        <w:rPr>
          <w:lang w:val="fr-FR"/>
        </w:rPr>
        <w:t xml:space="preserve"> </w:t>
      </w:r>
    </w:p>
    <w:p w14:paraId="43BD30E5" w14:textId="77777777" w:rsidR="003E3933" w:rsidRPr="00D6502D" w:rsidRDefault="003E3933" w:rsidP="003E3933">
      <w:pPr>
        <w:pStyle w:val="SingleTxtG"/>
        <w:ind w:leftChars="1446" w:left="3294" w:rightChars="567" w:hangingChars="200" w:hanging="402"/>
        <w:rPr>
          <w:lang w:val="fr-SN"/>
        </w:rPr>
      </w:pPr>
      <w:r>
        <w:rPr>
          <w:b/>
          <w:bCs/>
          <w:u w:val="single"/>
          <w:lang w:val="fr-FR"/>
        </w:rPr>
        <w:t>c)</w:t>
      </w:r>
      <w:r w:rsidRPr="00BF7382">
        <w:rPr>
          <w:u w:val="single"/>
          <w:lang w:val="fr-FR"/>
        </w:rPr>
        <w:tab/>
      </w:r>
      <w:r>
        <w:rPr>
          <w:b/>
          <w:bCs/>
          <w:u w:val="single"/>
          <w:lang w:val="fr-FR"/>
        </w:rPr>
        <w:t>Porter un symbole, comme décrit à la figure 6.5.1 ou à la figure 6.5.2, indiquant la charge de gerbage maximale autorisée pour l’ensemble du suremballage lorsque celui-ci contient des GRV.</w:t>
      </w:r>
    </w:p>
    <w:p w14:paraId="4C09A020" w14:textId="77777777" w:rsidR="003E3933" w:rsidRPr="00D6502D" w:rsidRDefault="003E3933" w:rsidP="003E3933">
      <w:pPr>
        <w:pStyle w:val="SingleTxtG"/>
        <w:ind w:leftChars="1446" w:left="2892" w:rightChars="567"/>
        <w:rPr>
          <w:b/>
          <w:u w:val="single"/>
          <w:lang w:val="fr-SN"/>
        </w:rPr>
      </w:pPr>
      <w:r>
        <w:rPr>
          <w:lang w:val="fr-FR"/>
        </w:rPr>
        <w:t>Les suremballages contenant des matières radioactives doivent être étiquetés conformément au 5.2.2.1.12.</w:t>
      </w:r>
    </w:p>
    <w:p w14:paraId="2850CAC9" w14:textId="31CB5B49" w:rsidR="003E3933" w:rsidRPr="00D6502D" w:rsidRDefault="003E3933" w:rsidP="003E3933">
      <w:pPr>
        <w:pStyle w:val="SingleTxtG"/>
        <w:ind w:leftChars="921" w:left="1842" w:rightChars="567"/>
        <w:rPr>
          <w:rStyle w:val="fontstyle21"/>
          <w:lang w:val="fr-SN"/>
        </w:rPr>
      </w:pPr>
      <w:r w:rsidRPr="005F3BF7">
        <w:rPr>
          <w:b/>
          <w:bCs/>
          <w:i/>
          <w:iCs/>
          <w:lang w:val="fr-FR"/>
        </w:rPr>
        <w:t>NOTA :</w:t>
      </w:r>
      <w:r w:rsidRPr="007A74C4">
        <w:rPr>
          <w:i/>
          <w:iCs/>
          <w:lang w:val="fr-FR"/>
        </w:rPr>
        <w:tab/>
        <w:t xml:space="preserve">Les prescriptions relatives à la dimension de la marque </w:t>
      </w:r>
      <w:r w:rsidR="00BF7382" w:rsidRPr="00BF7382">
        <w:rPr>
          <w:i/>
          <w:iCs/>
        </w:rPr>
        <w:t>“</w:t>
      </w:r>
      <w:r w:rsidRPr="007A74C4">
        <w:rPr>
          <w:i/>
          <w:iCs/>
          <w:lang w:val="fr-FR"/>
        </w:rPr>
        <w:t>SUREMBALLAGE</w:t>
      </w:r>
      <w:r w:rsidR="00BF7382" w:rsidRPr="00BF7382">
        <w:rPr>
          <w:i/>
          <w:iCs/>
        </w:rPr>
        <w:t>”</w:t>
      </w:r>
      <w:r w:rsidRPr="007A74C4">
        <w:rPr>
          <w:i/>
          <w:iCs/>
          <w:lang w:val="fr-FR"/>
        </w:rPr>
        <w:t xml:space="preserve"> doivent être appliquées à partir du 1</w:t>
      </w:r>
      <w:r w:rsidRPr="007A74C4">
        <w:rPr>
          <w:i/>
          <w:iCs/>
          <w:vertAlign w:val="superscript"/>
          <w:lang w:val="fr-FR"/>
        </w:rPr>
        <w:t>er</w:t>
      </w:r>
      <w:r w:rsidRPr="007A74C4">
        <w:rPr>
          <w:i/>
          <w:iCs/>
          <w:lang w:val="fr-FR"/>
        </w:rPr>
        <w:t xml:space="preserve"> janvier 2016.</w:t>
      </w:r>
      <w:r>
        <w:rPr>
          <w:lang w:val="fr-FR"/>
        </w:rPr>
        <w:t> ».</w:t>
      </w:r>
    </w:p>
    <w:p w14:paraId="36D40085" w14:textId="3E804EB8" w:rsidR="003E3933" w:rsidRDefault="003E3933" w:rsidP="003E3933">
      <w:pPr>
        <w:pStyle w:val="SingleTxtG"/>
        <w:ind w:leftChars="921" w:left="1842" w:rightChars="567"/>
      </w:pPr>
      <w:r>
        <w:rPr>
          <w:lang w:val="fr-FR"/>
        </w:rPr>
        <w:t>« 6.5.2.2.2</w:t>
      </w:r>
      <w:r>
        <w:rPr>
          <w:lang w:val="fr-FR"/>
        </w:rPr>
        <w:tab/>
        <w:t xml:space="preserve">La charge de gerbage maximale autorisée </w:t>
      </w:r>
      <w:r>
        <w:rPr>
          <w:b/>
          <w:bCs/>
          <w:u w:val="single"/>
          <w:lang w:val="fr-FR"/>
        </w:rPr>
        <w:t>pour les GRV et les suremballages contenant des GRV</w:t>
      </w:r>
      <w:r>
        <w:rPr>
          <w:lang w:val="fr-FR"/>
        </w:rPr>
        <w:t xml:space="preserve"> doit être indiquée sur le symbole, comme indiqué à la figure 6.5.1 ou à la figure 6.5.2. Le symbole doit être durable et bien visible. ».</w:t>
      </w:r>
    </w:p>
    <w:p w14:paraId="5976F8A6" w14:textId="7024CEDC" w:rsidR="00446FE5" w:rsidRPr="003E3933" w:rsidRDefault="003E3933" w:rsidP="003E3933">
      <w:pPr>
        <w:pStyle w:val="SingleTxtG"/>
        <w:spacing w:before="240" w:after="0"/>
        <w:jc w:val="center"/>
        <w:rPr>
          <w:u w:val="single"/>
        </w:rPr>
      </w:pPr>
      <w:r>
        <w:rPr>
          <w:u w:val="single"/>
        </w:rPr>
        <w:tab/>
      </w:r>
      <w:r>
        <w:rPr>
          <w:u w:val="single"/>
        </w:rPr>
        <w:tab/>
      </w:r>
      <w:r>
        <w:rPr>
          <w:u w:val="single"/>
        </w:rPr>
        <w:tab/>
      </w:r>
    </w:p>
    <w:sectPr w:rsidR="00446FE5" w:rsidRPr="003E3933" w:rsidSect="003E3933">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3E57D" w14:textId="77777777" w:rsidR="000A65F4" w:rsidRDefault="000A65F4" w:rsidP="00F95C08">
      <w:pPr>
        <w:spacing w:line="240" w:lineRule="auto"/>
      </w:pPr>
    </w:p>
  </w:endnote>
  <w:endnote w:type="continuationSeparator" w:id="0">
    <w:p w14:paraId="14D4A282" w14:textId="77777777" w:rsidR="000A65F4" w:rsidRPr="00AC3823" w:rsidRDefault="000A65F4" w:rsidP="00AC3823">
      <w:pPr>
        <w:pStyle w:val="Pieddepage"/>
      </w:pPr>
    </w:p>
  </w:endnote>
  <w:endnote w:type="continuationNotice" w:id="1">
    <w:p w14:paraId="72508684" w14:textId="77777777" w:rsidR="000A65F4" w:rsidRDefault="000A65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A121" w14:textId="0A0F50FB" w:rsidR="003E3933" w:rsidRPr="003E3933" w:rsidRDefault="003E3933" w:rsidP="003E3933">
    <w:pPr>
      <w:pStyle w:val="Pieddepage"/>
      <w:tabs>
        <w:tab w:val="right" w:pos="9638"/>
      </w:tabs>
    </w:pPr>
    <w:r w:rsidRPr="003E3933">
      <w:rPr>
        <w:b/>
        <w:sz w:val="18"/>
      </w:rPr>
      <w:fldChar w:fldCharType="begin"/>
    </w:r>
    <w:r w:rsidRPr="003E3933">
      <w:rPr>
        <w:b/>
        <w:sz w:val="18"/>
      </w:rPr>
      <w:instrText xml:space="preserve"> PAGE  \* MERGEFORMAT </w:instrText>
    </w:r>
    <w:r w:rsidRPr="003E3933">
      <w:rPr>
        <w:b/>
        <w:sz w:val="18"/>
      </w:rPr>
      <w:fldChar w:fldCharType="separate"/>
    </w:r>
    <w:r w:rsidRPr="003E3933">
      <w:rPr>
        <w:b/>
        <w:noProof/>
        <w:sz w:val="18"/>
      </w:rPr>
      <w:t>2</w:t>
    </w:r>
    <w:r w:rsidRPr="003E3933">
      <w:rPr>
        <w:b/>
        <w:sz w:val="18"/>
      </w:rPr>
      <w:fldChar w:fldCharType="end"/>
    </w:r>
    <w:r>
      <w:rPr>
        <w:b/>
        <w:sz w:val="18"/>
      </w:rPr>
      <w:tab/>
    </w:r>
    <w:r>
      <w:t>GE.23-06590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FD66" w14:textId="2859DCF3" w:rsidR="003E3933" w:rsidRPr="003E3933" w:rsidRDefault="003E3933" w:rsidP="003E3933">
    <w:pPr>
      <w:pStyle w:val="Pieddepage"/>
      <w:tabs>
        <w:tab w:val="right" w:pos="9638"/>
      </w:tabs>
      <w:rPr>
        <w:b/>
        <w:sz w:val="18"/>
      </w:rPr>
    </w:pPr>
    <w:r>
      <w:t>GE.23-06590</w:t>
    </w:r>
    <w:r>
      <w:tab/>
    </w:r>
    <w:r w:rsidRPr="003E3933">
      <w:rPr>
        <w:b/>
        <w:sz w:val="18"/>
      </w:rPr>
      <w:fldChar w:fldCharType="begin"/>
    </w:r>
    <w:r w:rsidRPr="003E3933">
      <w:rPr>
        <w:b/>
        <w:sz w:val="18"/>
      </w:rPr>
      <w:instrText xml:space="preserve"> PAGE  \* MERGEFORMAT </w:instrText>
    </w:r>
    <w:r w:rsidRPr="003E3933">
      <w:rPr>
        <w:b/>
        <w:sz w:val="18"/>
      </w:rPr>
      <w:fldChar w:fldCharType="separate"/>
    </w:r>
    <w:r w:rsidRPr="003E3933">
      <w:rPr>
        <w:b/>
        <w:noProof/>
        <w:sz w:val="18"/>
      </w:rPr>
      <w:t>3</w:t>
    </w:r>
    <w:r w:rsidRPr="003E393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6AEE" w14:textId="20BD0BC6" w:rsidR="004D05AB" w:rsidRPr="003E3933" w:rsidRDefault="003E3933" w:rsidP="003E3933">
    <w:pPr>
      <w:pStyle w:val="Pieddepage"/>
      <w:spacing w:before="120"/>
      <w:rPr>
        <w:sz w:val="20"/>
      </w:rPr>
    </w:pPr>
    <w:r>
      <w:rPr>
        <w:sz w:val="20"/>
      </w:rPr>
      <w:t>GE.</w:t>
    </w:r>
    <w:r w:rsidR="004D05AB">
      <w:rPr>
        <w:noProof/>
        <w:lang w:eastAsia="fr-CH"/>
      </w:rPr>
      <w:drawing>
        <wp:anchor distT="0" distB="0" distL="114300" distR="114300" simplePos="0" relativeHeight="251659264" behindDoc="0" locked="0" layoutInCell="1" allowOverlap="0" wp14:anchorId="285850F4" wp14:editId="2D2DF94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23-06590  (F)</w:t>
    </w:r>
    <w:r>
      <w:rPr>
        <w:noProof/>
        <w:sz w:val="20"/>
      </w:rPr>
      <w:drawing>
        <wp:anchor distT="0" distB="0" distL="114300" distR="114300" simplePos="0" relativeHeight="251660288" behindDoc="0" locked="0" layoutInCell="1" allowOverlap="1" wp14:anchorId="61FB7355" wp14:editId="0AC85C1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150523    1</w:t>
    </w:r>
    <w:r w:rsidR="00BF7382">
      <w:rPr>
        <w:sz w:val="20"/>
      </w:rPr>
      <w:t>6</w:t>
    </w:r>
    <w:r>
      <w:rPr>
        <w:sz w:val="20"/>
      </w:rPr>
      <w:t>0523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98357" w14:textId="77777777" w:rsidR="000A65F4" w:rsidRPr="00AC3823" w:rsidRDefault="000A65F4" w:rsidP="00AC3823">
      <w:pPr>
        <w:pStyle w:val="Pieddepage"/>
        <w:tabs>
          <w:tab w:val="right" w:pos="2155"/>
        </w:tabs>
        <w:spacing w:after="80" w:line="240" w:lineRule="atLeast"/>
        <w:ind w:left="680"/>
        <w:rPr>
          <w:u w:val="single"/>
        </w:rPr>
      </w:pPr>
      <w:r>
        <w:rPr>
          <w:u w:val="single"/>
        </w:rPr>
        <w:tab/>
      </w:r>
    </w:p>
  </w:footnote>
  <w:footnote w:type="continuationSeparator" w:id="0">
    <w:p w14:paraId="7482A6EC" w14:textId="77777777" w:rsidR="000A65F4" w:rsidRPr="00AC3823" w:rsidRDefault="000A65F4" w:rsidP="00AC3823">
      <w:pPr>
        <w:pStyle w:val="Pieddepage"/>
        <w:tabs>
          <w:tab w:val="right" w:pos="2155"/>
        </w:tabs>
        <w:spacing w:after="80" w:line="240" w:lineRule="atLeast"/>
        <w:ind w:left="680"/>
        <w:rPr>
          <w:u w:val="single"/>
        </w:rPr>
      </w:pPr>
      <w:r>
        <w:rPr>
          <w:u w:val="single"/>
        </w:rPr>
        <w:tab/>
      </w:r>
    </w:p>
  </w:footnote>
  <w:footnote w:type="continuationNotice" w:id="1">
    <w:p w14:paraId="6FB92A47" w14:textId="77777777" w:rsidR="000A65F4" w:rsidRPr="00AC3823" w:rsidRDefault="000A65F4">
      <w:pPr>
        <w:spacing w:line="240" w:lineRule="auto"/>
        <w:rPr>
          <w:sz w:val="2"/>
          <w:szCs w:val="2"/>
        </w:rPr>
      </w:pPr>
    </w:p>
  </w:footnote>
  <w:footnote w:id="2">
    <w:p w14:paraId="656B28F5" w14:textId="0F795DF6" w:rsidR="003E3933" w:rsidRDefault="003E3933">
      <w:pPr>
        <w:pStyle w:val="Notedebasdepage"/>
        <w:rPr>
          <w:lang w:val="fr-FR"/>
        </w:rPr>
      </w:pPr>
      <w:r>
        <w:rPr>
          <w:rStyle w:val="Appelnotedebasdep"/>
        </w:rPr>
        <w:tab/>
      </w:r>
      <w:r w:rsidRPr="003E3933">
        <w:rPr>
          <w:rStyle w:val="Appelnotedebasdep"/>
          <w:sz w:val="20"/>
          <w:vertAlign w:val="baseline"/>
        </w:rPr>
        <w:t>*</w:t>
      </w:r>
      <w:r>
        <w:rPr>
          <w:rStyle w:val="Appelnotedebasdep"/>
          <w:sz w:val="20"/>
          <w:vertAlign w:val="baseline"/>
        </w:rPr>
        <w:tab/>
      </w:r>
      <w:r>
        <w:rPr>
          <w:lang w:val="fr-FR"/>
        </w:rPr>
        <w:t>A/77/6 (Sect. 20), tableau 20.6.</w:t>
      </w:r>
    </w:p>
    <w:p w14:paraId="3E164E3B" w14:textId="77777777" w:rsidR="00BF7382" w:rsidRPr="003E3933" w:rsidRDefault="00BF7382">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85E2" w14:textId="34150F1C" w:rsidR="003E3933" w:rsidRPr="003E3933" w:rsidRDefault="00403EA4">
    <w:pPr>
      <w:pStyle w:val="En-tte"/>
    </w:pPr>
    <w:r>
      <w:fldChar w:fldCharType="begin"/>
    </w:r>
    <w:r>
      <w:instrText xml:space="preserve"> TITLE  \* MERGEFORMAT </w:instrText>
    </w:r>
    <w:r>
      <w:fldChar w:fldCharType="separate"/>
    </w:r>
    <w:r>
      <w:t>ST/SG/AC.10/C.3/2023/9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A5E" w14:textId="18B3D280" w:rsidR="003E3933" w:rsidRPr="003E3933" w:rsidRDefault="00403EA4" w:rsidP="003E3933">
    <w:pPr>
      <w:pStyle w:val="En-tte"/>
      <w:jc w:val="right"/>
    </w:pPr>
    <w:r>
      <w:fldChar w:fldCharType="begin"/>
    </w:r>
    <w:r>
      <w:instrText xml:space="preserve"> TITLE  \* MERGEFORMAT </w:instrText>
    </w:r>
    <w:r>
      <w:fldChar w:fldCharType="separate"/>
    </w:r>
    <w:r>
      <w:t>ST/SG/AC.10/C.3/2023/9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F3165E1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872CD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7CB238C4"/>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825780156">
    <w:abstractNumId w:val="12"/>
  </w:num>
  <w:num w:numId="2" w16cid:durableId="1251890112">
    <w:abstractNumId w:val="11"/>
  </w:num>
  <w:num w:numId="3" w16cid:durableId="1304383286">
    <w:abstractNumId w:val="10"/>
  </w:num>
  <w:num w:numId="4" w16cid:durableId="1931229364">
    <w:abstractNumId w:val="8"/>
  </w:num>
  <w:num w:numId="5" w16cid:durableId="74523103">
    <w:abstractNumId w:val="3"/>
  </w:num>
  <w:num w:numId="6" w16cid:durableId="2061047838">
    <w:abstractNumId w:val="2"/>
  </w:num>
  <w:num w:numId="7" w16cid:durableId="548297043">
    <w:abstractNumId w:val="1"/>
  </w:num>
  <w:num w:numId="8" w16cid:durableId="652411635">
    <w:abstractNumId w:val="0"/>
  </w:num>
  <w:num w:numId="9" w16cid:durableId="316803483">
    <w:abstractNumId w:val="9"/>
  </w:num>
  <w:num w:numId="10" w16cid:durableId="2110932793">
    <w:abstractNumId w:val="7"/>
  </w:num>
  <w:num w:numId="11" w16cid:durableId="404842389">
    <w:abstractNumId w:val="6"/>
  </w:num>
  <w:num w:numId="12" w16cid:durableId="173805003">
    <w:abstractNumId w:val="5"/>
  </w:num>
  <w:num w:numId="13" w16cid:durableId="662590061">
    <w:abstractNumId w:val="4"/>
  </w:num>
  <w:num w:numId="14" w16cid:durableId="58983280">
    <w:abstractNumId w:val="12"/>
  </w:num>
  <w:num w:numId="15" w16cid:durableId="1281763631">
    <w:abstractNumId w:val="11"/>
  </w:num>
  <w:num w:numId="16" w16cid:durableId="17184282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F4"/>
    <w:rsid w:val="00017F94"/>
    <w:rsid w:val="00023842"/>
    <w:rsid w:val="00032A34"/>
    <w:rsid w:val="000334F9"/>
    <w:rsid w:val="0007796D"/>
    <w:rsid w:val="000912D9"/>
    <w:rsid w:val="000A55E1"/>
    <w:rsid w:val="000A65F4"/>
    <w:rsid w:val="000B7790"/>
    <w:rsid w:val="00111F2F"/>
    <w:rsid w:val="0014365E"/>
    <w:rsid w:val="00176178"/>
    <w:rsid w:val="001F525A"/>
    <w:rsid w:val="00223272"/>
    <w:rsid w:val="0024779E"/>
    <w:rsid w:val="002832AC"/>
    <w:rsid w:val="002D7C93"/>
    <w:rsid w:val="003C6657"/>
    <w:rsid w:val="003E3933"/>
    <w:rsid w:val="00403EA4"/>
    <w:rsid w:val="00441C3B"/>
    <w:rsid w:val="00446FE5"/>
    <w:rsid w:val="00452396"/>
    <w:rsid w:val="004D05AB"/>
    <w:rsid w:val="004E468C"/>
    <w:rsid w:val="00522C70"/>
    <w:rsid w:val="005505B7"/>
    <w:rsid w:val="00565AC2"/>
    <w:rsid w:val="00573BE5"/>
    <w:rsid w:val="00586ED3"/>
    <w:rsid w:val="00596AA9"/>
    <w:rsid w:val="0071601D"/>
    <w:rsid w:val="007316B4"/>
    <w:rsid w:val="00776FF0"/>
    <w:rsid w:val="007950B6"/>
    <w:rsid w:val="007A62E6"/>
    <w:rsid w:val="0080684C"/>
    <w:rsid w:val="00871C75"/>
    <w:rsid w:val="008776DC"/>
    <w:rsid w:val="009452CD"/>
    <w:rsid w:val="009705C8"/>
    <w:rsid w:val="009C1CF4"/>
    <w:rsid w:val="00A30353"/>
    <w:rsid w:val="00AC3823"/>
    <w:rsid w:val="00AC4967"/>
    <w:rsid w:val="00AE323C"/>
    <w:rsid w:val="00B00181"/>
    <w:rsid w:val="00B00B0D"/>
    <w:rsid w:val="00B765F7"/>
    <w:rsid w:val="00BA0CA9"/>
    <w:rsid w:val="00BC3DDA"/>
    <w:rsid w:val="00BF7382"/>
    <w:rsid w:val="00C02897"/>
    <w:rsid w:val="00D27EC2"/>
    <w:rsid w:val="00D3439C"/>
    <w:rsid w:val="00DB1831"/>
    <w:rsid w:val="00DD3BFD"/>
    <w:rsid w:val="00DF6678"/>
    <w:rsid w:val="00ED6C80"/>
    <w:rsid w:val="00EF2E22"/>
    <w:rsid w:val="00F660DF"/>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C1DBA"/>
  <w15:docId w15:val="{0A24D231-D5C2-4B99-A47A-DB059039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2D9"/>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0912D9"/>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0912D9"/>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0912D9"/>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0912D9"/>
    <w:pPr>
      <w:spacing w:line="240" w:lineRule="auto"/>
    </w:pPr>
    <w:rPr>
      <w:sz w:val="16"/>
    </w:rPr>
  </w:style>
  <w:style w:type="character" w:customStyle="1" w:styleId="PieddepageCar">
    <w:name w:val="Pied de page Car"/>
    <w:aliases w:val="3_G Car"/>
    <w:basedOn w:val="Policepardfaut"/>
    <w:link w:val="Pieddepage"/>
    <w:rsid w:val="000912D9"/>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0912D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0912D9"/>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uiPriority w:val="99"/>
    <w:qFormat/>
    <w:rsid w:val="000912D9"/>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0912D9"/>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0912D9"/>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0912D9"/>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0912D9"/>
    <w:pPr>
      <w:tabs>
        <w:tab w:val="left" w:pos="1701"/>
        <w:tab w:val="left" w:pos="2268"/>
        <w:tab w:val="left" w:pos="2835"/>
      </w:tabs>
      <w:spacing w:after="120"/>
      <w:ind w:left="1134" w:right="1134"/>
      <w:jc w:val="both"/>
    </w:pPr>
  </w:style>
  <w:style w:type="paragraph" w:customStyle="1" w:styleId="SLG">
    <w:name w:val="__S_L_G"/>
    <w:basedOn w:val="Normal"/>
    <w:next w:val="Normal"/>
    <w:rsid w:val="000912D9"/>
    <w:pPr>
      <w:keepNext/>
      <w:keepLines/>
      <w:spacing w:before="240" w:after="240" w:line="580" w:lineRule="exact"/>
      <w:ind w:left="1134" w:right="1134"/>
    </w:pPr>
    <w:rPr>
      <w:b/>
      <w:sz w:val="56"/>
    </w:rPr>
  </w:style>
  <w:style w:type="paragraph" w:customStyle="1" w:styleId="SMG">
    <w:name w:val="__S_M_G"/>
    <w:basedOn w:val="Normal"/>
    <w:next w:val="Normal"/>
    <w:rsid w:val="000912D9"/>
    <w:pPr>
      <w:keepNext/>
      <w:keepLines/>
      <w:spacing w:before="240" w:after="240" w:line="420" w:lineRule="exact"/>
      <w:ind w:left="1134" w:right="1134"/>
    </w:pPr>
    <w:rPr>
      <w:b/>
      <w:sz w:val="40"/>
    </w:rPr>
  </w:style>
  <w:style w:type="paragraph" w:customStyle="1" w:styleId="SSG">
    <w:name w:val="__S_S_G"/>
    <w:basedOn w:val="Normal"/>
    <w:next w:val="Normal"/>
    <w:rsid w:val="000912D9"/>
    <w:pPr>
      <w:keepNext/>
      <w:keepLines/>
      <w:spacing w:before="240" w:after="240" w:line="300" w:lineRule="exact"/>
      <w:ind w:left="1134" w:right="1134"/>
    </w:pPr>
    <w:rPr>
      <w:b/>
      <w:sz w:val="28"/>
    </w:rPr>
  </w:style>
  <w:style w:type="paragraph" w:customStyle="1" w:styleId="XLargeG">
    <w:name w:val="__XLarge_G"/>
    <w:basedOn w:val="Normal"/>
    <w:next w:val="Normal"/>
    <w:rsid w:val="000912D9"/>
    <w:pPr>
      <w:keepNext/>
      <w:keepLines/>
      <w:spacing w:before="240" w:after="240" w:line="420" w:lineRule="exact"/>
      <w:ind w:left="1134" w:right="1134"/>
    </w:pPr>
    <w:rPr>
      <w:b/>
      <w:sz w:val="40"/>
    </w:rPr>
  </w:style>
  <w:style w:type="paragraph" w:customStyle="1" w:styleId="Bullet1G">
    <w:name w:val="_Bullet 1_G"/>
    <w:basedOn w:val="Normal"/>
    <w:qFormat/>
    <w:rsid w:val="000912D9"/>
    <w:pPr>
      <w:numPr>
        <w:numId w:val="14"/>
      </w:numPr>
      <w:spacing w:after="120"/>
      <w:ind w:right="1134"/>
      <w:jc w:val="both"/>
    </w:pPr>
  </w:style>
  <w:style w:type="paragraph" w:customStyle="1" w:styleId="Bullet2G">
    <w:name w:val="_Bullet 2_G"/>
    <w:basedOn w:val="Normal"/>
    <w:qFormat/>
    <w:rsid w:val="000912D9"/>
    <w:pPr>
      <w:numPr>
        <w:numId w:val="15"/>
      </w:numPr>
      <w:spacing w:after="120"/>
      <w:ind w:right="1134"/>
      <w:jc w:val="both"/>
    </w:pPr>
  </w:style>
  <w:style w:type="paragraph" w:customStyle="1" w:styleId="ParNoG">
    <w:name w:val="_ParNo_G"/>
    <w:basedOn w:val="Normal"/>
    <w:qFormat/>
    <w:rsid w:val="000912D9"/>
    <w:pPr>
      <w:numPr>
        <w:numId w:val="16"/>
      </w:numPr>
      <w:tabs>
        <w:tab w:val="left" w:pos="1701"/>
        <w:tab w:val="left" w:pos="2268"/>
        <w:tab w:val="left" w:pos="2835"/>
      </w:tabs>
      <w:spacing w:after="120"/>
      <w:ind w:right="1134"/>
      <w:jc w:val="both"/>
    </w:pPr>
  </w:style>
  <w:style w:type="character" w:styleId="Appelnotedebasdep">
    <w:name w:val="footnote reference"/>
    <w:aliases w:val="4_G"/>
    <w:basedOn w:val="Policepardfaut"/>
    <w:uiPriority w:val="99"/>
    <w:qFormat/>
    <w:rsid w:val="000912D9"/>
    <w:rPr>
      <w:rFonts w:ascii="Times New Roman" w:hAnsi="Times New Roman"/>
      <w:sz w:val="18"/>
      <w:vertAlign w:val="superscript"/>
      <w:lang w:val="fr-CH"/>
    </w:rPr>
  </w:style>
  <w:style w:type="character" w:styleId="Appeldenotedefin">
    <w:name w:val="endnote reference"/>
    <w:aliases w:val="1_G"/>
    <w:basedOn w:val="Appelnotedebasdep"/>
    <w:qFormat/>
    <w:rsid w:val="000912D9"/>
    <w:rPr>
      <w:rFonts w:ascii="Times New Roman" w:hAnsi="Times New Roman"/>
      <w:sz w:val="18"/>
      <w:vertAlign w:val="superscript"/>
      <w:lang w:val="fr-CH"/>
    </w:rPr>
  </w:style>
  <w:style w:type="table" w:styleId="Grilledutableau">
    <w:name w:val="Table Grid"/>
    <w:basedOn w:val="TableauNormal"/>
    <w:rsid w:val="000912D9"/>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0912D9"/>
    <w:rPr>
      <w:color w:val="0000FF"/>
      <w:u w:val="none"/>
    </w:rPr>
  </w:style>
  <w:style w:type="character" w:styleId="Lienhypertextesuivivisit">
    <w:name w:val="FollowedHyperlink"/>
    <w:basedOn w:val="Policepardfaut"/>
    <w:unhideWhenUsed/>
    <w:rsid w:val="000912D9"/>
    <w:rPr>
      <w:color w:val="0000FF"/>
      <w:u w:val="none"/>
    </w:rPr>
  </w:style>
  <w:style w:type="paragraph" w:styleId="Notedebasdepage">
    <w:name w:val="footnote text"/>
    <w:aliases w:val="5_G"/>
    <w:basedOn w:val="Normal"/>
    <w:link w:val="NotedebasdepageCar"/>
    <w:uiPriority w:val="99"/>
    <w:qFormat/>
    <w:rsid w:val="000912D9"/>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uiPriority w:val="99"/>
    <w:rsid w:val="000912D9"/>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0912D9"/>
  </w:style>
  <w:style w:type="character" w:customStyle="1" w:styleId="NotedefinCar">
    <w:name w:val="Note de fin Car"/>
    <w:aliases w:val="2_G Car"/>
    <w:basedOn w:val="Policepardfaut"/>
    <w:link w:val="Notedefin"/>
    <w:rsid w:val="000912D9"/>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0912D9"/>
    <w:rPr>
      <w:rFonts w:ascii="Times New Roman" w:hAnsi="Times New Roman"/>
      <w:b/>
      <w:sz w:val="18"/>
      <w:lang w:val="fr-CH"/>
    </w:rPr>
  </w:style>
  <w:style w:type="character" w:customStyle="1" w:styleId="Titre1Car">
    <w:name w:val="Titre 1 Car"/>
    <w:aliases w:val="Table_G Car"/>
    <w:basedOn w:val="Policepardfaut"/>
    <w:link w:val="Titre1"/>
    <w:rsid w:val="000912D9"/>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3C665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657"/>
    <w:rPr>
      <w:rFonts w:ascii="Tahoma" w:hAnsi="Tahoma" w:cs="Tahoma"/>
      <w:sz w:val="16"/>
      <w:szCs w:val="16"/>
      <w:lang w:eastAsia="en-US"/>
    </w:rPr>
  </w:style>
  <w:style w:type="character" w:customStyle="1" w:styleId="HChGChar">
    <w:name w:val="_ H _Ch_G Char"/>
    <w:link w:val="HChG"/>
    <w:qFormat/>
    <w:locked/>
    <w:rsid w:val="003E3933"/>
    <w:rPr>
      <w:rFonts w:ascii="Times New Roman" w:eastAsiaTheme="minorHAnsi" w:hAnsi="Times New Roman" w:cs="Times New Roman"/>
      <w:b/>
      <w:sz w:val="28"/>
      <w:szCs w:val="20"/>
      <w:lang w:eastAsia="en-US"/>
    </w:rPr>
  </w:style>
  <w:style w:type="character" w:customStyle="1" w:styleId="H1GChar">
    <w:name w:val="_ H_1_G Char"/>
    <w:link w:val="H1G"/>
    <w:uiPriority w:val="99"/>
    <w:locked/>
    <w:rsid w:val="003E3933"/>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locked/>
    <w:rsid w:val="003E3933"/>
    <w:rPr>
      <w:rFonts w:ascii="Times New Roman" w:eastAsiaTheme="minorHAnsi" w:hAnsi="Times New Roman" w:cs="Times New Roman"/>
      <w:sz w:val="20"/>
      <w:szCs w:val="20"/>
      <w:lang w:eastAsia="en-US"/>
    </w:rPr>
  </w:style>
  <w:style w:type="character" w:customStyle="1" w:styleId="fontstyle21">
    <w:name w:val="fontstyle21"/>
    <w:basedOn w:val="Policepardfaut"/>
    <w:rsid w:val="003E3933"/>
    <w:rPr>
      <w:rFonts w:ascii="TimesNewRomanPS-ItalicMT" w:hAnsi="TimesNewRomanPS-ItalicMT" w:hint="default"/>
      <w:b w:val="0"/>
      <w:bCs w:val="0"/>
      <w:i/>
      <w:iCs/>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ée un document." ma:contentTypeScope="" ma:versionID="1caf4ffa0988abc87f7723fe6588a624">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61a28bb76e3d6441cb029918bc28782"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20DCDC-086C-41A0-A8A0-0F2D1882AA48}"/>
</file>

<file path=customXml/itemProps2.xml><?xml version="1.0" encoding="utf-8"?>
<ds:datastoreItem xmlns:ds="http://schemas.openxmlformats.org/officeDocument/2006/customXml" ds:itemID="{CD275A86-38F5-4AC2-9271-8257F7743C43}"/>
</file>

<file path=docProps/app.xml><?xml version="1.0" encoding="utf-8"?>
<Properties xmlns="http://schemas.openxmlformats.org/officeDocument/2006/extended-properties" xmlns:vt="http://schemas.openxmlformats.org/officeDocument/2006/docPropsVTypes">
  <Template>S.dotm</Template>
  <TotalTime>1</TotalTime>
  <Pages>3</Pages>
  <Words>493</Words>
  <Characters>2863</Characters>
  <Application>Microsoft Office Word</Application>
  <DocSecurity>0</DocSecurity>
  <Lines>715</Lines>
  <Paragraphs>223</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ST/SG/AC.10/C.3/2023/9</dc:title>
  <dc:subject/>
  <dc:creator>Maud DARICHE</dc:creator>
  <cp:keywords/>
  <cp:lastModifiedBy>Maud Dariche</cp:lastModifiedBy>
  <cp:revision>3</cp:revision>
  <cp:lastPrinted>2023-05-16T05:06:00Z</cp:lastPrinted>
  <dcterms:created xsi:type="dcterms:W3CDTF">2023-05-16T05:06:00Z</dcterms:created>
  <dcterms:modified xsi:type="dcterms:W3CDTF">2023-05-16T05:07:00Z</dcterms:modified>
</cp:coreProperties>
</file>