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610386D" w14:textId="77777777" w:rsidTr="006476E1">
        <w:trPr>
          <w:trHeight w:val="851"/>
        </w:trPr>
        <w:tc>
          <w:tcPr>
            <w:tcW w:w="1259" w:type="dxa"/>
            <w:tcBorders>
              <w:top w:val="nil"/>
              <w:left w:val="nil"/>
              <w:bottom w:val="single" w:sz="4" w:space="0" w:color="auto"/>
              <w:right w:val="nil"/>
            </w:tcBorders>
          </w:tcPr>
          <w:p w14:paraId="26BAB2A3" w14:textId="77777777" w:rsidR="00E52109" w:rsidRPr="002A32CB" w:rsidRDefault="00E52109" w:rsidP="004858F5"/>
        </w:tc>
        <w:tc>
          <w:tcPr>
            <w:tcW w:w="2236" w:type="dxa"/>
            <w:tcBorders>
              <w:top w:val="nil"/>
              <w:left w:val="nil"/>
              <w:bottom w:val="single" w:sz="4" w:space="0" w:color="auto"/>
              <w:right w:val="nil"/>
            </w:tcBorders>
            <w:vAlign w:val="bottom"/>
          </w:tcPr>
          <w:p w14:paraId="6363D07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7411005" w14:textId="33FA83B7" w:rsidR="00E52109" w:rsidRDefault="00474D27" w:rsidP="00474D27">
            <w:pPr>
              <w:suppressAutoHyphens w:val="0"/>
              <w:jc w:val="right"/>
            </w:pPr>
            <w:r w:rsidRPr="00474D27">
              <w:rPr>
                <w:sz w:val="40"/>
              </w:rPr>
              <w:t>ST</w:t>
            </w:r>
            <w:r>
              <w:t>/SG/AC.10/C.3/2023/</w:t>
            </w:r>
            <w:r w:rsidR="005F2C9C">
              <w:t>5</w:t>
            </w:r>
          </w:p>
        </w:tc>
      </w:tr>
      <w:tr w:rsidR="00E52109" w14:paraId="54746F6C" w14:textId="77777777" w:rsidTr="006476E1">
        <w:trPr>
          <w:trHeight w:val="2835"/>
        </w:trPr>
        <w:tc>
          <w:tcPr>
            <w:tcW w:w="1259" w:type="dxa"/>
            <w:tcBorders>
              <w:top w:val="single" w:sz="4" w:space="0" w:color="auto"/>
              <w:left w:val="nil"/>
              <w:bottom w:val="single" w:sz="12" w:space="0" w:color="auto"/>
              <w:right w:val="nil"/>
            </w:tcBorders>
          </w:tcPr>
          <w:p w14:paraId="175198AC" w14:textId="77777777" w:rsidR="00E52109" w:rsidRDefault="00E52109" w:rsidP="006476E1">
            <w:pPr>
              <w:spacing w:before="120"/>
              <w:jc w:val="center"/>
            </w:pPr>
            <w:r>
              <w:rPr>
                <w:noProof/>
                <w:lang w:val="fr-CH" w:eastAsia="fr-CH"/>
              </w:rPr>
              <w:drawing>
                <wp:inline distT="0" distB="0" distL="0" distR="0" wp14:anchorId="5D4CB42C" wp14:editId="62A8E5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5AC79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47C7FEA" w14:textId="77777777" w:rsidR="00D94B05" w:rsidRDefault="00474D27" w:rsidP="00474D27">
            <w:pPr>
              <w:suppressAutoHyphens w:val="0"/>
              <w:spacing w:before="240" w:line="240" w:lineRule="exact"/>
            </w:pPr>
            <w:r>
              <w:t>Distr.: General</w:t>
            </w:r>
          </w:p>
          <w:p w14:paraId="6F35C7AB" w14:textId="7360849E" w:rsidR="00474D27" w:rsidRDefault="005C7563" w:rsidP="00474D27">
            <w:pPr>
              <w:suppressAutoHyphens w:val="0"/>
              <w:spacing w:line="240" w:lineRule="exact"/>
            </w:pPr>
            <w:r>
              <w:t>11</w:t>
            </w:r>
            <w:r w:rsidR="00B355B7">
              <w:t xml:space="preserve"> </w:t>
            </w:r>
            <w:r w:rsidR="005F2C9C">
              <w:t>April</w:t>
            </w:r>
            <w:r w:rsidR="00474D27">
              <w:t xml:space="preserve"> 2023</w:t>
            </w:r>
          </w:p>
          <w:p w14:paraId="31B52485" w14:textId="77777777" w:rsidR="00474D27" w:rsidRDefault="00474D27" w:rsidP="00474D27">
            <w:pPr>
              <w:suppressAutoHyphens w:val="0"/>
              <w:spacing w:line="240" w:lineRule="exact"/>
            </w:pPr>
          </w:p>
          <w:p w14:paraId="25A8B6AA" w14:textId="0D46E30D" w:rsidR="00474D27" w:rsidRDefault="00474D27" w:rsidP="00474D27">
            <w:pPr>
              <w:suppressAutoHyphens w:val="0"/>
              <w:spacing w:line="240" w:lineRule="exact"/>
            </w:pPr>
            <w:r>
              <w:t>Original: English</w:t>
            </w:r>
          </w:p>
        </w:tc>
      </w:tr>
    </w:tbl>
    <w:p w14:paraId="43EC8544" w14:textId="77777777" w:rsidR="005A5B2E" w:rsidRPr="006500BA" w:rsidRDefault="005A5B2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3C164E8" w14:textId="77777777" w:rsidR="005A5B2E" w:rsidRPr="006500BA" w:rsidRDefault="005A5B2E" w:rsidP="004858F5">
      <w:pPr>
        <w:spacing w:before="120"/>
        <w:rPr>
          <w:rFonts w:ascii="Helv" w:hAnsi="Helv" w:cs="Helv"/>
          <w:b/>
          <w:color w:val="000000"/>
        </w:rPr>
      </w:pPr>
      <w:r w:rsidRPr="006500BA">
        <w:rPr>
          <w:b/>
        </w:rPr>
        <w:t xml:space="preserve">Sub-Committee of Experts on the </w:t>
      </w:r>
      <w:r>
        <w:rPr>
          <w:b/>
        </w:rPr>
        <w:t>Transport of Dangerous Goods</w:t>
      </w:r>
    </w:p>
    <w:p w14:paraId="0D490501" w14:textId="5F901D51" w:rsidR="005A5B2E" w:rsidRPr="006500BA" w:rsidRDefault="00FF661B" w:rsidP="004858F5">
      <w:pPr>
        <w:spacing w:before="120"/>
        <w:rPr>
          <w:b/>
        </w:rPr>
      </w:pPr>
      <w:r>
        <w:rPr>
          <w:b/>
        </w:rPr>
        <w:t>Sixty-second</w:t>
      </w:r>
      <w:r w:rsidR="005A5B2E">
        <w:rPr>
          <w:b/>
        </w:rPr>
        <w:t xml:space="preserve"> </w:t>
      </w:r>
      <w:r w:rsidR="005A5B2E" w:rsidRPr="006500BA">
        <w:rPr>
          <w:b/>
        </w:rPr>
        <w:t>session</w:t>
      </w:r>
    </w:p>
    <w:p w14:paraId="4551C058" w14:textId="48065BA9" w:rsidR="005A5B2E" w:rsidRPr="006500BA" w:rsidRDefault="005A5B2E" w:rsidP="004858F5">
      <w:r w:rsidRPr="006500BA">
        <w:t xml:space="preserve">Geneva, </w:t>
      </w:r>
      <w:r>
        <w:t>3-7 July 2023</w:t>
      </w:r>
    </w:p>
    <w:p w14:paraId="6C4CC6A9" w14:textId="0874CAF3" w:rsidR="005A5B2E" w:rsidRPr="006500BA" w:rsidRDefault="005A5B2E" w:rsidP="004858F5">
      <w:r w:rsidRPr="006500BA">
        <w:t xml:space="preserve">Item </w:t>
      </w:r>
      <w:r w:rsidR="005F2C9C">
        <w:t>3</w:t>
      </w:r>
      <w:r w:rsidRPr="006500BA">
        <w:t xml:space="preserve"> of the provisional agenda</w:t>
      </w:r>
    </w:p>
    <w:p w14:paraId="27FD7E5F" w14:textId="490BCBD2" w:rsidR="00AF5DE1" w:rsidRDefault="00CB1B16" w:rsidP="004858F5">
      <w:pPr>
        <w:rPr>
          <w:b/>
          <w:bCs/>
        </w:rPr>
      </w:pPr>
      <w:r w:rsidRPr="00FB1407">
        <w:rPr>
          <w:b/>
        </w:rPr>
        <w:t>Listing, classification and packing</w:t>
      </w:r>
    </w:p>
    <w:p w14:paraId="69D24852" w14:textId="5544EE85" w:rsidR="00043167" w:rsidRDefault="00043167" w:rsidP="00E74539">
      <w:pPr>
        <w:pStyle w:val="HChG"/>
        <w:ind w:right="992"/>
      </w:pPr>
      <w:r>
        <w:tab/>
      </w:r>
      <w:r>
        <w:tab/>
      </w:r>
      <w:r w:rsidR="00C50F64" w:rsidRPr="00C50F64">
        <w:t>Proposal to add class 8 as subsidiary hazard to UN 1040, UN</w:t>
      </w:r>
      <w:r w:rsidR="00C50F64">
        <w:t> </w:t>
      </w:r>
      <w:r w:rsidR="00C50F64" w:rsidRPr="00C50F64">
        <w:t>1041 and UN 3300</w:t>
      </w:r>
    </w:p>
    <w:p w14:paraId="432D5FEF" w14:textId="1C425F44" w:rsidR="00043167" w:rsidRDefault="00043167" w:rsidP="00043167">
      <w:pPr>
        <w:pStyle w:val="H1G"/>
      </w:pPr>
      <w:r>
        <w:tab/>
      </w:r>
      <w:r>
        <w:tab/>
      </w:r>
      <w:r w:rsidRPr="00043167">
        <w:t>Transmitted</w:t>
      </w:r>
      <w:r>
        <w:t xml:space="preserve"> by </w:t>
      </w:r>
      <w:r w:rsidR="00940A77">
        <w:t xml:space="preserve">the </w:t>
      </w:r>
      <w:r w:rsidR="003956C5" w:rsidRPr="00AF2D23">
        <w:rPr>
          <w:rFonts w:eastAsia="Arial Unicode MS" w:cs="Arial Unicode MS"/>
          <w:lang w:eastAsia="en-US"/>
        </w:rPr>
        <w:t xml:space="preserve">expert from </w:t>
      </w:r>
      <w:r w:rsidR="003956C5">
        <w:rPr>
          <w:rFonts w:eastAsia="Arial Unicode MS" w:cs="Arial Unicode MS"/>
          <w:lang w:eastAsia="en-US"/>
        </w:rPr>
        <w:t>Germany</w:t>
      </w:r>
      <w:r w:rsidR="003956C5">
        <w:rPr>
          <w:rStyle w:val="FootnoteReference"/>
        </w:rPr>
        <w:t xml:space="preserve"> </w:t>
      </w:r>
      <w:r>
        <w:rPr>
          <w:rStyle w:val="FootnoteReference"/>
        </w:rPr>
        <w:footnoteReference w:id="2"/>
      </w:r>
    </w:p>
    <w:p w14:paraId="3EC63994" w14:textId="5DBF4CFD" w:rsidR="00043167" w:rsidRDefault="00043167" w:rsidP="00043167">
      <w:pPr>
        <w:pStyle w:val="HChG"/>
      </w:pPr>
      <w:r>
        <w:tab/>
      </w:r>
      <w:r>
        <w:tab/>
      </w:r>
      <w:r w:rsidR="00AC1D7C">
        <w:t>Introduction</w:t>
      </w:r>
    </w:p>
    <w:p w14:paraId="559A3F35" w14:textId="3DC2203B" w:rsidR="002A3DB4" w:rsidRDefault="00911BEE" w:rsidP="00911BEE">
      <w:pPr>
        <w:pStyle w:val="SingleTxtG"/>
      </w:pPr>
      <w:r>
        <w:t>1.</w:t>
      </w:r>
      <w:r>
        <w:tab/>
      </w:r>
      <w:r w:rsidR="002A3DB4" w:rsidRPr="00D31C27">
        <w:t>According to the UN Model Regulations, UN</w:t>
      </w:r>
      <w:r w:rsidR="002A3DB4">
        <w:t> </w:t>
      </w:r>
      <w:r w:rsidR="002A3DB4" w:rsidRPr="00D31C27">
        <w:t xml:space="preserve">1040 </w:t>
      </w:r>
      <w:r w:rsidR="002A3DB4" w:rsidRPr="00931AAD">
        <w:rPr>
          <w:i/>
          <w:iCs/>
        </w:rPr>
        <w:t>ETHYLENE OXIDE or ETHYLENE OXIDE WITH NITROGEN up to a total pressure of 1 MPa (10 bar) at 50 °C</w:t>
      </w:r>
      <w:r w:rsidR="002A3DB4" w:rsidRPr="00D31C27">
        <w:t xml:space="preserve"> is classified in </w:t>
      </w:r>
      <w:r w:rsidR="002A3DB4">
        <w:t>division</w:t>
      </w:r>
      <w:r w:rsidR="002A3DB4" w:rsidRPr="00D31C27">
        <w:t xml:space="preserve"> 2.3 (toxic gas) with the subsidiary hazard 2.1 (flammable).</w:t>
      </w:r>
    </w:p>
    <w:p w14:paraId="21782835" w14:textId="5EBC137E" w:rsidR="002A3DB4" w:rsidRPr="00D31C27" w:rsidRDefault="00911BEE" w:rsidP="00911BEE">
      <w:pPr>
        <w:pStyle w:val="SingleTxtG"/>
      </w:pPr>
      <w:r>
        <w:t>2.</w:t>
      </w:r>
      <w:r>
        <w:tab/>
      </w:r>
      <w:r w:rsidR="002A3DB4">
        <w:t xml:space="preserve">A </w:t>
      </w:r>
      <w:r w:rsidR="002A3DB4" w:rsidRPr="00D31C27">
        <w:t>new harmonised classification</w:t>
      </w:r>
      <w:r w:rsidR="002A3DB4">
        <w:t xml:space="preserve"> of ethylene oxide showing corrosive properties was </w:t>
      </w:r>
      <w:r w:rsidR="002A3DB4" w:rsidRPr="00D31C27">
        <w:t xml:space="preserve">published within the </w:t>
      </w:r>
      <w:r w:rsidR="009678E9">
        <w:t>fourteenth</w:t>
      </w:r>
      <w:r w:rsidR="002A3DB4" w:rsidRPr="00D31C27">
        <w:t xml:space="preserve"> </w:t>
      </w:r>
      <w:r w:rsidR="005A1D1A" w:rsidRPr="005A1D1A">
        <w:t>"Adaptation to Technical Progress (ATP)"</w:t>
      </w:r>
      <w:r w:rsidR="002A3DB4" w:rsidRPr="00D31C27">
        <w:t xml:space="preserve">, </w:t>
      </w:r>
      <w:r w:rsidR="000F52F8">
        <w:t>a</w:t>
      </w:r>
      <w:r w:rsidR="002A3DB4" w:rsidRPr="00D31C27">
        <w:t>nnex VI of the E</w:t>
      </w:r>
      <w:r w:rsidR="00ED14FE">
        <w:t>uropean Commission (EC)</w:t>
      </w:r>
      <w:r w:rsidR="002A3DB4" w:rsidRPr="00D31C27">
        <w:t xml:space="preserve"> Regulation No. 1272/2008 on classification, labelling and packaging (CLP)</w:t>
      </w:r>
      <w:r w:rsidR="002A3DB4">
        <w:t xml:space="preserve"> and</w:t>
      </w:r>
      <w:r w:rsidR="002A3DB4" w:rsidRPr="00D31C27">
        <w:t xml:space="preserve"> entered into force on 9 September 2021</w:t>
      </w:r>
      <w:r w:rsidR="002A3DB4">
        <w:t>. C</w:t>
      </w:r>
      <w:r w:rsidR="002A3DB4" w:rsidRPr="00D31C27">
        <w:t xml:space="preserve">lassification corresponding to class 8 was proposed in informal document </w:t>
      </w:r>
      <w:r w:rsidR="00ED14FE">
        <w:t>IN</w:t>
      </w:r>
      <w:r w:rsidR="002A3DB4" w:rsidRPr="00D31C27">
        <w:t xml:space="preserve">F.25 at the </w:t>
      </w:r>
      <w:r w:rsidR="00CE44A0">
        <w:t>sixtie</w:t>
      </w:r>
      <w:r w:rsidR="002A3DB4" w:rsidRPr="00911BEE">
        <w:t>th</w:t>
      </w:r>
      <w:r w:rsidR="002A3DB4" w:rsidRPr="00D31C27">
        <w:t xml:space="preserve"> session of the Sub-Committee.</w:t>
      </w:r>
    </w:p>
    <w:p w14:paraId="5C0CF7FC" w14:textId="6FC00651" w:rsidR="002A3DB4" w:rsidRPr="00D31C27" w:rsidRDefault="00911BEE" w:rsidP="00911BEE">
      <w:pPr>
        <w:pStyle w:val="SingleTxtG"/>
      </w:pPr>
      <w:r>
        <w:t>3.</w:t>
      </w:r>
      <w:r>
        <w:tab/>
      </w:r>
      <w:r w:rsidR="002A3DB4" w:rsidRPr="00D31C27">
        <w:t>After receiving the comments from the Netherlands</w:t>
      </w:r>
      <w:r w:rsidR="002A3DB4">
        <w:t xml:space="preserve"> a</w:t>
      </w:r>
      <w:r w:rsidR="002A3DB4" w:rsidRPr="00D31C27">
        <w:t xml:space="preserve">t the </w:t>
      </w:r>
      <w:r w:rsidR="00CE44A0">
        <w:t>sixtieth</w:t>
      </w:r>
      <w:r w:rsidR="002A3DB4" w:rsidRPr="00D31C27">
        <w:t xml:space="preserve"> session of the Sub-Committee</w:t>
      </w:r>
      <w:r w:rsidR="00CA3FD5">
        <w:t>,</w:t>
      </w:r>
      <w:r w:rsidR="002A3DB4" w:rsidRPr="00D31C27">
        <w:t xml:space="preserve"> the expert </w:t>
      </w:r>
      <w:r w:rsidR="002A3DB4">
        <w:t>from</w:t>
      </w:r>
      <w:r w:rsidR="002A3DB4" w:rsidRPr="00D31C27">
        <w:t xml:space="preserve"> Germany submitted </w:t>
      </w:r>
      <w:r w:rsidR="002A3DB4">
        <w:t>a working</w:t>
      </w:r>
      <w:r w:rsidR="002A3DB4" w:rsidRPr="00D31C27">
        <w:t xml:space="preserve"> document (ST/SG/AC.10/C.3/2022/54)</w:t>
      </w:r>
      <w:r w:rsidR="002A3DB4">
        <w:t xml:space="preserve"> for the </w:t>
      </w:r>
      <w:r w:rsidR="00CA3FD5">
        <w:t>sixty-first</w:t>
      </w:r>
      <w:r w:rsidR="002A3DB4">
        <w:t xml:space="preserve"> session</w:t>
      </w:r>
      <w:r w:rsidR="002A3DB4" w:rsidRPr="00D31C27">
        <w:t xml:space="preserve"> including </w:t>
      </w:r>
      <w:r w:rsidR="002A3DB4" w:rsidRPr="00911BEE">
        <w:t xml:space="preserve">UN 3300 </w:t>
      </w:r>
      <w:r w:rsidR="002A3DB4" w:rsidRPr="009678E9">
        <w:rPr>
          <w:i/>
          <w:iCs/>
        </w:rPr>
        <w:t>ETHYLENE OXIDE AND CARBON DIOXIDE MIXTURE with more than 87 % ethylene oxide</w:t>
      </w:r>
      <w:r w:rsidR="002A3DB4" w:rsidRPr="00D31C27">
        <w:t xml:space="preserve"> and a data sheet concerning the properties of ethylene oxide.</w:t>
      </w:r>
    </w:p>
    <w:p w14:paraId="2404A0BB" w14:textId="5D4D3858" w:rsidR="002A3DB4" w:rsidRPr="00D31C27" w:rsidRDefault="00911BEE" w:rsidP="00911BEE">
      <w:pPr>
        <w:pStyle w:val="SingleTxtG"/>
      </w:pPr>
      <w:r>
        <w:t>4.</w:t>
      </w:r>
      <w:r>
        <w:tab/>
      </w:r>
      <w:r w:rsidR="002A3DB4" w:rsidRPr="00D31C27">
        <w:t xml:space="preserve">Taking into account the questions raised as part of the </w:t>
      </w:r>
      <w:r w:rsidR="00CA3FD5">
        <w:t>sixty-first</w:t>
      </w:r>
      <w:r w:rsidR="002A3DB4" w:rsidRPr="00D31C27">
        <w:t xml:space="preserve"> session of the Sub-Committee the expert </w:t>
      </w:r>
      <w:r w:rsidR="002A3DB4">
        <w:t>from</w:t>
      </w:r>
      <w:r w:rsidR="002A3DB4" w:rsidRPr="00D31C27">
        <w:t xml:space="preserve"> Germany prepared an updated proposal providing extensive data regarding the corrosivity of ethylene oxide. </w:t>
      </w:r>
      <w:r w:rsidR="002A3DB4">
        <w:t>I</w:t>
      </w:r>
      <w:r w:rsidR="002A3DB4" w:rsidRPr="00D31C27">
        <w:t>t was clear, that UN</w:t>
      </w:r>
      <w:r w:rsidR="002A3DB4">
        <w:t> </w:t>
      </w:r>
      <w:r w:rsidR="002A3DB4" w:rsidRPr="00D31C27">
        <w:t>1040</w:t>
      </w:r>
      <w:r w:rsidR="002A3DB4">
        <w:t xml:space="preserve"> and UN 3300 are </w:t>
      </w:r>
      <w:r w:rsidR="002A3DB4" w:rsidRPr="00911BEE">
        <w:t xml:space="preserve">not the only UN Numbers that are related to ethylene oxide. Considering the comment by </w:t>
      </w:r>
      <w:r w:rsidR="00573A69">
        <w:t xml:space="preserve">the expert from </w:t>
      </w:r>
      <w:r w:rsidR="002A3DB4" w:rsidRPr="00911BEE">
        <w:t xml:space="preserve">Sweden, this proposal also applies to UN 1041 </w:t>
      </w:r>
      <w:r w:rsidR="002A3DB4" w:rsidRPr="00104559">
        <w:rPr>
          <w:i/>
          <w:iCs/>
        </w:rPr>
        <w:t>ETHYLENE OXIDE AND CARBON DIOXIDE MIXTURE with more than 9 % but not more than 87 % ethylene oxide</w:t>
      </w:r>
      <w:r w:rsidR="002A3DB4" w:rsidRPr="00D31C27">
        <w:t>.</w:t>
      </w:r>
    </w:p>
    <w:p w14:paraId="17F10DDE" w14:textId="1E5AA1DC" w:rsidR="002A3DB4" w:rsidRPr="00D31C27" w:rsidRDefault="002A3DB4" w:rsidP="002A3DB4">
      <w:pPr>
        <w:pStyle w:val="HChG"/>
        <w:spacing w:before="0" w:after="120" w:line="240" w:lineRule="atLeast"/>
        <w:contextualSpacing/>
      </w:pPr>
      <w:r w:rsidRPr="00D31C27">
        <w:lastRenderedPageBreak/>
        <w:tab/>
      </w:r>
      <w:r w:rsidRPr="00D31C27">
        <w:tab/>
      </w:r>
      <w:r w:rsidRPr="00D31C27">
        <w:tab/>
        <w:t>Background</w:t>
      </w:r>
    </w:p>
    <w:p w14:paraId="15ADC79B" w14:textId="709CA82A" w:rsidR="002A3DB4" w:rsidRPr="00D31C27" w:rsidRDefault="009F1D5A" w:rsidP="009F1D5A">
      <w:pPr>
        <w:pStyle w:val="SingleTxtG"/>
        <w:tabs>
          <w:tab w:val="left" w:pos="1701"/>
        </w:tabs>
      </w:pPr>
      <w:r>
        <w:t>5.</w:t>
      </w:r>
      <w:r>
        <w:tab/>
      </w:r>
      <w:r w:rsidR="002A3DB4" w:rsidRPr="00D31C27">
        <w:t>Ethylene oxide, CAS No. 75-21-8, is currently listed under Index No. 603-023-00-X in Annex VI of E</w:t>
      </w:r>
      <w:r>
        <w:t>C</w:t>
      </w:r>
      <w:r w:rsidR="002A3DB4" w:rsidRPr="00D31C27">
        <w:t xml:space="preserve"> Regulation No. 1272/2008 on classification, labelling and packaging and is classified as:</w:t>
      </w:r>
    </w:p>
    <w:p w14:paraId="46CF4380" w14:textId="77777777" w:rsidR="002A3DB4" w:rsidRPr="00D31C27" w:rsidRDefault="002A3DB4" w:rsidP="009F1D5A">
      <w:pPr>
        <w:pStyle w:val="SingleTxtG"/>
        <w:ind w:left="1701"/>
        <w:contextualSpacing/>
      </w:pPr>
      <w:r w:rsidRPr="00D31C27">
        <w:t>Flam. Gas 1, H220</w:t>
      </w:r>
      <w:r>
        <w:t xml:space="preserve"> </w:t>
      </w:r>
    </w:p>
    <w:p w14:paraId="185D5633" w14:textId="7DEA78F8" w:rsidR="002A3DB4" w:rsidRPr="00D31C27" w:rsidRDefault="002A3DB4" w:rsidP="001D25EA">
      <w:pPr>
        <w:pStyle w:val="SingleTxtG"/>
        <w:ind w:left="1701"/>
        <w:contextualSpacing/>
      </w:pPr>
      <w:r w:rsidRPr="00D31C27">
        <w:t>Acute Tox. 3*, H331</w:t>
      </w:r>
    </w:p>
    <w:p w14:paraId="4FC0AE0E" w14:textId="710B99E0" w:rsidR="002A3DB4" w:rsidRPr="00D31C27" w:rsidRDefault="002A3DB4" w:rsidP="006004DB">
      <w:pPr>
        <w:pStyle w:val="SingleTxtG"/>
        <w:tabs>
          <w:tab w:val="left" w:pos="1701"/>
        </w:tabs>
        <w:spacing w:before="240"/>
      </w:pPr>
      <w:r w:rsidRPr="00D31C27">
        <w:t xml:space="preserve">This meets the criteria for classification as dangerous good according to the UN Model Regulations under class 2, </w:t>
      </w:r>
      <w:r>
        <w:t>division</w:t>
      </w:r>
      <w:r w:rsidRPr="00D31C27">
        <w:t xml:space="preserve"> 2.3, with subsidiary hazard 2.1.</w:t>
      </w:r>
    </w:p>
    <w:p w14:paraId="58D2D790" w14:textId="10E7D68B" w:rsidR="002A3DB4" w:rsidRPr="00D31C27" w:rsidRDefault="00104559" w:rsidP="00FE5056">
      <w:pPr>
        <w:pStyle w:val="SingleTxtG"/>
      </w:pPr>
      <w:r>
        <w:t>6</w:t>
      </w:r>
      <w:r w:rsidR="009F1D5A">
        <w:t>.</w:t>
      </w:r>
      <w:r w:rsidR="009F1D5A">
        <w:tab/>
        <w:t>W</w:t>
      </w:r>
      <w:r w:rsidR="002A3DB4" w:rsidRPr="00D31C27">
        <w:t xml:space="preserve">ith the </w:t>
      </w:r>
      <w:r>
        <w:t>fo</w:t>
      </w:r>
      <w:r w:rsidR="008C556F">
        <w:t xml:space="preserve">urteenth </w:t>
      </w:r>
      <w:r w:rsidR="002A3DB4" w:rsidRPr="00D31C27">
        <w:t>ATP entering into force, the following amendments were added (</w:t>
      </w:r>
      <w:r w:rsidR="002A3DB4" w:rsidRPr="00D31C27">
        <w:rPr>
          <w:i/>
        </w:rPr>
        <w:t>italics</w:t>
      </w:r>
      <w:r w:rsidR="002A3DB4" w:rsidRPr="00D31C27">
        <w:t>), resulting in the classification of ethylene oxide as follows:</w:t>
      </w:r>
    </w:p>
    <w:p w14:paraId="2BA482B6" w14:textId="756FD85C" w:rsidR="002A3DB4" w:rsidRPr="00D31C27" w:rsidRDefault="002A3DB4" w:rsidP="009F1D5A">
      <w:pPr>
        <w:pStyle w:val="SingleTxtG"/>
        <w:ind w:left="1701"/>
        <w:contextualSpacing/>
        <w:rPr>
          <w:u w:val="single"/>
        </w:rPr>
      </w:pPr>
      <w:r w:rsidRPr="00D31C27">
        <w:t>Acute Tox</w:t>
      </w:r>
      <w:r w:rsidRPr="00DD1701">
        <w:t>. 3</w:t>
      </w:r>
      <w:r w:rsidRPr="00D31C27">
        <w:t>, H331</w:t>
      </w:r>
    </w:p>
    <w:p w14:paraId="613739F6" w14:textId="6AF934EA" w:rsidR="002A3DB4" w:rsidRPr="00D31C27" w:rsidRDefault="002A3DB4" w:rsidP="009F1D5A">
      <w:pPr>
        <w:pStyle w:val="SingleTxtG"/>
        <w:ind w:left="1701"/>
        <w:contextualSpacing/>
        <w:rPr>
          <w:i/>
        </w:rPr>
      </w:pPr>
      <w:r w:rsidRPr="00D31C27">
        <w:rPr>
          <w:i/>
        </w:rPr>
        <w:t>Acute Tox. 3, H301</w:t>
      </w:r>
    </w:p>
    <w:p w14:paraId="1EB774E6" w14:textId="272FAC7E" w:rsidR="002A3DB4" w:rsidRPr="00D31C27" w:rsidRDefault="002A3DB4" w:rsidP="009F1D5A">
      <w:pPr>
        <w:pStyle w:val="SingleTxtG"/>
        <w:ind w:left="1701"/>
        <w:contextualSpacing/>
        <w:rPr>
          <w:i/>
        </w:rPr>
      </w:pPr>
      <w:r w:rsidRPr="00D31C27">
        <w:rPr>
          <w:i/>
        </w:rPr>
        <w:t>Skin Corr. 1, H314</w:t>
      </w:r>
    </w:p>
    <w:p w14:paraId="1B2E9ECE" w14:textId="077B89C7" w:rsidR="002A3DB4" w:rsidRPr="00D31C27" w:rsidRDefault="008C556F" w:rsidP="003D7634">
      <w:pPr>
        <w:pStyle w:val="ListParagraph"/>
        <w:kinsoku w:val="0"/>
        <w:overflowPunct w:val="0"/>
        <w:autoSpaceDE w:val="0"/>
        <w:autoSpaceDN w:val="0"/>
        <w:adjustRightInd w:val="0"/>
        <w:snapToGrid w:val="0"/>
        <w:spacing w:after="120"/>
        <w:ind w:left="1134" w:right="1134"/>
        <w:contextualSpacing w:val="0"/>
        <w:jc w:val="both"/>
        <w:rPr>
          <w:lang w:val="en"/>
        </w:rPr>
      </w:pPr>
      <w:r>
        <w:t>7</w:t>
      </w:r>
      <w:r w:rsidR="009F1D5A">
        <w:t>.</w:t>
      </w:r>
      <w:r w:rsidR="009F1D5A">
        <w:tab/>
        <w:t>A</w:t>
      </w:r>
      <w:r w:rsidR="002A3DB4" w:rsidRPr="00D31C27">
        <w:t xml:space="preserve">ccording to the </w:t>
      </w:r>
      <w:r w:rsidRPr="008C556F">
        <w:rPr>
          <w:i/>
          <w:iCs/>
        </w:rPr>
        <w:t>“</w:t>
      </w:r>
      <w:r w:rsidR="002A3DB4" w:rsidRPr="00D31C27">
        <w:rPr>
          <w:i/>
        </w:rPr>
        <w:t>Opinion proposing harmonised classification and labelling at EU level of ethylene oxide</w:t>
      </w:r>
      <w:r>
        <w:rPr>
          <w:i/>
        </w:rPr>
        <w:t>”</w:t>
      </w:r>
      <w:r w:rsidR="002A3DB4" w:rsidRPr="00D31C27">
        <w:t xml:space="preserve">, which was published in 2017 by the Committee for Risk Assessment (RAC) of the European Chemicals Agency (ECHA), liquid ethylene oxide can cause severe skin lesions. </w:t>
      </w:r>
      <w:r w:rsidR="002A3DB4" w:rsidRPr="00D31C27">
        <w:rPr>
          <w:rFonts w:cstheme="minorHAnsi"/>
          <w:lang w:val="en-US"/>
        </w:rPr>
        <w:t xml:space="preserve">As there </w:t>
      </w:r>
      <w:r w:rsidR="002A3DB4">
        <w:rPr>
          <w:rFonts w:cstheme="minorHAnsi"/>
          <w:lang w:val="en-US"/>
        </w:rPr>
        <w:t>are</w:t>
      </w:r>
      <w:r w:rsidR="002A3DB4" w:rsidRPr="00D31C27">
        <w:rPr>
          <w:rFonts w:cstheme="minorHAnsi"/>
          <w:lang w:val="en-US"/>
        </w:rPr>
        <w:t xml:space="preserve"> no accepted test possibilities for corrosivity of gases, classification should rely on </w:t>
      </w:r>
      <w:r w:rsidR="002A3DB4">
        <w:rPr>
          <w:rFonts w:cstheme="minorHAnsi"/>
          <w:lang w:val="en-US"/>
        </w:rPr>
        <w:t xml:space="preserve">human data and tests </w:t>
      </w:r>
      <w:r w:rsidR="002A3DB4" w:rsidRPr="00D31C27">
        <w:rPr>
          <w:rFonts w:cstheme="minorHAnsi"/>
          <w:lang w:val="en-US"/>
        </w:rPr>
        <w:t>on animal skin</w:t>
      </w:r>
      <w:r w:rsidR="002A3DB4">
        <w:rPr>
          <w:rFonts w:cstheme="minorHAnsi"/>
          <w:lang w:val="en-US"/>
        </w:rPr>
        <w:t xml:space="preserve"> (both after contact with ethylene oxide solutions)</w:t>
      </w:r>
      <w:r w:rsidR="002A3DB4" w:rsidRPr="00D31C27">
        <w:rPr>
          <w:rFonts w:cstheme="minorHAnsi"/>
          <w:lang w:val="en-US"/>
        </w:rPr>
        <w:t>.</w:t>
      </w:r>
    </w:p>
    <w:p w14:paraId="1AA16FA5" w14:textId="77777777" w:rsidR="002A3DB4" w:rsidRPr="00E0660D" w:rsidRDefault="002A3DB4" w:rsidP="00BB4D76">
      <w:pPr>
        <w:pStyle w:val="ListParagraph"/>
        <w:kinsoku w:val="0"/>
        <w:overflowPunct w:val="0"/>
        <w:autoSpaceDE w:val="0"/>
        <w:autoSpaceDN w:val="0"/>
        <w:adjustRightInd w:val="0"/>
        <w:snapToGrid w:val="0"/>
        <w:spacing w:after="120"/>
        <w:ind w:left="1701" w:right="1134"/>
        <w:contextualSpacing w:val="0"/>
        <w:jc w:val="both"/>
        <w:rPr>
          <w:rFonts w:cstheme="minorHAnsi"/>
          <w:lang w:val="en-US"/>
        </w:rPr>
      </w:pPr>
      <w:r w:rsidRPr="00E0660D">
        <w:rPr>
          <w:rFonts w:cstheme="minorHAnsi"/>
          <w:lang w:val="en-US"/>
        </w:rPr>
        <w:t xml:space="preserve">Human data: </w:t>
      </w:r>
    </w:p>
    <w:p w14:paraId="3E44C91C" w14:textId="4B2F94AB" w:rsidR="002A3DB4" w:rsidRPr="00E0660D" w:rsidRDefault="002A3DB4" w:rsidP="00A20390">
      <w:pPr>
        <w:pStyle w:val="Bullet1G"/>
        <w:rPr>
          <w:rFonts w:cstheme="minorHAnsi"/>
          <w:lang w:val="en-US"/>
        </w:rPr>
      </w:pPr>
      <w:r w:rsidRPr="00E0660D">
        <w:rPr>
          <w:lang w:val="en-US"/>
        </w:rPr>
        <w:t>A series of aqueous solutions with ethylene oxide concentrations between 1 % and 90 % were tested on human skin (Sexton et al., 1950). The 50 % solution caused the most severe skin reactions since the more concentrated solutions evaporated quickly preventing prolonged skin contact.</w:t>
      </w:r>
    </w:p>
    <w:p w14:paraId="6FE40B8A" w14:textId="55ECEE09" w:rsidR="002A3DB4" w:rsidRPr="00E0660D" w:rsidRDefault="002A3DB4" w:rsidP="00A20390">
      <w:pPr>
        <w:pStyle w:val="Bullet1G"/>
        <w:rPr>
          <w:rFonts w:cstheme="minorHAnsi"/>
          <w:lang w:val="en-US"/>
        </w:rPr>
      </w:pPr>
      <w:r w:rsidRPr="00E0660D">
        <w:rPr>
          <w:lang w:val="en-US"/>
        </w:rPr>
        <w:t xml:space="preserve">Corrosive effects such as progressive skin lesions, burns, pain, erythema, redness, damage to subcutaneous tissue, scar formation, blisters have also been noted in varying degrees after exposure to medical materials and devices in case reports (Alomar et al., 1981, </w:t>
      </w:r>
      <w:proofErr w:type="spellStart"/>
      <w:r w:rsidRPr="00E0660D">
        <w:rPr>
          <w:lang w:val="en-US"/>
        </w:rPr>
        <w:t>Hanifin</w:t>
      </w:r>
      <w:proofErr w:type="spellEnd"/>
      <w:r w:rsidRPr="00E0660D">
        <w:rPr>
          <w:lang w:val="en-US"/>
        </w:rPr>
        <w:t xml:space="preserve"> et al., 1971, Cardenas-Camarena et al., 1998, </w:t>
      </w:r>
      <w:proofErr w:type="spellStart"/>
      <w:r w:rsidRPr="00E0660D">
        <w:rPr>
          <w:lang w:val="en-US"/>
        </w:rPr>
        <w:t>Karacalar</w:t>
      </w:r>
      <w:proofErr w:type="spellEnd"/>
      <w:r w:rsidRPr="00E0660D">
        <w:rPr>
          <w:lang w:val="en-US"/>
        </w:rPr>
        <w:t xml:space="preserve"> et al., 2000). The materials and devices have been sterilized with ethylene oxide and not adequately ventilated afterwards.</w:t>
      </w:r>
    </w:p>
    <w:p w14:paraId="1A9B9B35" w14:textId="3317E52B" w:rsidR="002A3DB4" w:rsidRPr="00E0660D" w:rsidRDefault="002A3DB4" w:rsidP="00A20390">
      <w:pPr>
        <w:pStyle w:val="Bullet1G"/>
        <w:rPr>
          <w:rFonts w:cstheme="minorHAnsi"/>
          <w:lang w:val="en-US"/>
        </w:rPr>
      </w:pPr>
      <w:r w:rsidRPr="00E0660D">
        <w:rPr>
          <w:lang w:val="en-US"/>
        </w:rPr>
        <w:t>Exposure of large areas of human skin to a 1 % aqueous solution of ethylene oxide (the lowest concentration tested) for about 2 hours resulted in severe blistering after 12-14 hours (Sexton et al., 1949).</w:t>
      </w:r>
    </w:p>
    <w:p w14:paraId="6BA4E9BA" w14:textId="22ACFAC5" w:rsidR="002A3DB4" w:rsidRPr="00D31C27" w:rsidRDefault="002A3DB4" w:rsidP="00BB4D76">
      <w:pPr>
        <w:spacing w:after="120"/>
        <w:ind w:left="1701" w:right="1134"/>
        <w:contextualSpacing/>
        <w:jc w:val="both"/>
        <w:rPr>
          <w:rStyle w:val="rynqvb"/>
          <w:lang w:val="en"/>
        </w:rPr>
      </w:pPr>
      <w:r w:rsidRPr="00D31C27">
        <w:rPr>
          <w:rStyle w:val="rynqvb"/>
          <w:lang w:val="en"/>
        </w:rPr>
        <w:t>Animal test data:</w:t>
      </w:r>
    </w:p>
    <w:p w14:paraId="30A7671A" w14:textId="576E3259" w:rsidR="002A3DB4" w:rsidRPr="00BB4D76" w:rsidRDefault="002A3DB4" w:rsidP="00A20390">
      <w:pPr>
        <w:pStyle w:val="Bullet1G"/>
        <w:rPr>
          <w:lang w:val="en-US"/>
        </w:rPr>
      </w:pPr>
      <w:r w:rsidRPr="00BB4D76">
        <w:rPr>
          <w:lang w:val="en-US"/>
        </w:rPr>
        <w:t>Skins of New Zealand White rabbits were exposed to 0</w:t>
      </w:r>
      <w:r w:rsidR="003D7634">
        <w:rPr>
          <w:lang w:val="en-US"/>
        </w:rPr>
        <w:t>.</w:t>
      </w:r>
      <w:r w:rsidRPr="00BB4D76">
        <w:rPr>
          <w:lang w:val="en-US"/>
        </w:rPr>
        <w:t xml:space="preserve">5 ml of undiluted ethylene oxide for 4 hours and subdermal </w:t>
      </w:r>
      <w:r w:rsidR="00982475" w:rsidRPr="00BB4D76">
        <w:rPr>
          <w:lang w:val="en-US"/>
        </w:rPr>
        <w:t>hemorrhages</w:t>
      </w:r>
      <w:r w:rsidRPr="00BB4D76">
        <w:rPr>
          <w:lang w:val="en-US"/>
        </w:rPr>
        <w:t xml:space="preserve"> and chemical burns were observed immediately, 24 hours and 72 hours after exposure (Celanese et al., 1972).</w:t>
      </w:r>
    </w:p>
    <w:p w14:paraId="212B24E4" w14:textId="2614B0ED" w:rsidR="002A3DB4" w:rsidRPr="00BB4D76" w:rsidRDefault="002A3DB4" w:rsidP="00A20390">
      <w:pPr>
        <w:pStyle w:val="Bullet1G"/>
        <w:rPr>
          <w:lang w:val="en-US"/>
        </w:rPr>
      </w:pPr>
      <w:r w:rsidRPr="00BB4D76">
        <w:rPr>
          <w:lang w:val="en-US"/>
        </w:rPr>
        <w:t xml:space="preserve">Skins of rabbits were exposed to 10 % and 50 % aqueous solutions of ethylene oxide for less than 60 minutes (Hollingsworth et al. 1956). In animals exposed for six minutes or longer, </w:t>
      </w:r>
      <w:r w:rsidR="00982475" w:rsidRPr="00BB4D76">
        <w:rPr>
          <w:lang w:val="en-US"/>
        </w:rPr>
        <w:t>hyperemia</w:t>
      </w:r>
      <w:r w:rsidRPr="00BB4D76">
        <w:rPr>
          <w:lang w:val="en-US"/>
        </w:rPr>
        <w:t xml:space="preserve"> and oedema were observed.</w:t>
      </w:r>
    </w:p>
    <w:p w14:paraId="3499DD10" w14:textId="2986C696" w:rsidR="002A3DB4" w:rsidRPr="00D31C27" w:rsidRDefault="00BB4D76" w:rsidP="003D7634">
      <w:pPr>
        <w:pStyle w:val="ListParagraph"/>
        <w:kinsoku w:val="0"/>
        <w:overflowPunct w:val="0"/>
        <w:autoSpaceDE w:val="0"/>
        <w:autoSpaceDN w:val="0"/>
        <w:adjustRightInd w:val="0"/>
        <w:snapToGrid w:val="0"/>
        <w:spacing w:after="120"/>
        <w:ind w:left="1134" w:right="1134"/>
        <w:contextualSpacing w:val="0"/>
        <w:jc w:val="both"/>
        <w:rPr>
          <w:lang w:val="en"/>
        </w:rPr>
      </w:pPr>
      <w:r>
        <w:rPr>
          <w:rStyle w:val="rynqvb"/>
          <w:rFonts w:cstheme="minorHAnsi"/>
          <w:lang w:val="en"/>
        </w:rPr>
        <w:t>8.</w:t>
      </w:r>
      <w:r>
        <w:rPr>
          <w:rStyle w:val="rynqvb"/>
          <w:rFonts w:cstheme="minorHAnsi"/>
          <w:lang w:val="en"/>
        </w:rPr>
        <w:tab/>
      </w:r>
      <w:r w:rsidR="002A3DB4" w:rsidRPr="00D31C27">
        <w:rPr>
          <w:rStyle w:val="rynqvb"/>
          <w:rFonts w:cstheme="minorHAnsi"/>
          <w:lang w:val="en"/>
        </w:rPr>
        <w:t xml:space="preserve">Based on the available data, it can be stated that ethylene oxide is skin corrosive even in lower concentrations. As </w:t>
      </w:r>
      <w:r w:rsidR="002A3DB4" w:rsidRPr="00D31C27">
        <w:t xml:space="preserve">the data does not allow exact differentiation between the subcategories, the RAC concluded that ethylene oxide should </w:t>
      </w:r>
      <w:r w:rsidR="002A3DB4">
        <w:t>be classified as Skin Corr. Cat.</w:t>
      </w:r>
      <w:r w:rsidR="003D7634">
        <w:t> </w:t>
      </w:r>
      <w:r w:rsidR="002A3DB4" w:rsidRPr="00D31C27">
        <w:t>1, H314 (without subcategorization).</w:t>
      </w:r>
    </w:p>
    <w:p w14:paraId="7AF8A0B9" w14:textId="789681EE" w:rsidR="002A3DB4" w:rsidRPr="00FA391B" w:rsidRDefault="006E2D45" w:rsidP="003D7634">
      <w:pPr>
        <w:pStyle w:val="ListParagraph"/>
        <w:suppressAutoHyphens w:val="0"/>
        <w:autoSpaceDE w:val="0"/>
        <w:autoSpaceDN w:val="0"/>
        <w:adjustRightInd w:val="0"/>
        <w:snapToGrid w:val="0"/>
        <w:spacing w:after="120"/>
        <w:ind w:left="1134" w:right="1134"/>
        <w:contextualSpacing w:val="0"/>
        <w:jc w:val="both"/>
        <w:rPr>
          <w:rStyle w:val="rynqvb"/>
          <w:lang w:val="en"/>
        </w:rPr>
      </w:pPr>
      <w:r>
        <w:t>9.</w:t>
      </w:r>
      <w:r>
        <w:tab/>
      </w:r>
      <w:r w:rsidR="002A3DB4">
        <w:t>Ethylene oxide can be released from tanks in the event of accidents or from leaking caps and</w:t>
      </w:r>
      <w:r w:rsidR="002A3DB4" w:rsidRPr="00D31C27">
        <w:t xml:space="preserve"> can cause frostbite</w:t>
      </w:r>
      <w:r w:rsidR="002A3DB4" w:rsidRPr="00DB19D9">
        <w:t xml:space="preserve"> </w:t>
      </w:r>
      <w:r w:rsidR="002A3DB4">
        <w:t>in contact with skin</w:t>
      </w:r>
      <w:r w:rsidR="002A3DB4" w:rsidRPr="00D31C27">
        <w:t xml:space="preserve">, which exhibits </w:t>
      </w:r>
      <w:r w:rsidR="002A3DB4">
        <w:t xml:space="preserve">similar </w:t>
      </w:r>
      <w:r w:rsidR="002A3DB4" w:rsidRPr="00D31C27">
        <w:t>symptoms as chemical bur</w:t>
      </w:r>
      <w:r w:rsidR="002A3DB4">
        <w:t>ns (as described in para</w:t>
      </w:r>
      <w:r w:rsidR="003D7634">
        <w:t>graph</w:t>
      </w:r>
      <w:r w:rsidR="002A3DB4">
        <w:t xml:space="preserve"> 7</w:t>
      </w:r>
      <w:r w:rsidR="003D7634" w:rsidRPr="003D7634">
        <w:t xml:space="preserve"> </w:t>
      </w:r>
      <w:r w:rsidR="003D7634">
        <w:t>above</w:t>
      </w:r>
      <w:r w:rsidR="002A3DB4" w:rsidRPr="00D31C27">
        <w:t xml:space="preserve">). Both outcomes </w:t>
      </w:r>
      <w:r w:rsidR="002A3DB4">
        <w:t xml:space="preserve">can </w:t>
      </w:r>
      <w:r w:rsidR="002A3DB4" w:rsidRPr="00D31C27">
        <w:t>lead to irreversible skin damage.</w:t>
      </w:r>
    </w:p>
    <w:p w14:paraId="017C6E68" w14:textId="79538CAC" w:rsidR="002A3DB4" w:rsidRDefault="006E2D45" w:rsidP="003D7634">
      <w:pPr>
        <w:pStyle w:val="ListParagraph"/>
        <w:suppressAutoHyphens w:val="0"/>
        <w:autoSpaceDE w:val="0"/>
        <w:autoSpaceDN w:val="0"/>
        <w:adjustRightInd w:val="0"/>
        <w:snapToGrid w:val="0"/>
        <w:spacing w:after="120"/>
        <w:ind w:left="1134" w:right="1134"/>
        <w:contextualSpacing w:val="0"/>
        <w:jc w:val="both"/>
      </w:pPr>
      <w:r>
        <w:rPr>
          <w:rStyle w:val="rynqvb"/>
          <w:lang w:val="en"/>
        </w:rPr>
        <w:t>10.</w:t>
      </w:r>
      <w:r>
        <w:rPr>
          <w:rStyle w:val="rynqvb"/>
          <w:lang w:val="en"/>
        </w:rPr>
        <w:tab/>
      </w:r>
      <w:r w:rsidR="002A3DB4" w:rsidRPr="00BB4D76">
        <w:rPr>
          <w:rStyle w:val="rynqvb"/>
          <w:lang w:val="en"/>
        </w:rPr>
        <w:t>Ethylene oxide is transported as liquefied gas. The data presented in para</w:t>
      </w:r>
      <w:r w:rsidR="003D7634">
        <w:rPr>
          <w:rStyle w:val="rynqvb"/>
          <w:lang w:val="en"/>
        </w:rPr>
        <w:t>graph</w:t>
      </w:r>
      <w:r w:rsidR="002A3DB4" w:rsidRPr="00BB4D76">
        <w:rPr>
          <w:rStyle w:val="rynqvb"/>
          <w:lang w:val="en"/>
        </w:rPr>
        <w:t xml:space="preserve"> 7 </w:t>
      </w:r>
      <w:r w:rsidR="003D7634">
        <w:rPr>
          <w:rStyle w:val="rynqvb"/>
          <w:lang w:val="en"/>
        </w:rPr>
        <w:t xml:space="preserve">above </w:t>
      </w:r>
      <w:r w:rsidR="002A3DB4" w:rsidRPr="00BB4D76">
        <w:rPr>
          <w:rStyle w:val="rynqvb"/>
          <w:lang w:val="en"/>
        </w:rPr>
        <w:t xml:space="preserve">refer to solutions. Hence, in the event of even short direct skin contact of higher </w:t>
      </w:r>
      <w:r w:rsidR="002A3DB4" w:rsidRPr="00BB4D76">
        <w:rPr>
          <w:rStyle w:val="rynqvb"/>
          <w:lang w:val="en"/>
        </w:rPr>
        <w:lastRenderedPageBreak/>
        <w:t>concentrations more severe reactions resulting in irreversible skin damage are to be expected</w:t>
      </w:r>
      <w:r w:rsidR="002A3DB4" w:rsidRPr="00BB4D76">
        <w:rPr>
          <w:rStyle w:val="rynqvb"/>
          <w:rFonts w:cstheme="minorHAnsi"/>
          <w:lang w:val="en"/>
        </w:rPr>
        <w:t xml:space="preserve"> meeting the criteria of 2.8.1 of the Model Regulations (class 8, Skin Corr. Cat. 1)</w:t>
      </w:r>
      <w:r w:rsidR="002A3DB4" w:rsidRPr="00BB4D76">
        <w:rPr>
          <w:rStyle w:val="rynqvb"/>
          <w:lang w:val="en"/>
        </w:rPr>
        <w:t>.</w:t>
      </w:r>
    </w:p>
    <w:p w14:paraId="1DA449AD" w14:textId="197E49A9" w:rsidR="002A3DB4" w:rsidRDefault="006E2D45" w:rsidP="003D7634">
      <w:pPr>
        <w:pStyle w:val="SingleTxtG"/>
      </w:pPr>
      <w:r>
        <w:t>11.</w:t>
      </w:r>
      <w:r>
        <w:tab/>
      </w:r>
      <w:r w:rsidR="002A3DB4" w:rsidRPr="00D31C27">
        <w:t xml:space="preserve">This corresponds to a </w:t>
      </w:r>
      <w:r w:rsidR="002A3DB4">
        <w:t>division</w:t>
      </w:r>
      <w:r w:rsidR="002A3DB4" w:rsidRPr="00D31C27">
        <w:t xml:space="preserve"> 2.3 classification</w:t>
      </w:r>
      <w:r w:rsidR="002A3DB4">
        <w:t xml:space="preserve"> </w:t>
      </w:r>
      <w:r w:rsidR="002A3DB4" w:rsidRPr="00D31C27">
        <w:t>in the dangerous goods list with the subsidiary risks 2.1 and 8</w:t>
      </w:r>
      <w:r w:rsidR="002A3DB4" w:rsidRPr="00FA391B">
        <w:t xml:space="preserve"> </w:t>
      </w:r>
      <w:r w:rsidR="002A3DB4">
        <w:t>in the case of UN 1040 and UN 3300</w:t>
      </w:r>
      <w:r w:rsidR="002A3DB4" w:rsidRPr="00D31C27">
        <w:t>.</w:t>
      </w:r>
      <w:r w:rsidR="002A3DB4">
        <w:t xml:space="preserve"> The classification of UN 1041 results in division 2.1 with subsidiary risk 8.</w:t>
      </w:r>
    </w:p>
    <w:p w14:paraId="2A6675DE" w14:textId="6D70F564" w:rsidR="00D9151A" w:rsidRDefault="007A676C" w:rsidP="007A676C">
      <w:pPr>
        <w:pStyle w:val="HChG"/>
        <w:rPr>
          <w:rFonts w:eastAsia="Times New Roman"/>
        </w:rPr>
      </w:pPr>
      <w:r>
        <w:tab/>
      </w:r>
      <w:r>
        <w:tab/>
      </w:r>
      <w:r w:rsidR="00D9151A">
        <w:tab/>
        <w:t>Proposal</w:t>
      </w:r>
    </w:p>
    <w:p w14:paraId="50A2524B" w14:textId="05873047" w:rsidR="00A00A4B" w:rsidRPr="00D31C27" w:rsidRDefault="007A676C" w:rsidP="00E16678">
      <w:pPr>
        <w:pStyle w:val="SingleTxtG"/>
      </w:pPr>
      <w:r>
        <w:tab/>
      </w:r>
      <w:r w:rsidR="00E16678">
        <w:t>12.</w:t>
      </w:r>
      <w:r w:rsidR="00E16678">
        <w:tab/>
      </w:r>
      <w:r w:rsidR="00A00A4B" w:rsidRPr="00D31C27">
        <w:t xml:space="preserve">As ethylene oxide meets the criteria for class 8, and within the scope of harmonizing GHS classification with the transport regulations of dangerous goods, Germany proposes to amend </w:t>
      </w:r>
      <w:r w:rsidR="00A00A4B">
        <w:t>UN 1040</w:t>
      </w:r>
      <w:r w:rsidR="00A00A4B" w:rsidRPr="00D31C27">
        <w:t xml:space="preserve"> </w:t>
      </w:r>
      <w:r w:rsidR="00A00A4B" w:rsidRPr="00D31C27">
        <w:rPr>
          <w:i/>
        </w:rPr>
        <w:t>ETHYLENE OXIDE or ETHYLENE OXIDE WITH NITRO</w:t>
      </w:r>
      <w:r w:rsidR="00A00A4B">
        <w:rPr>
          <w:i/>
        </w:rPr>
        <w:t>GEN up to a total pressure of 1 MPa (10 </w:t>
      </w:r>
      <w:r w:rsidR="00A00A4B" w:rsidRPr="00D31C27">
        <w:rPr>
          <w:i/>
        </w:rPr>
        <w:t>bar) at 50</w:t>
      </w:r>
      <w:r w:rsidR="00A00A4B">
        <w:rPr>
          <w:i/>
        </w:rPr>
        <w:t> </w:t>
      </w:r>
      <w:r w:rsidR="00A00A4B" w:rsidRPr="00D31C27">
        <w:rPr>
          <w:i/>
        </w:rPr>
        <w:t>°C</w:t>
      </w:r>
      <w:r w:rsidR="00A00A4B">
        <w:t xml:space="preserve">, </w:t>
      </w:r>
      <w:r w:rsidR="00A00A4B">
        <w:rPr>
          <w:bCs/>
          <w:lang w:val="en-US"/>
        </w:rPr>
        <w:t>UN 1041</w:t>
      </w:r>
      <w:r w:rsidR="00A00A4B" w:rsidRPr="007024FE">
        <w:rPr>
          <w:bCs/>
          <w:lang w:val="en-US"/>
        </w:rPr>
        <w:t xml:space="preserve"> </w:t>
      </w:r>
      <w:r w:rsidR="00A00A4B" w:rsidRPr="00164E05">
        <w:rPr>
          <w:bCs/>
          <w:i/>
          <w:lang w:val="en-US"/>
        </w:rPr>
        <w:t>ETHYLENE OXIDE AND CARBON DIOXIDE MIXTURE with more than 9 % but not more than 87 % ethylene oxide</w:t>
      </w:r>
      <w:r w:rsidR="00A00A4B" w:rsidRPr="00D31C27">
        <w:rPr>
          <w:i/>
        </w:rPr>
        <w:t xml:space="preserve"> </w:t>
      </w:r>
      <w:r w:rsidR="00A00A4B" w:rsidRPr="00D31C27">
        <w:t xml:space="preserve">and </w:t>
      </w:r>
      <w:r w:rsidR="00A00A4B">
        <w:rPr>
          <w:lang w:val="en-US"/>
        </w:rPr>
        <w:t>UN 3300</w:t>
      </w:r>
      <w:r w:rsidR="00A00A4B" w:rsidRPr="00D31C27">
        <w:rPr>
          <w:lang w:val="en-US"/>
        </w:rPr>
        <w:t xml:space="preserve"> </w:t>
      </w:r>
      <w:r w:rsidR="00A00A4B" w:rsidRPr="00D31C27">
        <w:rPr>
          <w:i/>
          <w:lang w:val="en-US"/>
        </w:rPr>
        <w:t>ETHYLENE OXIDE AND CARBON DIOXIDE MIXTURE with more than 87</w:t>
      </w:r>
      <w:r w:rsidR="00A00A4B">
        <w:rPr>
          <w:i/>
          <w:lang w:val="en-US"/>
        </w:rPr>
        <w:t> </w:t>
      </w:r>
      <w:r w:rsidR="00A00A4B" w:rsidRPr="00D31C27">
        <w:rPr>
          <w:i/>
          <w:lang w:val="en-US"/>
        </w:rPr>
        <w:t xml:space="preserve">% ethylene oxide </w:t>
      </w:r>
      <w:r w:rsidR="00A00A4B" w:rsidRPr="00D31C27">
        <w:t xml:space="preserve">as follows (new text is </w:t>
      </w:r>
      <w:r w:rsidR="00A00A4B" w:rsidRPr="00A728FE">
        <w:rPr>
          <w:u w:val="single"/>
        </w:rPr>
        <w:t>underlined</w:t>
      </w:r>
      <w:r w:rsidR="00A00A4B" w:rsidRPr="00A728FE">
        <w:t>,</w:t>
      </w:r>
      <w:r w:rsidR="00A00A4B">
        <w:t xml:space="preserve"> deleted text in </w:t>
      </w:r>
      <w:r w:rsidR="00A00A4B" w:rsidRPr="00A728FE">
        <w:rPr>
          <w:strike/>
        </w:rPr>
        <w:t>strikethrough</w:t>
      </w:r>
      <w:r w:rsidR="00A00A4B" w:rsidRPr="00D31C27">
        <w:t>):</w:t>
      </w:r>
    </w:p>
    <w:p w14:paraId="7E3BDA43" w14:textId="77777777" w:rsidR="00A00A4B" w:rsidRDefault="00A00A4B" w:rsidP="00A00A4B">
      <w:pPr>
        <w:pStyle w:val="SingleTxtG"/>
        <w:ind w:left="1701"/>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71"/>
        <w:gridCol w:w="494"/>
        <w:gridCol w:w="969"/>
        <w:gridCol w:w="968"/>
        <w:gridCol w:w="766"/>
        <w:gridCol w:w="391"/>
        <w:gridCol w:w="387"/>
        <w:gridCol w:w="854"/>
        <w:gridCol w:w="833"/>
        <w:gridCol w:w="1363"/>
        <w:gridCol w:w="833"/>
      </w:tblGrid>
      <w:tr w:rsidR="00A00A4B" w:rsidRPr="008261F6" w14:paraId="4A6D0401" w14:textId="77777777" w:rsidTr="005D3B6A">
        <w:trPr>
          <w:trHeight w:val="556"/>
          <w:jc w:val="center"/>
        </w:trPr>
        <w:tc>
          <w:tcPr>
            <w:tcW w:w="1771" w:type="dxa"/>
            <w:vMerge w:val="restart"/>
            <w:vAlign w:val="center"/>
          </w:tcPr>
          <w:p w14:paraId="5931466E" w14:textId="77777777" w:rsidR="00A00A4B" w:rsidRPr="00B762C5" w:rsidRDefault="00A00A4B" w:rsidP="00981422">
            <w:pPr>
              <w:pStyle w:val="SingleTxtG"/>
              <w:ind w:left="0" w:right="-5"/>
              <w:contextualSpacing/>
              <w:jc w:val="center"/>
              <w:rPr>
                <w:rFonts w:eastAsia="Times New Roman"/>
                <w:sz w:val="18"/>
                <w:szCs w:val="18"/>
                <w:lang w:eastAsia="en-US"/>
              </w:rPr>
            </w:pPr>
            <w:bookmarkStart w:id="0" w:name="_Hlk35434631"/>
            <w:r w:rsidRPr="00B762C5">
              <w:rPr>
                <w:rFonts w:eastAsia="Times New Roman"/>
                <w:sz w:val="18"/>
                <w:szCs w:val="18"/>
                <w:lang w:eastAsia="en-US"/>
              </w:rPr>
              <w:t xml:space="preserve">UN No. </w:t>
            </w:r>
          </w:p>
          <w:p w14:paraId="5267E12C" w14:textId="77777777" w:rsidR="00A00A4B" w:rsidRPr="00B762C5" w:rsidRDefault="00A00A4B" w:rsidP="00981422">
            <w:pPr>
              <w:pStyle w:val="SingleTxtG"/>
              <w:ind w:left="0" w:right="-5"/>
              <w:contextualSpacing/>
              <w:jc w:val="center"/>
              <w:rPr>
                <w:rFonts w:eastAsia="Times New Roman"/>
                <w:sz w:val="18"/>
                <w:szCs w:val="18"/>
                <w:lang w:eastAsia="en-US"/>
              </w:rPr>
            </w:pPr>
            <w:r w:rsidRPr="00B762C5">
              <w:rPr>
                <w:rFonts w:eastAsia="Times New Roman"/>
                <w:sz w:val="18"/>
                <w:szCs w:val="18"/>
                <w:lang w:eastAsia="en-US"/>
              </w:rPr>
              <w:t xml:space="preserve">Substance </w:t>
            </w:r>
          </w:p>
        </w:tc>
        <w:tc>
          <w:tcPr>
            <w:tcW w:w="494" w:type="dxa"/>
            <w:vMerge w:val="restart"/>
          </w:tcPr>
          <w:p w14:paraId="76362E72" w14:textId="77777777" w:rsidR="00A00A4B" w:rsidRPr="00B762C5" w:rsidRDefault="00A00A4B" w:rsidP="00981422">
            <w:pPr>
              <w:pStyle w:val="SingleTxtG"/>
              <w:ind w:left="0" w:right="0"/>
              <w:contextualSpacing/>
              <w:jc w:val="center"/>
              <w:rPr>
                <w:rFonts w:eastAsia="Times New Roman"/>
                <w:sz w:val="18"/>
                <w:szCs w:val="18"/>
                <w:lang w:eastAsia="en-US"/>
              </w:rPr>
            </w:pPr>
            <w:r w:rsidRPr="00B762C5">
              <w:rPr>
                <w:rFonts w:eastAsia="Times New Roman"/>
                <w:sz w:val="18"/>
                <w:szCs w:val="18"/>
                <w:lang w:eastAsia="en-US"/>
              </w:rPr>
              <w:t xml:space="preserve">Class </w:t>
            </w:r>
          </w:p>
        </w:tc>
        <w:tc>
          <w:tcPr>
            <w:tcW w:w="969" w:type="dxa"/>
            <w:vMerge w:val="restart"/>
          </w:tcPr>
          <w:p w14:paraId="17A0C6F9" w14:textId="77777777" w:rsidR="00A00A4B" w:rsidRPr="00B762C5" w:rsidRDefault="00A00A4B" w:rsidP="00981422">
            <w:pPr>
              <w:pStyle w:val="SingleTxtG"/>
              <w:ind w:left="0" w:right="5"/>
              <w:contextualSpacing/>
              <w:jc w:val="center"/>
              <w:rPr>
                <w:rFonts w:eastAsia="Times New Roman"/>
                <w:sz w:val="18"/>
                <w:szCs w:val="18"/>
                <w:lang w:eastAsia="en-US"/>
              </w:rPr>
            </w:pPr>
            <w:r w:rsidRPr="00B762C5">
              <w:rPr>
                <w:rFonts w:eastAsia="Times New Roman"/>
                <w:sz w:val="18"/>
                <w:szCs w:val="18"/>
                <w:lang w:eastAsia="en-US"/>
              </w:rPr>
              <w:t xml:space="preserve">Subsidiary Hazard </w:t>
            </w:r>
          </w:p>
        </w:tc>
        <w:tc>
          <w:tcPr>
            <w:tcW w:w="968" w:type="dxa"/>
            <w:vMerge w:val="restart"/>
          </w:tcPr>
          <w:p w14:paraId="0DFE062B" w14:textId="77777777" w:rsidR="00A00A4B" w:rsidRPr="00B762C5" w:rsidRDefault="00A00A4B" w:rsidP="00981422">
            <w:pPr>
              <w:pStyle w:val="SingleTxtG"/>
              <w:ind w:left="0" w:right="5"/>
              <w:contextualSpacing/>
              <w:jc w:val="center"/>
              <w:rPr>
                <w:rFonts w:eastAsia="Times New Roman"/>
                <w:sz w:val="18"/>
                <w:szCs w:val="18"/>
                <w:lang w:eastAsia="en-US"/>
              </w:rPr>
            </w:pPr>
            <w:r w:rsidRPr="00B762C5">
              <w:rPr>
                <w:rFonts w:eastAsia="Times New Roman"/>
                <w:sz w:val="18"/>
                <w:szCs w:val="18"/>
                <w:lang w:eastAsia="en-US"/>
              </w:rPr>
              <w:t xml:space="preserve">UN packing group </w:t>
            </w:r>
          </w:p>
        </w:tc>
        <w:tc>
          <w:tcPr>
            <w:tcW w:w="766" w:type="dxa"/>
            <w:vMerge w:val="restart"/>
          </w:tcPr>
          <w:p w14:paraId="653F4C93" w14:textId="77777777" w:rsidR="00A00A4B" w:rsidRPr="00B762C5" w:rsidRDefault="00A00A4B" w:rsidP="00981422">
            <w:pPr>
              <w:pStyle w:val="SingleTxtG"/>
              <w:ind w:left="0" w:right="5"/>
              <w:contextualSpacing/>
              <w:jc w:val="center"/>
              <w:rPr>
                <w:rFonts w:eastAsia="Times New Roman"/>
                <w:sz w:val="18"/>
                <w:szCs w:val="18"/>
                <w:lang w:eastAsia="en-US"/>
              </w:rPr>
            </w:pPr>
            <w:r w:rsidRPr="00B762C5">
              <w:rPr>
                <w:rFonts w:eastAsia="Times New Roman"/>
                <w:sz w:val="18"/>
                <w:szCs w:val="18"/>
                <w:lang w:eastAsia="en-US"/>
              </w:rPr>
              <w:t xml:space="preserve">Special provisions </w:t>
            </w:r>
          </w:p>
        </w:tc>
        <w:tc>
          <w:tcPr>
            <w:tcW w:w="778" w:type="dxa"/>
            <w:gridSpan w:val="2"/>
            <w:vMerge w:val="restart"/>
          </w:tcPr>
          <w:p w14:paraId="4869A301" w14:textId="77777777" w:rsidR="00A00A4B" w:rsidRPr="00B762C5" w:rsidRDefault="00A00A4B" w:rsidP="00981422">
            <w:pPr>
              <w:pStyle w:val="SingleTxtG"/>
              <w:ind w:left="0" w:right="5"/>
              <w:contextualSpacing/>
              <w:jc w:val="center"/>
              <w:rPr>
                <w:rFonts w:eastAsia="Times New Roman"/>
                <w:sz w:val="18"/>
                <w:szCs w:val="18"/>
                <w:lang w:eastAsia="en-US"/>
              </w:rPr>
            </w:pPr>
            <w:r w:rsidRPr="00B762C5">
              <w:rPr>
                <w:rFonts w:eastAsia="Times New Roman"/>
                <w:sz w:val="18"/>
                <w:szCs w:val="18"/>
                <w:lang w:eastAsia="en-US"/>
              </w:rPr>
              <w:t xml:space="preserve">Limited and excepted quantities </w:t>
            </w:r>
          </w:p>
        </w:tc>
        <w:tc>
          <w:tcPr>
            <w:tcW w:w="1687" w:type="dxa"/>
            <w:gridSpan w:val="2"/>
          </w:tcPr>
          <w:p w14:paraId="179F4405" w14:textId="77777777" w:rsidR="00A00A4B" w:rsidRPr="00B762C5" w:rsidRDefault="00A00A4B" w:rsidP="00981422">
            <w:pPr>
              <w:pStyle w:val="SingleTxtG"/>
              <w:ind w:left="0" w:right="5"/>
              <w:contextualSpacing/>
              <w:jc w:val="center"/>
              <w:rPr>
                <w:rFonts w:eastAsia="Times New Roman"/>
                <w:sz w:val="18"/>
                <w:szCs w:val="18"/>
                <w:lang w:eastAsia="en-US"/>
              </w:rPr>
            </w:pPr>
            <w:proofErr w:type="spellStart"/>
            <w:r w:rsidRPr="00B762C5">
              <w:rPr>
                <w:rFonts w:eastAsia="Times New Roman"/>
                <w:sz w:val="18"/>
                <w:szCs w:val="18"/>
                <w:lang w:eastAsia="en-US"/>
              </w:rPr>
              <w:t>Packagings</w:t>
            </w:r>
            <w:proofErr w:type="spellEnd"/>
            <w:r w:rsidRPr="00B762C5">
              <w:rPr>
                <w:rFonts w:eastAsia="Times New Roman"/>
                <w:sz w:val="18"/>
                <w:szCs w:val="18"/>
                <w:lang w:eastAsia="en-US"/>
              </w:rPr>
              <w:t xml:space="preserve"> and IBCs </w:t>
            </w:r>
          </w:p>
        </w:tc>
        <w:tc>
          <w:tcPr>
            <w:tcW w:w="2196" w:type="dxa"/>
            <w:gridSpan w:val="2"/>
          </w:tcPr>
          <w:p w14:paraId="54012172" w14:textId="77777777" w:rsidR="00A00A4B" w:rsidRPr="00B762C5" w:rsidRDefault="00A00A4B" w:rsidP="00981422">
            <w:pPr>
              <w:pStyle w:val="SingleTxtG"/>
              <w:ind w:left="0" w:right="5"/>
              <w:contextualSpacing/>
              <w:jc w:val="center"/>
              <w:rPr>
                <w:rFonts w:eastAsia="Times New Roman"/>
                <w:sz w:val="18"/>
                <w:szCs w:val="18"/>
                <w:lang w:eastAsia="en-US"/>
              </w:rPr>
            </w:pPr>
            <w:r w:rsidRPr="00B762C5">
              <w:rPr>
                <w:rFonts w:eastAsia="Times New Roman"/>
                <w:sz w:val="18"/>
                <w:szCs w:val="18"/>
                <w:lang w:eastAsia="en-US"/>
              </w:rPr>
              <w:t xml:space="preserve">Portable tanks and bulk containers </w:t>
            </w:r>
          </w:p>
        </w:tc>
      </w:tr>
      <w:tr w:rsidR="00A00A4B" w:rsidRPr="00B762C5" w14:paraId="3ECE5C0F" w14:textId="77777777" w:rsidTr="005D3B6A">
        <w:trPr>
          <w:trHeight w:val="781"/>
          <w:jc w:val="center"/>
        </w:trPr>
        <w:tc>
          <w:tcPr>
            <w:tcW w:w="1771" w:type="dxa"/>
            <w:vMerge/>
            <w:vAlign w:val="center"/>
          </w:tcPr>
          <w:p w14:paraId="533F824A"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494" w:type="dxa"/>
            <w:vMerge/>
            <w:vAlign w:val="center"/>
          </w:tcPr>
          <w:p w14:paraId="46762840" w14:textId="77777777" w:rsidR="00A00A4B" w:rsidRPr="00B762C5" w:rsidRDefault="00A00A4B" w:rsidP="00981422">
            <w:pPr>
              <w:pStyle w:val="SingleTxtG"/>
              <w:ind w:left="0" w:right="0"/>
              <w:contextualSpacing/>
              <w:jc w:val="center"/>
              <w:rPr>
                <w:rFonts w:eastAsia="Times New Roman"/>
                <w:sz w:val="18"/>
                <w:szCs w:val="18"/>
                <w:lang w:eastAsia="en-US"/>
              </w:rPr>
            </w:pPr>
          </w:p>
        </w:tc>
        <w:tc>
          <w:tcPr>
            <w:tcW w:w="969" w:type="dxa"/>
            <w:vMerge/>
            <w:vAlign w:val="center"/>
          </w:tcPr>
          <w:p w14:paraId="3DF2F126"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968" w:type="dxa"/>
            <w:vMerge/>
          </w:tcPr>
          <w:p w14:paraId="2C1A06BD"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766" w:type="dxa"/>
            <w:vMerge/>
          </w:tcPr>
          <w:p w14:paraId="7D814285"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778" w:type="dxa"/>
            <w:gridSpan w:val="2"/>
            <w:vMerge/>
          </w:tcPr>
          <w:p w14:paraId="62E1DB8E"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854" w:type="dxa"/>
          </w:tcPr>
          <w:p w14:paraId="0DB0BE84" w14:textId="77777777" w:rsidR="00A00A4B" w:rsidRPr="00B762C5" w:rsidRDefault="00A00A4B" w:rsidP="00981422">
            <w:pPr>
              <w:pStyle w:val="SingleTxtG"/>
              <w:ind w:left="0" w:right="6"/>
              <w:contextualSpacing/>
              <w:jc w:val="center"/>
              <w:rPr>
                <w:rFonts w:eastAsia="Times New Roman"/>
                <w:sz w:val="18"/>
                <w:szCs w:val="18"/>
                <w:lang w:eastAsia="en-US"/>
              </w:rPr>
            </w:pPr>
            <w:r w:rsidRPr="00B762C5">
              <w:rPr>
                <w:rFonts w:eastAsia="Times New Roman"/>
                <w:sz w:val="18"/>
                <w:szCs w:val="18"/>
                <w:lang w:eastAsia="en-US"/>
              </w:rPr>
              <w:t xml:space="preserve">Packing instruction </w:t>
            </w:r>
          </w:p>
        </w:tc>
        <w:tc>
          <w:tcPr>
            <w:tcW w:w="833" w:type="dxa"/>
          </w:tcPr>
          <w:p w14:paraId="50897EF5" w14:textId="77777777" w:rsidR="00A00A4B" w:rsidRPr="00B762C5" w:rsidRDefault="00A00A4B" w:rsidP="00981422">
            <w:pPr>
              <w:pStyle w:val="SingleTxtG"/>
              <w:ind w:left="0" w:right="6"/>
              <w:contextualSpacing/>
              <w:jc w:val="center"/>
              <w:rPr>
                <w:rFonts w:eastAsia="Times New Roman"/>
                <w:sz w:val="18"/>
                <w:szCs w:val="18"/>
                <w:lang w:eastAsia="en-US"/>
              </w:rPr>
            </w:pPr>
            <w:r w:rsidRPr="00B762C5">
              <w:rPr>
                <w:rFonts w:eastAsia="Times New Roman"/>
                <w:sz w:val="18"/>
                <w:szCs w:val="18"/>
                <w:lang w:eastAsia="en-US"/>
              </w:rPr>
              <w:t xml:space="preserve">Special packing provisions </w:t>
            </w:r>
          </w:p>
        </w:tc>
        <w:tc>
          <w:tcPr>
            <w:tcW w:w="1363" w:type="dxa"/>
          </w:tcPr>
          <w:p w14:paraId="45D84EE7" w14:textId="77777777" w:rsidR="00A00A4B" w:rsidRPr="00B762C5" w:rsidRDefault="00A00A4B" w:rsidP="00981422">
            <w:pPr>
              <w:pStyle w:val="SingleTxtG"/>
              <w:ind w:left="0" w:right="6"/>
              <w:contextualSpacing/>
              <w:jc w:val="center"/>
              <w:rPr>
                <w:rFonts w:eastAsia="Times New Roman"/>
                <w:sz w:val="18"/>
                <w:szCs w:val="18"/>
                <w:lang w:eastAsia="en-US"/>
              </w:rPr>
            </w:pPr>
            <w:r>
              <w:rPr>
                <w:rFonts w:eastAsia="Times New Roman"/>
                <w:sz w:val="18"/>
                <w:szCs w:val="18"/>
                <w:lang w:eastAsia="en-US"/>
              </w:rPr>
              <w:t>Instruc</w:t>
            </w:r>
            <w:r w:rsidRPr="00B762C5">
              <w:rPr>
                <w:rFonts w:eastAsia="Times New Roman"/>
                <w:sz w:val="18"/>
                <w:szCs w:val="18"/>
                <w:lang w:eastAsia="en-US"/>
              </w:rPr>
              <w:t xml:space="preserve">tions </w:t>
            </w:r>
          </w:p>
        </w:tc>
        <w:tc>
          <w:tcPr>
            <w:tcW w:w="833" w:type="dxa"/>
          </w:tcPr>
          <w:p w14:paraId="1657BBDA" w14:textId="77777777" w:rsidR="00A00A4B" w:rsidRPr="00B762C5" w:rsidRDefault="00A00A4B" w:rsidP="00981422">
            <w:pPr>
              <w:pStyle w:val="SingleTxtG"/>
              <w:ind w:left="0" w:right="6"/>
              <w:contextualSpacing/>
              <w:jc w:val="center"/>
              <w:rPr>
                <w:rFonts w:eastAsia="Times New Roman"/>
                <w:sz w:val="18"/>
                <w:szCs w:val="18"/>
                <w:lang w:eastAsia="en-US"/>
              </w:rPr>
            </w:pPr>
            <w:r w:rsidRPr="00B762C5">
              <w:rPr>
                <w:rFonts w:eastAsia="Times New Roman"/>
                <w:sz w:val="18"/>
                <w:szCs w:val="18"/>
                <w:lang w:eastAsia="en-US"/>
              </w:rPr>
              <w:t xml:space="preserve">Special provisions </w:t>
            </w:r>
          </w:p>
        </w:tc>
      </w:tr>
      <w:bookmarkEnd w:id="0"/>
      <w:tr w:rsidR="00A00A4B" w:rsidRPr="009A7E3F" w14:paraId="378B0C13" w14:textId="77777777" w:rsidTr="00981422">
        <w:trPr>
          <w:trHeight w:val="900"/>
          <w:jc w:val="center"/>
        </w:trPr>
        <w:tc>
          <w:tcPr>
            <w:tcW w:w="1771" w:type="dxa"/>
            <w:vAlign w:val="center"/>
          </w:tcPr>
          <w:p w14:paraId="0DAE7854" w14:textId="77777777" w:rsidR="00A00A4B" w:rsidRDefault="00A00A4B" w:rsidP="00981422">
            <w:pPr>
              <w:pStyle w:val="SingleTxtG"/>
              <w:ind w:left="0" w:right="-5"/>
              <w:contextualSpacing/>
              <w:jc w:val="center"/>
            </w:pPr>
            <w:r>
              <w:t>UN 1040</w:t>
            </w:r>
            <w:r w:rsidRPr="00501595">
              <w:t xml:space="preserve"> </w:t>
            </w:r>
          </w:p>
          <w:p w14:paraId="794AEFED" w14:textId="77777777" w:rsidR="00A00A4B" w:rsidRPr="00B762C5" w:rsidRDefault="00A00A4B" w:rsidP="00981422">
            <w:pPr>
              <w:pStyle w:val="SingleTxtG"/>
              <w:ind w:left="0" w:right="-5"/>
              <w:contextualSpacing/>
              <w:jc w:val="center"/>
              <w:rPr>
                <w:rFonts w:eastAsia="Times New Roman"/>
                <w:sz w:val="18"/>
                <w:szCs w:val="18"/>
                <w:lang w:eastAsia="en-US"/>
              </w:rPr>
            </w:pPr>
            <w:r w:rsidRPr="00FA1152">
              <w:rPr>
                <w:i/>
              </w:rPr>
              <w:t>ETHYLENE OXIDE or ETHYLENE OXIDE WITH NITROGEN up t</w:t>
            </w:r>
            <w:r>
              <w:rPr>
                <w:i/>
              </w:rPr>
              <w:t>o a total pressure of 1 MPa (10 bar) at 50 </w:t>
            </w:r>
            <w:r w:rsidRPr="00FA1152">
              <w:rPr>
                <w:i/>
              </w:rPr>
              <w:t>°C</w:t>
            </w:r>
          </w:p>
        </w:tc>
        <w:tc>
          <w:tcPr>
            <w:tcW w:w="494" w:type="dxa"/>
            <w:vAlign w:val="center"/>
          </w:tcPr>
          <w:p w14:paraId="4AE346E4" w14:textId="77777777" w:rsidR="00A00A4B" w:rsidRPr="00B762C5" w:rsidRDefault="00A00A4B" w:rsidP="00981422">
            <w:pPr>
              <w:pStyle w:val="SingleTxtG"/>
              <w:ind w:left="0" w:right="0"/>
              <w:contextualSpacing/>
              <w:jc w:val="center"/>
              <w:rPr>
                <w:rFonts w:eastAsia="Times New Roman"/>
                <w:sz w:val="18"/>
                <w:szCs w:val="18"/>
                <w:lang w:eastAsia="en-US"/>
              </w:rPr>
            </w:pPr>
            <w:r>
              <w:rPr>
                <w:rFonts w:eastAsia="Times New Roman"/>
                <w:sz w:val="18"/>
                <w:szCs w:val="18"/>
                <w:lang w:eastAsia="en-US"/>
              </w:rPr>
              <w:t>2.3</w:t>
            </w:r>
          </w:p>
        </w:tc>
        <w:tc>
          <w:tcPr>
            <w:tcW w:w="969" w:type="dxa"/>
            <w:vAlign w:val="center"/>
          </w:tcPr>
          <w:p w14:paraId="0C2372F8" w14:textId="77777777" w:rsidR="00A00A4B" w:rsidRPr="00B762C5" w:rsidRDefault="00A00A4B" w:rsidP="00981422">
            <w:pPr>
              <w:pStyle w:val="SingleTxtG"/>
              <w:ind w:left="0" w:right="5"/>
              <w:contextualSpacing/>
              <w:jc w:val="center"/>
              <w:rPr>
                <w:rFonts w:eastAsia="Times New Roman"/>
                <w:sz w:val="18"/>
                <w:szCs w:val="18"/>
                <w:lang w:eastAsia="en-US"/>
              </w:rPr>
            </w:pPr>
            <w:r>
              <w:rPr>
                <w:rFonts w:eastAsia="Times New Roman"/>
                <w:sz w:val="18"/>
                <w:szCs w:val="18"/>
                <w:lang w:eastAsia="en-US"/>
              </w:rPr>
              <w:t xml:space="preserve">2.1, </w:t>
            </w:r>
            <w:r w:rsidRPr="00783E15">
              <w:rPr>
                <w:rFonts w:eastAsia="Times New Roman"/>
                <w:sz w:val="18"/>
                <w:szCs w:val="18"/>
                <w:u w:val="single"/>
                <w:lang w:eastAsia="en-US"/>
              </w:rPr>
              <w:t>8</w:t>
            </w:r>
          </w:p>
        </w:tc>
        <w:tc>
          <w:tcPr>
            <w:tcW w:w="968" w:type="dxa"/>
            <w:vAlign w:val="center"/>
          </w:tcPr>
          <w:p w14:paraId="46FE5B47"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766" w:type="dxa"/>
            <w:vAlign w:val="center"/>
          </w:tcPr>
          <w:p w14:paraId="27007BB3" w14:textId="77777777" w:rsidR="00A00A4B" w:rsidRPr="00B762C5" w:rsidRDefault="00A00A4B" w:rsidP="00981422">
            <w:pPr>
              <w:pStyle w:val="SingleTxtG"/>
              <w:ind w:left="0" w:right="5"/>
              <w:contextualSpacing/>
              <w:jc w:val="center"/>
              <w:rPr>
                <w:rFonts w:eastAsia="Times New Roman"/>
                <w:sz w:val="18"/>
                <w:szCs w:val="18"/>
                <w:lang w:eastAsia="en-US"/>
              </w:rPr>
            </w:pPr>
            <w:r>
              <w:rPr>
                <w:rFonts w:eastAsia="Times New Roman"/>
                <w:sz w:val="18"/>
                <w:szCs w:val="18"/>
                <w:lang w:eastAsia="en-US"/>
              </w:rPr>
              <w:t>342</w:t>
            </w:r>
          </w:p>
        </w:tc>
        <w:tc>
          <w:tcPr>
            <w:tcW w:w="391" w:type="dxa"/>
            <w:vAlign w:val="center"/>
          </w:tcPr>
          <w:p w14:paraId="589651C0" w14:textId="77777777" w:rsidR="00A00A4B" w:rsidRPr="00B762C5" w:rsidRDefault="00A00A4B" w:rsidP="00981422">
            <w:pPr>
              <w:pStyle w:val="SingleTxtG"/>
              <w:ind w:left="0" w:right="5"/>
              <w:contextualSpacing/>
              <w:jc w:val="center"/>
              <w:rPr>
                <w:rFonts w:eastAsia="Times New Roman"/>
                <w:sz w:val="18"/>
                <w:szCs w:val="18"/>
                <w:lang w:eastAsia="en-US"/>
              </w:rPr>
            </w:pPr>
            <w:r>
              <w:rPr>
                <w:rFonts w:eastAsia="Times New Roman"/>
                <w:sz w:val="18"/>
                <w:szCs w:val="18"/>
                <w:lang w:eastAsia="en-US"/>
              </w:rPr>
              <w:t>0</w:t>
            </w:r>
          </w:p>
        </w:tc>
        <w:tc>
          <w:tcPr>
            <w:tcW w:w="387" w:type="dxa"/>
            <w:vAlign w:val="center"/>
          </w:tcPr>
          <w:p w14:paraId="19CB16C8" w14:textId="77777777" w:rsidR="00A00A4B" w:rsidRPr="00B762C5" w:rsidRDefault="00A00A4B" w:rsidP="00981422">
            <w:pPr>
              <w:pStyle w:val="SingleTxtG"/>
              <w:ind w:left="0" w:right="5"/>
              <w:contextualSpacing/>
              <w:jc w:val="center"/>
              <w:rPr>
                <w:rFonts w:eastAsia="Times New Roman"/>
                <w:sz w:val="18"/>
                <w:szCs w:val="18"/>
                <w:lang w:eastAsia="en-US"/>
              </w:rPr>
            </w:pPr>
            <w:r>
              <w:rPr>
                <w:rFonts w:eastAsia="Times New Roman"/>
                <w:sz w:val="18"/>
                <w:szCs w:val="18"/>
                <w:lang w:eastAsia="en-US"/>
              </w:rPr>
              <w:t>E0</w:t>
            </w:r>
          </w:p>
        </w:tc>
        <w:tc>
          <w:tcPr>
            <w:tcW w:w="854" w:type="dxa"/>
            <w:vAlign w:val="center"/>
          </w:tcPr>
          <w:p w14:paraId="1F35BCF1" w14:textId="77777777" w:rsidR="00A00A4B" w:rsidRPr="00B762C5" w:rsidRDefault="00A00A4B" w:rsidP="00981422">
            <w:pPr>
              <w:pStyle w:val="SingleTxtG"/>
              <w:ind w:left="0" w:right="5"/>
              <w:contextualSpacing/>
              <w:jc w:val="center"/>
              <w:rPr>
                <w:rFonts w:eastAsia="Times New Roman"/>
                <w:sz w:val="18"/>
                <w:szCs w:val="18"/>
                <w:lang w:eastAsia="en-US"/>
              </w:rPr>
            </w:pPr>
            <w:r>
              <w:rPr>
                <w:rFonts w:eastAsia="Times New Roman"/>
                <w:sz w:val="18"/>
                <w:szCs w:val="18"/>
                <w:lang w:eastAsia="en-US"/>
              </w:rPr>
              <w:t>P200</w:t>
            </w:r>
          </w:p>
        </w:tc>
        <w:tc>
          <w:tcPr>
            <w:tcW w:w="833" w:type="dxa"/>
            <w:vAlign w:val="center"/>
          </w:tcPr>
          <w:p w14:paraId="6B9E2B8F"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1363" w:type="dxa"/>
            <w:vAlign w:val="center"/>
          </w:tcPr>
          <w:p w14:paraId="2DFA0E21" w14:textId="77777777" w:rsidR="00A00A4B" w:rsidRPr="00783E15" w:rsidRDefault="00A00A4B" w:rsidP="00981422">
            <w:pPr>
              <w:pStyle w:val="SingleTxtG"/>
              <w:ind w:left="0" w:right="5"/>
              <w:contextualSpacing/>
              <w:jc w:val="center"/>
              <w:rPr>
                <w:rFonts w:eastAsia="Times New Roman"/>
                <w:strike/>
                <w:sz w:val="18"/>
                <w:szCs w:val="18"/>
                <w:u w:val="single"/>
                <w:lang w:eastAsia="en-US"/>
              </w:rPr>
            </w:pPr>
            <w:r w:rsidRPr="00783E15">
              <w:rPr>
                <w:rFonts w:eastAsia="Times New Roman"/>
                <w:strike/>
                <w:sz w:val="18"/>
                <w:szCs w:val="18"/>
                <w:u w:val="single"/>
                <w:lang w:eastAsia="en-US"/>
              </w:rPr>
              <w:t>T50</w:t>
            </w:r>
          </w:p>
        </w:tc>
        <w:tc>
          <w:tcPr>
            <w:tcW w:w="833" w:type="dxa"/>
            <w:vAlign w:val="center"/>
          </w:tcPr>
          <w:p w14:paraId="6CFCC128" w14:textId="77777777" w:rsidR="00A00A4B" w:rsidRPr="006A7D33" w:rsidRDefault="00A00A4B" w:rsidP="00981422">
            <w:pPr>
              <w:pStyle w:val="SingleTxtG"/>
              <w:ind w:left="0" w:right="5"/>
              <w:contextualSpacing/>
              <w:jc w:val="center"/>
              <w:rPr>
                <w:rFonts w:eastAsia="Times New Roman"/>
                <w:strike/>
                <w:sz w:val="18"/>
                <w:szCs w:val="18"/>
                <w:u w:val="single"/>
                <w:lang w:eastAsia="en-US"/>
              </w:rPr>
            </w:pPr>
            <w:r w:rsidRPr="006A7D33">
              <w:rPr>
                <w:rFonts w:eastAsia="Times New Roman"/>
                <w:strike/>
                <w:sz w:val="18"/>
                <w:szCs w:val="18"/>
                <w:u w:val="single"/>
                <w:lang w:eastAsia="en-US"/>
              </w:rPr>
              <w:t>TP20</w:t>
            </w:r>
          </w:p>
        </w:tc>
      </w:tr>
      <w:tr w:rsidR="00A00A4B" w:rsidRPr="00B762C5" w14:paraId="4F8C4288" w14:textId="77777777" w:rsidTr="00981422">
        <w:trPr>
          <w:trHeight w:val="900"/>
          <w:jc w:val="center"/>
        </w:trPr>
        <w:tc>
          <w:tcPr>
            <w:tcW w:w="1771" w:type="dxa"/>
            <w:vAlign w:val="center"/>
          </w:tcPr>
          <w:p w14:paraId="6C5B0825" w14:textId="77777777" w:rsidR="00A00A4B" w:rsidRPr="00783E15" w:rsidRDefault="00A00A4B" w:rsidP="00981422">
            <w:pPr>
              <w:pStyle w:val="SingleTxtG"/>
              <w:ind w:left="0" w:right="-5"/>
              <w:contextualSpacing/>
              <w:jc w:val="center"/>
              <w:rPr>
                <w:lang w:val="en-US"/>
              </w:rPr>
            </w:pPr>
            <w:r>
              <w:rPr>
                <w:lang w:val="en-US"/>
              </w:rPr>
              <w:t>UN 1041</w:t>
            </w:r>
            <w:r w:rsidRPr="00783E15">
              <w:rPr>
                <w:lang w:val="en-US"/>
              </w:rPr>
              <w:t xml:space="preserve"> </w:t>
            </w:r>
          </w:p>
          <w:p w14:paraId="7B546C13" w14:textId="77777777" w:rsidR="00A00A4B" w:rsidRPr="00501595" w:rsidRDefault="00A00A4B" w:rsidP="00981422">
            <w:pPr>
              <w:pStyle w:val="SingleTxtG"/>
              <w:ind w:left="0" w:right="-5"/>
              <w:contextualSpacing/>
              <w:jc w:val="center"/>
            </w:pPr>
            <w:r w:rsidRPr="00783E15">
              <w:rPr>
                <w:i/>
                <w:lang w:val="en-US"/>
              </w:rPr>
              <w:t>ETHYLENE OXIDE AND CARBON DIOXIDE MIXTURE with more than 9</w:t>
            </w:r>
            <w:r>
              <w:rPr>
                <w:i/>
                <w:lang w:val="en-US"/>
              </w:rPr>
              <w:t> </w:t>
            </w:r>
            <w:r w:rsidRPr="00783E15">
              <w:rPr>
                <w:i/>
                <w:lang w:val="en-US"/>
              </w:rPr>
              <w:t>% but not more than 87</w:t>
            </w:r>
            <w:r>
              <w:rPr>
                <w:i/>
                <w:lang w:val="en-US"/>
              </w:rPr>
              <w:t> </w:t>
            </w:r>
            <w:r w:rsidRPr="00783E15">
              <w:rPr>
                <w:i/>
                <w:lang w:val="en-US"/>
              </w:rPr>
              <w:t>% ethylene oxide</w:t>
            </w:r>
          </w:p>
        </w:tc>
        <w:tc>
          <w:tcPr>
            <w:tcW w:w="494" w:type="dxa"/>
            <w:vAlign w:val="center"/>
          </w:tcPr>
          <w:p w14:paraId="70C2FFD3" w14:textId="77777777" w:rsidR="00A00A4B" w:rsidRDefault="00A00A4B" w:rsidP="00981422">
            <w:pPr>
              <w:pStyle w:val="SingleTxtG"/>
              <w:ind w:left="0" w:right="0"/>
              <w:contextualSpacing/>
              <w:jc w:val="center"/>
              <w:rPr>
                <w:rFonts w:eastAsia="Times New Roman"/>
                <w:sz w:val="18"/>
                <w:szCs w:val="18"/>
                <w:lang w:eastAsia="en-US"/>
              </w:rPr>
            </w:pPr>
            <w:r>
              <w:rPr>
                <w:rFonts w:eastAsia="Times New Roman"/>
                <w:sz w:val="18"/>
                <w:szCs w:val="18"/>
                <w:lang w:eastAsia="en-US"/>
              </w:rPr>
              <w:t>2.1</w:t>
            </w:r>
          </w:p>
        </w:tc>
        <w:tc>
          <w:tcPr>
            <w:tcW w:w="969" w:type="dxa"/>
            <w:vAlign w:val="center"/>
          </w:tcPr>
          <w:p w14:paraId="03DD234A" w14:textId="77777777" w:rsidR="00A00A4B" w:rsidRDefault="00A00A4B" w:rsidP="00981422">
            <w:pPr>
              <w:pStyle w:val="SingleTxtG"/>
              <w:ind w:left="0" w:right="5"/>
              <w:contextualSpacing/>
              <w:jc w:val="center"/>
              <w:rPr>
                <w:rFonts w:eastAsia="Times New Roman"/>
                <w:sz w:val="18"/>
                <w:szCs w:val="18"/>
                <w:lang w:eastAsia="en-US"/>
              </w:rPr>
            </w:pPr>
            <w:r w:rsidRPr="00783E15">
              <w:rPr>
                <w:rFonts w:eastAsia="Times New Roman"/>
                <w:sz w:val="18"/>
                <w:szCs w:val="18"/>
                <w:u w:val="single"/>
                <w:lang w:eastAsia="en-US"/>
              </w:rPr>
              <w:t>8</w:t>
            </w:r>
          </w:p>
        </w:tc>
        <w:tc>
          <w:tcPr>
            <w:tcW w:w="968" w:type="dxa"/>
            <w:vAlign w:val="center"/>
          </w:tcPr>
          <w:p w14:paraId="559F7512"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766" w:type="dxa"/>
            <w:vAlign w:val="center"/>
          </w:tcPr>
          <w:p w14:paraId="615B0D4D" w14:textId="77777777" w:rsidR="00A00A4B" w:rsidRDefault="00A00A4B" w:rsidP="00981422">
            <w:pPr>
              <w:pStyle w:val="SingleTxtG"/>
              <w:ind w:left="0" w:right="5"/>
              <w:contextualSpacing/>
              <w:jc w:val="center"/>
              <w:rPr>
                <w:rFonts w:eastAsia="Times New Roman"/>
                <w:sz w:val="18"/>
                <w:szCs w:val="18"/>
                <w:lang w:eastAsia="en-US"/>
              </w:rPr>
            </w:pPr>
          </w:p>
        </w:tc>
        <w:tc>
          <w:tcPr>
            <w:tcW w:w="391" w:type="dxa"/>
            <w:vAlign w:val="center"/>
          </w:tcPr>
          <w:p w14:paraId="7D1A3409" w14:textId="77777777" w:rsidR="00A00A4B" w:rsidRDefault="00A00A4B" w:rsidP="00981422">
            <w:pPr>
              <w:pStyle w:val="SingleTxtG"/>
              <w:ind w:left="0" w:right="5"/>
              <w:contextualSpacing/>
              <w:jc w:val="center"/>
              <w:rPr>
                <w:rFonts w:eastAsia="Times New Roman"/>
                <w:sz w:val="18"/>
                <w:szCs w:val="18"/>
                <w:lang w:eastAsia="en-US"/>
              </w:rPr>
            </w:pPr>
            <w:r>
              <w:rPr>
                <w:rFonts w:eastAsia="Times New Roman"/>
                <w:sz w:val="18"/>
                <w:szCs w:val="18"/>
                <w:lang w:eastAsia="en-US"/>
              </w:rPr>
              <w:t>0</w:t>
            </w:r>
          </w:p>
        </w:tc>
        <w:tc>
          <w:tcPr>
            <w:tcW w:w="387" w:type="dxa"/>
            <w:vAlign w:val="center"/>
          </w:tcPr>
          <w:p w14:paraId="714B4124" w14:textId="77777777" w:rsidR="00A00A4B" w:rsidRDefault="00A00A4B" w:rsidP="00981422">
            <w:pPr>
              <w:pStyle w:val="SingleTxtG"/>
              <w:ind w:left="0" w:right="5"/>
              <w:contextualSpacing/>
              <w:jc w:val="center"/>
              <w:rPr>
                <w:rFonts w:eastAsia="Times New Roman"/>
                <w:sz w:val="18"/>
                <w:szCs w:val="18"/>
                <w:lang w:eastAsia="en-US"/>
              </w:rPr>
            </w:pPr>
            <w:r>
              <w:rPr>
                <w:rFonts w:eastAsia="Times New Roman"/>
                <w:sz w:val="18"/>
                <w:szCs w:val="18"/>
                <w:lang w:eastAsia="en-US"/>
              </w:rPr>
              <w:t>E0</w:t>
            </w:r>
          </w:p>
        </w:tc>
        <w:tc>
          <w:tcPr>
            <w:tcW w:w="854" w:type="dxa"/>
            <w:vAlign w:val="center"/>
          </w:tcPr>
          <w:p w14:paraId="6F0EF64A" w14:textId="77777777" w:rsidR="00A00A4B" w:rsidRDefault="00A00A4B" w:rsidP="00981422">
            <w:pPr>
              <w:pStyle w:val="SingleTxtG"/>
              <w:ind w:left="0" w:right="5"/>
              <w:contextualSpacing/>
              <w:jc w:val="center"/>
              <w:rPr>
                <w:rFonts w:eastAsia="Times New Roman"/>
                <w:sz w:val="18"/>
                <w:szCs w:val="18"/>
                <w:lang w:eastAsia="en-US"/>
              </w:rPr>
            </w:pPr>
            <w:r>
              <w:rPr>
                <w:rFonts w:eastAsia="Times New Roman"/>
                <w:sz w:val="18"/>
                <w:szCs w:val="18"/>
                <w:lang w:eastAsia="en-US"/>
              </w:rPr>
              <w:t>P200</w:t>
            </w:r>
          </w:p>
        </w:tc>
        <w:tc>
          <w:tcPr>
            <w:tcW w:w="833" w:type="dxa"/>
            <w:vAlign w:val="center"/>
          </w:tcPr>
          <w:p w14:paraId="2C0B6A99"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1363" w:type="dxa"/>
            <w:vAlign w:val="center"/>
          </w:tcPr>
          <w:p w14:paraId="4D0530D8" w14:textId="77777777" w:rsidR="00A00A4B" w:rsidRPr="00F47D80" w:rsidRDefault="00A00A4B" w:rsidP="00981422">
            <w:pPr>
              <w:pStyle w:val="SingleTxtG"/>
              <w:ind w:left="0" w:right="5"/>
              <w:contextualSpacing/>
              <w:jc w:val="center"/>
              <w:rPr>
                <w:rFonts w:eastAsia="Times New Roman"/>
                <w:strike/>
                <w:sz w:val="18"/>
                <w:szCs w:val="18"/>
                <w:u w:val="single"/>
                <w:lang w:eastAsia="en-US"/>
              </w:rPr>
            </w:pPr>
            <w:r w:rsidRPr="00F47D80">
              <w:rPr>
                <w:rFonts w:eastAsia="Times New Roman"/>
                <w:strike/>
                <w:sz w:val="18"/>
                <w:szCs w:val="18"/>
                <w:u w:val="single"/>
                <w:lang w:eastAsia="en-US"/>
              </w:rPr>
              <w:t>T50</w:t>
            </w:r>
          </w:p>
        </w:tc>
        <w:tc>
          <w:tcPr>
            <w:tcW w:w="833" w:type="dxa"/>
            <w:vAlign w:val="center"/>
          </w:tcPr>
          <w:p w14:paraId="5B2FB053" w14:textId="77777777" w:rsidR="00A00A4B" w:rsidRDefault="00A00A4B" w:rsidP="00981422">
            <w:pPr>
              <w:pStyle w:val="SingleTxtG"/>
              <w:ind w:left="0" w:right="5"/>
              <w:contextualSpacing/>
              <w:jc w:val="center"/>
              <w:rPr>
                <w:rFonts w:eastAsia="Times New Roman"/>
                <w:sz w:val="18"/>
                <w:szCs w:val="18"/>
                <w:lang w:eastAsia="en-US"/>
              </w:rPr>
            </w:pPr>
          </w:p>
        </w:tc>
      </w:tr>
      <w:tr w:rsidR="00A00A4B" w:rsidRPr="00B762C5" w14:paraId="062CAD81" w14:textId="77777777" w:rsidTr="00981422">
        <w:trPr>
          <w:trHeight w:val="900"/>
          <w:jc w:val="center"/>
        </w:trPr>
        <w:tc>
          <w:tcPr>
            <w:tcW w:w="1771" w:type="dxa"/>
            <w:vAlign w:val="center"/>
          </w:tcPr>
          <w:p w14:paraId="52E14834" w14:textId="77777777" w:rsidR="00A00A4B" w:rsidRDefault="00A00A4B" w:rsidP="00981422">
            <w:pPr>
              <w:pStyle w:val="SingleTxtG"/>
              <w:ind w:left="0" w:right="-5"/>
              <w:contextualSpacing/>
              <w:jc w:val="center"/>
              <w:rPr>
                <w:lang w:val="en-US"/>
              </w:rPr>
            </w:pPr>
            <w:r>
              <w:rPr>
                <w:lang w:val="en-US"/>
              </w:rPr>
              <w:t>UN 3300</w:t>
            </w:r>
            <w:r w:rsidRPr="00E92682">
              <w:rPr>
                <w:lang w:val="en-US"/>
              </w:rPr>
              <w:t xml:space="preserve"> </w:t>
            </w:r>
          </w:p>
          <w:p w14:paraId="279BC2D7" w14:textId="77777777" w:rsidR="00A00A4B" w:rsidRPr="00B762C5" w:rsidRDefault="00A00A4B" w:rsidP="00981422">
            <w:pPr>
              <w:pStyle w:val="SingleTxtG"/>
              <w:ind w:left="0" w:right="-5"/>
              <w:contextualSpacing/>
              <w:jc w:val="center"/>
              <w:rPr>
                <w:rFonts w:eastAsia="Times New Roman"/>
                <w:sz w:val="18"/>
                <w:szCs w:val="18"/>
                <w:lang w:eastAsia="en-US"/>
              </w:rPr>
            </w:pPr>
            <w:r w:rsidRPr="00E92682">
              <w:rPr>
                <w:i/>
                <w:lang w:val="en-US"/>
              </w:rPr>
              <w:t xml:space="preserve">ETHYLENE OXIDE </w:t>
            </w:r>
            <w:r>
              <w:rPr>
                <w:i/>
                <w:lang w:val="en-US"/>
              </w:rPr>
              <w:t>AND CARBON DIOXIDE MIXTU</w:t>
            </w:r>
            <w:r w:rsidRPr="00E92682">
              <w:rPr>
                <w:i/>
                <w:lang w:val="en-US"/>
              </w:rPr>
              <w:t>RE with more than 87</w:t>
            </w:r>
            <w:r>
              <w:t> </w:t>
            </w:r>
            <w:r w:rsidRPr="00E92682">
              <w:rPr>
                <w:i/>
                <w:lang w:val="en-US"/>
              </w:rPr>
              <w:t>% ethylene oxide</w:t>
            </w:r>
          </w:p>
        </w:tc>
        <w:tc>
          <w:tcPr>
            <w:tcW w:w="494" w:type="dxa"/>
            <w:vAlign w:val="center"/>
          </w:tcPr>
          <w:p w14:paraId="1D8E84AE" w14:textId="77777777" w:rsidR="00A00A4B" w:rsidRPr="00B762C5" w:rsidRDefault="00A00A4B" w:rsidP="00981422">
            <w:pPr>
              <w:pStyle w:val="SingleTxtG"/>
              <w:ind w:left="0" w:right="0"/>
              <w:contextualSpacing/>
              <w:jc w:val="center"/>
              <w:rPr>
                <w:rFonts w:eastAsia="Times New Roman"/>
                <w:sz w:val="18"/>
                <w:szCs w:val="18"/>
                <w:lang w:eastAsia="en-US"/>
              </w:rPr>
            </w:pPr>
            <w:r>
              <w:rPr>
                <w:rFonts w:eastAsia="Times New Roman"/>
                <w:sz w:val="18"/>
                <w:szCs w:val="18"/>
                <w:lang w:eastAsia="en-US"/>
              </w:rPr>
              <w:t>2.3</w:t>
            </w:r>
          </w:p>
        </w:tc>
        <w:tc>
          <w:tcPr>
            <w:tcW w:w="969" w:type="dxa"/>
            <w:vAlign w:val="center"/>
          </w:tcPr>
          <w:p w14:paraId="7F84C121" w14:textId="77777777" w:rsidR="00A00A4B" w:rsidRPr="00B762C5" w:rsidRDefault="00A00A4B" w:rsidP="00981422">
            <w:pPr>
              <w:pStyle w:val="SingleTxtG"/>
              <w:ind w:left="0" w:right="5"/>
              <w:contextualSpacing/>
              <w:jc w:val="center"/>
              <w:rPr>
                <w:rFonts w:eastAsia="Times New Roman"/>
                <w:sz w:val="18"/>
                <w:szCs w:val="18"/>
                <w:lang w:eastAsia="en-US"/>
              </w:rPr>
            </w:pPr>
            <w:r>
              <w:rPr>
                <w:rFonts w:eastAsia="Times New Roman"/>
                <w:sz w:val="18"/>
                <w:szCs w:val="18"/>
                <w:lang w:eastAsia="en-US"/>
              </w:rPr>
              <w:t xml:space="preserve">2.1, </w:t>
            </w:r>
            <w:r w:rsidRPr="00783E15">
              <w:rPr>
                <w:rFonts w:eastAsia="Times New Roman"/>
                <w:sz w:val="18"/>
                <w:szCs w:val="18"/>
                <w:u w:val="single"/>
                <w:lang w:eastAsia="en-US"/>
              </w:rPr>
              <w:t>8</w:t>
            </w:r>
          </w:p>
        </w:tc>
        <w:tc>
          <w:tcPr>
            <w:tcW w:w="968" w:type="dxa"/>
            <w:vAlign w:val="center"/>
          </w:tcPr>
          <w:p w14:paraId="22F1F87D"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766" w:type="dxa"/>
            <w:vAlign w:val="center"/>
          </w:tcPr>
          <w:p w14:paraId="37D6A3A9"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391" w:type="dxa"/>
            <w:vAlign w:val="center"/>
          </w:tcPr>
          <w:p w14:paraId="4051527A" w14:textId="77777777" w:rsidR="00A00A4B" w:rsidRPr="00B762C5" w:rsidRDefault="00A00A4B" w:rsidP="00981422">
            <w:pPr>
              <w:pStyle w:val="SingleTxtG"/>
              <w:ind w:left="0" w:right="5"/>
              <w:contextualSpacing/>
              <w:jc w:val="center"/>
              <w:rPr>
                <w:rFonts w:eastAsia="Times New Roman"/>
                <w:sz w:val="18"/>
                <w:szCs w:val="18"/>
                <w:lang w:eastAsia="en-US"/>
              </w:rPr>
            </w:pPr>
            <w:r>
              <w:rPr>
                <w:rFonts w:eastAsia="Times New Roman"/>
                <w:sz w:val="18"/>
                <w:szCs w:val="18"/>
                <w:lang w:eastAsia="en-US"/>
              </w:rPr>
              <w:t>0</w:t>
            </w:r>
          </w:p>
        </w:tc>
        <w:tc>
          <w:tcPr>
            <w:tcW w:w="387" w:type="dxa"/>
            <w:vAlign w:val="center"/>
          </w:tcPr>
          <w:p w14:paraId="0AD5E21F" w14:textId="77777777" w:rsidR="00A00A4B" w:rsidRPr="00B762C5" w:rsidRDefault="00A00A4B" w:rsidP="00981422">
            <w:pPr>
              <w:pStyle w:val="SingleTxtG"/>
              <w:ind w:left="0" w:right="5"/>
              <w:contextualSpacing/>
              <w:jc w:val="center"/>
              <w:rPr>
                <w:rFonts w:eastAsia="Times New Roman"/>
                <w:sz w:val="18"/>
                <w:szCs w:val="18"/>
                <w:lang w:eastAsia="en-US"/>
              </w:rPr>
            </w:pPr>
            <w:r>
              <w:rPr>
                <w:rFonts w:eastAsia="Times New Roman"/>
                <w:sz w:val="18"/>
                <w:szCs w:val="18"/>
                <w:lang w:eastAsia="en-US"/>
              </w:rPr>
              <w:t>E0</w:t>
            </w:r>
          </w:p>
        </w:tc>
        <w:tc>
          <w:tcPr>
            <w:tcW w:w="854" w:type="dxa"/>
            <w:vAlign w:val="center"/>
          </w:tcPr>
          <w:p w14:paraId="4A5083E5" w14:textId="77777777" w:rsidR="00A00A4B" w:rsidRPr="00B762C5" w:rsidRDefault="00A00A4B" w:rsidP="00981422">
            <w:pPr>
              <w:pStyle w:val="SingleTxtG"/>
              <w:ind w:left="0" w:right="5"/>
              <w:contextualSpacing/>
              <w:jc w:val="center"/>
              <w:rPr>
                <w:rFonts w:eastAsia="Times New Roman"/>
                <w:sz w:val="18"/>
                <w:szCs w:val="18"/>
                <w:lang w:eastAsia="en-US"/>
              </w:rPr>
            </w:pPr>
            <w:r>
              <w:rPr>
                <w:rFonts w:eastAsia="Times New Roman"/>
                <w:sz w:val="18"/>
                <w:szCs w:val="18"/>
                <w:lang w:eastAsia="en-US"/>
              </w:rPr>
              <w:t>P200</w:t>
            </w:r>
          </w:p>
        </w:tc>
        <w:tc>
          <w:tcPr>
            <w:tcW w:w="833" w:type="dxa"/>
            <w:vAlign w:val="center"/>
          </w:tcPr>
          <w:p w14:paraId="0DE0D0B8"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1363" w:type="dxa"/>
            <w:vAlign w:val="center"/>
          </w:tcPr>
          <w:p w14:paraId="04B3E53C" w14:textId="77777777" w:rsidR="00A00A4B" w:rsidRPr="00B762C5" w:rsidRDefault="00A00A4B" w:rsidP="00981422">
            <w:pPr>
              <w:pStyle w:val="SingleTxtG"/>
              <w:ind w:left="0" w:right="5"/>
              <w:contextualSpacing/>
              <w:jc w:val="center"/>
              <w:rPr>
                <w:rFonts w:eastAsia="Times New Roman"/>
                <w:sz w:val="18"/>
                <w:szCs w:val="18"/>
                <w:lang w:eastAsia="en-US"/>
              </w:rPr>
            </w:pPr>
          </w:p>
        </w:tc>
        <w:tc>
          <w:tcPr>
            <w:tcW w:w="833" w:type="dxa"/>
            <w:vAlign w:val="center"/>
          </w:tcPr>
          <w:p w14:paraId="046DDFBB" w14:textId="77777777" w:rsidR="00A00A4B" w:rsidRPr="00B762C5" w:rsidRDefault="00A00A4B" w:rsidP="00981422">
            <w:pPr>
              <w:pStyle w:val="SingleTxtG"/>
              <w:ind w:left="0" w:right="5"/>
              <w:contextualSpacing/>
              <w:jc w:val="center"/>
              <w:rPr>
                <w:rFonts w:eastAsia="Times New Roman"/>
                <w:sz w:val="18"/>
                <w:szCs w:val="18"/>
                <w:lang w:eastAsia="en-US"/>
              </w:rPr>
            </w:pPr>
          </w:p>
        </w:tc>
      </w:tr>
    </w:tbl>
    <w:p w14:paraId="1CA8B013" w14:textId="77777777" w:rsidR="00A00A4B" w:rsidRPr="002E1401" w:rsidRDefault="00A00A4B" w:rsidP="00421BAA">
      <w:pPr>
        <w:pStyle w:val="HChG"/>
        <w:spacing w:before="120" w:after="120" w:line="240" w:lineRule="atLeast"/>
        <w:ind w:left="0" w:firstLine="0"/>
        <w:contextualSpacing/>
      </w:pPr>
      <w:r w:rsidRPr="00E92682">
        <w:rPr>
          <w:lang w:val="en-US"/>
        </w:rPr>
        <w:tab/>
      </w:r>
      <w:r w:rsidRPr="00E92682">
        <w:rPr>
          <w:lang w:val="en-US"/>
        </w:rPr>
        <w:tab/>
      </w:r>
      <w:r>
        <w:t xml:space="preserve">Action requested of the Sub-Committee </w:t>
      </w:r>
    </w:p>
    <w:p w14:paraId="0E779974" w14:textId="2A813C14" w:rsidR="00A00A4B" w:rsidRDefault="005D3B6A" w:rsidP="00BB4D76">
      <w:pPr>
        <w:pStyle w:val="SingleTxtG"/>
      </w:pPr>
      <w:r>
        <w:t>13.</w:t>
      </w:r>
      <w:r>
        <w:tab/>
      </w:r>
      <w:r w:rsidR="00A00A4B">
        <w:t xml:space="preserve">The Sub-Committee is invited to consider the </w:t>
      </w:r>
      <w:r w:rsidR="00A00A4B" w:rsidRPr="009A7E3F">
        <w:t>proposal</w:t>
      </w:r>
      <w:r w:rsidR="00A00A4B">
        <w:t xml:space="preserve"> and take action as appropriate.</w:t>
      </w:r>
    </w:p>
    <w:p w14:paraId="3C904F9D" w14:textId="27A77F5C" w:rsidR="00A00A4B" w:rsidRDefault="005D3B6A" w:rsidP="00BB4D76">
      <w:pPr>
        <w:pStyle w:val="SingleTxtG"/>
      </w:pPr>
      <w:r w:rsidRPr="005D3B6A">
        <w:t>14.</w:t>
      </w:r>
      <w:r w:rsidRPr="005D3B6A">
        <w:tab/>
      </w:r>
      <w:r w:rsidR="00A00A4B" w:rsidRPr="005D3B6A">
        <w:t>In addition, this proposal supports Sustainable Development Goal 3: Ensure healthy lives and promote well-being for all at all ages as part of the 2030 Agenda for Sustainable Development by promoting the safe transport of UN 1040, UN 1041 and UN 3300.</w:t>
      </w:r>
    </w:p>
    <w:p w14:paraId="63524C0F" w14:textId="77777777" w:rsidR="00A00A4B" w:rsidRDefault="00A00A4B" w:rsidP="00A00A4B">
      <w:pPr>
        <w:suppressAutoHyphens w:val="0"/>
        <w:kinsoku/>
        <w:overflowPunct/>
        <w:autoSpaceDE/>
        <w:autoSpaceDN/>
        <w:adjustRightInd/>
        <w:snapToGrid/>
        <w:spacing w:after="120"/>
        <w:contextualSpacing/>
        <w:rPr>
          <w:u w:val="single"/>
        </w:rPr>
      </w:pPr>
      <w:r>
        <w:rPr>
          <w:u w:val="single"/>
        </w:rPr>
        <w:br w:type="page"/>
      </w:r>
    </w:p>
    <w:p w14:paraId="673CBE81" w14:textId="77777777" w:rsidR="00A00A4B" w:rsidRPr="00B762C5" w:rsidRDefault="00A00A4B" w:rsidP="004D36F4">
      <w:pPr>
        <w:pStyle w:val="HChG"/>
      </w:pPr>
      <w:r w:rsidRPr="00B762C5">
        <w:lastRenderedPageBreak/>
        <w:t>Annex</w:t>
      </w:r>
    </w:p>
    <w:p w14:paraId="206539A6" w14:textId="07BED82A" w:rsidR="00A00A4B" w:rsidRPr="00B762C5" w:rsidRDefault="00A00A4B" w:rsidP="00F33E3B">
      <w:pPr>
        <w:pStyle w:val="HChG"/>
      </w:pPr>
      <w:r w:rsidRPr="00B762C5">
        <w:tab/>
      </w:r>
      <w:r w:rsidRPr="00B762C5">
        <w:tab/>
        <w:t>Data sheet to be submitted to the United Nations for new or amended classification of substances</w:t>
      </w:r>
    </w:p>
    <w:p w14:paraId="66616686" w14:textId="77777777" w:rsidR="00A00A4B" w:rsidRPr="002806D2" w:rsidRDefault="00A00A4B" w:rsidP="00620A15">
      <w:pPr>
        <w:pStyle w:val="SingleTxtG"/>
        <w:rPr>
          <w:lang w:eastAsia="en-US"/>
        </w:rPr>
      </w:pPr>
      <w:r w:rsidRPr="00B762C5">
        <w:rPr>
          <w:lang w:eastAsia="en-US"/>
        </w:rPr>
        <w:t xml:space="preserve">Submitted by </w:t>
      </w:r>
      <w:r w:rsidRPr="002806D2">
        <w:rPr>
          <w:lang w:eastAsia="en-US"/>
        </w:rPr>
        <w:t xml:space="preserve">Germany </w:t>
      </w:r>
      <w:r w:rsidRPr="002806D2">
        <w:rPr>
          <w:lang w:eastAsia="en-US"/>
        </w:rPr>
        <w:tab/>
      </w:r>
      <w:r w:rsidRPr="002806D2">
        <w:rPr>
          <w:lang w:eastAsia="en-US"/>
        </w:rPr>
        <w:tab/>
      </w:r>
      <w:r w:rsidRPr="002806D2">
        <w:rPr>
          <w:lang w:eastAsia="en-US"/>
        </w:rPr>
        <w:tab/>
      </w:r>
      <w:r w:rsidRPr="002806D2">
        <w:rPr>
          <w:lang w:eastAsia="en-US"/>
        </w:rPr>
        <w:tab/>
      </w:r>
      <w:r w:rsidRPr="002806D2">
        <w:rPr>
          <w:lang w:eastAsia="en-US"/>
        </w:rPr>
        <w:tab/>
      </w:r>
      <w:r w:rsidRPr="002806D2">
        <w:rPr>
          <w:lang w:eastAsia="en-US"/>
        </w:rPr>
        <w:tab/>
      </w:r>
      <w:r w:rsidRPr="002806D2">
        <w:rPr>
          <w:lang w:eastAsia="en-US"/>
        </w:rPr>
        <w:tab/>
        <w:t xml:space="preserve">Date </w:t>
      </w:r>
      <w:r w:rsidRPr="006A7D33">
        <w:rPr>
          <w:lang w:eastAsia="en-US"/>
        </w:rPr>
        <w:t>09.02.2023</w:t>
      </w:r>
    </w:p>
    <w:p w14:paraId="41A71EFC" w14:textId="296C453C" w:rsidR="00A00A4B" w:rsidRPr="002806D2" w:rsidRDefault="00A00A4B" w:rsidP="00620A15">
      <w:pPr>
        <w:pStyle w:val="SingleTxtG"/>
        <w:rPr>
          <w:lang w:eastAsia="en-US"/>
        </w:rPr>
      </w:pPr>
      <w:r w:rsidRPr="002806D2">
        <w:rPr>
          <w:lang w:eastAsia="en-US"/>
        </w:rPr>
        <w:t>Supply all relevant information including sources of basic classification data. Data should relate to the product in the form to be transported. State test methods. Answer all questions - If necessary, state “not known” or “not applicable” - If data is not available in the form requested, provide what is available with details. Delete inappropriate words.</w:t>
      </w:r>
    </w:p>
    <w:p w14:paraId="435C9080" w14:textId="6E47CED0" w:rsidR="00A00A4B" w:rsidRPr="002806D2" w:rsidRDefault="00A00A4B" w:rsidP="00E078CC">
      <w:pPr>
        <w:pStyle w:val="H1G"/>
      </w:pPr>
      <w:r w:rsidRPr="002806D2">
        <w:tab/>
      </w:r>
      <w:r w:rsidRPr="002806D2">
        <w:tab/>
        <w:t>Section 1. SUBSTANCE IDENTITY</w:t>
      </w:r>
    </w:p>
    <w:p w14:paraId="51204801" w14:textId="4E1FBF3C" w:rsidR="00A00A4B" w:rsidRPr="002806D2" w:rsidRDefault="00A00A4B" w:rsidP="00A00A4B">
      <w:pPr>
        <w:pStyle w:val="SingleTxtG"/>
        <w:rPr>
          <w:lang w:eastAsia="en-US"/>
        </w:rPr>
      </w:pPr>
      <w:r w:rsidRPr="002806D2">
        <w:rPr>
          <w:lang w:eastAsia="en-US"/>
        </w:rPr>
        <w:t>1.1</w:t>
      </w:r>
      <w:r w:rsidRPr="002806D2">
        <w:rPr>
          <w:lang w:eastAsia="en-US"/>
        </w:rPr>
        <w:tab/>
        <w:t xml:space="preserve">Chemical name: </w:t>
      </w:r>
      <w:r>
        <w:rPr>
          <w:lang w:eastAsia="en-US"/>
        </w:rPr>
        <w:t>Ethylene oxide</w:t>
      </w:r>
      <w:r w:rsidRPr="002806D2">
        <w:rPr>
          <w:lang w:eastAsia="en-US"/>
        </w:rPr>
        <w:t xml:space="preserve"> </w:t>
      </w:r>
    </w:p>
    <w:p w14:paraId="5E772F78" w14:textId="32F83E9C" w:rsidR="00A00A4B" w:rsidRPr="002806D2" w:rsidRDefault="00A00A4B" w:rsidP="00A00A4B">
      <w:pPr>
        <w:pStyle w:val="SingleTxtG"/>
        <w:rPr>
          <w:lang w:eastAsia="en-US"/>
        </w:rPr>
      </w:pPr>
      <w:r w:rsidRPr="002806D2">
        <w:rPr>
          <w:lang w:eastAsia="en-US"/>
        </w:rPr>
        <w:t>1.2</w:t>
      </w:r>
      <w:r w:rsidRPr="002806D2">
        <w:rPr>
          <w:lang w:eastAsia="en-US"/>
        </w:rPr>
        <w:tab/>
        <w:t xml:space="preserve">Chemical formula: </w:t>
      </w:r>
      <w:r>
        <w:rPr>
          <w:lang w:eastAsia="en-US"/>
        </w:rPr>
        <w:t>C</w:t>
      </w:r>
      <w:r w:rsidRPr="002735F0">
        <w:rPr>
          <w:vertAlign w:val="subscript"/>
          <w:lang w:eastAsia="en-US"/>
        </w:rPr>
        <w:t>2</w:t>
      </w:r>
      <w:r>
        <w:rPr>
          <w:lang w:eastAsia="en-US"/>
        </w:rPr>
        <w:t>H</w:t>
      </w:r>
      <w:r w:rsidRPr="002735F0">
        <w:rPr>
          <w:vertAlign w:val="subscript"/>
          <w:lang w:eastAsia="en-US"/>
        </w:rPr>
        <w:t>4</w:t>
      </w:r>
      <w:r>
        <w:rPr>
          <w:lang w:eastAsia="en-US"/>
        </w:rPr>
        <w:t>O</w:t>
      </w:r>
    </w:p>
    <w:p w14:paraId="1D64F805" w14:textId="7886AA07" w:rsidR="00A00A4B" w:rsidRPr="002806D2" w:rsidRDefault="00A00A4B" w:rsidP="00A00A4B">
      <w:pPr>
        <w:pStyle w:val="SingleTxtG"/>
        <w:rPr>
          <w:lang w:eastAsia="en-US"/>
        </w:rPr>
      </w:pPr>
      <w:r w:rsidRPr="002806D2">
        <w:rPr>
          <w:lang w:eastAsia="en-US"/>
        </w:rPr>
        <w:t>1.3</w:t>
      </w:r>
      <w:r w:rsidRPr="002806D2">
        <w:rPr>
          <w:lang w:eastAsia="en-US"/>
        </w:rPr>
        <w:tab/>
        <w:t xml:space="preserve">Other names/synonyms: </w:t>
      </w:r>
      <w:r>
        <w:rPr>
          <w:lang w:eastAsia="en-US"/>
        </w:rPr>
        <w:t>oxirane</w:t>
      </w:r>
    </w:p>
    <w:p w14:paraId="458BA119" w14:textId="55B38AD1" w:rsidR="00A00A4B" w:rsidRPr="00A816FD" w:rsidRDefault="00A00A4B" w:rsidP="00A00A4B">
      <w:pPr>
        <w:pStyle w:val="SingleTxtG"/>
        <w:rPr>
          <w:lang w:eastAsia="en-US"/>
        </w:rPr>
      </w:pPr>
      <w:r w:rsidRPr="00A816FD">
        <w:rPr>
          <w:lang w:eastAsia="en-US"/>
        </w:rPr>
        <w:t xml:space="preserve">1.4.1 </w:t>
      </w:r>
      <w:r w:rsidRPr="00A816FD">
        <w:rPr>
          <w:lang w:eastAsia="en-US"/>
        </w:rPr>
        <w:tab/>
        <w:t>UN number: UN 1040 / UN 1041 / UN 3300</w:t>
      </w:r>
    </w:p>
    <w:p w14:paraId="18B00849" w14:textId="6AB5A623" w:rsidR="00A00A4B" w:rsidRPr="002806D2" w:rsidRDefault="00A00A4B" w:rsidP="00A00A4B">
      <w:pPr>
        <w:pStyle w:val="SingleTxtG"/>
        <w:rPr>
          <w:lang w:eastAsia="en-US"/>
        </w:rPr>
      </w:pPr>
      <w:r w:rsidRPr="00A816FD">
        <w:rPr>
          <w:lang w:eastAsia="en-US"/>
        </w:rPr>
        <w:tab/>
      </w:r>
      <w:r w:rsidRPr="002806D2">
        <w:rPr>
          <w:lang w:eastAsia="en-US"/>
        </w:rPr>
        <w:t>1.4.2</w:t>
      </w:r>
      <w:r w:rsidRPr="002806D2">
        <w:rPr>
          <w:lang w:eastAsia="en-US"/>
        </w:rPr>
        <w:tab/>
        <w:t xml:space="preserve">CAS number: </w:t>
      </w:r>
      <w:r>
        <w:rPr>
          <w:lang w:eastAsia="en-US"/>
        </w:rPr>
        <w:t>75-21-8</w:t>
      </w:r>
    </w:p>
    <w:p w14:paraId="343AA7F2" w14:textId="6135DA0F" w:rsidR="00A00A4B" w:rsidRPr="002806D2" w:rsidRDefault="00A00A4B" w:rsidP="00A00A4B">
      <w:pPr>
        <w:pStyle w:val="SingleTxtG"/>
        <w:rPr>
          <w:lang w:eastAsia="en-US"/>
        </w:rPr>
      </w:pPr>
      <w:r w:rsidRPr="002806D2">
        <w:rPr>
          <w:lang w:eastAsia="en-US"/>
        </w:rPr>
        <w:t>1.5</w:t>
      </w:r>
      <w:r w:rsidRPr="002806D2">
        <w:rPr>
          <w:lang w:eastAsia="en-US"/>
        </w:rPr>
        <w:tab/>
        <w:t xml:space="preserve">Proposed classification for the Recommendations: </w:t>
      </w:r>
    </w:p>
    <w:p w14:paraId="4949B712" w14:textId="77777777" w:rsidR="00A00A4B" w:rsidRPr="002806D2" w:rsidRDefault="00A00A4B" w:rsidP="00A816FD">
      <w:pPr>
        <w:pStyle w:val="SingleTxtG"/>
        <w:ind w:firstLine="567"/>
        <w:rPr>
          <w:lang w:eastAsia="en-US"/>
        </w:rPr>
      </w:pPr>
      <w:r w:rsidRPr="006A7D33">
        <w:rPr>
          <w:lang w:eastAsia="en-US"/>
        </w:rPr>
        <w:t>CLASS 2.3 (2.1, 8) / CLASS 2.1(8) / CLASS 2.3 (2.1, 8)</w:t>
      </w:r>
    </w:p>
    <w:p w14:paraId="2C01044F" w14:textId="42DFC46B" w:rsidR="00A00A4B" w:rsidRDefault="00A00A4B" w:rsidP="00A816FD">
      <w:pPr>
        <w:pStyle w:val="SingleTxtG"/>
        <w:rPr>
          <w:lang w:eastAsia="en-US"/>
        </w:rPr>
      </w:pPr>
      <w:r w:rsidRPr="002806D2">
        <w:rPr>
          <w:lang w:eastAsia="en-US"/>
        </w:rPr>
        <w:t xml:space="preserve">1.5.1 </w:t>
      </w:r>
      <w:r w:rsidRPr="002806D2">
        <w:rPr>
          <w:lang w:eastAsia="en-US"/>
        </w:rPr>
        <w:tab/>
        <w:t>proper shipping name (3.1.2</w:t>
      </w:r>
      <w:r w:rsidRPr="00BD1D89">
        <w:rPr>
          <w:vertAlign w:val="superscript"/>
          <w:lang w:eastAsia="en-US"/>
        </w:rPr>
        <w:t>1</w:t>
      </w:r>
      <w:r w:rsidRPr="002806D2">
        <w:rPr>
          <w:lang w:eastAsia="en-US"/>
        </w:rPr>
        <w:t>)</w:t>
      </w:r>
    </w:p>
    <w:p w14:paraId="3E0F0B37" w14:textId="37C2DDBF" w:rsidR="00A00A4B" w:rsidRPr="00BD1D89" w:rsidRDefault="00A00A4B" w:rsidP="00BD1D89">
      <w:pPr>
        <w:pStyle w:val="SingleTxtG"/>
        <w:ind w:left="1701"/>
        <w:rPr>
          <w:i/>
          <w:iCs/>
          <w:lang w:eastAsia="en-US"/>
        </w:rPr>
      </w:pPr>
      <w:r w:rsidRPr="00BD1D89">
        <w:rPr>
          <w:i/>
          <w:iCs/>
          <w:lang w:eastAsia="en-US"/>
        </w:rPr>
        <w:t>ETHYLENE OXIDE or ETHYLENE OXIDE WITH NITROGEN up to a total pressure of 1 MPa (10 bar) at 50 °C</w:t>
      </w:r>
    </w:p>
    <w:p w14:paraId="622DFF84" w14:textId="77777777" w:rsidR="00A00A4B" w:rsidRPr="00BD1D89" w:rsidRDefault="00A00A4B" w:rsidP="00BD1D89">
      <w:pPr>
        <w:pStyle w:val="SingleTxtG"/>
        <w:ind w:left="1701"/>
        <w:rPr>
          <w:i/>
          <w:iCs/>
          <w:lang w:eastAsia="en-US"/>
        </w:rPr>
      </w:pPr>
      <w:r w:rsidRPr="00BD1D89">
        <w:rPr>
          <w:i/>
          <w:iCs/>
          <w:lang w:eastAsia="en-US"/>
        </w:rPr>
        <w:t xml:space="preserve">ETHYLENE OXIDE AND CARBON DIOXIDE MIXTURE with more than 9 % but not more than 87 % ethylene oxide </w:t>
      </w:r>
    </w:p>
    <w:p w14:paraId="19B0502F" w14:textId="77777777" w:rsidR="00A00A4B" w:rsidRPr="00BD1D89" w:rsidRDefault="00A00A4B" w:rsidP="00BD1D89">
      <w:pPr>
        <w:pStyle w:val="SingleTxtG"/>
        <w:ind w:left="1701"/>
        <w:rPr>
          <w:i/>
          <w:iCs/>
          <w:lang w:eastAsia="en-US"/>
        </w:rPr>
      </w:pPr>
      <w:r w:rsidRPr="00BD1D89">
        <w:rPr>
          <w:i/>
          <w:iCs/>
          <w:lang w:eastAsia="en-US"/>
        </w:rPr>
        <w:t>ETHYLENE OXIDE AND CARBON DIOXIDE MIXTURE with more than 87 % ethylene oxide</w:t>
      </w:r>
    </w:p>
    <w:p w14:paraId="1C00DDC3" w14:textId="0FCF6131" w:rsidR="00A00A4B" w:rsidRPr="006A7D33" w:rsidRDefault="00A00A4B" w:rsidP="00A00A4B">
      <w:pPr>
        <w:pStyle w:val="SingleTxtG"/>
        <w:rPr>
          <w:lang w:eastAsia="en-US"/>
        </w:rPr>
      </w:pPr>
      <w:r w:rsidRPr="002806D2">
        <w:rPr>
          <w:lang w:eastAsia="en-US"/>
        </w:rPr>
        <w:t xml:space="preserve">1.5.2 </w:t>
      </w:r>
      <w:r w:rsidRPr="002806D2">
        <w:rPr>
          <w:lang w:eastAsia="en-US"/>
        </w:rPr>
        <w:tab/>
      </w:r>
      <w:r>
        <w:rPr>
          <w:lang w:eastAsia="en-US"/>
        </w:rPr>
        <w:t xml:space="preserve">UN 1040: </w:t>
      </w:r>
      <w:r w:rsidRPr="006A7D33">
        <w:rPr>
          <w:lang w:eastAsia="en-US"/>
        </w:rPr>
        <w:t xml:space="preserve">class/division 2.3 </w:t>
      </w:r>
      <w:r w:rsidRPr="006A7D33">
        <w:rPr>
          <w:lang w:eastAsia="en-US"/>
        </w:rPr>
        <w:tab/>
        <w:t>subsidiary hazard(s): 2.1, 8</w:t>
      </w:r>
    </w:p>
    <w:p w14:paraId="68484EA4" w14:textId="77777777" w:rsidR="00A00A4B" w:rsidRPr="006A7D33" w:rsidRDefault="00A00A4B" w:rsidP="00A00A4B">
      <w:pPr>
        <w:pStyle w:val="SingleTxtG"/>
        <w:rPr>
          <w:lang w:eastAsia="en-US"/>
        </w:rPr>
      </w:pPr>
      <w:r w:rsidRPr="006A7D33">
        <w:rPr>
          <w:lang w:eastAsia="en-US"/>
        </w:rPr>
        <w:tab/>
      </w:r>
      <w:r w:rsidRPr="006A7D33">
        <w:rPr>
          <w:lang w:eastAsia="en-US"/>
        </w:rPr>
        <w:tab/>
        <w:t xml:space="preserve">UN 1041: class/division 2.1 </w:t>
      </w:r>
      <w:r w:rsidRPr="006A7D33">
        <w:rPr>
          <w:lang w:eastAsia="en-US"/>
        </w:rPr>
        <w:tab/>
        <w:t>subsidiary hazard(s): 8</w:t>
      </w:r>
    </w:p>
    <w:p w14:paraId="38FDCA63" w14:textId="68152F95" w:rsidR="00A00A4B" w:rsidRPr="002806D2" w:rsidRDefault="00A00A4B" w:rsidP="00A00A4B">
      <w:pPr>
        <w:pStyle w:val="SingleTxtG"/>
        <w:rPr>
          <w:lang w:eastAsia="en-US"/>
        </w:rPr>
      </w:pPr>
      <w:r w:rsidRPr="006A7D33">
        <w:rPr>
          <w:lang w:eastAsia="en-US"/>
        </w:rPr>
        <w:tab/>
      </w:r>
      <w:r w:rsidRPr="006A7D33">
        <w:rPr>
          <w:lang w:eastAsia="en-US"/>
        </w:rPr>
        <w:tab/>
        <w:t xml:space="preserve">UN 3300: class/division 2.3 </w:t>
      </w:r>
      <w:r w:rsidRPr="006A7D33">
        <w:rPr>
          <w:lang w:eastAsia="en-US"/>
        </w:rPr>
        <w:tab/>
        <w:t>subsidiary hazard(s): 2.1, 8</w:t>
      </w:r>
    </w:p>
    <w:p w14:paraId="7B4A0583" w14:textId="77777777" w:rsidR="00A00A4B" w:rsidRPr="002806D2" w:rsidRDefault="00A00A4B" w:rsidP="00A00A4B">
      <w:pPr>
        <w:pStyle w:val="SingleTxtG"/>
        <w:rPr>
          <w:lang w:eastAsia="en-US"/>
        </w:rPr>
      </w:pPr>
      <w:r w:rsidRPr="002806D2">
        <w:rPr>
          <w:lang w:eastAsia="en-US"/>
        </w:rPr>
        <w:t xml:space="preserve">1.5.3 </w:t>
      </w:r>
      <w:r w:rsidRPr="002806D2">
        <w:rPr>
          <w:lang w:eastAsia="en-US"/>
        </w:rPr>
        <w:tab/>
        <w:t>proposed special provisions, if any</w:t>
      </w:r>
      <w:r w:rsidRPr="006A7D33">
        <w:rPr>
          <w:lang w:eastAsia="en-US"/>
        </w:rPr>
        <w:t xml:space="preserve">: 342 / none </w:t>
      </w:r>
      <w:r>
        <w:rPr>
          <w:lang w:eastAsia="en-US"/>
        </w:rPr>
        <w:t>/ none</w:t>
      </w:r>
    </w:p>
    <w:p w14:paraId="61C272B7" w14:textId="67FACECB" w:rsidR="00A00A4B" w:rsidRPr="002806D2" w:rsidRDefault="00A00A4B" w:rsidP="002735F0">
      <w:pPr>
        <w:pStyle w:val="SingleTxtG"/>
        <w:ind w:left="1701"/>
        <w:rPr>
          <w:lang w:eastAsia="en-US"/>
        </w:rPr>
      </w:pPr>
      <w:r w:rsidRPr="002806D2">
        <w:rPr>
          <w:lang w:eastAsia="en-US"/>
        </w:rPr>
        <w:t xml:space="preserve">Limited and excepted quantities: </w:t>
      </w:r>
      <w:r>
        <w:rPr>
          <w:lang w:eastAsia="en-US"/>
        </w:rPr>
        <w:t>0, E0</w:t>
      </w:r>
    </w:p>
    <w:p w14:paraId="7BB7C7B2" w14:textId="77777777" w:rsidR="00A00A4B" w:rsidRPr="002806D2" w:rsidRDefault="00A00A4B" w:rsidP="002735F0">
      <w:pPr>
        <w:pStyle w:val="SingleTxtG"/>
        <w:ind w:left="1701"/>
        <w:rPr>
          <w:lang w:eastAsia="en-US"/>
        </w:rPr>
      </w:pPr>
      <w:r w:rsidRPr="002806D2">
        <w:rPr>
          <w:lang w:eastAsia="en-US"/>
        </w:rPr>
        <w:t xml:space="preserve">Special packing provisions: </w:t>
      </w:r>
      <w:r>
        <w:rPr>
          <w:lang w:eastAsia="en-US"/>
        </w:rPr>
        <w:t>none</w:t>
      </w:r>
    </w:p>
    <w:p w14:paraId="5474E31C" w14:textId="1BDC3A4F" w:rsidR="00A00A4B" w:rsidRPr="002806D2" w:rsidRDefault="00A00A4B" w:rsidP="002735F0">
      <w:pPr>
        <w:pStyle w:val="SingleTxtG"/>
        <w:ind w:left="1701"/>
        <w:rPr>
          <w:lang w:eastAsia="en-US"/>
        </w:rPr>
      </w:pPr>
      <w:r w:rsidRPr="002806D2">
        <w:rPr>
          <w:lang w:eastAsia="en-US"/>
        </w:rPr>
        <w:t>Portable tanks and bulk containers:</w:t>
      </w:r>
    </w:p>
    <w:p w14:paraId="2339954C" w14:textId="77777777" w:rsidR="00A00A4B" w:rsidRPr="00F47D80" w:rsidRDefault="00A00A4B" w:rsidP="002735F0">
      <w:pPr>
        <w:pStyle w:val="SingleTxtG"/>
        <w:ind w:left="2268"/>
        <w:rPr>
          <w:lang w:eastAsia="en-US"/>
        </w:rPr>
      </w:pPr>
      <w:r w:rsidRPr="00F47D80">
        <w:rPr>
          <w:lang w:eastAsia="en-US"/>
        </w:rPr>
        <w:t>Instructions: none</w:t>
      </w:r>
    </w:p>
    <w:p w14:paraId="73213C34" w14:textId="77777777" w:rsidR="00A00A4B" w:rsidRPr="006A7D33" w:rsidRDefault="00A00A4B" w:rsidP="002735F0">
      <w:pPr>
        <w:pStyle w:val="SingleTxtG"/>
        <w:ind w:left="2268"/>
        <w:rPr>
          <w:lang w:eastAsia="en-US"/>
        </w:rPr>
      </w:pPr>
      <w:r w:rsidRPr="006A7D33">
        <w:rPr>
          <w:lang w:eastAsia="en-US"/>
        </w:rPr>
        <w:t>Special provisions: none</w:t>
      </w:r>
    </w:p>
    <w:p w14:paraId="5D0F8E8D" w14:textId="4FA28673" w:rsidR="00A00A4B" w:rsidRPr="002806D2" w:rsidRDefault="00A00A4B" w:rsidP="00A00A4B">
      <w:pPr>
        <w:pStyle w:val="SingleTxtG"/>
        <w:rPr>
          <w:lang w:eastAsia="en-US"/>
        </w:rPr>
      </w:pPr>
      <w:r w:rsidRPr="002806D2">
        <w:rPr>
          <w:lang w:eastAsia="en-US"/>
        </w:rPr>
        <w:t xml:space="preserve">1.5.4 </w:t>
      </w:r>
      <w:r w:rsidRPr="002806D2">
        <w:rPr>
          <w:lang w:eastAsia="en-US"/>
        </w:rPr>
        <w:tab/>
        <w:t xml:space="preserve">proposed packing instruction(s): </w:t>
      </w:r>
      <w:r>
        <w:rPr>
          <w:lang w:eastAsia="en-US"/>
        </w:rPr>
        <w:t>P200</w:t>
      </w:r>
    </w:p>
    <w:p w14:paraId="38DC9436" w14:textId="77777777" w:rsidR="00A00A4B" w:rsidRPr="002806D2" w:rsidRDefault="00A00A4B" w:rsidP="00D65499">
      <w:pPr>
        <w:pStyle w:val="H1G"/>
      </w:pPr>
      <w:r w:rsidRPr="002806D2">
        <w:tab/>
      </w:r>
      <w:r w:rsidRPr="002806D2">
        <w:tab/>
        <w:t xml:space="preserve">Section 2. PHYSICAL PROPERTIES </w:t>
      </w:r>
    </w:p>
    <w:p w14:paraId="012E9F0F" w14:textId="1A982051" w:rsidR="00A00A4B" w:rsidRPr="00DE5A65" w:rsidRDefault="00A00A4B" w:rsidP="00A00A4B">
      <w:pPr>
        <w:pStyle w:val="SingleTxtG"/>
        <w:rPr>
          <w:lang w:eastAsia="en-US"/>
        </w:rPr>
      </w:pPr>
      <w:r w:rsidRPr="00DE5A65">
        <w:rPr>
          <w:lang w:eastAsia="en-US"/>
        </w:rPr>
        <w:t>2.1</w:t>
      </w:r>
      <w:r w:rsidRPr="00DE5A65">
        <w:rPr>
          <w:lang w:eastAsia="en-US"/>
        </w:rPr>
        <w:tab/>
        <w:t>Melting point or range -111-112 °C</w:t>
      </w:r>
    </w:p>
    <w:p w14:paraId="7498A1D7" w14:textId="591C7195" w:rsidR="00A00A4B" w:rsidRPr="00DE5A65" w:rsidRDefault="00A00A4B" w:rsidP="00A00A4B">
      <w:pPr>
        <w:pStyle w:val="SingleTxtG"/>
        <w:rPr>
          <w:lang w:eastAsia="en-US"/>
        </w:rPr>
      </w:pPr>
      <w:r w:rsidRPr="00DE5A65">
        <w:rPr>
          <w:lang w:eastAsia="en-US"/>
        </w:rPr>
        <w:t>2.2</w:t>
      </w:r>
      <w:r w:rsidRPr="00DE5A65">
        <w:rPr>
          <w:lang w:eastAsia="en-US"/>
        </w:rPr>
        <w:tab/>
        <w:t>Boiling point or range 10-12 °C</w:t>
      </w:r>
    </w:p>
    <w:p w14:paraId="1E85B96F" w14:textId="333E36C6" w:rsidR="00A00A4B" w:rsidRPr="00DE5A65" w:rsidRDefault="00A00A4B" w:rsidP="00A00A4B">
      <w:pPr>
        <w:pStyle w:val="SingleTxtG"/>
        <w:rPr>
          <w:lang w:eastAsia="en-US"/>
        </w:rPr>
      </w:pPr>
      <w:r w:rsidRPr="00DE5A65">
        <w:rPr>
          <w:lang w:eastAsia="en-US"/>
        </w:rPr>
        <w:t xml:space="preserve">2.3 </w:t>
      </w:r>
      <w:r w:rsidRPr="00DE5A65">
        <w:rPr>
          <w:lang w:eastAsia="en-US"/>
        </w:rPr>
        <w:tab/>
        <w:t>Relative density at:</w:t>
      </w:r>
    </w:p>
    <w:p w14:paraId="0B278DCD" w14:textId="77777777" w:rsidR="00A00A4B" w:rsidRPr="002806D2" w:rsidRDefault="00A00A4B" w:rsidP="00A00A4B">
      <w:pPr>
        <w:pStyle w:val="SingleTxtG"/>
        <w:rPr>
          <w:lang w:eastAsia="en-US"/>
        </w:rPr>
      </w:pPr>
      <w:r>
        <w:rPr>
          <w:lang w:eastAsia="en-US"/>
        </w:rPr>
        <w:tab/>
      </w:r>
      <w:r w:rsidRPr="002806D2">
        <w:rPr>
          <w:lang w:eastAsia="en-US"/>
        </w:rPr>
        <w:tab/>
      </w:r>
      <w:r>
        <w:rPr>
          <w:lang w:eastAsia="en-US"/>
        </w:rPr>
        <w:t>1.5 (air=1)</w:t>
      </w:r>
    </w:p>
    <w:p w14:paraId="0777A6FA" w14:textId="74C81501" w:rsidR="00A00A4B" w:rsidRPr="002806D2" w:rsidRDefault="00A00A4B" w:rsidP="00A00A4B">
      <w:pPr>
        <w:pStyle w:val="SingleTxtG"/>
        <w:rPr>
          <w:lang w:eastAsia="en-US"/>
        </w:rPr>
      </w:pPr>
      <w:r w:rsidRPr="002806D2">
        <w:rPr>
          <w:lang w:eastAsia="en-US"/>
        </w:rPr>
        <w:lastRenderedPageBreak/>
        <w:t>2.4</w:t>
      </w:r>
      <w:r w:rsidRPr="002806D2">
        <w:rPr>
          <w:lang w:eastAsia="en-US"/>
        </w:rPr>
        <w:tab/>
        <w:t>Vapour pressure at:</w:t>
      </w:r>
    </w:p>
    <w:p w14:paraId="144D6C76" w14:textId="498512C9" w:rsidR="00A00A4B" w:rsidRPr="002806D2" w:rsidRDefault="00A00A4B" w:rsidP="0047616C">
      <w:pPr>
        <w:pStyle w:val="SingleTxtG"/>
        <w:ind w:firstLine="567"/>
        <w:rPr>
          <w:lang w:eastAsia="en-US"/>
        </w:rPr>
      </w:pPr>
      <w:r>
        <w:rPr>
          <w:lang w:eastAsia="en-US"/>
        </w:rPr>
        <w:t>2</w:t>
      </w:r>
      <w:r w:rsidRPr="002806D2">
        <w:rPr>
          <w:lang w:eastAsia="en-US"/>
        </w:rPr>
        <w:t>0</w:t>
      </w:r>
      <w:r>
        <w:rPr>
          <w:lang w:eastAsia="en-US"/>
        </w:rPr>
        <w:t> </w:t>
      </w:r>
      <w:r w:rsidRPr="002806D2">
        <w:rPr>
          <w:lang w:eastAsia="en-US"/>
        </w:rPr>
        <w:t xml:space="preserve">°C </w:t>
      </w:r>
      <w:r>
        <w:rPr>
          <w:lang w:eastAsia="en-US"/>
        </w:rPr>
        <w:t xml:space="preserve"> 146 </w:t>
      </w:r>
      <w:r w:rsidRPr="002806D2">
        <w:rPr>
          <w:lang w:eastAsia="en-US"/>
        </w:rPr>
        <w:t>kPa</w:t>
      </w:r>
    </w:p>
    <w:p w14:paraId="7946A1B6" w14:textId="5429446D" w:rsidR="00A00A4B" w:rsidRPr="002806D2" w:rsidRDefault="00A00A4B" w:rsidP="00A00A4B">
      <w:pPr>
        <w:pStyle w:val="SingleTxtG"/>
        <w:rPr>
          <w:lang w:eastAsia="en-US"/>
        </w:rPr>
      </w:pPr>
      <w:r>
        <w:rPr>
          <w:lang w:eastAsia="en-US"/>
        </w:rPr>
        <w:t>2.5</w:t>
      </w:r>
      <w:r>
        <w:rPr>
          <w:lang w:eastAsia="en-US"/>
        </w:rPr>
        <w:tab/>
        <w:t>Viscosity at 20 </w:t>
      </w:r>
      <w:r w:rsidRPr="002806D2">
        <w:rPr>
          <w:lang w:eastAsia="en-US"/>
        </w:rPr>
        <w:t>°C</w:t>
      </w:r>
      <w:r w:rsidRPr="0047616C">
        <w:rPr>
          <w:vertAlign w:val="superscript"/>
          <w:lang w:eastAsia="en-US"/>
        </w:rPr>
        <w:t>2</w:t>
      </w:r>
      <w:r w:rsidRPr="002806D2">
        <w:rPr>
          <w:lang w:eastAsia="en-US"/>
        </w:rPr>
        <w:t xml:space="preserve"> ___ m</w:t>
      </w:r>
      <w:r w:rsidRPr="0047616C">
        <w:rPr>
          <w:vertAlign w:val="superscript"/>
          <w:lang w:eastAsia="en-US"/>
        </w:rPr>
        <w:t>2</w:t>
      </w:r>
      <w:r w:rsidRPr="002806D2">
        <w:rPr>
          <w:lang w:eastAsia="en-US"/>
        </w:rPr>
        <w:t>/s</w:t>
      </w:r>
    </w:p>
    <w:p w14:paraId="25B6C1D3" w14:textId="4E32E8FB" w:rsidR="00A00A4B" w:rsidRPr="002806D2" w:rsidRDefault="00A00A4B" w:rsidP="00A00A4B">
      <w:pPr>
        <w:pStyle w:val="SingleTxtG"/>
        <w:rPr>
          <w:lang w:eastAsia="en-US"/>
        </w:rPr>
      </w:pPr>
      <w:r w:rsidRPr="002806D2">
        <w:rPr>
          <w:lang w:eastAsia="en-US"/>
        </w:rPr>
        <w:t>2.6</w:t>
      </w:r>
      <w:r w:rsidRPr="002806D2">
        <w:rPr>
          <w:lang w:eastAsia="en-US"/>
        </w:rPr>
        <w:tab/>
        <w:t>Solubility in water at 20 °C</w:t>
      </w:r>
      <w:r>
        <w:rPr>
          <w:lang w:eastAsia="en-US"/>
        </w:rPr>
        <w:t>:</w:t>
      </w:r>
      <w:r w:rsidRPr="002806D2">
        <w:rPr>
          <w:lang w:eastAsia="en-US"/>
        </w:rPr>
        <w:t xml:space="preserve"> </w:t>
      </w:r>
      <w:r>
        <w:rPr>
          <w:lang w:eastAsia="en-US"/>
        </w:rPr>
        <w:t>miscible</w:t>
      </w:r>
    </w:p>
    <w:p w14:paraId="6F36751F" w14:textId="0E9D6BB9" w:rsidR="00A00A4B" w:rsidRPr="00DE5A65" w:rsidRDefault="00A00A4B" w:rsidP="00A00A4B">
      <w:pPr>
        <w:pStyle w:val="SingleTxtG"/>
        <w:rPr>
          <w:lang w:eastAsia="en-US"/>
        </w:rPr>
      </w:pPr>
      <w:r w:rsidRPr="002806D2">
        <w:rPr>
          <w:lang w:eastAsia="en-US"/>
        </w:rPr>
        <w:t>2.7</w:t>
      </w:r>
      <w:r w:rsidRPr="002806D2">
        <w:rPr>
          <w:lang w:eastAsia="en-US"/>
        </w:rPr>
        <w:tab/>
        <w:t>Physical state at 20</w:t>
      </w:r>
      <w:r w:rsidR="0047616C">
        <w:rPr>
          <w:lang w:eastAsia="en-US"/>
        </w:rPr>
        <w:t xml:space="preserve"> </w:t>
      </w:r>
      <w:r w:rsidRPr="002806D2">
        <w:rPr>
          <w:lang w:eastAsia="en-US"/>
        </w:rPr>
        <w:t>°C (2.2.1.1</w:t>
      </w:r>
      <w:r w:rsidRPr="0047616C">
        <w:rPr>
          <w:vertAlign w:val="superscript"/>
          <w:lang w:eastAsia="en-US"/>
        </w:rPr>
        <w:t>1</w:t>
      </w:r>
      <w:r w:rsidRPr="002806D2">
        <w:rPr>
          <w:lang w:eastAsia="en-US"/>
        </w:rPr>
        <w:t xml:space="preserve">) </w:t>
      </w:r>
      <w:r w:rsidRPr="002806D2">
        <w:rPr>
          <w:lang w:eastAsia="en-US"/>
        </w:rPr>
        <w:tab/>
      </w:r>
      <w:r w:rsidRPr="004E1DAA">
        <w:rPr>
          <w:lang w:eastAsia="en-US"/>
        </w:rPr>
        <w:t>solid</w:t>
      </w:r>
      <w:r w:rsidRPr="002806D2">
        <w:rPr>
          <w:lang w:eastAsia="en-US"/>
        </w:rPr>
        <w:t>/liquid/</w:t>
      </w:r>
      <w:r w:rsidRPr="00F508CE">
        <w:rPr>
          <w:u w:val="single"/>
          <w:lang w:eastAsia="en-US"/>
        </w:rPr>
        <w:t>gas</w:t>
      </w:r>
      <w:r w:rsidRPr="0047616C">
        <w:rPr>
          <w:vertAlign w:val="superscript"/>
          <w:lang w:eastAsia="en-US"/>
        </w:rPr>
        <w:t>2</w:t>
      </w:r>
    </w:p>
    <w:p w14:paraId="17380C51" w14:textId="7FDCC973" w:rsidR="00A00A4B" w:rsidRPr="002806D2" w:rsidRDefault="00A00A4B" w:rsidP="000D7D5C">
      <w:pPr>
        <w:pStyle w:val="SingleTxtG"/>
        <w:ind w:left="1701" w:hanging="567"/>
        <w:rPr>
          <w:lang w:eastAsia="en-US"/>
        </w:rPr>
      </w:pPr>
      <w:r w:rsidRPr="002806D2">
        <w:rPr>
          <w:lang w:eastAsia="en-US"/>
        </w:rPr>
        <w:t>2.8</w:t>
      </w:r>
      <w:r w:rsidRPr="002806D2">
        <w:rPr>
          <w:lang w:eastAsia="en-US"/>
        </w:rPr>
        <w:tab/>
        <w:t>Appearance at normal transport temperatures, including colour and odour</w:t>
      </w:r>
      <w:r>
        <w:rPr>
          <w:lang w:eastAsia="en-US"/>
        </w:rPr>
        <w:t>:</w:t>
      </w:r>
      <w:r w:rsidRPr="002806D2">
        <w:rPr>
          <w:lang w:eastAsia="en-US"/>
        </w:rPr>
        <w:t xml:space="preserve"> </w:t>
      </w:r>
      <w:r>
        <w:rPr>
          <w:lang w:eastAsia="en-US"/>
        </w:rPr>
        <w:t xml:space="preserve">ether-like </w:t>
      </w:r>
      <w:proofErr w:type="spellStart"/>
      <w:r>
        <w:rPr>
          <w:lang w:eastAsia="en-US"/>
        </w:rPr>
        <w:t>odor</w:t>
      </w:r>
      <w:proofErr w:type="spellEnd"/>
      <w:r>
        <w:rPr>
          <w:lang w:eastAsia="en-US"/>
        </w:rPr>
        <w:t xml:space="preserve">, </w:t>
      </w:r>
      <w:proofErr w:type="spellStart"/>
      <w:r>
        <w:rPr>
          <w:lang w:eastAsia="en-US"/>
        </w:rPr>
        <w:t>colorless</w:t>
      </w:r>
      <w:proofErr w:type="spellEnd"/>
    </w:p>
    <w:p w14:paraId="5C3D422F" w14:textId="29F3A888" w:rsidR="00A00A4B" w:rsidRPr="002806D2" w:rsidRDefault="00A00A4B" w:rsidP="00A00A4B">
      <w:pPr>
        <w:pStyle w:val="SingleTxtG"/>
        <w:rPr>
          <w:lang w:eastAsia="en-US"/>
        </w:rPr>
      </w:pPr>
      <w:r w:rsidRPr="002806D2">
        <w:rPr>
          <w:lang w:eastAsia="en-US"/>
        </w:rPr>
        <w:t>2.9</w:t>
      </w:r>
      <w:r w:rsidRPr="002806D2">
        <w:rPr>
          <w:lang w:eastAsia="en-US"/>
        </w:rPr>
        <w:tab/>
        <w:t>Other relevant physical properties</w:t>
      </w:r>
      <w:r>
        <w:rPr>
          <w:lang w:eastAsia="en-US"/>
        </w:rPr>
        <w:t>:</w:t>
      </w:r>
      <w:r w:rsidRPr="002806D2">
        <w:rPr>
          <w:lang w:eastAsia="en-US"/>
        </w:rPr>
        <w:t xml:space="preserve"> </w:t>
      </w:r>
      <w:r>
        <w:rPr>
          <w:lang w:eastAsia="en-US"/>
        </w:rPr>
        <w:t>soluble in benzene, acetone, ethanol, ether</w:t>
      </w:r>
    </w:p>
    <w:p w14:paraId="3520FF35" w14:textId="77777777" w:rsidR="00A00A4B" w:rsidRPr="002806D2" w:rsidRDefault="00A00A4B" w:rsidP="00D65499">
      <w:pPr>
        <w:pStyle w:val="H1G"/>
      </w:pPr>
      <w:r w:rsidRPr="002806D2">
        <w:tab/>
      </w:r>
      <w:r w:rsidRPr="002806D2">
        <w:tab/>
        <w:t xml:space="preserve">Section 3. FLAMMABILITY </w:t>
      </w:r>
    </w:p>
    <w:p w14:paraId="4DEB70F1" w14:textId="5252D9B9" w:rsidR="00A00A4B" w:rsidRPr="002806D2" w:rsidRDefault="00A00A4B" w:rsidP="00A00A4B">
      <w:pPr>
        <w:pStyle w:val="SingleTxtG"/>
        <w:rPr>
          <w:lang w:eastAsia="en-US"/>
        </w:rPr>
      </w:pPr>
      <w:r w:rsidRPr="002806D2">
        <w:rPr>
          <w:lang w:eastAsia="en-US"/>
        </w:rPr>
        <w:t>3.1</w:t>
      </w:r>
      <w:r w:rsidRPr="002806D2">
        <w:rPr>
          <w:lang w:eastAsia="en-US"/>
        </w:rPr>
        <w:tab/>
        <w:t>Flammable vapour</w:t>
      </w:r>
    </w:p>
    <w:p w14:paraId="5C589B7A" w14:textId="4F777994" w:rsidR="00A00A4B" w:rsidRDefault="00A00A4B" w:rsidP="00A00A4B">
      <w:pPr>
        <w:pStyle w:val="SingleTxtG"/>
        <w:rPr>
          <w:lang w:eastAsia="en-US"/>
        </w:rPr>
      </w:pPr>
      <w:r w:rsidRPr="002806D2">
        <w:rPr>
          <w:lang w:eastAsia="en-US"/>
        </w:rPr>
        <w:t xml:space="preserve">3.1.1 </w:t>
      </w:r>
      <w:r w:rsidRPr="002806D2">
        <w:rPr>
          <w:lang w:eastAsia="en-US"/>
        </w:rPr>
        <w:tab/>
        <w:t>Flash point (2.3.3</w:t>
      </w:r>
      <w:r w:rsidRPr="000D7D5C">
        <w:rPr>
          <w:vertAlign w:val="superscript"/>
          <w:lang w:eastAsia="en-US"/>
        </w:rPr>
        <w:t>1</w:t>
      </w:r>
      <w:r w:rsidRPr="002806D2">
        <w:rPr>
          <w:lang w:eastAsia="en-US"/>
        </w:rPr>
        <w:t xml:space="preserve">) </w:t>
      </w:r>
      <w:r>
        <w:rPr>
          <w:lang w:eastAsia="en-US"/>
        </w:rPr>
        <w:t>-18</w:t>
      </w:r>
      <w:r w:rsidRPr="002806D2">
        <w:rPr>
          <w:lang w:eastAsia="en-US"/>
        </w:rPr>
        <w:t xml:space="preserve"> °C </w:t>
      </w:r>
      <w:proofErr w:type="spellStart"/>
      <w:r w:rsidRPr="00F508CE">
        <w:rPr>
          <w:u w:val="single"/>
          <w:lang w:eastAsia="en-US"/>
        </w:rPr>
        <w:t>oc</w:t>
      </w:r>
      <w:proofErr w:type="spellEnd"/>
      <w:r w:rsidRPr="002806D2">
        <w:rPr>
          <w:lang w:eastAsia="en-US"/>
        </w:rPr>
        <w:t>/cc</w:t>
      </w:r>
    </w:p>
    <w:p w14:paraId="4E516D90" w14:textId="77777777" w:rsidR="00A00A4B" w:rsidRPr="002806D2" w:rsidRDefault="00A00A4B" w:rsidP="00A00A4B">
      <w:pPr>
        <w:pStyle w:val="SingleTxtG"/>
        <w:rPr>
          <w:lang w:eastAsia="en-US"/>
        </w:rPr>
      </w:pPr>
      <w:r>
        <w:rPr>
          <w:lang w:eastAsia="en-US"/>
        </w:rPr>
        <w:tab/>
      </w:r>
      <w:r>
        <w:rPr>
          <w:lang w:eastAsia="en-US"/>
        </w:rPr>
        <w:tab/>
      </w:r>
      <w:r w:rsidRPr="002806D2">
        <w:rPr>
          <w:lang w:eastAsia="en-US"/>
        </w:rPr>
        <w:t>Flash point (2.3.3</w:t>
      </w:r>
      <w:r w:rsidRPr="000D7D5C">
        <w:rPr>
          <w:vertAlign w:val="superscript"/>
          <w:lang w:eastAsia="en-US"/>
        </w:rPr>
        <w:t>1</w:t>
      </w:r>
      <w:r w:rsidRPr="002806D2">
        <w:rPr>
          <w:lang w:eastAsia="en-US"/>
        </w:rPr>
        <w:t xml:space="preserve">) </w:t>
      </w:r>
      <w:r>
        <w:rPr>
          <w:lang w:eastAsia="en-US"/>
        </w:rPr>
        <w:t>-29</w:t>
      </w:r>
      <w:r w:rsidRPr="002806D2">
        <w:rPr>
          <w:lang w:eastAsia="en-US"/>
        </w:rPr>
        <w:t xml:space="preserve"> °C </w:t>
      </w:r>
      <w:proofErr w:type="spellStart"/>
      <w:r w:rsidRPr="00763403">
        <w:rPr>
          <w:lang w:eastAsia="en-US"/>
        </w:rPr>
        <w:t>oc</w:t>
      </w:r>
      <w:proofErr w:type="spellEnd"/>
      <w:r w:rsidRPr="002806D2">
        <w:rPr>
          <w:lang w:eastAsia="en-US"/>
        </w:rPr>
        <w:t>/</w:t>
      </w:r>
      <w:r w:rsidRPr="00F508CE">
        <w:rPr>
          <w:u w:val="single"/>
          <w:lang w:eastAsia="en-US"/>
        </w:rPr>
        <w:t>cc</w:t>
      </w:r>
    </w:p>
    <w:p w14:paraId="24E509C7" w14:textId="445FBDE0" w:rsidR="00A00A4B" w:rsidRPr="002806D2" w:rsidRDefault="00A00A4B" w:rsidP="00A00A4B">
      <w:pPr>
        <w:pStyle w:val="SingleTxtG"/>
        <w:rPr>
          <w:lang w:eastAsia="en-US"/>
        </w:rPr>
      </w:pPr>
      <w:r w:rsidRPr="002806D2">
        <w:rPr>
          <w:lang w:eastAsia="en-US"/>
        </w:rPr>
        <w:t xml:space="preserve">3.1.2 </w:t>
      </w:r>
      <w:r w:rsidRPr="002806D2">
        <w:rPr>
          <w:lang w:eastAsia="en-US"/>
        </w:rPr>
        <w:tab/>
        <w:t>Is combustion sustained? (2.3.1.3</w:t>
      </w:r>
      <w:r w:rsidRPr="008D03A2">
        <w:rPr>
          <w:vertAlign w:val="superscript"/>
          <w:lang w:eastAsia="en-US"/>
        </w:rPr>
        <w:t>1</w:t>
      </w:r>
      <w:r w:rsidRPr="002806D2">
        <w:rPr>
          <w:lang w:eastAsia="en-US"/>
        </w:rPr>
        <w:t xml:space="preserve">) </w:t>
      </w:r>
      <w:r w:rsidRPr="002806D2">
        <w:rPr>
          <w:lang w:eastAsia="en-US"/>
        </w:rPr>
        <w:tab/>
        <w:t>yes/</w:t>
      </w:r>
      <w:r w:rsidRPr="00763403">
        <w:rPr>
          <w:lang w:eastAsia="en-US"/>
        </w:rPr>
        <w:t>no</w:t>
      </w:r>
    </w:p>
    <w:p w14:paraId="01B4D051" w14:textId="384DCFB5" w:rsidR="00A00A4B" w:rsidRPr="002806D2" w:rsidRDefault="00A00A4B" w:rsidP="00A00A4B">
      <w:pPr>
        <w:pStyle w:val="SingleTxtG"/>
        <w:rPr>
          <w:lang w:eastAsia="en-US"/>
        </w:rPr>
      </w:pPr>
      <w:r w:rsidRPr="002806D2">
        <w:rPr>
          <w:lang w:eastAsia="en-US"/>
        </w:rPr>
        <w:t>3.2</w:t>
      </w:r>
      <w:r w:rsidRPr="002806D2">
        <w:rPr>
          <w:lang w:eastAsia="en-US"/>
        </w:rPr>
        <w:tab/>
        <w:t xml:space="preserve">Autoignition temperature </w:t>
      </w:r>
      <w:r>
        <w:rPr>
          <w:lang w:eastAsia="en-US"/>
        </w:rPr>
        <w:t>429</w:t>
      </w:r>
      <w:r w:rsidRPr="002806D2">
        <w:rPr>
          <w:lang w:eastAsia="en-US"/>
        </w:rPr>
        <w:t> °C</w:t>
      </w:r>
    </w:p>
    <w:p w14:paraId="10A86FAC" w14:textId="1C26227B" w:rsidR="00A00A4B" w:rsidRPr="002806D2" w:rsidRDefault="00A00A4B" w:rsidP="00A00A4B">
      <w:pPr>
        <w:pStyle w:val="SingleTxtG"/>
        <w:rPr>
          <w:lang w:eastAsia="en-US"/>
        </w:rPr>
      </w:pPr>
      <w:r w:rsidRPr="002806D2">
        <w:rPr>
          <w:lang w:eastAsia="en-US"/>
        </w:rPr>
        <w:t>3.3</w:t>
      </w:r>
      <w:r w:rsidRPr="002806D2">
        <w:rPr>
          <w:lang w:eastAsia="en-US"/>
        </w:rPr>
        <w:tab/>
        <w:t>Flammability range (LEL/UEL) ___ %</w:t>
      </w:r>
    </w:p>
    <w:p w14:paraId="28D0CE76" w14:textId="7E058659" w:rsidR="00A00A4B" w:rsidRPr="002806D2" w:rsidRDefault="00A00A4B" w:rsidP="00A00A4B">
      <w:pPr>
        <w:pStyle w:val="SingleTxtG"/>
        <w:rPr>
          <w:lang w:eastAsia="en-US"/>
        </w:rPr>
      </w:pPr>
      <w:r w:rsidRPr="002806D2">
        <w:rPr>
          <w:lang w:eastAsia="en-US"/>
        </w:rPr>
        <w:t>3.4</w:t>
      </w:r>
      <w:r w:rsidRPr="002806D2">
        <w:rPr>
          <w:lang w:eastAsia="en-US"/>
        </w:rPr>
        <w:tab/>
        <w:t>Is the substance a flammable solid? (2.4.2</w:t>
      </w:r>
      <w:r w:rsidRPr="002D1238">
        <w:rPr>
          <w:vertAlign w:val="superscript"/>
          <w:lang w:eastAsia="en-US"/>
        </w:rPr>
        <w:t>1</w:t>
      </w:r>
      <w:r w:rsidRPr="002806D2">
        <w:rPr>
          <w:lang w:eastAsia="en-US"/>
        </w:rPr>
        <w:t>)</w:t>
      </w:r>
      <w:r w:rsidRPr="002806D2">
        <w:rPr>
          <w:lang w:eastAsia="en-US"/>
        </w:rPr>
        <w:tab/>
        <w:t>yes/</w:t>
      </w:r>
      <w:r w:rsidRPr="002D1238">
        <w:rPr>
          <w:u w:val="single"/>
          <w:lang w:eastAsia="en-US"/>
        </w:rPr>
        <w:t>no</w:t>
      </w:r>
    </w:p>
    <w:p w14:paraId="6D8D5F74" w14:textId="13477B31" w:rsidR="00A00A4B" w:rsidRPr="002806D2" w:rsidRDefault="00A00A4B" w:rsidP="00A00A4B">
      <w:pPr>
        <w:pStyle w:val="SingleTxtG"/>
        <w:rPr>
          <w:lang w:eastAsia="en-US"/>
        </w:rPr>
      </w:pPr>
      <w:r w:rsidRPr="002806D2">
        <w:rPr>
          <w:lang w:eastAsia="en-US"/>
        </w:rPr>
        <w:t>3.4.1</w:t>
      </w:r>
      <w:r w:rsidRPr="002806D2">
        <w:rPr>
          <w:lang w:eastAsia="en-US"/>
        </w:rPr>
        <w:tab/>
        <w:t>If yes, give details ___</w:t>
      </w:r>
    </w:p>
    <w:p w14:paraId="6393D621" w14:textId="1FB21BD3" w:rsidR="00A00A4B" w:rsidRPr="002806D2" w:rsidRDefault="00A00A4B" w:rsidP="00D65499">
      <w:pPr>
        <w:pStyle w:val="H1G"/>
      </w:pPr>
      <w:r w:rsidRPr="002806D2">
        <w:tab/>
      </w:r>
      <w:r w:rsidRPr="002806D2">
        <w:tab/>
        <w:t>Section 4. CHEMICAL PROPERTIES</w:t>
      </w:r>
    </w:p>
    <w:p w14:paraId="398AACE5" w14:textId="3F0AF0FA" w:rsidR="00A00A4B" w:rsidRPr="002806D2" w:rsidRDefault="00A00A4B" w:rsidP="00A00A4B">
      <w:pPr>
        <w:pStyle w:val="SingleTxtG"/>
        <w:rPr>
          <w:lang w:eastAsia="en-US"/>
        </w:rPr>
      </w:pPr>
      <w:r w:rsidRPr="002806D2">
        <w:rPr>
          <w:lang w:eastAsia="en-US"/>
        </w:rPr>
        <w:t>4.1</w:t>
      </w:r>
      <w:r w:rsidRPr="002806D2">
        <w:rPr>
          <w:lang w:eastAsia="en-US"/>
        </w:rPr>
        <w:tab/>
        <w:t xml:space="preserve">Does the substance require inhibition/stabilization or other treatment such as nitrogen blanket to prevent hazardous reactivity? </w:t>
      </w:r>
      <w:r w:rsidRPr="002806D2">
        <w:rPr>
          <w:lang w:eastAsia="en-US"/>
        </w:rPr>
        <w:tab/>
        <w:t>yes/</w:t>
      </w:r>
      <w:r w:rsidRPr="00F508CE">
        <w:rPr>
          <w:u w:val="single"/>
          <w:lang w:eastAsia="en-US"/>
        </w:rPr>
        <w:t>no</w:t>
      </w:r>
    </w:p>
    <w:p w14:paraId="18179F2A" w14:textId="21CB7439" w:rsidR="00A00A4B" w:rsidRPr="002806D2" w:rsidRDefault="00A00A4B" w:rsidP="00A00A4B">
      <w:pPr>
        <w:pStyle w:val="SingleTxtG"/>
        <w:rPr>
          <w:lang w:eastAsia="en-US"/>
        </w:rPr>
      </w:pPr>
      <w:r w:rsidRPr="002806D2">
        <w:rPr>
          <w:lang w:eastAsia="en-US"/>
        </w:rPr>
        <w:t>If yes, state:</w:t>
      </w:r>
    </w:p>
    <w:p w14:paraId="5D41DD28" w14:textId="77777777" w:rsidR="00A00A4B" w:rsidRPr="002806D2" w:rsidRDefault="00A00A4B" w:rsidP="00A00A4B">
      <w:pPr>
        <w:pStyle w:val="SingleTxtG"/>
        <w:rPr>
          <w:lang w:eastAsia="en-US"/>
        </w:rPr>
      </w:pPr>
      <w:r w:rsidRPr="002806D2">
        <w:rPr>
          <w:lang w:eastAsia="en-US"/>
        </w:rPr>
        <w:t xml:space="preserve">4.1.1 </w:t>
      </w:r>
      <w:r w:rsidRPr="002806D2">
        <w:rPr>
          <w:lang w:eastAsia="en-US"/>
        </w:rPr>
        <w:tab/>
        <w:t xml:space="preserve">Inhibitor/stabilizer used ___ </w:t>
      </w:r>
    </w:p>
    <w:p w14:paraId="42CE2BA3" w14:textId="77777777" w:rsidR="00A00A4B" w:rsidRPr="002806D2" w:rsidRDefault="00A00A4B" w:rsidP="00A00A4B">
      <w:pPr>
        <w:pStyle w:val="SingleTxtG"/>
        <w:rPr>
          <w:lang w:eastAsia="en-US"/>
        </w:rPr>
      </w:pPr>
      <w:r w:rsidRPr="002806D2">
        <w:rPr>
          <w:lang w:eastAsia="en-US"/>
        </w:rPr>
        <w:t xml:space="preserve">4.1.2 </w:t>
      </w:r>
      <w:r w:rsidRPr="002806D2">
        <w:rPr>
          <w:lang w:eastAsia="en-US"/>
        </w:rPr>
        <w:tab/>
        <w:t xml:space="preserve">Alternative method ___ </w:t>
      </w:r>
    </w:p>
    <w:p w14:paraId="7A6CD976" w14:textId="77777777" w:rsidR="00A00A4B" w:rsidRPr="002806D2" w:rsidRDefault="00A00A4B" w:rsidP="00A00A4B">
      <w:pPr>
        <w:pStyle w:val="SingleTxtG"/>
        <w:rPr>
          <w:lang w:eastAsia="en-US"/>
        </w:rPr>
      </w:pPr>
      <w:r w:rsidRPr="002806D2">
        <w:rPr>
          <w:lang w:eastAsia="en-US"/>
        </w:rPr>
        <w:t xml:space="preserve">4.1.3 </w:t>
      </w:r>
      <w:r w:rsidRPr="002806D2">
        <w:rPr>
          <w:lang w:eastAsia="en-US"/>
        </w:rPr>
        <w:tab/>
        <w:t xml:space="preserve">Time effective at 55 °C ___ </w:t>
      </w:r>
    </w:p>
    <w:p w14:paraId="3CDF8E7C" w14:textId="77777777" w:rsidR="00A00A4B" w:rsidRPr="002806D2" w:rsidRDefault="00A00A4B" w:rsidP="00A00A4B">
      <w:pPr>
        <w:pStyle w:val="SingleTxtG"/>
        <w:rPr>
          <w:lang w:eastAsia="en-US"/>
        </w:rPr>
      </w:pPr>
      <w:r w:rsidRPr="002806D2">
        <w:rPr>
          <w:lang w:eastAsia="en-US"/>
        </w:rPr>
        <w:t xml:space="preserve">4.1.4 </w:t>
      </w:r>
      <w:r w:rsidRPr="002806D2">
        <w:rPr>
          <w:lang w:eastAsia="en-US"/>
        </w:rPr>
        <w:tab/>
        <w:t xml:space="preserve">Conditions rendering it ineffective ___ </w:t>
      </w:r>
    </w:p>
    <w:p w14:paraId="676A0662" w14:textId="05C1A926" w:rsidR="00A00A4B" w:rsidRPr="002806D2" w:rsidRDefault="00A00A4B" w:rsidP="00A00A4B">
      <w:pPr>
        <w:pStyle w:val="SingleTxtG"/>
        <w:rPr>
          <w:lang w:eastAsia="en-US"/>
        </w:rPr>
      </w:pPr>
      <w:r w:rsidRPr="002806D2">
        <w:rPr>
          <w:lang w:eastAsia="en-US"/>
        </w:rPr>
        <w:t>4.2</w:t>
      </w:r>
      <w:r w:rsidRPr="002806D2">
        <w:rPr>
          <w:lang w:eastAsia="en-US"/>
        </w:rPr>
        <w:tab/>
        <w:t>Is the substance an explosive according to paragraph 2.1.1.1? (2.1</w:t>
      </w:r>
      <w:r w:rsidRPr="00652FB3">
        <w:rPr>
          <w:vertAlign w:val="superscript"/>
          <w:lang w:eastAsia="en-US"/>
        </w:rPr>
        <w:t>1</w:t>
      </w:r>
      <w:r w:rsidRPr="002806D2">
        <w:rPr>
          <w:lang w:eastAsia="en-US"/>
        </w:rPr>
        <w:t xml:space="preserve">) </w:t>
      </w:r>
      <w:r w:rsidRPr="002806D2">
        <w:rPr>
          <w:lang w:eastAsia="en-US"/>
        </w:rPr>
        <w:tab/>
        <w:t>yes/</w:t>
      </w:r>
      <w:r w:rsidRPr="00F508CE">
        <w:rPr>
          <w:u w:val="single"/>
          <w:lang w:eastAsia="en-US"/>
        </w:rPr>
        <w:t>no</w:t>
      </w:r>
    </w:p>
    <w:p w14:paraId="6983C78C" w14:textId="77777777" w:rsidR="00A00A4B" w:rsidRPr="002806D2" w:rsidRDefault="00A00A4B" w:rsidP="00A00A4B">
      <w:pPr>
        <w:pStyle w:val="SingleTxtG"/>
        <w:rPr>
          <w:lang w:eastAsia="en-US"/>
        </w:rPr>
      </w:pPr>
      <w:r w:rsidRPr="002806D2">
        <w:rPr>
          <w:lang w:eastAsia="en-US"/>
        </w:rPr>
        <w:t xml:space="preserve">4.2.1 </w:t>
      </w:r>
      <w:r w:rsidRPr="002806D2">
        <w:rPr>
          <w:lang w:eastAsia="en-US"/>
        </w:rPr>
        <w:tab/>
        <w:t xml:space="preserve">If yes, give details ___ </w:t>
      </w:r>
    </w:p>
    <w:p w14:paraId="7F8B3FEA" w14:textId="7182C016" w:rsidR="00A00A4B" w:rsidRPr="002806D2" w:rsidRDefault="00A00A4B" w:rsidP="00A00A4B">
      <w:pPr>
        <w:pStyle w:val="SingleTxtG"/>
        <w:rPr>
          <w:lang w:eastAsia="en-US"/>
        </w:rPr>
      </w:pPr>
      <w:r w:rsidRPr="002806D2">
        <w:rPr>
          <w:lang w:eastAsia="en-US"/>
        </w:rPr>
        <w:t>4.3</w:t>
      </w:r>
      <w:r w:rsidRPr="002806D2">
        <w:rPr>
          <w:lang w:eastAsia="en-US"/>
        </w:rPr>
        <w:tab/>
        <w:t>Is the substance a desensitized explosive? (2.4.2.4</w:t>
      </w:r>
      <w:r w:rsidRPr="00652FB3">
        <w:rPr>
          <w:vertAlign w:val="superscript"/>
          <w:lang w:eastAsia="en-US"/>
        </w:rPr>
        <w:t>1</w:t>
      </w:r>
      <w:r w:rsidRPr="002806D2">
        <w:rPr>
          <w:lang w:eastAsia="en-US"/>
        </w:rPr>
        <w:t xml:space="preserve">) </w:t>
      </w:r>
      <w:r w:rsidRPr="002806D2">
        <w:rPr>
          <w:lang w:eastAsia="en-US"/>
        </w:rPr>
        <w:tab/>
        <w:t>yes/</w:t>
      </w:r>
      <w:r w:rsidRPr="00F508CE">
        <w:rPr>
          <w:u w:val="single"/>
          <w:lang w:eastAsia="en-US"/>
        </w:rPr>
        <w:t>no</w:t>
      </w:r>
    </w:p>
    <w:p w14:paraId="1C1FF017" w14:textId="77777777" w:rsidR="00A00A4B" w:rsidRPr="002806D2" w:rsidRDefault="00A00A4B" w:rsidP="00A00A4B">
      <w:pPr>
        <w:pStyle w:val="SingleTxtG"/>
        <w:rPr>
          <w:lang w:eastAsia="en-US"/>
        </w:rPr>
      </w:pPr>
      <w:r w:rsidRPr="002806D2">
        <w:rPr>
          <w:lang w:eastAsia="en-US"/>
        </w:rPr>
        <w:t xml:space="preserve">4.3.1 </w:t>
      </w:r>
      <w:r w:rsidRPr="002806D2">
        <w:rPr>
          <w:lang w:eastAsia="en-US"/>
        </w:rPr>
        <w:tab/>
        <w:t xml:space="preserve">If yes, give details ___ </w:t>
      </w:r>
    </w:p>
    <w:p w14:paraId="104A7468" w14:textId="40100F6B" w:rsidR="00A00A4B" w:rsidRPr="002806D2" w:rsidRDefault="00A00A4B" w:rsidP="00A00A4B">
      <w:pPr>
        <w:pStyle w:val="SingleTxtG"/>
        <w:rPr>
          <w:lang w:eastAsia="en-US"/>
        </w:rPr>
      </w:pPr>
      <w:r w:rsidRPr="002806D2">
        <w:rPr>
          <w:lang w:eastAsia="en-US"/>
        </w:rPr>
        <w:t>4.4</w:t>
      </w:r>
      <w:r w:rsidRPr="002806D2">
        <w:rPr>
          <w:lang w:eastAsia="en-US"/>
        </w:rPr>
        <w:tab/>
        <w:t>Is the substance a self-reactive substance? (2.4.1</w:t>
      </w:r>
      <w:r w:rsidRPr="00652FB3">
        <w:rPr>
          <w:vertAlign w:val="superscript"/>
          <w:lang w:eastAsia="en-US"/>
        </w:rPr>
        <w:t>1</w:t>
      </w:r>
      <w:r w:rsidRPr="002806D2">
        <w:rPr>
          <w:lang w:eastAsia="en-US"/>
        </w:rPr>
        <w:t xml:space="preserve">) </w:t>
      </w:r>
      <w:r w:rsidRPr="002806D2">
        <w:rPr>
          <w:lang w:eastAsia="en-US"/>
        </w:rPr>
        <w:tab/>
        <w:t>yes/</w:t>
      </w:r>
      <w:r w:rsidRPr="00F508CE">
        <w:rPr>
          <w:u w:val="single"/>
          <w:lang w:eastAsia="en-US"/>
        </w:rPr>
        <w:t>no</w:t>
      </w:r>
    </w:p>
    <w:p w14:paraId="1360694A" w14:textId="77777777" w:rsidR="00A00A4B" w:rsidRPr="002806D2" w:rsidRDefault="00A00A4B" w:rsidP="00A00A4B">
      <w:pPr>
        <w:pStyle w:val="SingleTxtG"/>
        <w:rPr>
          <w:lang w:eastAsia="en-US"/>
        </w:rPr>
      </w:pPr>
      <w:r w:rsidRPr="002806D2">
        <w:rPr>
          <w:lang w:eastAsia="en-US"/>
        </w:rPr>
        <w:t xml:space="preserve">If yes, state: </w:t>
      </w:r>
    </w:p>
    <w:p w14:paraId="74B3F580" w14:textId="77777777" w:rsidR="00A00A4B" w:rsidRPr="002806D2" w:rsidRDefault="00A00A4B" w:rsidP="00A00A4B">
      <w:pPr>
        <w:pStyle w:val="SingleTxtG"/>
        <w:rPr>
          <w:lang w:eastAsia="en-US"/>
        </w:rPr>
      </w:pPr>
      <w:r w:rsidRPr="002806D2">
        <w:rPr>
          <w:lang w:eastAsia="en-US"/>
        </w:rPr>
        <w:t xml:space="preserve">4.4.1 </w:t>
      </w:r>
      <w:r w:rsidRPr="002806D2">
        <w:rPr>
          <w:lang w:eastAsia="en-US"/>
        </w:rPr>
        <w:tab/>
        <w:t xml:space="preserve">exit box of flow chart ___ </w:t>
      </w:r>
    </w:p>
    <w:p w14:paraId="36DE237D" w14:textId="77777777" w:rsidR="00A00A4B" w:rsidRPr="002806D2" w:rsidRDefault="00A00A4B" w:rsidP="00A00A4B">
      <w:pPr>
        <w:pStyle w:val="SingleTxtG"/>
        <w:rPr>
          <w:lang w:eastAsia="en-US"/>
        </w:rPr>
      </w:pPr>
      <w:r w:rsidRPr="002806D2">
        <w:rPr>
          <w:lang w:eastAsia="en-US"/>
        </w:rPr>
        <w:t>What is the self-accelerating decomposition temperature (SADT) for a 50 kg package?  °C</w:t>
      </w:r>
    </w:p>
    <w:p w14:paraId="03045326" w14:textId="7F71BAEC" w:rsidR="00A00A4B" w:rsidRPr="002806D2" w:rsidRDefault="00A00A4B" w:rsidP="00A00A4B">
      <w:pPr>
        <w:pStyle w:val="SingleTxtG"/>
        <w:rPr>
          <w:lang w:eastAsia="en-US"/>
        </w:rPr>
      </w:pPr>
      <w:r w:rsidRPr="002806D2">
        <w:rPr>
          <w:lang w:eastAsia="en-US"/>
        </w:rPr>
        <w:t>Is the temperature control required? (2.4.2.3.4</w:t>
      </w:r>
      <w:r w:rsidRPr="00652FB3">
        <w:rPr>
          <w:vertAlign w:val="superscript"/>
          <w:lang w:eastAsia="en-US"/>
        </w:rPr>
        <w:t>1</w:t>
      </w:r>
      <w:r w:rsidRPr="002806D2">
        <w:rPr>
          <w:lang w:eastAsia="en-US"/>
        </w:rPr>
        <w:t xml:space="preserve">) </w:t>
      </w:r>
      <w:r w:rsidRPr="002806D2">
        <w:rPr>
          <w:lang w:eastAsia="en-US"/>
        </w:rPr>
        <w:tab/>
        <w:t>yes/</w:t>
      </w:r>
      <w:r w:rsidRPr="00F508CE">
        <w:rPr>
          <w:u w:val="single"/>
          <w:lang w:eastAsia="en-US"/>
        </w:rPr>
        <w:t>no</w:t>
      </w:r>
    </w:p>
    <w:p w14:paraId="57F67906" w14:textId="491CF987" w:rsidR="00A00A4B" w:rsidRPr="002806D2" w:rsidRDefault="00A00A4B" w:rsidP="00A00A4B">
      <w:pPr>
        <w:pStyle w:val="SingleTxtG"/>
        <w:rPr>
          <w:lang w:eastAsia="en-US"/>
        </w:rPr>
      </w:pPr>
      <w:r w:rsidRPr="002806D2">
        <w:rPr>
          <w:lang w:eastAsia="en-US"/>
        </w:rPr>
        <w:t xml:space="preserve">4.4.2 </w:t>
      </w:r>
      <w:r w:rsidRPr="002806D2">
        <w:rPr>
          <w:lang w:eastAsia="en-US"/>
        </w:rPr>
        <w:tab/>
        <w:t>proposed control temperature for a 50 kg package ___ °C</w:t>
      </w:r>
    </w:p>
    <w:p w14:paraId="258DB912" w14:textId="779D8B61" w:rsidR="00A00A4B" w:rsidRPr="002806D2" w:rsidRDefault="00A00A4B" w:rsidP="00A00A4B">
      <w:pPr>
        <w:pStyle w:val="SingleTxtG"/>
        <w:rPr>
          <w:lang w:eastAsia="en-US"/>
        </w:rPr>
      </w:pPr>
      <w:r w:rsidRPr="002806D2">
        <w:rPr>
          <w:lang w:eastAsia="en-US"/>
        </w:rPr>
        <w:t xml:space="preserve">4.4.3 </w:t>
      </w:r>
      <w:r w:rsidRPr="002806D2">
        <w:rPr>
          <w:lang w:eastAsia="en-US"/>
        </w:rPr>
        <w:tab/>
        <w:t>proposed emergency temperature for a 50 kg package ___ °C</w:t>
      </w:r>
    </w:p>
    <w:p w14:paraId="4901A282" w14:textId="432C466D" w:rsidR="00A00A4B" w:rsidRPr="002806D2" w:rsidRDefault="00A00A4B" w:rsidP="00A00A4B">
      <w:pPr>
        <w:pStyle w:val="SingleTxtG"/>
        <w:rPr>
          <w:lang w:eastAsia="en-US"/>
        </w:rPr>
      </w:pPr>
      <w:r w:rsidRPr="002806D2">
        <w:rPr>
          <w:lang w:eastAsia="en-US"/>
        </w:rPr>
        <w:t>4.5</w:t>
      </w:r>
      <w:r w:rsidRPr="002806D2">
        <w:rPr>
          <w:lang w:eastAsia="en-US"/>
        </w:rPr>
        <w:tab/>
        <w:t>Is the substance pyrophoric? (2.4.3</w:t>
      </w:r>
      <w:r w:rsidRPr="00877E21">
        <w:rPr>
          <w:vertAlign w:val="superscript"/>
          <w:lang w:eastAsia="en-US"/>
        </w:rPr>
        <w:t>1</w:t>
      </w:r>
      <w:r w:rsidRPr="002806D2">
        <w:rPr>
          <w:lang w:eastAsia="en-US"/>
        </w:rPr>
        <w:t xml:space="preserve">) </w:t>
      </w:r>
      <w:r w:rsidRPr="002806D2">
        <w:rPr>
          <w:lang w:eastAsia="en-US"/>
        </w:rPr>
        <w:tab/>
        <w:t>yes/</w:t>
      </w:r>
      <w:r w:rsidRPr="00A34C8D">
        <w:rPr>
          <w:u w:val="single"/>
          <w:lang w:eastAsia="en-US"/>
        </w:rPr>
        <w:t>no</w:t>
      </w:r>
    </w:p>
    <w:p w14:paraId="5EC42D31" w14:textId="77777777" w:rsidR="00A00A4B" w:rsidRPr="002806D2" w:rsidRDefault="00A00A4B" w:rsidP="00A00A4B">
      <w:pPr>
        <w:pStyle w:val="SingleTxtG"/>
        <w:rPr>
          <w:lang w:eastAsia="en-US"/>
        </w:rPr>
      </w:pPr>
      <w:r w:rsidRPr="002806D2">
        <w:rPr>
          <w:lang w:eastAsia="en-US"/>
        </w:rPr>
        <w:t xml:space="preserve">4.5.1 </w:t>
      </w:r>
      <w:r w:rsidRPr="002806D2">
        <w:rPr>
          <w:lang w:eastAsia="en-US"/>
        </w:rPr>
        <w:tab/>
        <w:t xml:space="preserve">If yes, give details ___ </w:t>
      </w:r>
    </w:p>
    <w:p w14:paraId="27069415" w14:textId="1295FF75" w:rsidR="00A00A4B" w:rsidRPr="002806D2" w:rsidRDefault="00A00A4B" w:rsidP="00A00A4B">
      <w:pPr>
        <w:pStyle w:val="SingleTxtG"/>
        <w:rPr>
          <w:lang w:eastAsia="en-US"/>
        </w:rPr>
      </w:pPr>
      <w:r w:rsidRPr="002806D2">
        <w:rPr>
          <w:lang w:eastAsia="en-US"/>
        </w:rPr>
        <w:lastRenderedPageBreak/>
        <w:t>4.6</w:t>
      </w:r>
      <w:r w:rsidRPr="002806D2">
        <w:rPr>
          <w:lang w:eastAsia="en-US"/>
        </w:rPr>
        <w:tab/>
        <w:t>Is the substance liable to self-heating? (2.4.3</w:t>
      </w:r>
      <w:r w:rsidRPr="00877E21">
        <w:rPr>
          <w:vertAlign w:val="superscript"/>
          <w:lang w:eastAsia="en-US"/>
        </w:rPr>
        <w:t>1</w:t>
      </w:r>
      <w:r w:rsidRPr="002806D2">
        <w:rPr>
          <w:lang w:eastAsia="en-US"/>
        </w:rPr>
        <w:t xml:space="preserve">) </w:t>
      </w:r>
      <w:r w:rsidRPr="002806D2">
        <w:rPr>
          <w:lang w:eastAsia="en-US"/>
        </w:rPr>
        <w:tab/>
      </w:r>
      <w:r w:rsidRPr="002806D2">
        <w:rPr>
          <w:lang w:eastAsia="en-US"/>
        </w:rPr>
        <w:tab/>
        <w:t>yes/</w:t>
      </w:r>
      <w:r w:rsidRPr="00A34C8D">
        <w:rPr>
          <w:u w:val="single"/>
          <w:lang w:eastAsia="en-US"/>
        </w:rPr>
        <w:t>no</w:t>
      </w:r>
    </w:p>
    <w:p w14:paraId="426BB6F5" w14:textId="77777777" w:rsidR="00A00A4B" w:rsidRPr="002806D2" w:rsidRDefault="00A00A4B" w:rsidP="00A00A4B">
      <w:pPr>
        <w:pStyle w:val="SingleTxtG"/>
        <w:rPr>
          <w:lang w:eastAsia="en-US"/>
        </w:rPr>
      </w:pPr>
      <w:r w:rsidRPr="002806D2">
        <w:rPr>
          <w:lang w:eastAsia="en-US"/>
        </w:rPr>
        <w:t xml:space="preserve">4.6.1 </w:t>
      </w:r>
      <w:r w:rsidRPr="002806D2">
        <w:rPr>
          <w:lang w:eastAsia="en-US"/>
        </w:rPr>
        <w:tab/>
        <w:t xml:space="preserve">If yes, give details ___ </w:t>
      </w:r>
    </w:p>
    <w:p w14:paraId="395699DD" w14:textId="567466F4" w:rsidR="00A00A4B" w:rsidRPr="002806D2" w:rsidRDefault="00A00A4B" w:rsidP="00A00A4B">
      <w:pPr>
        <w:pStyle w:val="SingleTxtG"/>
        <w:rPr>
          <w:lang w:eastAsia="en-US"/>
        </w:rPr>
      </w:pPr>
      <w:r w:rsidRPr="002806D2">
        <w:rPr>
          <w:lang w:eastAsia="en-US"/>
        </w:rPr>
        <w:t>4.7</w:t>
      </w:r>
      <w:r w:rsidRPr="002806D2">
        <w:rPr>
          <w:lang w:eastAsia="en-US"/>
        </w:rPr>
        <w:tab/>
        <w:t>Is the substance an organic peroxide (2.5.1</w:t>
      </w:r>
      <w:r w:rsidRPr="00877E21">
        <w:rPr>
          <w:vertAlign w:val="superscript"/>
          <w:lang w:eastAsia="en-US"/>
        </w:rPr>
        <w:t>1</w:t>
      </w:r>
      <w:r w:rsidRPr="002806D2">
        <w:rPr>
          <w:lang w:eastAsia="en-US"/>
        </w:rPr>
        <w:t xml:space="preserve">) </w:t>
      </w:r>
      <w:r w:rsidRPr="002806D2">
        <w:rPr>
          <w:lang w:eastAsia="en-US"/>
        </w:rPr>
        <w:tab/>
      </w:r>
      <w:r w:rsidRPr="002806D2">
        <w:rPr>
          <w:lang w:eastAsia="en-US"/>
        </w:rPr>
        <w:tab/>
        <w:t>yes/</w:t>
      </w:r>
      <w:r w:rsidRPr="00A34C8D">
        <w:rPr>
          <w:u w:val="single"/>
          <w:lang w:eastAsia="en-US"/>
        </w:rPr>
        <w:t>no</w:t>
      </w:r>
    </w:p>
    <w:p w14:paraId="4A598A5A" w14:textId="189CE7C6" w:rsidR="00A00A4B" w:rsidRPr="002806D2" w:rsidRDefault="00A00A4B" w:rsidP="00A00A4B">
      <w:pPr>
        <w:pStyle w:val="SingleTxtG"/>
        <w:rPr>
          <w:lang w:eastAsia="en-US"/>
        </w:rPr>
      </w:pPr>
      <w:r w:rsidRPr="002806D2">
        <w:rPr>
          <w:lang w:eastAsia="en-US"/>
        </w:rPr>
        <w:tab/>
      </w:r>
      <w:r w:rsidRPr="002806D2">
        <w:rPr>
          <w:lang w:eastAsia="en-US"/>
        </w:rPr>
        <w:tab/>
        <w:t>If yes state:</w:t>
      </w:r>
    </w:p>
    <w:p w14:paraId="681D7B14" w14:textId="77777777" w:rsidR="00A00A4B" w:rsidRPr="002806D2" w:rsidRDefault="00A00A4B" w:rsidP="00A00A4B">
      <w:pPr>
        <w:pStyle w:val="SingleTxtG"/>
        <w:rPr>
          <w:lang w:eastAsia="en-US"/>
        </w:rPr>
      </w:pPr>
      <w:r w:rsidRPr="002806D2">
        <w:rPr>
          <w:lang w:eastAsia="en-US"/>
        </w:rPr>
        <w:t xml:space="preserve">4.7.1 </w:t>
      </w:r>
      <w:r w:rsidRPr="002806D2">
        <w:rPr>
          <w:lang w:eastAsia="en-US"/>
        </w:rPr>
        <w:tab/>
        <w:t xml:space="preserve">exit box of flow chart ___ </w:t>
      </w:r>
    </w:p>
    <w:p w14:paraId="4E07AD0B" w14:textId="3D58F432" w:rsidR="00A00A4B" w:rsidRPr="002806D2" w:rsidRDefault="00A00A4B" w:rsidP="00A00A4B">
      <w:pPr>
        <w:pStyle w:val="SingleTxtG"/>
        <w:rPr>
          <w:lang w:eastAsia="en-US"/>
        </w:rPr>
      </w:pPr>
      <w:r w:rsidRPr="002806D2">
        <w:rPr>
          <w:lang w:eastAsia="en-US"/>
        </w:rPr>
        <w:t>What is the self-accelerating decomposition temperature (SADT) for a 50 kg package? ___ °C</w:t>
      </w:r>
    </w:p>
    <w:p w14:paraId="178665BA" w14:textId="7DD5E14D" w:rsidR="00A00A4B" w:rsidRPr="002806D2" w:rsidRDefault="00A00A4B" w:rsidP="00A00A4B">
      <w:pPr>
        <w:pStyle w:val="SingleTxtG"/>
        <w:rPr>
          <w:lang w:eastAsia="en-US"/>
        </w:rPr>
      </w:pPr>
      <w:r w:rsidRPr="002806D2">
        <w:rPr>
          <w:lang w:eastAsia="en-US"/>
        </w:rPr>
        <w:t>Is temperature control required? (2.5.3.4.1</w:t>
      </w:r>
      <w:r w:rsidRPr="00033A5E">
        <w:rPr>
          <w:vertAlign w:val="superscript"/>
          <w:lang w:eastAsia="en-US"/>
        </w:rPr>
        <w:t>1</w:t>
      </w:r>
      <w:r w:rsidRPr="002806D2">
        <w:rPr>
          <w:lang w:eastAsia="en-US"/>
        </w:rPr>
        <w:t xml:space="preserve">) </w:t>
      </w:r>
      <w:r w:rsidRPr="002806D2">
        <w:rPr>
          <w:lang w:eastAsia="en-US"/>
        </w:rPr>
        <w:tab/>
      </w:r>
      <w:r w:rsidRPr="002806D2">
        <w:rPr>
          <w:lang w:eastAsia="en-US"/>
        </w:rPr>
        <w:tab/>
        <w:t>yes/</w:t>
      </w:r>
      <w:r w:rsidRPr="00CC6034">
        <w:rPr>
          <w:u w:val="single"/>
          <w:lang w:eastAsia="en-US"/>
        </w:rPr>
        <w:t>no</w:t>
      </w:r>
    </w:p>
    <w:p w14:paraId="19F9452C" w14:textId="77777777" w:rsidR="00A00A4B" w:rsidRPr="002806D2" w:rsidRDefault="00A00A4B" w:rsidP="00A00A4B">
      <w:pPr>
        <w:pStyle w:val="SingleTxtG"/>
        <w:rPr>
          <w:lang w:eastAsia="en-US"/>
        </w:rPr>
      </w:pPr>
      <w:r w:rsidRPr="002806D2">
        <w:rPr>
          <w:lang w:eastAsia="en-US"/>
        </w:rPr>
        <w:t xml:space="preserve">4.7.2 </w:t>
      </w:r>
      <w:r w:rsidRPr="002806D2">
        <w:rPr>
          <w:lang w:eastAsia="en-US"/>
        </w:rPr>
        <w:tab/>
        <w:t xml:space="preserve">proposed control temperature for a 50 kg package ___ °C </w:t>
      </w:r>
    </w:p>
    <w:p w14:paraId="0ADF7018" w14:textId="77777777" w:rsidR="00A00A4B" w:rsidRPr="002806D2" w:rsidRDefault="00A00A4B" w:rsidP="00A00A4B">
      <w:pPr>
        <w:pStyle w:val="SingleTxtG"/>
        <w:rPr>
          <w:lang w:eastAsia="en-US"/>
        </w:rPr>
      </w:pPr>
      <w:r w:rsidRPr="002806D2">
        <w:rPr>
          <w:lang w:eastAsia="en-US"/>
        </w:rPr>
        <w:t xml:space="preserve">4.7.3 </w:t>
      </w:r>
      <w:r w:rsidRPr="002806D2">
        <w:rPr>
          <w:lang w:eastAsia="en-US"/>
        </w:rPr>
        <w:tab/>
        <w:t xml:space="preserve">proposed emergency temperature for a 50 kg package ___ °C </w:t>
      </w:r>
    </w:p>
    <w:p w14:paraId="38DC0AA8" w14:textId="11314D8C" w:rsidR="00A00A4B" w:rsidRPr="002806D2" w:rsidRDefault="00A00A4B" w:rsidP="00A00A4B">
      <w:pPr>
        <w:pStyle w:val="SingleTxtG"/>
        <w:rPr>
          <w:lang w:eastAsia="en-US"/>
        </w:rPr>
      </w:pPr>
      <w:r w:rsidRPr="002806D2">
        <w:rPr>
          <w:lang w:eastAsia="en-US"/>
        </w:rPr>
        <w:t>4.8</w:t>
      </w:r>
      <w:r w:rsidRPr="002806D2">
        <w:rPr>
          <w:lang w:eastAsia="en-US"/>
        </w:rPr>
        <w:tab/>
        <w:t>Does the substance in contact with water emit flammable gases? (2.4.4</w:t>
      </w:r>
      <w:r w:rsidRPr="00074E6C">
        <w:rPr>
          <w:vertAlign w:val="superscript"/>
          <w:lang w:eastAsia="en-US"/>
        </w:rPr>
        <w:t>1</w:t>
      </w:r>
      <w:r w:rsidRPr="002806D2">
        <w:rPr>
          <w:lang w:eastAsia="en-US"/>
        </w:rPr>
        <w:t xml:space="preserve">) </w:t>
      </w:r>
      <w:r w:rsidRPr="002806D2">
        <w:rPr>
          <w:lang w:eastAsia="en-US"/>
        </w:rPr>
        <w:tab/>
        <w:t>yes/</w:t>
      </w:r>
      <w:r w:rsidRPr="00CC6034">
        <w:rPr>
          <w:u w:val="single"/>
          <w:lang w:eastAsia="en-US"/>
        </w:rPr>
        <w:t>no</w:t>
      </w:r>
    </w:p>
    <w:p w14:paraId="6C91A2E0" w14:textId="77777777" w:rsidR="00A00A4B" w:rsidRPr="002806D2" w:rsidRDefault="00A00A4B" w:rsidP="00A00A4B">
      <w:pPr>
        <w:pStyle w:val="SingleTxtG"/>
        <w:rPr>
          <w:lang w:eastAsia="en-US"/>
        </w:rPr>
      </w:pPr>
      <w:r w:rsidRPr="002806D2">
        <w:rPr>
          <w:lang w:eastAsia="en-US"/>
        </w:rPr>
        <w:t xml:space="preserve">4.8.1 </w:t>
      </w:r>
      <w:r w:rsidRPr="002806D2">
        <w:rPr>
          <w:lang w:eastAsia="en-US"/>
        </w:rPr>
        <w:tab/>
        <w:t xml:space="preserve">If yes, give details ___ </w:t>
      </w:r>
    </w:p>
    <w:p w14:paraId="2A224F08" w14:textId="2B78B007" w:rsidR="00A00A4B" w:rsidRPr="002806D2" w:rsidRDefault="00A00A4B" w:rsidP="00A00A4B">
      <w:pPr>
        <w:pStyle w:val="SingleTxtG"/>
        <w:rPr>
          <w:lang w:eastAsia="en-US"/>
        </w:rPr>
      </w:pPr>
      <w:r w:rsidRPr="002806D2">
        <w:rPr>
          <w:lang w:eastAsia="en-US"/>
        </w:rPr>
        <w:t>4.9</w:t>
      </w:r>
      <w:r w:rsidRPr="002806D2">
        <w:rPr>
          <w:lang w:eastAsia="en-US"/>
        </w:rPr>
        <w:tab/>
        <w:t>Does the substance have oxidizing properties (2.5.1</w:t>
      </w:r>
      <w:r w:rsidRPr="00CC6034">
        <w:rPr>
          <w:vertAlign w:val="superscript"/>
          <w:lang w:eastAsia="en-US"/>
        </w:rPr>
        <w:t>1</w:t>
      </w:r>
      <w:r w:rsidRPr="002806D2">
        <w:rPr>
          <w:lang w:eastAsia="en-US"/>
        </w:rPr>
        <w:t xml:space="preserve">) </w:t>
      </w:r>
      <w:r w:rsidRPr="002806D2">
        <w:rPr>
          <w:lang w:eastAsia="en-US"/>
        </w:rPr>
        <w:tab/>
      </w:r>
      <w:r w:rsidRPr="002806D2">
        <w:rPr>
          <w:lang w:eastAsia="en-US"/>
        </w:rPr>
        <w:tab/>
        <w:t>yes/</w:t>
      </w:r>
      <w:r w:rsidRPr="00CC6034">
        <w:rPr>
          <w:u w:val="single"/>
          <w:lang w:eastAsia="en-US"/>
        </w:rPr>
        <w:t>no</w:t>
      </w:r>
    </w:p>
    <w:p w14:paraId="013EAFDD" w14:textId="77777777" w:rsidR="00A00A4B" w:rsidRPr="002806D2" w:rsidRDefault="00A00A4B" w:rsidP="00A00A4B">
      <w:pPr>
        <w:pStyle w:val="SingleTxtG"/>
        <w:rPr>
          <w:lang w:eastAsia="en-US"/>
        </w:rPr>
      </w:pPr>
      <w:r w:rsidRPr="002806D2">
        <w:rPr>
          <w:lang w:eastAsia="en-US"/>
        </w:rPr>
        <w:t xml:space="preserve">4.9.1 </w:t>
      </w:r>
      <w:r w:rsidRPr="002806D2">
        <w:rPr>
          <w:lang w:eastAsia="en-US"/>
        </w:rPr>
        <w:tab/>
        <w:t xml:space="preserve">If yes, give details ___ </w:t>
      </w:r>
    </w:p>
    <w:p w14:paraId="5CED6F79" w14:textId="5005D0E9" w:rsidR="00A00A4B" w:rsidRPr="002806D2" w:rsidRDefault="00A00A4B" w:rsidP="00A00A4B">
      <w:pPr>
        <w:pStyle w:val="SingleTxtG"/>
        <w:rPr>
          <w:lang w:eastAsia="en-US"/>
        </w:rPr>
      </w:pPr>
      <w:r w:rsidRPr="002806D2">
        <w:rPr>
          <w:lang w:eastAsia="en-US"/>
        </w:rPr>
        <w:t>4.10</w:t>
      </w:r>
      <w:r w:rsidRPr="002806D2">
        <w:rPr>
          <w:lang w:eastAsia="en-US"/>
        </w:rPr>
        <w:tab/>
        <w:t>Corrosivity (2.8</w:t>
      </w:r>
      <w:r w:rsidRPr="00CC6034">
        <w:rPr>
          <w:vertAlign w:val="superscript"/>
          <w:lang w:eastAsia="en-US"/>
        </w:rPr>
        <w:t>1</w:t>
      </w:r>
      <w:r w:rsidRPr="002806D2">
        <w:rPr>
          <w:lang w:eastAsia="en-US"/>
        </w:rPr>
        <w:t>) to:</w:t>
      </w:r>
    </w:p>
    <w:p w14:paraId="1BDA6C06" w14:textId="0A2C68B8" w:rsidR="00A00A4B" w:rsidRPr="002806D2" w:rsidRDefault="00A00A4B" w:rsidP="00A00A4B">
      <w:pPr>
        <w:pStyle w:val="SingleTxtG"/>
        <w:rPr>
          <w:lang w:eastAsia="en-US"/>
        </w:rPr>
      </w:pPr>
      <w:r w:rsidRPr="002806D2">
        <w:rPr>
          <w:lang w:eastAsia="en-US"/>
        </w:rPr>
        <w:t xml:space="preserve">4.10.1 </w:t>
      </w:r>
      <w:r w:rsidRPr="002806D2">
        <w:rPr>
          <w:lang w:eastAsia="en-US"/>
        </w:rPr>
        <w:tab/>
        <w:t>mild steel ___ mm/year at ___ °C</w:t>
      </w:r>
    </w:p>
    <w:p w14:paraId="256ED2CF" w14:textId="64BA07CC" w:rsidR="00A00A4B" w:rsidRPr="002806D2" w:rsidRDefault="00A00A4B" w:rsidP="00A00A4B">
      <w:pPr>
        <w:pStyle w:val="SingleTxtG"/>
        <w:rPr>
          <w:lang w:eastAsia="en-US"/>
        </w:rPr>
      </w:pPr>
      <w:r w:rsidRPr="002806D2">
        <w:rPr>
          <w:lang w:eastAsia="en-US"/>
        </w:rPr>
        <w:t xml:space="preserve">4.10.2 </w:t>
      </w:r>
      <w:r w:rsidRPr="002806D2">
        <w:rPr>
          <w:lang w:eastAsia="en-US"/>
        </w:rPr>
        <w:tab/>
        <w:t>aluminium ___ mm/year at ___ °C</w:t>
      </w:r>
    </w:p>
    <w:p w14:paraId="279A249F" w14:textId="317F41CC" w:rsidR="00A00A4B" w:rsidRPr="002806D2" w:rsidRDefault="00A00A4B" w:rsidP="00A00A4B">
      <w:pPr>
        <w:pStyle w:val="SingleTxtG"/>
        <w:rPr>
          <w:lang w:eastAsia="en-US"/>
        </w:rPr>
      </w:pPr>
      <w:r w:rsidRPr="002806D2">
        <w:rPr>
          <w:lang w:eastAsia="en-US"/>
        </w:rPr>
        <w:t xml:space="preserve">4.10.3 </w:t>
      </w:r>
      <w:r w:rsidRPr="002806D2">
        <w:rPr>
          <w:lang w:eastAsia="en-US"/>
        </w:rPr>
        <w:tab/>
        <w:t>other packaging materials (specify)</w:t>
      </w:r>
    </w:p>
    <w:p w14:paraId="5F7B9DEF" w14:textId="5040FAB7" w:rsidR="00A00A4B" w:rsidRPr="002806D2" w:rsidRDefault="00A00A4B" w:rsidP="00A00A4B">
      <w:pPr>
        <w:pStyle w:val="SingleTxtG"/>
        <w:rPr>
          <w:lang w:eastAsia="en-US"/>
        </w:rPr>
      </w:pPr>
      <w:r w:rsidRPr="002806D2">
        <w:rPr>
          <w:lang w:eastAsia="en-US"/>
        </w:rPr>
        <w:t>___ mm/year at ___ °C</w:t>
      </w:r>
    </w:p>
    <w:p w14:paraId="2466C02E" w14:textId="67DF220F" w:rsidR="00A00A4B" w:rsidRPr="002806D2" w:rsidRDefault="00A00A4B" w:rsidP="00A00A4B">
      <w:pPr>
        <w:pStyle w:val="SingleTxtG"/>
        <w:rPr>
          <w:lang w:eastAsia="en-US"/>
        </w:rPr>
      </w:pPr>
      <w:r w:rsidRPr="002806D2">
        <w:rPr>
          <w:lang w:eastAsia="en-US"/>
        </w:rPr>
        <w:t>___ mm/year at ___ °C</w:t>
      </w:r>
    </w:p>
    <w:p w14:paraId="14E75CD6" w14:textId="779886FB" w:rsidR="00A00A4B" w:rsidRPr="002806D2" w:rsidRDefault="00A00A4B" w:rsidP="00A00A4B">
      <w:pPr>
        <w:pStyle w:val="SingleTxtG"/>
        <w:rPr>
          <w:lang w:eastAsia="en-US"/>
        </w:rPr>
      </w:pPr>
      <w:r w:rsidRPr="002806D2">
        <w:rPr>
          <w:lang w:eastAsia="en-US"/>
        </w:rPr>
        <w:t>4.11</w:t>
      </w:r>
      <w:r w:rsidRPr="002806D2">
        <w:rPr>
          <w:lang w:eastAsia="en-US"/>
        </w:rPr>
        <w:tab/>
        <w:t xml:space="preserve">Other relevant chemical properties ___ </w:t>
      </w:r>
    </w:p>
    <w:p w14:paraId="0AE13318" w14:textId="77777777" w:rsidR="00A00A4B" w:rsidRPr="002806D2" w:rsidRDefault="00A00A4B" w:rsidP="00D65499">
      <w:pPr>
        <w:pStyle w:val="H1G"/>
      </w:pPr>
      <w:r w:rsidRPr="002806D2">
        <w:tab/>
      </w:r>
      <w:r w:rsidRPr="002806D2">
        <w:tab/>
        <w:t xml:space="preserve">Section 5. HARMFUL BIOLOGICAL EFFECTS </w:t>
      </w:r>
    </w:p>
    <w:p w14:paraId="7C71DFC7" w14:textId="0B6EE46F" w:rsidR="00A00A4B" w:rsidRDefault="00A00A4B" w:rsidP="00A00A4B">
      <w:pPr>
        <w:pStyle w:val="SingleTxtG"/>
        <w:rPr>
          <w:lang w:eastAsia="en-US"/>
        </w:rPr>
      </w:pPr>
      <w:r w:rsidRPr="002806D2">
        <w:rPr>
          <w:lang w:eastAsia="en-US"/>
        </w:rPr>
        <w:t>5.1</w:t>
      </w:r>
      <w:r w:rsidRPr="002806D2">
        <w:rPr>
          <w:lang w:eastAsia="en-US"/>
        </w:rPr>
        <w:tab/>
        <w:t>LD</w:t>
      </w:r>
      <w:r w:rsidRPr="00750B54">
        <w:rPr>
          <w:lang w:eastAsia="en-US"/>
        </w:rPr>
        <w:t>50</w:t>
      </w:r>
      <w:r w:rsidRPr="002806D2">
        <w:rPr>
          <w:lang w:eastAsia="en-US"/>
        </w:rPr>
        <w:t>, oral (2.6.2.1.1</w:t>
      </w:r>
      <w:r w:rsidRPr="00750B54">
        <w:rPr>
          <w:vertAlign w:val="superscript"/>
          <w:lang w:eastAsia="en-US"/>
        </w:rPr>
        <w:t>1</w:t>
      </w:r>
      <w:r w:rsidRPr="002806D2">
        <w:rPr>
          <w:lang w:eastAsia="en-US"/>
        </w:rPr>
        <w:t xml:space="preserve">) </w:t>
      </w:r>
      <w:r>
        <w:rPr>
          <w:lang w:eastAsia="en-US"/>
        </w:rPr>
        <w:t>330</w:t>
      </w:r>
      <w:r w:rsidRPr="002806D2">
        <w:rPr>
          <w:lang w:eastAsia="en-US"/>
        </w:rPr>
        <w:t xml:space="preserve"> mg/kg </w:t>
      </w:r>
      <w:proofErr w:type="spellStart"/>
      <w:r w:rsidRPr="002806D2">
        <w:rPr>
          <w:lang w:eastAsia="en-US"/>
        </w:rPr>
        <w:t>bw</w:t>
      </w:r>
      <w:proofErr w:type="spellEnd"/>
      <w:r>
        <w:rPr>
          <w:lang w:eastAsia="en-US"/>
        </w:rPr>
        <w:t xml:space="preserve"> for rats</w:t>
      </w:r>
    </w:p>
    <w:p w14:paraId="37A2E11C" w14:textId="7B795530" w:rsidR="00A00A4B" w:rsidRPr="002806D2" w:rsidRDefault="00A00A4B" w:rsidP="00A00A4B">
      <w:pPr>
        <w:pStyle w:val="SingleTxtG"/>
        <w:rPr>
          <w:lang w:eastAsia="en-US"/>
        </w:rPr>
      </w:pPr>
      <w:r>
        <w:rPr>
          <w:lang w:eastAsia="en-US"/>
        </w:rPr>
        <w:tab/>
      </w:r>
      <w:r>
        <w:rPr>
          <w:lang w:eastAsia="en-US"/>
        </w:rPr>
        <w:tab/>
      </w:r>
      <w:r>
        <w:rPr>
          <w:lang w:eastAsia="en-US"/>
        </w:rPr>
        <w:tab/>
      </w:r>
      <w:r>
        <w:rPr>
          <w:lang w:eastAsia="en-US"/>
        </w:rPr>
        <w:tab/>
      </w:r>
      <w:r>
        <w:rPr>
          <w:lang w:eastAsia="en-US"/>
        </w:rPr>
        <w:tab/>
        <w:t xml:space="preserve">280-365 mg/kg </w:t>
      </w:r>
      <w:proofErr w:type="spellStart"/>
      <w:r>
        <w:rPr>
          <w:lang w:eastAsia="en-US"/>
        </w:rPr>
        <w:t>bw</w:t>
      </w:r>
      <w:proofErr w:type="spellEnd"/>
      <w:r>
        <w:rPr>
          <w:lang w:eastAsia="en-US"/>
        </w:rPr>
        <w:t xml:space="preserve"> for mice</w:t>
      </w:r>
      <w:r w:rsidRPr="002806D2">
        <w:rPr>
          <w:lang w:eastAsia="en-US"/>
        </w:rPr>
        <w:tab/>
      </w:r>
    </w:p>
    <w:p w14:paraId="7EA2C6E9" w14:textId="78C5FFC1" w:rsidR="00A00A4B" w:rsidRPr="002806D2" w:rsidRDefault="00A00A4B" w:rsidP="00A00A4B">
      <w:pPr>
        <w:pStyle w:val="SingleTxtG"/>
        <w:rPr>
          <w:lang w:eastAsia="en-US"/>
        </w:rPr>
      </w:pPr>
      <w:r w:rsidRPr="002806D2">
        <w:rPr>
          <w:lang w:eastAsia="en-US"/>
        </w:rPr>
        <w:tab/>
      </w:r>
      <w:r w:rsidRPr="002806D2">
        <w:rPr>
          <w:lang w:eastAsia="en-US"/>
        </w:rPr>
        <w:tab/>
      </w:r>
      <w:r>
        <w:rPr>
          <w:lang w:eastAsia="en-US"/>
        </w:rPr>
        <w:tab/>
      </w:r>
      <w:r>
        <w:rPr>
          <w:lang w:eastAsia="en-US"/>
        </w:rPr>
        <w:tab/>
      </w:r>
      <w:r>
        <w:rPr>
          <w:lang w:eastAsia="en-US"/>
        </w:rPr>
        <w:tab/>
        <w:t xml:space="preserve">270 mg/kg </w:t>
      </w:r>
      <w:proofErr w:type="spellStart"/>
      <w:r>
        <w:rPr>
          <w:lang w:eastAsia="en-US"/>
        </w:rPr>
        <w:t>bw</w:t>
      </w:r>
      <w:proofErr w:type="spellEnd"/>
      <w:r>
        <w:rPr>
          <w:lang w:eastAsia="en-US"/>
        </w:rPr>
        <w:t xml:space="preserve"> for guinea pigs</w:t>
      </w:r>
    </w:p>
    <w:p w14:paraId="45B5CD62" w14:textId="52C93123" w:rsidR="00A00A4B" w:rsidRPr="002806D2" w:rsidRDefault="00A00A4B" w:rsidP="00A00A4B">
      <w:pPr>
        <w:pStyle w:val="SingleTxtG"/>
        <w:rPr>
          <w:lang w:eastAsia="en-US"/>
        </w:rPr>
      </w:pPr>
      <w:r w:rsidRPr="002806D2">
        <w:rPr>
          <w:lang w:eastAsia="en-US"/>
        </w:rPr>
        <w:t>5.2</w:t>
      </w:r>
      <w:r w:rsidRPr="002806D2">
        <w:rPr>
          <w:lang w:eastAsia="en-US"/>
        </w:rPr>
        <w:tab/>
        <w:t>LD</w:t>
      </w:r>
      <w:r w:rsidRPr="00750B54">
        <w:rPr>
          <w:lang w:eastAsia="en-US"/>
        </w:rPr>
        <w:t>50</w:t>
      </w:r>
      <w:r w:rsidRPr="002806D2">
        <w:rPr>
          <w:lang w:eastAsia="en-US"/>
        </w:rPr>
        <w:t>, dermal (2.6.2.1.2</w:t>
      </w:r>
      <w:r w:rsidRPr="00750B54">
        <w:rPr>
          <w:vertAlign w:val="superscript"/>
          <w:lang w:eastAsia="en-US"/>
        </w:rPr>
        <w:t>1</w:t>
      </w:r>
      <w:r w:rsidRPr="002806D2">
        <w:rPr>
          <w:lang w:eastAsia="en-US"/>
        </w:rPr>
        <w:t>)</w:t>
      </w:r>
      <w:r>
        <w:rPr>
          <w:lang w:eastAsia="en-US"/>
        </w:rPr>
        <w:t xml:space="preserve"> no data available</w:t>
      </w:r>
    </w:p>
    <w:p w14:paraId="6A950270" w14:textId="35CE9F7C" w:rsidR="00A00A4B" w:rsidRDefault="00A00A4B" w:rsidP="00A00A4B">
      <w:pPr>
        <w:pStyle w:val="SingleTxtG"/>
        <w:rPr>
          <w:lang w:eastAsia="en-US"/>
        </w:rPr>
      </w:pPr>
      <w:r w:rsidRPr="002806D2">
        <w:rPr>
          <w:lang w:eastAsia="en-US"/>
        </w:rPr>
        <w:t>5.3</w:t>
      </w:r>
      <w:r w:rsidRPr="002806D2">
        <w:rPr>
          <w:lang w:eastAsia="en-US"/>
        </w:rPr>
        <w:tab/>
        <w:t>LC</w:t>
      </w:r>
      <w:r w:rsidRPr="00750B54">
        <w:rPr>
          <w:lang w:eastAsia="en-US"/>
        </w:rPr>
        <w:t>50</w:t>
      </w:r>
      <w:r w:rsidRPr="002806D2">
        <w:rPr>
          <w:lang w:eastAsia="en-US"/>
        </w:rPr>
        <w:t>, inhalation (2.6.2.1.3</w:t>
      </w:r>
      <w:r w:rsidRPr="00750B54">
        <w:rPr>
          <w:vertAlign w:val="superscript"/>
          <w:lang w:eastAsia="en-US"/>
        </w:rPr>
        <w:t>1</w:t>
      </w:r>
      <w:r w:rsidRPr="002806D2">
        <w:rPr>
          <w:lang w:eastAsia="en-US"/>
        </w:rPr>
        <w:t xml:space="preserve">) </w:t>
      </w:r>
      <w:r>
        <w:rPr>
          <w:lang w:eastAsia="en-US"/>
        </w:rPr>
        <w:t>660 ppm, 4 h, female mice</w:t>
      </w:r>
    </w:p>
    <w:p w14:paraId="718B7AB8" w14:textId="77777777" w:rsidR="00A00A4B" w:rsidRPr="002806D2" w:rsidRDefault="00A00A4B" w:rsidP="00A00A4B">
      <w:pPr>
        <w:pStyle w:val="SingleTxtG"/>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t>1972 ppm, 4 h, male rats</w:t>
      </w:r>
    </w:p>
    <w:p w14:paraId="0EEFE49A" w14:textId="314EC454" w:rsidR="00A00A4B" w:rsidRPr="002806D2" w:rsidRDefault="00A00A4B" w:rsidP="00A00A4B">
      <w:pPr>
        <w:pStyle w:val="SingleTxtG"/>
        <w:rPr>
          <w:lang w:eastAsia="en-US"/>
        </w:rPr>
      </w:pPr>
      <w:r w:rsidRPr="002806D2">
        <w:rPr>
          <w:lang w:eastAsia="en-US"/>
        </w:rPr>
        <w:t>5.4</w:t>
      </w:r>
      <w:r w:rsidRPr="002806D2">
        <w:rPr>
          <w:lang w:eastAsia="en-US"/>
        </w:rPr>
        <w:tab/>
        <w:t>Saturated vapour concentration at 20 °C (2.6.2.2.4.3</w:t>
      </w:r>
      <w:r w:rsidRPr="00750B54">
        <w:rPr>
          <w:vertAlign w:val="superscript"/>
          <w:lang w:eastAsia="en-US"/>
        </w:rPr>
        <w:t>1</w:t>
      </w:r>
      <w:r w:rsidRPr="002806D2">
        <w:rPr>
          <w:lang w:eastAsia="en-US"/>
        </w:rPr>
        <w:t>) ___ ml/m</w:t>
      </w:r>
      <w:r w:rsidRPr="00750B54">
        <w:rPr>
          <w:lang w:eastAsia="en-US"/>
        </w:rPr>
        <w:t>3</w:t>
      </w:r>
    </w:p>
    <w:p w14:paraId="24218FE2" w14:textId="5E95BBB4" w:rsidR="00A00A4B" w:rsidRPr="002806D2" w:rsidRDefault="00A00A4B" w:rsidP="00750B54">
      <w:pPr>
        <w:pStyle w:val="SingleTxtG"/>
        <w:rPr>
          <w:lang w:eastAsia="en-US"/>
        </w:rPr>
      </w:pPr>
      <w:r w:rsidRPr="002806D2">
        <w:rPr>
          <w:lang w:eastAsia="en-US"/>
        </w:rPr>
        <w:t>5.5</w:t>
      </w:r>
      <w:r w:rsidRPr="002806D2">
        <w:rPr>
          <w:lang w:eastAsia="en-US"/>
        </w:rPr>
        <w:tab/>
        <w:t>Skin exposure (2.8</w:t>
      </w:r>
      <w:r w:rsidRPr="00750B54">
        <w:rPr>
          <w:vertAlign w:val="superscript"/>
          <w:lang w:eastAsia="en-US"/>
        </w:rPr>
        <w:t>1</w:t>
      </w:r>
      <w:r w:rsidRPr="002806D2">
        <w:rPr>
          <w:lang w:eastAsia="en-US"/>
        </w:rPr>
        <w:t xml:space="preserve">) </w:t>
      </w:r>
      <w:r>
        <w:rPr>
          <w:lang w:eastAsia="en-US"/>
        </w:rPr>
        <w:t>0</w:t>
      </w:r>
      <w:r w:rsidR="00750B54">
        <w:rPr>
          <w:lang w:eastAsia="en-US"/>
        </w:rPr>
        <w:t>.</w:t>
      </w:r>
      <w:r>
        <w:rPr>
          <w:lang w:eastAsia="en-US"/>
        </w:rPr>
        <w:t>5 ml undiluted ethylene oxide, 4 h exposure, rabbits &gt; subdermal haemorrhages and chemical burns; 10 % and 50 % solutions, under 1 h, rabbits &gt; hyperaemia and oedema</w:t>
      </w:r>
    </w:p>
    <w:p w14:paraId="3699A3D3" w14:textId="372CB1B9" w:rsidR="00A00A4B" w:rsidRPr="002806D2" w:rsidRDefault="00A00A4B" w:rsidP="00A00A4B">
      <w:pPr>
        <w:pStyle w:val="SingleTxtG"/>
        <w:rPr>
          <w:lang w:eastAsia="en-US"/>
        </w:rPr>
      </w:pPr>
      <w:r w:rsidRPr="002806D2">
        <w:rPr>
          <w:lang w:eastAsia="en-US"/>
        </w:rPr>
        <w:t>5.6</w:t>
      </w:r>
      <w:r w:rsidRPr="002806D2">
        <w:rPr>
          <w:lang w:eastAsia="en-US"/>
        </w:rPr>
        <w:tab/>
        <w:t xml:space="preserve">Other data ___ </w:t>
      </w:r>
    </w:p>
    <w:p w14:paraId="3F2E9D82" w14:textId="48AAE165" w:rsidR="00A00A4B" w:rsidRPr="002806D2" w:rsidRDefault="00A00A4B" w:rsidP="00A00A4B">
      <w:pPr>
        <w:pStyle w:val="SingleTxtG"/>
        <w:rPr>
          <w:lang w:eastAsia="en-US"/>
        </w:rPr>
      </w:pPr>
      <w:r w:rsidRPr="002806D2">
        <w:rPr>
          <w:lang w:eastAsia="en-US"/>
        </w:rPr>
        <w:t>5.7</w:t>
      </w:r>
      <w:r w:rsidRPr="002806D2">
        <w:rPr>
          <w:lang w:eastAsia="en-US"/>
        </w:rPr>
        <w:tab/>
        <w:t xml:space="preserve">Human experience ___ </w:t>
      </w:r>
    </w:p>
    <w:p w14:paraId="7A5D657B" w14:textId="77777777" w:rsidR="00A00A4B" w:rsidRPr="002806D2" w:rsidRDefault="00A00A4B" w:rsidP="00D65499">
      <w:pPr>
        <w:pStyle w:val="H1G"/>
      </w:pPr>
      <w:r w:rsidRPr="002806D2">
        <w:tab/>
      </w:r>
      <w:r w:rsidRPr="002806D2">
        <w:tab/>
        <w:t xml:space="preserve">Section 6. SUPPLEMENTARY INFORMATION </w:t>
      </w:r>
    </w:p>
    <w:p w14:paraId="6C0B170B" w14:textId="7155ABFB" w:rsidR="00A00A4B" w:rsidRPr="002806D2" w:rsidRDefault="00A00A4B" w:rsidP="00A00A4B">
      <w:pPr>
        <w:pStyle w:val="SingleTxtG"/>
        <w:rPr>
          <w:lang w:eastAsia="en-US"/>
        </w:rPr>
      </w:pPr>
      <w:r w:rsidRPr="002806D2">
        <w:rPr>
          <w:lang w:eastAsia="en-US"/>
        </w:rPr>
        <w:t>6.1</w:t>
      </w:r>
      <w:r w:rsidRPr="002806D2">
        <w:rPr>
          <w:lang w:eastAsia="en-US"/>
        </w:rPr>
        <w:tab/>
        <w:t>Recommended emergency action</w:t>
      </w:r>
    </w:p>
    <w:p w14:paraId="007FE87A" w14:textId="77777777" w:rsidR="00A00A4B" w:rsidRPr="002806D2" w:rsidRDefault="00A00A4B" w:rsidP="00A00A4B">
      <w:pPr>
        <w:pStyle w:val="SingleTxtG"/>
        <w:rPr>
          <w:lang w:eastAsia="en-US"/>
        </w:rPr>
      </w:pPr>
      <w:r w:rsidRPr="002806D2">
        <w:rPr>
          <w:lang w:eastAsia="en-US"/>
        </w:rPr>
        <w:t xml:space="preserve">6.1.1 </w:t>
      </w:r>
      <w:r w:rsidRPr="002806D2">
        <w:rPr>
          <w:lang w:eastAsia="en-US"/>
        </w:rPr>
        <w:tab/>
        <w:t xml:space="preserve">Fire (include suitable and unsuitable extinguishing agents) ___ </w:t>
      </w:r>
    </w:p>
    <w:p w14:paraId="46063DF4" w14:textId="77777777" w:rsidR="00A00A4B" w:rsidRPr="002806D2" w:rsidRDefault="00A00A4B" w:rsidP="00A00A4B">
      <w:pPr>
        <w:pStyle w:val="SingleTxtG"/>
        <w:rPr>
          <w:lang w:eastAsia="en-US"/>
        </w:rPr>
      </w:pPr>
      <w:r w:rsidRPr="002806D2">
        <w:rPr>
          <w:lang w:eastAsia="en-US"/>
        </w:rPr>
        <w:t xml:space="preserve">6.1.2 </w:t>
      </w:r>
      <w:r w:rsidRPr="002806D2">
        <w:rPr>
          <w:lang w:eastAsia="en-US"/>
        </w:rPr>
        <w:tab/>
        <w:t xml:space="preserve">Spillage ___ </w:t>
      </w:r>
    </w:p>
    <w:p w14:paraId="788384DE" w14:textId="7EB3BC88" w:rsidR="00A00A4B" w:rsidRPr="002806D2" w:rsidRDefault="00A00A4B" w:rsidP="00A00A4B">
      <w:pPr>
        <w:pStyle w:val="SingleTxtG"/>
        <w:rPr>
          <w:lang w:eastAsia="en-US"/>
        </w:rPr>
      </w:pPr>
      <w:r w:rsidRPr="002806D2">
        <w:rPr>
          <w:lang w:eastAsia="en-US"/>
        </w:rPr>
        <w:lastRenderedPageBreak/>
        <w:t>6.2</w:t>
      </w:r>
      <w:r w:rsidRPr="002806D2">
        <w:rPr>
          <w:lang w:eastAsia="en-US"/>
        </w:rPr>
        <w:tab/>
        <w:t>Is it proposed to transport the substance in:</w:t>
      </w:r>
    </w:p>
    <w:p w14:paraId="688D2C09" w14:textId="5054B374" w:rsidR="00A00A4B" w:rsidRPr="002806D2" w:rsidRDefault="00A00A4B" w:rsidP="00A00A4B">
      <w:pPr>
        <w:pStyle w:val="SingleTxtG"/>
        <w:rPr>
          <w:lang w:eastAsia="en-US"/>
        </w:rPr>
      </w:pPr>
      <w:r w:rsidRPr="002806D2">
        <w:rPr>
          <w:lang w:eastAsia="en-US"/>
        </w:rPr>
        <w:t xml:space="preserve">6.2.1 </w:t>
      </w:r>
      <w:r w:rsidRPr="002806D2">
        <w:rPr>
          <w:lang w:eastAsia="en-US"/>
        </w:rPr>
        <w:tab/>
        <w:t>Bulk Containers (6.8</w:t>
      </w:r>
      <w:r w:rsidRPr="00806D0A">
        <w:rPr>
          <w:vertAlign w:val="superscript"/>
          <w:lang w:eastAsia="en-US"/>
        </w:rPr>
        <w:t>1</w:t>
      </w:r>
      <w:r w:rsidRPr="002806D2">
        <w:rPr>
          <w:lang w:eastAsia="en-US"/>
        </w:rPr>
        <w:t xml:space="preserve">) </w:t>
      </w:r>
      <w:r w:rsidRPr="002806D2">
        <w:rPr>
          <w:lang w:eastAsia="en-US"/>
        </w:rPr>
        <w:tab/>
      </w:r>
      <w:r w:rsidRPr="002806D2">
        <w:rPr>
          <w:lang w:eastAsia="en-US"/>
        </w:rPr>
        <w:tab/>
      </w:r>
      <w:r w:rsidRPr="002806D2">
        <w:rPr>
          <w:lang w:eastAsia="en-US"/>
        </w:rPr>
        <w:tab/>
      </w:r>
      <w:r w:rsidRPr="00A93C9B">
        <w:rPr>
          <w:lang w:eastAsia="en-US"/>
        </w:rPr>
        <w:t>yes</w:t>
      </w:r>
      <w:r w:rsidRPr="002806D2">
        <w:rPr>
          <w:lang w:eastAsia="en-US"/>
        </w:rPr>
        <w:t>/</w:t>
      </w:r>
      <w:r w:rsidRPr="00A148B1">
        <w:rPr>
          <w:u w:val="single"/>
          <w:lang w:eastAsia="en-US"/>
        </w:rPr>
        <w:t>no</w:t>
      </w:r>
    </w:p>
    <w:p w14:paraId="0ADF4AFC" w14:textId="5DD01B07" w:rsidR="00A00A4B" w:rsidRPr="002806D2" w:rsidRDefault="00A00A4B" w:rsidP="00A00A4B">
      <w:pPr>
        <w:pStyle w:val="SingleTxtG"/>
        <w:rPr>
          <w:lang w:eastAsia="en-US"/>
        </w:rPr>
      </w:pPr>
      <w:r w:rsidRPr="002806D2">
        <w:rPr>
          <w:lang w:eastAsia="en-US"/>
        </w:rPr>
        <w:t xml:space="preserve">6.2.2 </w:t>
      </w:r>
      <w:r w:rsidRPr="002806D2">
        <w:rPr>
          <w:lang w:eastAsia="en-US"/>
        </w:rPr>
        <w:tab/>
        <w:t>Intermediate Bulk Containers (6.5</w:t>
      </w:r>
      <w:r w:rsidRPr="0020197F">
        <w:rPr>
          <w:vertAlign w:val="superscript"/>
          <w:lang w:eastAsia="en-US"/>
        </w:rPr>
        <w:t>1</w:t>
      </w:r>
      <w:r w:rsidRPr="002806D2">
        <w:rPr>
          <w:lang w:eastAsia="en-US"/>
        </w:rPr>
        <w:t xml:space="preserve">)? </w:t>
      </w:r>
      <w:r w:rsidRPr="002806D2">
        <w:rPr>
          <w:lang w:eastAsia="en-US"/>
        </w:rPr>
        <w:tab/>
      </w:r>
      <w:r w:rsidRPr="00A148B1">
        <w:rPr>
          <w:u w:val="single"/>
          <w:lang w:eastAsia="en-US"/>
        </w:rPr>
        <w:t>yes</w:t>
      </w:r>
      <w:r w:rsidRPr="00BB4D76">
        <w:rPr>
          <w:lang w:eastAsia="en-US"/>
        </w:rPr>
        <w:t>/</w:t>
      </w:r>
      <w:r w:rsidRPr="00A148B1">
        <w:rPr>
          <w:u w:val="single"/>
          <w:lang w:eastAsia="en-US"/>
        </w:rPr>
        <w:t>no</w:t>
      </w:r>
    </w:p>
    <w:p w14:paraId="334C66BC" w14:textId="58A21A19" w:rsidR="00A00A4B" w:rsidRPr="002806D2" w:rsidRDefault="00A00A4B" w:rsidP="00A00A4B">
      <w:pPr>
        <w:pStyle w:val="SingleTxtG"/>
        <w:rPr>
          <w:lang w:eastAsia="en-US"/>
        </w:rPr>
      </w:pPr>
      <w:r w:rsidRPr="002806D2">
        <w:rPr>
          <w:lang w:eastAsia="en-US"/>
        </w:rPr>
        <w:t xml:space="preserve">6.2.3 </w:t>
      </w:r>
      <w:r w:rsidRPr="002806D2">
        <w:rPr>
          <w:lang w:eastAsia="en-US"/>
        </w:rPr>
        <w:tab/>
        <w:t>Portable tanks (6.7</w:t>
      </w:r>
      <w:r w:rsidRPr="00806D0A">
        <w:rPr>
          <w:vertAlign w:val="superscript"/>
          <w:lang w:eastAsia="en-US"/>
        </w:rPr>
        <w:t>1</w:t>
      </w:r>
      <w:r w:rsidRPr="002806D2">
        <w:rPr>
          <w:lang w:eastAsia="en-US"/>
        </w:rPr>
        <w:t xml:space="preserve">)? </w:t>
      </w:r>
      <w:r w:rsidRPr="002806D2">
        <w:rPr>
          <w:lang w:eastAsia="en-US"/>
        </w:rPr>
        <w:tab/>
      </w:r>
      <w:r w:rsidRPr="002806D2">
        <w:rPr>
          <w:lang w:eastAsia="en-US"/>
        </w:rPr>
        <w:tab/>
      </w:r>
      <w:r w:rsidRPr="002806D2">
        <w:rPr>
          <w:lang w:eastAsia="en-US"/>
        </w:rPr>
        <w:tab/>
      </w:r>
      <w:r w:rsidRPr="00F47D80">
        <w:rPr>
          <w:lang w:eastAsia="en-US"/>
        </w:rPr>
        <w:t>yes/</w:t>
      </w:r>
      <w:r w:rsidRPr="00A148B1">
        <w:rPr>
          <w:u w:val="single"/>
          <w:lang w:eastAsia="en-US"/>
        </w:rPr>
        <w:t>no</w:t>
      </w:r>
    </w:p>
    <w:p w14:paraId="150E1530" w14:textId="77777777" w:rsidR="00A00A4B" w:rsidRPr="002806D2" w:rsidRDefault="00A00A4B" w:rsidP="00806D0A">
      <w:pPr>
        <w:pStyle w:val="SingleTxtG"/>
        <w:rPr>
          <w:lang w:eastAsia="en-US"/>
        </w:rPr>
      </w:pPr>
      <w:r w:rsidRPr="002806D2">
        <w:rPr>
          <w:lang w:eastAsia="en-US"/>
        </w:rPr>
        <w:t>If yes, give details in Sections 7, 8 and/or 9.</w:t>
      </w:r>
    </w:p>
    <w:p w14:paraId="7FB6FDD2" w14:textId="753D9B8D" w:rsidR="00A00A4B" w:rsidRPr="00B762C5" w:rsidRDefault="00A00A4B" w:rsidP="00D65499">
      <w:pPr>
        <w:pStyle w:val="H1G"/>
      </w:pPr>
      <w:r w:rsidRPr="002806D2">
        <w:tab/>
      </w:r>
      <w:r w:rsidRPr="002806D2">
        <w:tab/>
        <w:t>Section 7. BULK CONTAINERS (o</w:t>
      </w:r>
      <w:r w:rsidRPr="00B762C5">
        <w:t>nly complete if yes in 6.2.1)</w:t>
      </w:r>
    </w:p>
    <w:p w14:paraId="2A345B20" w14:textId="431CE5AB" w:rsidR="00A00A4B" w:rsidRPr="00B762C5" w:rsidRDefault="00A00A4B" w:rsidP="00A00A4B">
      <w:pPr>
        <w:pStyle w:val="SingleTxtG"/>
        <w:contextualSpacing/>
        <w:rPr>
          <w:lang w:eastAsia="en-US"/>
        </w:rPr>
      </w:pPr>
      <w:r w:rsidRPr="00B762C5">
        <w:rPr>
          <w:lang w:eastAsia="en-US"/>
        </w:rPr>
        <w:t>7.1</w:t>
      </w:r>
      <w:r w:rsidRPr="00B762C5">
        <w:rPr>
          <w:lang w:eastAsia="en-US"/>
        </w:rPr>
        <w:tab/>
        <w:t>Proposed type(s)</w:t>
      </w:r>
    </w:p>
    <w:p w14:paraId="35989B97" w14:textId="46A3A9E9" w:rsidR="00A00A4B" w:rsidRPr="00B762C5" w:rsidRDefault="00A00A4B" w:rsidP="00D65499">
      <w:pPr>
        <w:pStyle w:val="H1G"/>
      </w:pPr>
      <w:r w:rsidRPr="00B762C5">
        <w:tab/>
      </w:r>
      <w:r w:rsidRPr="00B762C5">
        <w:tab/>
        <w:t>Section 8. INTERMEDIATE BULK CONTAINERS (IBCs) (only complete if yes in 6.2.2)</w:t>
      </w:r>
    </w:p>
    <w:p w14:paraId="3A95B5D7" w14:textId="7BAA899A" w:rsidR="00A00A4B" w:rsidRPr="00B762C5" w:rsidRDefault="00A00A4B" w:rsidP="00A00A4B">
      <w:pPr>
        <w:pStyle w:val="SingleTxtG"/>
        <w:contextualSpacing/>
        <w:rPr>
          <w:lang w:eastAsia="en-US"/>
        </w:rPr>
      </w:pPr>
      <w:r w:rsidRPr="00B762C5">
        <w:rPr>
          <w:lang w:eastAsia="en-US"/>
        </w:rPr>
        <w:t>8.1</w:t>
      </w:r>
      <w:r w:rsidRPr="00B762C5">
        <w:rPr>
          <w:lang w:eastAsia="en-US"/>
        </w:rPr>
        <w:tab/>
        <w:t>Proposed type(s)</w:t>
      </w:r>
    </w:p>
    <w:p w14:paraId="1C6DC59C" w14:textId="0FBA32DA" w:rsidR="00A00A4B" w:rsidRPr="00B762C5" w:rsidRDefault="00A00A4B" w:rsidP="00D65499">
      <w:pPr>
        <w:pStyle w:val="H1G"/>
      </w:pPr>
      <w:r w:rsidRPr="00B762C5">
        <w:tab/>
      </w:r>
      <w:r w:rsidRPr="00B762C5">
        <w:tab/>
        <w:t>Section 9. MULTIMODAL TANK TRANSPORT (only complete if yes in 6.2.3)</w:t>
      </w:r>
    </w:p>
    <w:p w14:paraId="3A42B69B" w14:textId="066D385F" w:rsidR="00A00A4B" w:rsidRPr="00B762C5" w:rsidRDefault="00A00A4B" w:rsidP="00A00A4B">
      <w:pPr>
        <w:pStyle w:val="SingleTxtG"/>
        <w:rPr>
          <w:lang w:eastAsia="en-US"/>
        </w:rPr>
      </w:pPr>
      <w:r w:rsidRPr="00B762C5">
        <w:rPr>
          <w:lang w:eastAsia="en-US"/>
        </w:rPr>
        <w:t>9.1</w:t>
      </w:r>
      <w:r w:rsidRPr="00B762C5">
        <w:rPr>
          <w:lang w:eastAsia="en-US"/>
        </w:rPr>
        <w:tab/>
        <w:t>Description of proposed tank (including IMO tank type if known)</w:t>
      </w:r>
    </w:p>
    <w:p w14:paraId="2C643658" w14:textId="4C1D7309" w:rsidR="00A00A4B" w:rsidRPr="00B762C5" w:rsidRDefault="00A00A4B" w:rsidP="00A00A4B">
      <w:pPr>
        <w:pStyle w:val="SingleTxtG"/>
        <w:rPr>
          <w:lang w:eastAsia="en-US"/>
        </w:rPr>
      </w:pPr>
      <w:r w:rsidRPr="00B762C5">
        <w:rPr>
          <w:lang w:eastAsia="en-US"/>
        </w:rPr>
        <w:t>9.2</w:t>
      </w:r>
      <w:r w:rsidRPr="00B762C5">
        <w:rPr>
          <w:lang w:eastAsia="en-US"/>
        </w:rPr>
        <w:tab/>
        <w:t xml:space="preserve">Minimum test pressure ___ </w:t>
      </w:r>
    </w:p>
    <w:p w14:paraId="1B85A63D" w14:textId="20D2F0E5" w:rsidR="00A00A4B" w:rsidRPr="00B762C5" w:rsidRDefault="00A00A4B" w:rsidP="00A00A4B">
      <w:pPr>
        <w:pStyle w:val="SingleTxtG"/>
        <w:rPr>
          <w:lang w:eastAsia="en-US"/>
        </w:rPr>
      </w:pPr>
      <w:r w:rsidRPr="00B762C5">
        <w:rPr>
          <w:lang w:eastAsia="en-US"/>
        </w:rPr>
        <w:t>9.3</w:t>
      </w:r>
      <w:r w:rsidRPr="00B762C5">
        <w:rPr>
          <w:lang w:eastAsia="en-US"/>
        </w:rPr>
        <w:tab/>
        <w:t xml:space="preserve">Minimum shell thickness ___ </w:t>
      </w:r>
    </w:p>
    <w:p w14:paraId="71472496" w14:textId="577045C0" w:rsidR="00A00A4B" w:rsidRPr="00B762C5" w:rsidRDefault="00A00A4B" w:rsidP="00A00A4B">
      <w:pPr>
        <w:pStyle w:val="SingleTxtG"/>
        <w:rPr>
          <w:lang w:eastAsia="en-US"/>
        </w:rPr>
      </w:pPr>
      <w:r w:rsidRPr="00B762C5">
        <w:rPr>
          <w:lang w:eastAsia="en-US"/>
        </w:rPr>
        <w:t>9.4</w:t>
      </w:r>
      <w:r w:rsidRPr="00B762C5">
        <w:rPr>
          <w:lang w:eastAsia="en-US"/>
        </w:rPr>
        <w:tab/>
        <w:t xml:space="preserve">Details of bottom openings, if any ___ </w:t>
      </w:r>
    </w:p>
    <w:p w14:paraId="515371B2" w14:textId="0930B84F" w:rsidR="00A00A4B" w:rsidRPr="00B762C5" w:rsidRDefault="00A00A4B" w:rsidP="00A00A4B">
      <w:pPr>
        <w:pStyle w:val="SingleTxtG"/>
        <w:rPr>
          <w:lang w:eastAsia="en-US"/>
        </w:rPr>
      </w:pPr>
      <w:r w:rsidRPr="00B762C5">
        <w:rPr>
          <w:lang w:eastAsia="en-US"/>
        </w:rPr>
        <w:t>9.5</w:t>
      </w:r>
      <w:r w:rsidRPr="00B762C5">
        <w:rPr>
          <w:lang w:eastAsia="en-US"/>
        </w:rPr>
        <w:tab/>
        <w:t xml:space="preserve">Pressure relief arrangements ___ </w:t>
      </w:r>
    </w:p>
    <w:p w14:paraId="093DA664" w14:textId="2D1B7535" w:rsidR="00A00A4B" w:rsidRPr="00B762C5" w:rsidRDefault="00A00A4B" w:rsidP="00A00A4B">
      <w:pPr>
        <w:pStyle w:val="SingleTxtG"/>
        <w:rPr>
          <w:lang w:eastAsia="en-US"/>
        </w:rPr>
      </w:pPr>
      <w:r w:rsidRPr="00B762C5">
        <w:rPr>
          <w:lang w:eastAsia="en-US"/>
        </w:rPr>
        <w:t>9.6</w:t>
      </w:r>
      <w:r w:rsidRPr="00B762C5">
        <w:rPr>
          <w:lang w:eastAsia="en-US"/>
        </w:rPr>
        <w:tab/>
        <w:t xml:space="preserve">Degree of filling ___ </w:t>
      </w:r>
    </w:p>
    <w:p w14:paraId="1D24ECF3" w14:textId="116C492D" w:rsidR="00A00A4B" w:rsidRDefault="00A00A4B" w:rsidP="00A00A4B">
      <w:pPr>
        <w:pStyle w:val="SingleTxtG"/>
        <w:rPr>
          <w:lang w:eastAsia="en-US"/>
        </w:rPr>
      </w:pPr>
      <w:r w:rsidRPr="00B762C5">
        <w:rPr>
          <w:lang w:eastAsia="en-US"/>
        </w:rPr>
        <w:t>9.7</w:t>
      </w:r>
      <w:r w:rsidRPr="00B762C5">
        <w:rPr>
          <w:lang w:eastAsia="en-US"/>
        </w:rPr>
        <w:tab/>
        <w:t xml:space="preserve">Unsuitable construction materials ___ </w:t>
      </w:r>
    </w:p>
    <w:p w14:paraId="76203BD6" w14:textId="65E20C9B" w:rsidR="00B157E2" w:rsidRDefault="00B157E2" w:rsidP="005C7563">
      <w:pPr>
        <w:spacing w:before="240"/>
        <w:jc w:val="center"/>
      </w:pPr>
      <w:r>
        <w:rPr>
          <w:u w:val="single"/>
        </w:rPr>
        <w:tab/>
      </w:r>
      <w:r>
        <w:rPr>
          <w:u w:val="single"/>
        </w:rPr>
        <w:tab/>
      </w:r>
      <w:r>
        <w:rPr>
          <w:u w:val="single"/>
        </w:rPr>
        <w:tab/>
      </w:r>
    </w:p>
    <w:sectPr w:rsidR="00B157E2" w:rsidSect="00474D27">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15FA" w14:textId="77777777" w:rsidR="0025292A" w:rsidRPr="00C47B2E" w:rsidRDefault="0025292A" w:rsidP="00C47B2E">
      <w:pPr>
        <w:pStyle w:val="Footer"/>
      </w:pPr>
    </w:p>
  </w:endnote>
  <w:endnote w:type="continuationSeparator" w:id="0">
    <w:p w14:paraId="68DA7D13" w14:textId="77777777" w:rsidR="0025292A" w:rsidRPr="00C47B2E" w:rsidRDefault="0025292A" w:rsidP="00C47B2E">
      <w:pPr>
        <w:pStyle w:val="Footer"/>
      </w:pPr>
    </w:p>
  </w:endnote>
  <w:endnote w:type="continuationNotice" w:id="1">
    <w:p w14:paraId="2AD3060A" w14:textId="77777777" w:rsidR="0025292A" w:rsidRPr="00C47B2E" w:rsidRDefault="0025292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775" w14:textId="6CF07199" w:rsidR="00D94B05" w:rsidRPr="00474D27" w:rsidRDefault="00474D27" w:rsidP="00474D27">
    <w:pPr>
      <w:pStyle w:val="Footer"/>
      <w:tabs>
        <w:tab w:val="right" w:pos="9598"/>
        <w:tab w:val="right" w:pos="9638"/>
      </w:tabs>
      <w:rPr>
        <w:sz w:val="18"/>
      </w:rPr>
    </w:pPr>
    <w:r w:rsidRPr="00474D27">
      <w:rPr>
        <w:b/>
        <w:sz w:val="18"/>
      </w:rPr>
      <w:fldChar w:fldCharType="begin"/>
    </w:r>
    <w:r w:rsidRPr="00474D27">
      <w:rPr>
        <w:b/>
        <w:sz w:val="18"/>
      </w:rPr>
      <w:instrText xml:space="preserve"> PAGE  \* MERGEFORMAT </w:instrText>
    </w:r>
    <w:r w:rsidRPr="00474D27">
      <w:rPr>
        <w:b/>
        <w:sz w:val="18"/>
      </w:rPr>
      <w:fldChar w:fldCharType="separate"/>
    </w:r>
    <w:r w:rsidRPr="00474D27">
      <w:rPr>
        <w:b/>
        <w:noProof/>
        <w:sz w:val="18"/>
      </w:rPr>
      <w:t>2</w:t>
    </w:r>
    <w:r w:rsidRPr="00474D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3BC8" w14:textId="4E31C4E5" w:rsidR="00D94B05" w:rsidRPr="00474D27" w:rsidRDefault="00474D27" w:rsidP="005C7563">
    <w:pPr>
      <w:pStyle w:val="Footer"/>
      <w:tabs>
        <w:tab w:val="right" w:pos="9598"/>
        <w:tab w:val="right" w:pos="9638"/>
      </w:tabs>
      <w:rPr>
        <w:sz w:val="18"/>
      </w:rPr>
    </w:pPr>
    <w:r>
      <w:rPr>
        <w:b/>
        <w:sz w:val="18"/>
      </w:rPr>
      <w:tab/>
    </w:r>
    <w:r w:rsidR="005C7563" w:rsidRPr="00474D27">
      <w:rPr>
        <w:b/>
        <w:sz w:val="18"/>
      </w:rPr>
      <w:fldChar w:fldCharType="begin"/>
    </w:r>
    <w:r w:rsidR="005C7563" w:rsidRPr="00474D27">
      <w:rPr>
        <w:b/>
        <w:sz w:val="18"/>
      </w:rPr>
      <w:instrText xml:space="preserve"> PAGE  \* MERGEFORMAT </w:instrText>
    </w:r>
    <w:r w:rsidR="005C7563" w:rsidRPr="00474D27">
      <w:rPr>
        <w:b/>
        <w:sz w:val="18"/>
      </w:rPr>
      <w:fldChar w:fldCharType="separate"/>
    </w:r>
    <w:r w:rsidR="005C7563">
      <w:rPr>
        <w:b/>
        <w:sz w:val="18"/>
      </w:rPr>
      <w:t>6</w:t>
    </w:r>
    <w:r w:rsidR="005C7563" w:rsidRPr="00474D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4115" w14:textId="15ADB890" w:rsidR="00D94B05" w:rsidRDefault="000D77CF" w:rsidP="000D77CF">
    <w:pPr>
      <w:pStyle w:val="Footer"/>
      <w:rPr>
        <w:rFonts w:asciiTheme="majorBidi" w:hAnsiTheme="majorBidi" w:cstheme="majorBidi"/>
        <w:sz w:val="20"/>
      </w:rPr>
    </w:pPr>
    <w:r w:rsidRPr="000D77CF">
      <w:rPr>
        <w:rFonts w:asciiTheme="majorBidi" w:hAnsiTheme="majorBidi" w:cstheme="majorBidi"/>
        <w:noProof/>
        <w:sz w:val="20"/>
        <w:lang w:val="en-US"/>
      </w:rPr>
      <w:drawing>
        <wp:anchor distT="0" distB="0" distL="114300" distR="114300" simplePos="0" relativeHeight="251661312" behindDoc="0" locked="1" layoutInCell="1" allowOverlap="1" wp14:anchorId="269FBFCE" wp14:editId="598E14E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28C68C" w14:textId="425579D7" w:rsidR="000D77CF" w:rsidRPr="000D77CF" w:rsidRDefault="000D77CF" w:rsidP="000D77CF">
    <w:pPr>
      <w:pStyle w:val="Footer"/>
      <w:kinsoku/>
      <w:overflowPunct/>
      <w:autoSpaceDE/>
      <w:autoSpaceDN/>
      <w:adjustRightInd/>
      <w:ind w:right="1134"/>
      <w:rPr>
        <w:rFonts w:asciiTheme="majorBidi" w:hAnsiTheme="majorBidi" w:cstheme="majorBidi"/>
        <w:sz w:val="20"/>
      </w:rPr>
    </w:pPr>
    <w:r>
      <w:rPr>
        <w:rFonts w:asciiTheme="majorBidi" w:hAnsiTheme="majorBidi" w:cstheme="majorBidi"/>
        <w:sz w:val="20"/>
      </w:rPr>
      <w:t>GE.23-06584(E)</w:t>
    </w:r>
    <w:r>
      <w:rPr>
        <w:rFonts w:asciiTheme="majorBidi" w:hAnsiTheme="majorBidi" w:cstheme="majorBidi"/>
        <w:noProof/>
        <w:sz w:val="20"/>
      </w:rPr>
      <w:drawing>
        <wp:anchor distT="0" distB="0" distL="114300" distR="114300" simplePos="0" relativeHeight="251662336" behindDoc="0" locked="0" layoutInCell="1" allowOverlap="1" wp14:anchorId="29433A4B" wp14:editId="64378760">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7BAE" w14:textId="77777777" w:rsidR="0025292A" w:rsidRPr="00C47B2E" w:rsidRDefault="0025292A" w:rsidP="00C47B2E">
      <w:pPr>
        <w:tabs>
          <w:tab w:val="right" w:pos="2155"/>
        </w:tabs>
        <w:spacing w:after="80" w:line="240" w:lineRule="auto"/>
        <w:ind w:left="680"/>
      </w:pPr>
      <w:r>
        <w:rPr>
          <w:u w:val="single"/>
        </w:rPr>
        <w:tab/>
      </w:r>
    </w:p>
  </w:footnote>
  <w:footnote w:type="continuationSeparator" w:id="0">
    <w:p w14:paraId="24D28C74" w14:textId="77777777" w:rsidR="0025292A" w:rsidRPr="00C47B2E" w:rsidRDefault="0025292A" w:rsidP="005E716E">
      <w:pPr>
        <w:tabs>
          <w:tab w:val="right" w:pos="2155"/>
        </w:tabs>
        <w:spacing w:after="80" w:line="240" w:lineRule="auto"/>
        <w:ind w:left="680"/>
      </w:pPr>
      <w:r>
        <w:rPr>
          <w:u w:val="single"/>
        </w:rPr>
        <w:tab/>
      </w:r>
    </w:p>
  </w:footnote>
  <w:footnote w:type="continuationNotice" w:id="1">
    <w:p w14:paraId="3DA4EBFF" w14:textId="77777777" w:rsidR="0025292A" w:rsidRPr="00C47B2E" w:rsidRDefault="0025292A" w:rsidP="00C47B2E">
      <w:pPr>
        <w:pStyle w:val="Footer"/>
      </w:pPr>
    </w:p>
  </w:footnote>
  <w:footnote w:id="2">
    <w:p w14:paraId="3D016CE1" w14:textId="775915C9" w:rsidR="00043167" w:rsidRPr="00537719" w:rsidRDefault="00043167" w:rsidP="00537719">
      <w:pPr>
        <w:pStyle w:val="FootnoteText"/>
        <w:ind w:firstLine="0"/>
        <w:rPr>
          <w:lang w:val="fr-CH"/>
        </w:rPr>
      </w:pPr>
      <w:r>
        <w:rPr>
          <w:rStyle w:val="FootnoteReference"/>
        </w:rPr>
        <w:footnoteRef/>
      </w:r>
      <w:r>
        <w:t xml:space="preserve"> </w:t>
      </w:r>
      <w:r w:rsidR="00537719" w:rsidRPr="00537719">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AFB9" w14:textId="44F6CD2B" w:rsidR="00474D27" w:rsidRPr="00F42AED" w:rsidRDefault="00F42AED">
    <w:pPr>
      <w:pStyle w:val="Header"/>
      <w:rPr>
        <w:lang w:val="fr-CH"/>
      </w:rPr>
    </w:pPr>
    <w:r>
      <w:rPr>
        <w:lang w:val="fr-CH"/>
      </w:rPr>
      <w:t>ST/SG/AC.10/C.3/2023/</w:t>
    </w:r>
    <w:r w:rsidR="00104559">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4C95" w14:textId="369AE3C0" w:rsidR="00D94B05" w:rsidRPr="00474D27" w:rsidRDefault="00DB2E37" w:rsidP="00474D27">
    <w:pPr>
      <w:pStyle w:val="Header"/>
      <w:jc w:val="right"/>
    </w:pPr>
    <w:r>
      <w:fldChar w:fldCharType="begin"/>
    </w:r>
    <w:r>
      <w:instrText xml:space="preserve"> TITLE  \* MERGEFORMAT </w:instrText>
    </w:r>
    <w:r>
      <w:fldChar w:fldCharType="separate"/>
    </w:r>
    <w:r w:rsidR="00474D27">
      <w:t>ST/SG/AC.10/C.3/2023/</w:t>
    </w:r>
    <w:r w:rsidR="00104559">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76A7" w14:textId="77777777" w:rsidR="00B157E2" w:rsidRDefault="00B157E2" w:rsidP="00213FD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7050D7"/>
    <w:multiLevelType w:val="hybridMultilevel"/>
    <w:tmpl w:val="08DE7C6A"/>
    <w:lvl w:ilvl="0" w:tplc="BB3EE580">
      <w:start w:val="1"/>
      <w:numFmt w:val="decimal"/>
      <w:lvlText w:val="%1."/>
      <w:lvlJc w:val="left"/>
      <w:pPr>
        <w:tabs>
          <w:tab w:val="num" w:pos="2257"/>
        </w:tabs>
        <w:ind w:left="2257" w:hanging="555"/>
      </w:pPr>
    </w:lvl>
    <w:lvl w:ilvl="1" w:tplc="0809000F">
      <w:start w:val="1"/>
      <w:numFmt w:val="decimal"/>
      <w:lvlText w:val="%2."/>
      <w:lvlJc w:val="left"/>
      <w:pPr>
        <w:tabs>
          <w:tab w:val="num" w:pos="2214"/>
        </w:tabs>
        <w:ind w:left="2214" w:hanging="36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5" w15:restartNumberingAfterBreak="0">
    <w:nsid w:val="1A1A1A36"/>
    <w:multiLevelType w:val="hybridMultilevel"/>
    <w:tmpl w:val="7B5886AE"/>
    <w:lvl w:ilvl="0" w:tplc="B2889A1A">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 w15:restartNumberingAfterBreak="0">
    <w:nsid w:val="1BE72468"/>
    <w:multiLevelType w:val="hybridMultilevel"/>
    <w:tmpl w:val="F77E5E72"/>
    <w:lvl w:ilvl="0" w:tplc="52501996">
      <w:numFmt w:val="bullet"/>
      <w:lvlText w:val="-"/>
      <w:lvlJc w:val="left"/>
      <w:pPr>
        <w:ind w:left="2064" w:hanging="360"/>
      </w:pPr>
      <w:rPr>
        <w:rFonts w:ascii="Times New Roman" w:eastAsia="SimSun" w:hAnsi="Times New Roman" w:cs="Times New Roman" w:hint="default"/>
      </w:rPr>
    </w:lvl>
    <w:lvl w:ilvl="1" w:tplc="04070003" w:tentative="1">
      <w:start w:val="1"/>
      <w:numFmt w:val="bullet"/>
      <w:lvlText w:val="o"/>
      <w:lvlJc w:val="left"/>
      <w:pPr>
        <w:ind w:left="2784" w:hanging="360"/>
      </w:pPr>
      <w:rPr>
        <w:rFonts w:ascii="Courier New" w:hAnsi="Courier New" w:cs="Courier New" w:hint="default"/>
      </w:rPr>
    </w:lvl>
    <w:lvl w:ilvl="2" w:tplc="04070005" w:tentative="1">
      <w:start w:val="1"/>
      <w:numFmt w:val="bullet"/>
      <w:lvlText w:val=""/>
      <w:lvlJc w:val="left"/>
      <w:pPr>
        <w:ind w:left="3504" w:hanging="360"/>
      </w:pPr>
      <w:rPr>
        <w:rFonts w:ascii="Wingdings" w:hAnsi="Wingdings" w:hint="default"/>
      </w:rPr>
    </w:lvl>
    <w:lvl w:ilvl="3" w:tplc="04070001" w:tentative="1">
      <w:start w:val="1"/>
      <w:numFmt w:val="bullet"/>
      <w:lvlText w:val=""/>
      <w:lvlJc w:val="left"/>
      <w:pPr>
        <w:ind w:left="4224" w:hanging="360"/>
      </w:pPr>
      <w:rPr>
        <w:rFonts w:ascii="Symbol" w:hAnsi="Symbol" w:hint="default"/>
      </w:rPr>
    </w:lvl>
    <w:lvl w:ilvl="4" w:tplc="04070003" w:tentative="1">
      <w:start w:val="1"/>
      <w:numFmt w:val="bullet"/>
      <w:lvlText w:val="o"/>
      <w:lvlJc w:val="left"/>
      <w:pPr>
        <w:ind w:left="4944" w:hanging="360"/>
      </w:pPr>
      <w:rPr>
        <w:rFonts w:ascii="Courier New" w:hAnsi="Courier New" w:cs="Courier New" w:hint="default"/>
      </w:rPr>
    </w:lvl>
    <w:lvl w:ilvl="5" w:tplc="04070005" w:tentative="1">
      <w:start w:val="1"/>
      <w:numFmt w:val="bullet"/>
      <w:lvlText w:val=""/>
      <w:lvlJc w:val="left"/>
      <w:pPr>
        <w:ind w:left="5664" w:hanging="360"/>
      </w:pPr>
      <w:rPr>
        <w:rFonts w:ascii="Wingdings" w:hAnsi="Wingdings" w:hint="default"/>
      </w:rPr>
    </w:lvl>
    <w:lvl w:ilvl="6" w:tplc="04070001" w:tentative="1">
      <w:start w:val="1"/>
      <w:numFmt w:val="bullet"/>
      <w:lvlText w:val=""/>
      <w:lvlJc w:val="left"/>
      <w:pPr>
        <w:ind w:left="6384" w:hanging="360"/>
      </w:pPr>
      <w:rPr>
        <w:rFonts w:ascii="Symbol" w:hAnsi="Symbol" w:hint="default"/>
      </w:rPr>
    </w:lvl>
    <w:lvl w:ilvl="7" w:tplc="04070003" w:tentative="1">
      <w:start w:val="1"/>
      <w:numFmt w:val="bullet"/>
      <w:lvlText w:val="o"/>
      <w:lvlJc w:val="left"/>
      <w:pPr>
        <w:ind w:left="7104" w:hanging="360"/>
      </w:pPr>
      <w:rPr>
        <w:rFonts w:ascii="Courier New" w:hAnsi="Courier New" w:cs="Courier New" w:hint="default"/>
      </w:rPr>
    </w:lvl>
    <w:lvl w:ilvl="8" w:tplc="04070005" w:tentative="1">
      <w:start w:val="1"/>
      <w:numFmt w:val="bullet"/>
      <w:lvlText w:val=""/>
      <w:lvlJc w:val="left"/>
      <w:pPr>
        <w:ind w:left="7824"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E5C4B"/>
    <w:multiLevelType w:val="hybridMultilevel"/>
    <w:tmpl w:val="5F9EBCE4"/>
    <w:lvl w:ilvl="0" w:tplc="AA4A4E3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2364023">
    <w:abstractNumId w:val="9"/>
  </w:num>
  <w:num w:numId="2" w16cid:durableId="2127582402">
    <w:abstractNumId w:val="7"/>
  </w:num>
  <w:num w:numId="3" w16cid:durableId="1699889314">
    <w:abstractNumId w:val="0"/>
  </w:num>
  <w:num w:numId="4" w16cid:durableId="27687559">
    <w:abstractNumId w:val="10"/>
  </w:num>
  <w:num w:numId="5" w16cid:durableId="1327707316">
    <w:abstractNumId w:val="11"/>
  </w:num>
  <w:num w:numId="6" w16cid:durableId="1784419432">
    <w:abstractNumId w:val="13"/>
  </w:num>
  <w:num w:numId="7" w16cid:durableId="916673398">
    <w:abstractNumId w:val="3"/>
  </w:num>
  <w:num w:numId="8" w16cid:durableId="46883055">
    <w:abstractNumId w:val="1"/>
  </w:num>
  <w:num w:numId="9" w16cid:durableId="1199901246">
    <w:abstractNumId w:val="12"/>
  </w:num>
  <w:num w:numId="10" w16cid:durableId="734858586">
    <w:abstractNumId w:val="1"/>
  </w:num>
  <w:num w:numId="11" w16cid:durableId="854417570">
    <w:abstractNumId w:val="12"/>
  </w:num>
  <w:num w:numId="12" w16cid:durableId="1454666748">
    <w:abstractNumId w:val="2"/>
  </w:num>
  <w:num w:numId="13" w16cid:durableId="273634392">
    <w:abstractNumId w:val="2"/>
  </w:num>
  <w:num w:numId="14" w16cid:durableId="4095410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1683419">
    <w:abstractNumId w:val="8"/>
  </w:num>
  <w:num w:numId="16" w16cid:durableId="344207308">
    <w:abstractNumId w:val="6"/>
  </w:num>
  <w:num w:numId="17" w16cid:durableId="1911043208">
    <w:abstractNumId w:val="4"/>
  </w:num>
  <w:num w:numId="18" w16cid:durableId="1424648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27"/>
    <w:rsid w:val="00014935"/>
    <w:rsid w:val="0002191D"/>
    <w:rsid w:val="00033A5E"/>
    <w:rsid w:val="00043167"/>
    <w:rsid w:val="00046E92"/>
    <w:rsid w:val="00063C90"/>
    <w:rsid w:val="000716C0"/>
    <w:rsid w:val="00074E6C"/>
    <w:rsid w:val="000A543E"/>
    <w:rsid w:val="000B03BE"/>
    <w:rsid w:val="000C5AD2"/>
    <w:rsid w:val="000D77CF"/>
    <w:rsid w:val="000D7D5C"/>
    <w:rsid w:val="000F52F8"/>
    <w:rsid w:val="00101B98"/>
    <w:rsid w:val="00104559"/>
    <w:rsid w:val="00120C2A"/>
    <w:rsid w:val="00146B5F"/>
    <w:rsid w:val="001514D1"/>
    <w:rsid w:val="00182158"/>
    <w:rsid w:val="00187149"/>
    <w:rsid w:val="0018724B"/>
    <w:rsid w:val="001B40F8"/>
    <w:rsid w:val="001C3551"/>
    <w:rsid w:val="001D25EA"/>
    <w:rsid w:val="001D2F05"/>
    <w:rsid w:val="001F0C9C"/>
    <w:rsid w:val="0020197F"/>
    <w:rsid w:val="002131BE"/>
    <w:rsid w:val="00213FDB"/>
    <w:rsid w:val="00232546"/>
    <w:rsid w:val="002345AE"/>
    <w:rsid w:val="00235E2C"/>
    <w:rsid w:val="00236C45"/>
    <w:rsid w:val="00247E2C"/>
    <w:rsid w:val="0025292A"/>
    <w:rsid w:val="00267D25"/>
    <w:rsid w:val="002735F0"/>
    <w:rsid w:val="0028082C"/>
    <w:rsid w:val="00282305"/>
    <w:rsid w:val="002A32CB"/>
    <w:rsid w:val="002A3DB4"/>
    <w:rsid w:val="002C444C"/>
    <w:rsid w:val="002D06B8"/>
    <w:rsid w:val="002D1238"/>
    <w:rsid w:val="002D5B2C"/>
    <w:rsid w:val="002D6C53"/>
    <w:rsid w:val="002E5FE5"/>
    <w:rsid w:val="002F5595"/>
    <w:rsid w:val="002F55D0"/>
    <w:rsid w:val="00316BD4"/>
    <w:rsid w:val="00324661"/>
    <w:rsid w:val="00334F6A"/>
    <w:rsid w:val="00336D8A"/>
    <w:rsid w:val="00342AC8"/>
    <w:rsid w:val="00343302"/>
    <w:rsid w:val="00356BFB"/>
    <w:rsid w:val="003736D0"/>
    <w:rsid w:val="00376E0E"/>
    <w:rsid w:val="00381BAE"/>
    <w:rsid w:val="003956C5"/>
    <w:rsid w:val="003979DE"/>
    <w:rsid w:val="003A548E"/>
    <w:rsid w:val="003A579D"/>
    <w:rsid w:val="003A57B8"/>
    <w:rsid w:val="003B4550"/>
    <w:rsid w:val="003C0009"/>
    <w:rsid w:val="003D2A18"/>
    <w:rsid w:val="003D7634"/>
    <w:rsid w:val="003F19A6"/>
    <w:rsid w:val="004113B9"/>
    <w:rsid w:val="00413386"/>
    <w:rsid w:val="004147C3"/>
    <w:rsid w:val="00417054"/>
    <w:rsid w:val="00421BAA"/>
    <w:rsid w:val="004256DA"/>
    <w:rsid w:val="00450E5C"/>
    <w:rsid w:val="00461253"/>
    <w:rsid w:val="00474D27"/>
    <w:rsid w:val="0047616C"/>
    <w:rsid w:val="004858F5"/>
    <w:rsid w:val="004A22BC"/>
    <w:rsid w:val="004A2814"/>
    <w:rsid w:val="004A5D44"/>
    <w:rsid w:val="004A60F0"/>
    <w:rsid w:val="004C0622"/>
    <w:rsid w:val="004D36F4"/>
    <w:rsid w:val="004D4360"/>
    <w:rsid w:val="004D47C6"/>
    <w:rsid w:val="005038FC"/>
    <w:rsid w:val="00504020"/>
    <w:rsid w:val="005042C2"/>
    <w:rsid w:val="00531CA1"/>
    <w:rsid w:val="00537719"/>
    <w:rsid w:val="00573A69"/>
    <w:rsid w:val="00591F37"/>
    <w:rsid w:val="005A1D1A"/>
    <w:rsid w:val="005A5B2E"/>
    <w:rsid w:val="005B3493"/>
    <w:rsid w:val="005C4A7C"/>
    <w:rsid w:val="005C7563"/>
    <w:rsid w:val="005D3B6A"/>
    <w:rsid w:val="005E0693"/>
    <w:rsid w:val="005E716E"/>
    <w:rsid w:val="005F2C9C"/>
    <w:rsid w:val="006004DB"/>
    <w:rsid w:val="00605236"/>
    <w:rsid w:val="006060DB"/>
    <w:rsid w:val="00620A15"/>
    <w:rsid w:val="006252C5"/>
    <w:rsid w:val="006476E1"/>
    <w:rsid w:val="0064795E"/>
    <w:rsid w:val="00650C58"/>
    <w:rsid w:val="00652FB3"/>
    <w:rsid w:val="00657AC8"/>
    <w:rsid w:val="006604DF"/>
    <w:rsid w:val="00663344"/>
    <w:rsid w:val="00670EA2"/>
    <w:rsid w:val="00671529"/>
    <w:rsid w:val="0067442E"/>
    <w:rsid w:val="00684C97"/>
    <w:rsid w:val="0069534D"/>
    <w:rsid w:val="006E2B61"/>
    <w:rsid w:val="006E2D45"/>
    <w:rsid w:val="006F1330"/>
    <w:rsid w:val="0070489D"/>
    <w:rsid w:val="00713FFC"/>
    <w:rsid w:val="00722E86"/>
    <w:rsid w:val="007268F9"/>
    <w:rsid w:val="00750282"/>
    <w:rsid w:val="00750B54"/>
    <w:rsid w:val="007633D0"/>
    <w:rsid w:val="00764440"/>
    <w:rsid w:val="0077101B"/>
    <w:rsid w:val="007746BE"/>
    <w:rsid w:val="00791F6D"/>
    <w:rsid w:val="007A676C"/>
    <w:rsid w:val="007B0E5A"/>
    <w:rsid w:val="007C4E30"/>
    <w:rsid w:val="007C52B0"/>
    <w:rsid w:val="007C6033"/>
    <w:rsid w:val="007D11AD"/>
    <w:rsid w:val="007D24D4"/>
    <w:rsid w:val="007D68E7"/>
    <w:rsid w:val="00806D0A"/>
    <w:rsid w:val="008147C8"/>
    <w:rsid w:val="0081753A"/>
    <w:rsid w:val="0082196F"/>
    <w:rsid w:val="00825AA9"/>
    <w:rsid w:val="00840CC9"/>
    <w:rsid w:val="00850A14"/>
    <w:rsid w:val="00857D23"/>
    <w:rsid w:val="00871197"/>
    <w:rsid w:val="00877E21"/>
    <w:rsid w:val="008B292F"/>
    <w:rsid w:val="008C556F"/>
    <w:rsid w:val="008D03A2"/>
    <w:rsid w:val="008D1419"/>
    <w:rsid w:val="00903577"/>
    <w:rsid w:val="00911BEE"/>
    <w:rsid w:val="00931AAD"/>
    <w:rsid w:val="00940A77"/>
    <w:rsid w:val="009411B4"/>
    <w:rsid w:val="00946F1D"/>
    <w:rsid w:val="009678E9"/>
    <w:rsid w:val="00971461"/>
    <w:rsid w:val="00982475"/>
    <w:rsid w:val="009D0139"/>
    <w:rsid w:val="009D717D"/>
    <w:rsid w:val="009D7775"/>
    <w:rsid w:val="009F1D5A"/>
    <w:rsid w:val="009F5CDC"/>
    <w:rsid w:val="00A00A4B"/>
    <w:rsid w:val="00A02E71"/>
    <w:rsid w:val="00A072D7"/>
    <w:rsid w:val="00A148B1"/>
    <w:rsid w:val="00A20390"/>
    <w:rsid w:val="00A34C8D"/>
    <w:rsid w:val="00A421FF"/>
    <w:rsid w:val="00A775CF"/>
    <w:rsid w:val="00A816FD"/>
    <w:rsid w:val="00AC1D7C"/>
    <w:rsid w:val="00AC5ADA"/>
    <w:rsid w:val="00AD1018"/>
    <w:rsid w:val="00AD1A9C"/>
    <w:rsid w:val="00AD30E5"/>
    <w:rsid w:val="00AF5DE1"/>
    <w:rsid w:val="00AF7683"/>
    <w:rsid w:val="00B06045"/>
    <w:rsid w:val="00B157E2"/>
    <w:rsid w:val="00B206DD"/>
    <w:rsid w:val="00B355B7"/>
    <w:rsid w:val="00B4659A"/>
    <w:rsid w:val="00B516CA"/>
    <w:rsid w:val="00B52EF4"/>
    <w:rsid w:val="00B6373A"/>
    <w:rsid w:val="00B777AD"/>
    <w:rsid w:val="00B965A6"/>
    <w:rsid w:val="00BB4D76"/>
    <w:rsid w:val="00BD1D89"/>
    <w:rsid w:val="00BD3DA0"/>
    <w:rsid w:val="00BE701E"/>
    <w:rsid w:val="00BF225A"/>
    <w:rsid w:val="00C03015"/>
    <w:rsid w:val="00C0358D"/>
    <w:rsid w:val="00C223D7"/>
    <w:rsid w:val="00C33081"/>
    <w:rsid w:val="00C35A27"/>
    <w:rsid w:val="00C47B2E"/>
    <w:rsid w:val="00C50F64"/>
    <w:rsid w:val="00C52C67"/>
    <w:rsid w:val="00C75205"/>
    <w:rsid w:val="00C82ACF"/>
    <w:rsid w:val="00C84008"/>
    <w:rsid w:val="00CA3FD5"/>
    <w:rsid w:val="00CB1B16"/>
    <w:rsid w:val="00CC6034"/>
    <w:rsid w:val="00CE44A0"/>
    <w:rsid w:val="00D014B0"/>
    <w:rsid w:val="00D02F1A"/>
    <w:rsid w:val="00D17E4C"/>
    <w:rsid w:val="00D22DA6"/>
    <w:rsid w:val="00D27A3B"/>
    <w:rsid w:val="00D33845"/>
    <w:rsid w:val="00D35429"/>
    <w:rsid w:val="00D43C34"/>
    <w:rsid w:val="00D63CD2"/>
    <w:rsid w:val="00D65499"/>
    <w:rsid w:val="00D729DB"/>
    <w:rsid w:val="00D87DC2"/>
    <w:rsid w:val="00D9151A"/>
    <w:rsid w:val="00D91CB7"/>
    <w:rsid w:val="00D94B05"/>
    <w:rsid w:val="00D96044"/>
    <w:rsid w:val="00DA6169"/>
    <w:rsid w:val="00DB2890"/>
    <w:rsid w:val="00DB7C5B"/>
    <w:rsid w:val="00DE47EE"/>
    <w:rsid w:val="00DE5A65"/>
    <w:rsid w:val="00DF2A2A"/>
    <w:rsid w:val="00E02C2B"/>
    <w:rsid w:val="00E0660D"/>
    <w:rsid w:val="00E078CC"/>
    <w:rsid w:val="00E16678"/>
    <w:rsid w:val="00E21C27"/>
    <w:rsid w:val="00E26BCF"/>
    <w:rsid w:val="00E418FB"/>
    <w:rsid w:val="00E466FD"/>
    <w:rsid w:val="00E52109"/>
    <w:rsid w:val="00E56028"/>
    <w:rsid w:val="00E57ACC"/>
    <w:rsid w:val="00E66A67"/>
    <w:rsid w:val="00E733C9"/>
    <w:rsid w:val="00E74539"/>
    <w:rsid w:val="00E75317"/>
    <w:rsid w:val="00EB44A4"/>
    <w:rsid w:val="00EC0CE6"/>
    <w:rsid w:val="00EC2831"/>
    <w:rsid w:val="00EC7809"/>
    <w:rsid w:val="00EC7C1D"/>
    <w:rsid w:val="00ED14FE"/>
    <w:rsid w:val="00ED6C48"/>
    <w:rsid w:val="00EE3045"/>
    <w:rsid w:val="00EF5A71"/>
    <w:rsid w:val="00F06EDF"/>
    <w:rsid w:val="00F33E3B"/>
    <w:rsid w:val="00F42AED"/>
    <w:rsid w:val="00F44451"/>
    <w:rsid w:val="00F508CE"/>
    <w:rsid w:val="00F62B6B"/>
    <w:rsid w:val="00F65F5D"/>
    <w:rsid w:val="00F86A3A"/>
    <w:rsid w:val="00F86C92"/>
    <w:rsid w:val="00FC66DF"/>
    <w:rsid w:val="00FE5056"/>
    <w:rsid w:val="00FF661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7DFE"/>
  <w15:docId w15:val="{2A86FE4C-C66E-4CB8-A9B0-050A1F3C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uiPriority w:val="99"/>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uiPriority w:val="99"/>
    <w:qFormat/>
    <w:locked/>
    <w:rsid w:val="00043167"/>
    <w:rPr>
      <w:b/>
      <w:sz w:val="28"/>
    </w:rPr>
  </w:style>
  <w:style w:type="character" w:customStyle="1" w:styleId="H1GChar">
    <w:name w:val="_ H_1_G Char"/>
    <w:link w:val="H1G"/>
    <w:uiPriority w:val="99"/>
    <w:locked/>
    <w:rsid w:val="00043167"/>
    <w:rPr>
      <w:b/>
      <w:sz w:val="24"/>
    </w:rPr>
  </w:style>
  <w:style w:type="paragraph" w:styleId="ListParagraph">
    <w:name w:val="List Paragraph"/>
    <w:basedOn w:val="Normal"/>
    <w:uiPriority w:val="34"/>
    <w:qFormat/>
    <w:rsid w:val="00D9151A"/>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uiPriority w:val="99"/>
    <w:qFormat/>
    <w:locked/>
    <w:rsid w:val="00D9151A"/>
  </w:style>
  <w:style w:type="character" w:customStyle="1" w:styleId="rynqvb">
    <w:name w:val="rynqvb"/>
    <w:basedOn w:val="DefaultParagraphFont"/>
    <w:rsid w:val="002A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77562834">
      <w:bodyDiv w:val="1"/>
      <w:marLeft w:val="0"/>
      <w:marRight w:val="0"/>
      <w:marTop w:val="0"/>
      <w:marBottom w:val="0"/>
      <w:divBdr>
        <w:top w:val="none" w:sz="0" w:space="0" w:color="auto"/>
        <w:left w:val="none" w:sz="0" w:space="0" w:color="auto"/>
        <w:bottom w:val="none" w:sz="0" w:space="0" w:color="auto"/>
        <w:right w:val="none" w:sz="0" w:space="0" w:color="auto"/>
      </w:divBdr>
    </w:div>
    <w:div w:id="4574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E99C-2E4D-4FCF-A06F-491131CE3830}"/>
</file>

<file path=customXml/itemProps2.xml><?xml version="1.0" encoding="utf-8"?>
<ds:datastoreItem xmlns:ds="http://schemas.openxmlformats.org/officeDocument/2006/customXml" ds:itemID="{042F9910-9DB8-4D22-A445-417F8DD4F85C}">
  <ds:schemaRefs>
    <ds:schemaRef ds:uri="http://schemas.microsoft.com/sharepoint/v3/contenttype/forms"/>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2103</Words>
  <Characters>11010</Characters>
  <Application>Microsoft Office Word</Application>
  <DocSecurity>0</DocSecurity>
  <Lines>326</Lines>
  <Paragraphs>202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ST/SG/AC.10/C.3/2023/5</dc:title>
  <dc:subject>2306584</dc:subject>
  <dc:creator>Laurence BERTHET</dc:creator>
  <cp:keywords/>
  <dc:description/>
  <cp:lastModifiedBy>Maria Rosario Corazon Gatmaytan</cp:lastModifiedBy>
  <cp:revision>2</cp:revision>
  <dcterms:created xsi:type="dcterms:W3CDTF">2023-04-11T11:20:00Z</dcterms:created>
  <dcterms:modified xsi:type="dcterms:W3CDTF">2023-04-11T11:20:00Z</dcterms:modified>
</cp:coreProperties>
</file>