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8F7A040" w14:textId="77777777" w:rsidTr="00F01738">
        <w:trPr>
          <w:trHeight w:hRule="exact" w:val="851"/>
        </w:trPr>
        <w:tc>
          <w:tcPr>
            <w:tcW w:w="1276" w:type="dxa"/>
            <w:tcBorders>
              <w:bottom w:val="single" w:sz="4" w:space="0" w:color="auto"/>
            </w:tcBorders>
          </w:tcPr>
          <w:p w14:paraId="6B927C28" w14:textId="77777777" w:rsidR="00132EA9" w:rsidRPr="00DB58B5" w:rsidRDefault="00132EA9" w:rsidP="00762760"/>
        </w:tc>
        <w:tc>
          <w:tcPr>
            <w:tcW w:w="2268" w:type="dxa"/>
            <w:tcBorders>
              <w:bottom w:val="single" w:sz="4" w:space="0" w:color="auto"/>
            </w:tcBorders>
            <w:vAlign w:val="bottom"/>
          </w:tcPr>
          <w:p w14:paraId="6DB1EF8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3F2EEA" w14:textId="7F0E3F3B" w:rsidR="00132EA9" w:rsidRPr="00DB58B5" w:rsidRDefault="00762760" w:rsidP="00762760">
            <w:pPr>
              <w:jc w:val="right"/>
            </w:pPr>
            <w:r w:rsidRPr="00762760">
              <w:rPr>
                <w:sz w:val="40"/>
              </w:rPr>
              <w:t>ST</w:t>
            </w:r>
            <w:r>
              <w:t>/SG/AC.10/C.3/2023/4</w:t>
            </w:r>
          </w:p>
        </w:tc>
      </w:tr>
      <w:tr w:rsidR="00132EA9" w:rsidRPr="00DB58B5" w14:paraId="6ECF33E7" w14:textId="77777777" w:rsidTr="00F01738">
        <w:trPr>
          <w:trHeight w:hRule="exact" w:val="2835"/>
        </w:trPr>
        <w:tc>
          <w:tcPr>
            <w:tcW w:w="1276" w:type="dxa"/>
            <w:tcBorders>
              <w:top w:val="single" w:sz="4" w:space="0" w:color="auto"/>
              <w:bottom w:val="single" w:sz="12" w:space="0" w:color="auto"/>
            </w:tcBorders>
          </w:tcPr>
          <w:p w14:paraId="0ECB778B" w14:textId="77777777" w:rsidR="00132EA9" w:rsidRPr="00DB58B5" w:rsidRDefault="00132EA9" w:rsidP="00F01738">
            <w:pPr>
              <w:spacing w:before="120"/>
              <w:jc w:val="center"/>
            </w:pPr>
            <w:r>
              <w:rPr>
                <w:noProof/>
                <w:lang w:eastAsia="fr-CH"/>
              </w:rPr>
              <w:drawing>
                <wp:inline distT="0" distB="0" distL="0" distR="0" wp14:anchorId="12C90C5B" wp14:editId="45EBAE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B5BD2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51A8BD9" w14:textId="77777777" w:rsidR="00132EA9" w:rsidRDefault="00762760" w:rsidP="00F01738">
            <w:pPr>
              <w:spacing w:before="240"/>
            </w:pPr>
            <w:r>
              <w:t>Distr. générale</w:t>
            </w:r>
          </w:p>
          <w:p w14:paraId="0650F329" w14:textId="77777777" w:rsidR="00762760" w:rsidRDefault="00762760" w:rsidP="00762760">
            <w:pPr>
              <w:spacing w:line="240" w:lineRule="exact"/>
            </w:pPr>
            <w:r>
              <w:t>20 avril 2023</w:t>
            </w:r>
          </w:p>
          <w:p w14:paraId="18AF0B99" w14:textId="77777777" w:rsidR="00762760" w:rsidRDefault="00762760" w:rsidP="00762760">
            <w:pPr>
              <w:spacing w:line="240" w:lineRule="exact"/>
            </w:pPr>
            <w:r>
              <w:t>Français</w:t>
            </w:r>
          </w:p>
          <w:p w14:paraId="0D256638" w14:textId="1632660F" w:rsidR="00762760" w:rsidRPr="00DB58B5" w:rsidRDefault="00762760" w:rsidP="00762760">
            <w:pPr>
              <w:spacing w:line="240" w:lineRule="exact"/>
            </w:pPr>
            <w:r>
              <w:t>Original : anglais</w:t>
            </w:r>
          </w:p>
        </w:tc>
      </w:tr>
    </w:tbl>
    <w:p w14:paraId="34EF771D" w14:textId="7E074580" w:rsidR="00762760" w:rsidRPr="00762760" w:rsidRDefault="00762760" w:rsidP="00762760">
      <w:pPr>
        <w:spacing w:before="120"/>
        <w:rPr>
          <w:b/>
          <w:sz w:val="24"/>
          <w:szCs w:val="24"/>
          <w:lang w:val="fr-FR"/>
        </w:rPr>
      </w:pPr>
      <w:r w:rsidRPr="00762760">
        <w:rPr>
          <w:b/>
          <w:bCs/>
          <w:sz w:val="24"/>
          <w:szCs w:val="24"/>
          <w:lang w:val="fr-FR"/>
        </w:rPr>
        <w:t xml:space="preserve">Comité d’experts du transport des marchandises dangereuses </w:t>
      </w:r>
      <w:r>
        <w:rPr>
          <w:b/>
          <w:bCs/>
          <w:sz w:val="24"/>
          <w:szCs w:val="24"/>
          <w:lang w:val="fr-FR"/>
        </w:rPr>
        <w:br/>
      </w:r>
      <w:r w:rsidRPr="00762760">
        <w:rPr>
          <w:b/>
          <w:bCs/>
          <w:sz w:val="24"/>
          <w:szCs w:val="24"/>
          <w:lang w:val="fr-FR"/>
        </w:rPr>
        <w:t>et du Système général harmonisé de classification et</w:t>
      </w:r>
      <w:r>
        <w:rPr>
          <w:b/>
          <w:bCs/>
          <w:sz w:val="24"/>
          <w:szCs w:val="24"/>
          <w:lang w:val="fr-FR"/>
        </w:rPr>
        <w:br/>
      </w:r>
      <w:r w:rsidRPr="00762760">
        <w:rPr>
          <w:b/>
          <w:bCs/>
          <w:sz w:val="24"/>
          <w:szCs w:val="24"/>
          <w:lang w:val="fr-FR"/>
        </w:rPr>
        <w:t>d’étiquetage des produits chimiques</w:t>
      </w:r>
    </w:p>
    <w:p w14:paraId="61B96F05" w14:textId="77777777" w:rsidR="00762760" w:rsidRPr="00762760" w:rsidRDefault="00762760" w:rsidP="00762760">
      <w:pPr>
        <w:spacing w:before="120" w:after="120"/>
        <w:rPr>
          <w:rFonts w:ascii="Helv" w:hAnsi="Helv" w:cs="Helv"/>
          <w:b/>
          <w:color w:val="000000"/>
          <w:lang w:val="fr-FR"/>
        </w:rPr>
      </w:pPr>
      <w:r w:rsidRPr="00762760">
        <w:rPr>
          <w:b/>
          <w:bCs/>
          <w:lang w:val="fr-FR"/>
        </w:rPr>
        <w:t>Sous-Comité d’experts du transport des marchandises dangereuses</w:t>
      </w:r>
    </w:p>
    <w:p w14:paraId="21E50AB4" w14:textId="77777777" w:rsidR="00762760" w:rsidRPr="00762760" w:rsidRDefault="00762760" w:rsidP="00762760">
      <w:pPr>
        <w:rPr>
          <w:b/>
          <w:lang w:val="fr-FR"/>
        </w:rPr>
      </w:pPr>
      <w:r w:rsidRPr="00762760">
        <w:rPr>
          <w:b/>
          <w:bCs/>
          <w:lang w:val="fr-FR"/>
        </w:rPr>
        <w:t>Soixante-deuxième session</w:t>
      </w:r>
    </w:p>
    <w:p w14:paraId="6AD866D7" w14:textId="77777777" w:rsidR="00762760" w:rsidRPr="00762760" w:rsidRDefault="00762760" w:rsidP="00762760">
      <w:pPr>
        <w:rPr>
          <w:lang w:val="fr-FR"/>
        </w:rPr>
      </w:pPr>
      <w:r w:rsidRPr="00762760">
        <w:rPr>
          <w:lang w:val="fr-FR"/>
        </w:rPr>
        <w:t>Genève, 3-7 juillet 2023</w:t>
      </w:r>
    </w:p>
    <w:p w14:paraId="0AEE42F1" w14:textId="77777777" w:rsidR="00762760" w:rsidRPr="00762760" w:rsidRDefault="00762760" w:rsidP="00762760">
      <w:pPr>
        <w:rPr>
          <w:lang w:val="fr-FR"/>
        </w:rPr>
      </w:pPr>
      <w:r w:rsidRPr="00762760">
        <w:rPr>
          <w:lang w:val="fr-FR"/>
        </w:rPr>
        <w:t>Point 6 d) de l’ordre du jour provisoire</w:t>
      </w:r>
    </w:p>
    <w:p w14:paraId="718ABC56" w14:textId="55EE245D" w:rsidR="00762760" w:rsidRPr="00762760" w:rsidRDefault="00762760" w:rsidP="00762760">
      <w:pPr>
        <w:rPr>
          <w:b/>
          <w:bCs/>
          <w:lang w:val="fr-FR"/>
        </w:rPr>
      </w:pPr>
      <w:r w:rsidRPr="00762760">
        <w:rPr>
          <w:b/>
          <w:bCs/>
          <w:lang w:val="fr-FR"/>
        </w:rPr>
        <w:t xml:space="preserve">Propositions diverses d’amendements au Règlement type pour </w:t>
      </w:r>
      <w:r>
        <w:rPr>
          <w:b/>
          <w:bCs/>
          <w:lang w:val="fr-FR"/>
        </w:rPr>
        <w:br/>
      </w:r>
      <w:r w:rsidRPr="00762760">
        <w:rPr>
          <w:b/>
          <w:bCs/>
          <w:lang w:val="fr-FR"/>
        </w:rPr>
        <w:t>le transport des marchandises dangereuses</w:t>
      </w:r>
      <w:r>
        <w:rPr>
          <w:b/>
          <w:bCs/>
          <w:lang w:val="fr-FR"/>
        </w:rPr>
        <w:t> </w:t>
      </w:r>
      <w:r w:rsidRPr="00762760">
        <w:rPr>
          <w:b/>
          <w:bCs/>
          <w:lang w:val="fr-FR"/>
        </w:rPr>
        <w:t>: autres propositions diverses</w:t>
      </w:r>
    </w:p>
    <w:p w14:paraId="7268368F" w14:textId="77777777" w:rsidR="00762760" w:rsidRPr="00762760" w:rsidRDefault="00762760" w:rsidP="00762760">
      <w:pPr>
        <w:pStyle w:val="HChG"/>
        <w:rPr>
          <w:color w:val="000000" w:themeColor="text1"/>
          <w:lang w:val="fr-FR"/>
        </w:rPr>
      </w:pPr>
      <w:r w:rsidRPr="00762760">
        <w:rPr>
          <w:lang w:val="fr-FR"/>
        </w:rPr>
        <w:tab/>
      </w:r>
      <w:r w:rsidRPr="00762760">
        <w:rPr>
          <w:lang w:val="fr-FR"/>
        </w:rPr>
        <w:tab/>
        <w:t>Amendements à la version espagnole</w:t>
      </w:r>
    </w:p>
    <w:p w14:paraId="23020DF4" w14:textId="77777777" w:rsidR="00762760" w:rsidRPr="00762760" w:rsidRDefault="00762760" w:rsidP="00762760">
      <w:pPr>
        <w:pStyle w:val="H1G"/>
        <w:rPr>
          <w:rFonts w:asciiTheme="majorBidi" w:hAnsiTheme="majorBidi" w:cstheme="majorBidi"/>
          <w:color w:val="000000" w:themeColor="text1"/>
          <w:lang w:val="fr-FR"/>
        </w:rPr>
      </w:pPr>
      <w:r w:rsidRPr="00762760">
        <w:rPr>
          <w:lang w:val="fr-FR"/>
        </w:rPr>
        <w:tab/>
      </w:r>
      <w:r w:rsidRPr="00762760">
        <w:rPr>
          <w:lang w:val="fr-FR"/>
        </w:rPr>
        <w:tab/>
        <w:t>Communication des experts de l’Espagne et du Mexique</w:t>
      </w:r>
      <w:r w:rsidRPr="00762760">
        <w:rPr>
          <w:rFonts w:eastAsia="Arial Unicode MS"/>
          <w:b w:val="0"/>
          <w:bCs/>
          <w:sz w:val="20"/>
          <w:lang w:val="fr-FR"/>
        </w:rPr>
        <w:footnoteReference w:customMarkFollows="1" w:id="2"/>
        <w:t>*</w:t>
      </w:r>
    </w:p>
    <w:p w14:paraId="20DE02D0" w14:textId="3B58CE11" w:rsidR="00762760" w:rsidRPr="00762760" w:rsidRDefault="00762760" w:rsidP="00762760">
      <w:pPr>
        <w:pStyle w:val="HChG"/>
        <w:rPr>
          <w:lang w:val="fr-FR"/>
        </w:rPr>
      </w:pPr>
      <w:r>
        <w:rPr>
          <w:lang w:val="fr-FR"/>
        </w:rPr>
        <w:tab/>
      </w:r>
      <w:r w:rsidRPr="00762760">
        <w:rPr>
          <w:lang w:val="fr-FR"/>
        </w:rPr>
        <w:t>I.</w:t>
      </w:r>
      <w:r w:rsidRPr="00762760">
        <w:rPr>
          <w:lang w:val="fr-FR"/>
        </w:rPr>
        <w:tab/>
        <w:t>Introduction</w:t>
      </w:r>
    </w:p>
    <w:p w14:paraId="001EAFBF" w14:textId="77777777" w:rsidR="00762760" w:rsidRPr="00762760" w:rsidRDefault="00762760" w:rsidP="00762760">
      <w:pPr>
        <w:pStyle w:val="SingleTxtG"/>
        <w:rPr>
          <w:lang w:val="fr-FR"/>
        </w:rPr>
      </w:pPr>
      <w:r w:rsidRPr="00762760">
        <w:rPr>
          <w:lang w:val="fr-FR"/>
        </w:rPr>
        <w:t>1.</w:t>
      </w:r>
      <w:r w:rsidRPr="00762760">
        <w:rPr>
          <w:lang w:val="fr-FR"/>
        </w:rPr>
        <w:tab/>
        <w:t>Dans le cadre de la traduction du RID et de l’ADR en espagnol, les auteurs ont examiné la version espagnole du Règlement type et ont relevé un certain nombre de points qui mériteraient d’être corrigés.</w:t>
      </w:r>
    </w:p>
    <w:p w14:paraId="3448DF1F" w14:textId="77777777" w:rsidR="00762760" w:rsidRPr="00762760" w:rsidRDefault="00762760" w:rsidP="00762760">
      <w:pPr>
        <w:pStyle w:val="SingleTxtG"/>
        <w:rPr>
          <w:lang w:val="fr-FR"/>
        </w:rPr>
      </w:pPr>
      <w:r w:rsidRPr="00762760">
        <w:rPr>
          <w:lang w:val="fr-FR"/>
        </w:rPr>
        <w:t>2.</w:t>
      </w:r>
      <w:r w:rsidRPr="00762760">
        <w:rPr>
          <w:lang w:val="fr-FR"/>
        </w:rPr>
        <w:tab/>
        <w:t>Les modifications proposées dans le présent document ne s’appliquent qu’à la version espagnole.</w:t>
      </w:r>
    </w:p>
    <w:p w14:paraId="6AA46C98" w14:textId="77777777" w:rsidR="00762760" w:rsidRPr="00762760" w:rsidRDefault="00762760" w:rsidP="00762760">
      <w:pPr>
        <w:pStyle w:val="SingleTxtG"/>
        <w:rPr>
          <w:lang w:val="fr-FR"/>
        </w:rPr>
      </w:pPr>
      <w:r w:rsidRPr="00762760">
        <w:rPr>
          <w:lang w:val="fr-FR"/>
        </w:rPr>
        <w:t>3.</w:t>
      </w:r>
      <w:r w:rsidRPr="00762760">
        <w:rPr>
          <w:lang w:val="fr-FR"/>
        </w:rPr>
        <w:tab/>
        <w:t>Le fait d’adopter une approche plus systématique et plus logique et de réduire les divergences entre les différentes versions linguistiques du Règlement type permet de clarifier le cadre juridique et d’éviter que des critères différents soient appliqués selon les pays et les services d’inspection, ce qui est conforme à la cible 16.6 du Programme de développement durable à l’horizon 2030 (Mettre en place des institutions efficaces, responsables et transparentes à tous les niveaux).</w:t>
      </w:r>
    </w:p>
    <w:p w14:paraId="40E7049F" w14:textId="492DAE7C" w:rsidR="00762760" w:rsidRPr="00762760" w:rsidRDefault="00762760" w:rsidP="00762760">
      <w:pPr>
        <w:pStyle w:val="HChG"/>
        <w:rPr>
          <w:lang w:val="fr-FR"/>
        </w:rPr>
      </w:pPr>
      <w:r>
        <w:rPr>
          <w:lang w:val="fr-FR"/>
        </w:rPr>
        <w:tab/>
      </w:r>
      <w:r w:rsidRPr="00762760">
        <w:rPr>
          <w:lang w:val="fr-FR"/>
        </w:rPr>
        <w:t>II.</w:t>
      </w:r>
      <w:r w:rsidRPr="00762760">
        <w:rPr>
          <w:lang w:val="fr-FR"/>
        </w:rPr>
        <w:tab/>
        <w:t>Analyse</w:t>
      </w:r>
    </w:p>
    <w:p w14:paraId="79A915D5" w14:textId="6BD955E2" w:rsidR="00762760" w:rsidRPr="00762760" w:rsidRDefault="00762760" w:rsidP="00762760">
      <w:pPr>
        <w:pStyle w:val="H1G"/>
        <w:rPr>
          <w:lang w:val="fr-FR"/>
        </w:rPr>
      </w:pPr>
      <w:r>
        <w:rPr>
          <w:lang w:val="fr-FR"/>
        </w:rPr>
        <w:tab/>
      </w:r>
      <w:r w:rsidRPr="00762760">
        <w:rPr>
          <w:lang w:val="fr-FR"/>
        </w:rPr>
        <w:t>A.</w:t>
      </w:r>
      <w:r w:rsidRPr="00762760">
        <w:rPr>
          <w:lang w:val="fr-FR"/>
        </w:rPr>
        <w:tab/>
        <w:t>Pression de vapeur</w:t>
      </w:r>
    </w:p>
    <w:p w14:paraId="66B796EB" w14:textId="3EA0C000" w:rsidR="00762760" w:rsidRPr="00762760" w:rsidRDefault="00762760" w:rsidP="00762760">
      <w:pPr>
        <w:pStyle w:val="SingleTxtG"/>
        <w:rPr>
          <w:lang w:val="fr-FR"/>
        </w:rPr>
      </w:pPr>
      <w:r w:rsidRPr="00762760">
        <w:rPr>
          <w:lang w:val="fr-FR"/>
        </w:rPr>
        <w:t>4.</w:t>
      </w:r>
      <w:r w:rsidRPr="00762760">
        <w:rPr>
          <w:lang w:val="fr-FR"/>
        </w:rPr>
        <w:tab/>
        <w:t xml:space="preserve">Le terme </w:t>
      </w:r>
      <w:r>
        <w:rPr>
          <w:lang w:val="fr-FR"/>
        </w:rPr>
        <w:t>« </w:t>
      </w:r>
      <w:r w:rsidRPr="00762760">
        <w:rPr>
          <w:lang w:val="fr-FR"/>
        </w:rPr>
        <w:t>vapour pressure</w:t>
      </w:r>
      <w:r>
        <w:rPr>
          <w:lang w:val="fr-FR"/>
        </w:rPr>
        <w:t> »</w:t>
      </w:r>
      <w:r w:rsidRPr="00762760">
        <w:rPr>
          <w:lang w:val="fr-FR"/>
        </w:rPr>
        <w:t xml:space="preserve"> a été traduit en espagnol tantôt par </w:t>
      </w:r>
      <w:r>
        <w:rPr>
          <w:lang w:val="fr-FR"/>
        </w:rPr>
        <w:t>« </w:t>
      </w:r>
      <w:r w:rsidRPr="00762760">
        <w:rPr>
          <w:lang w:val="fr-FR"/>
        </w:rPr>
        <w:t>presión de vapor</w:t>
      </w:r>
      <w:r>
        <w:rPr>
          <w:lang w:val="fr-FR"/>
        </w:rPr>
        <w:t> »</w:t>
      </w:r>
      <w:r w:rsidRPr="00762760">
        <w:rPr>
          <w:lang w:val="fr-FR"/>
        </w:rPr>
        <w:t xml:space="preserve"> (pression de vapeur), tantôt par </w:t>
      </w:r>
      <w:r>
        <w:rPr>
          <w:lang w:val="fr-FR"/>
        </w:rPr>
        <w:t>« </w:t>
      </w:r>
      <w:r w:rsidRPr="00762760">
        <w:rPr>
          <w:lang w:val="fr-FR"/>
        </w:rPr>
        <w:t>tensión de vapor</w:t>
      </w:r>
      <w:r>
        <w:rPr>
          <w:lang w:val="fr-FR"/>
        </w:rPr>
        <w:t> »</w:t>
      </w:r>
      <w:r w:rsidRPr="00762760">
        <w:rPr>
          <w:lang w:val="fr-FR"/>
        </w:rPr>
        <w:t xml:space="preserve"> (tension de vapeur). La tension est un concept qui ne devrait être appliqué qu’aux solides et aux liquides, et non aux gaz. Par conséquent, </w:t>
      </w:r>
      <w:r>
        <w:rPr>
          <w:lang w:val="fr-FR"/>
        </w:rPr>
        <w:t>« </w:t>
      </w:r>
      <w:r w:rsidRPr="00762760">
        <w:rPr>
          <w:lang w:val="fr-FR"/>
        </w:rPr>
        <w:t>vapour pressure</w:t>
      </w:r>
      <w:r>
        <w:rPr>
          <w:lang w:val="fr-FR"/>
        </w:rPr>
        <w:t> »</w:t>
      </w:r>
      <w:r w:rsidRPr="00762760">
        <w:rPr>
          <w:lang w:val="fr-FR"/>
        </w:rPr>
        <w:t xml:space="preserve"> devrait toujours être traduit par </w:t>
      </w:r>
      <w:r>
        <w:rPr>
          <w:lang w:val="fr-FR"/>
        </w:rPr>
        <w:t>« </w:t>
      </w:r>
      <w:r w:rsidRPr="00762760">
        <w:rPr>
          <w:lang w:val="fr-FR"/>
        </w:rPr>
        <w:t>presión de vapor</w:t>
      </w:r>
      <w:r>
        <w:rPr>
          <w:lang w:val="fr-FR"/>
        </w:rPr>
        <w:t> »</w:t>
      </w:r>
      <w:r w:rsidRPr="00762760">
        <w:rPr>
          <w:lang w:val="fr-FR"/>
        </w:rPr>
        <w:t>. Les modifications correspondantes sont indiquées dans la proposition 1.</w:t>
      </w:r>
    </w:p>
    <w:p w14:paraId="2C25B008" w14:textId="1376EA84" w:rsidR="00762760" w:rsidRPr="00762760" w:rsidRDefault="00762760" w:rsidP="00762760">
      <w:pPr>
        <w:pStyle w:val="H1G"/>
        <w:rPr>
          <w:lang w:val="fr-FR"/>
        </w:rPr>
      </w:pPr>
      <w:r>
        <w:rPr>
          <w:lang w:val="fr-FR"/>
        </w:rPr>
        <w:lastRenderedPageBreak/>
        <w:tab/>
      </w:r>
      <w:r w:rsidRPr="00762760">
        <w:rPr>
          <w:lang w:val="fr-FR"/>
        </w:rPr>
        <w:t>B.</w:t>
      </w:r>
      <w:r w:rsidRPr="00762760">
        <w:rPr>
          <w:lang w:val="fr-FR"/>
        </w:rPr>
        <w:tab/>
        <w:t>Concentration de vapeur saturée</w:t>
      </w:r>
    </w:p>
    <w:p w14:paraId="3CDEE3A5" w14:textId="1B1A3ED3" w:rsidR="00762760" w:rsidRPr="00762760" w:rsidRDefault="00762760" w:rsidP="00762760">
      <w:pPr>
        <w:pStyle w:val="SingleTxtG"/>
        <w:rPr>
          <w:lang w:val="fr-FR"/>
        </w:rPr>
      </w:pPr>
      <w:r w:rsidRPr="00762760">
        <w:rPr>
          <w:lang w:val="fr-FR"/>
        </w:rPr>
        <w:t>5.</w:t>
      </w:r>
      <w:r w:rsidRPr="00762760">
        <w:rPr>
          <w:lang w:val="fr-FR"/>
        </w:rPr>
        <w:tab/>
        <w:t xml:space="preserve">À plusieurs reprises, l’expression </w:t>
      </w:r>
      <w:r>
        <w:rPr>
          <w:lang w:val="fr-FR"/>
        </w:rPr>
        <w:t>« </w:t>
      </w:r>
      <w:r w:rsidRPr="00762760">
        <w:rPr>
          <w:lang w:val="fr-FR"/>
        </w:rPr>
        <w:t>saturated vapour concentration</w:t>
      </w:r>
      <w:r>
        <w:rPr>
          <w:lang w:val="fr-FR"/>
        </w:rPr>
        <w:t> »</w:t>
      </w:r>
      <w:r w:rsidRPr="00762760">
        <w:rPr>
          <w:lang w:val="fr-FR"/>
        </w:rPr>
        <w:t xml:space="preserve"> a été traduite par </w:t>
      </w:r>
      <w:r>
        <w:rPr>
          <w:lang w:val="fr-FR"/>
        </w:rPr>
        <w:t>« </w:t>
      </w:r>
      <w:r w:rsidRPr="00762760">
        <w:rPr>
          <w:lang w:val="fr-FR"/>
        </w:rPr>
        <w:t>concentración saturada de vapor</w:t>
      </w:r>
      <w:r>
        <w:rPr>
          <w:lang w:val="fr-FR"/>
        </w:rPr>
        <w:t> »</w:t>
      </w:r>
      <w:r w:rsidRPr="00762760">
        <w:rPr>
          <w:lang w:val="fr-FR"/>
        </w:rPr>
        <w:t xml:space="preserve"> au lieu de </w:t>
      </w:r>
      <w:r>
        <w:rPr>
          <w:lang w:val="fr-FR"/>
        </w:rPr>
        <w:t>« </w:t>
      </w:r>
      <w:r w:rsidRPr="00762760">
        <w:rPr>
          <w:lang w:val="fr-FR"/>
        </w:rPr>
        <w:t>concentración de vapor saturado</w:t>
      </w:r>
      <w:r>
        <w:rPr>
          <w:lang w:val="fr-FR"/>
        </w:rPr>
        <w:t> »</w:t>
      </w:r>
      <w:r w:rsidRPr="00762760">
        <w:rPr>
          <w:lang w:val="fr-FR"/>
        </w:rPr>
        <w:t>. Il s’agit d’une erreur qu’il convient de corriger (voir proposition 2).</w:t>
      </w:r>
    </w:p>
    <w:p w14:paraId="4DD00862" w14:textId="4787D423" w:rsidR="00762760" w:rsidRPr="00762760" w:rsidRDefault="00762760" w:rsidP="00762760">
      <w:pPr>
        <w:pStyle w:val="H1G"/>
        <w:rPr>
          <w:lang w:val="fr-FR"/>
        </w:rPr>
      </w:pPr>
      <w:r>
        <w:rPr>
          <w:lang w:val="fr-FR"/>
        </w:rPr>
        <w:tab/>
      </w:r>
      <w:r w:rsidRPr="00762760">
        <w:rPr>
          <w:lang w:val="fr-FR"/>
        </w:rPr>
        <w:t>C.</w:t>
      </w:r>
      <w:r w:rsidRPr="00762760">
        <w:rPr>
          <w:lang w:val="fr-FR"/>
        </w:rPr>
        <w:tab/>
        <w:t>Ion</w:t>
      </w:r>
    </w:p>
    <w:p w14:paraId="40DE7077" w14:textId="24D1BCA1" w:rsidR="00762760" w:rsidRPr="00762760" w:rsidRDefault="00762760" w:rsidP="00762760">
      <w:pPr>
        <w:pStyle w:val="SingleTxtG"/>
        <w:rPr>
          <w:lang w:val="fr-FR"/>
        </w:rPr>
      </w:pPr>
      <w:r w:rsidRPr="00762760">
        <w:rPr>
          <w:lang w:val="fr-FR"/>
        </w:rPr>
        <w:t>6.</w:t>
      </w:r>
      <w:r w:rsidRPr="00762760">
        <w:rPr>
          <w:lang w:val="fr-FR"/>
        </w:rPr>
        <w:tab/>
        <w:t xml:space="preserve">Selon les règles qui régissent l’usage des accents en espagnol depuis 2010, le mot </w:t>
      </w:r>
      <w:r>
        <w:rPr>
          <w:lang w:val="fr-FR"/>
        </w:rPr>
        <w:t>« </w:t>
      </w:r>
      <w:r w:rsidRPr="00762760">
        <w:rPr>
          <w:lang w:val="fr-FR"/>
        </w:rPr>
        <w:t>ion</w:t>
      </w:r>
      <w:r>
        <w:rPr>
          <w:lang w:val="fr-FR"/>
        </w:rPr>
        <w:t> »</w:t>
      </w:r>
      <w:r w:rsidRPr="00762760">
        <w:rPr>
          <w:lang w:val="fr-FR"/>
        </w:rPr>
        <w:t xml:space="preserve"> ne devrait pas porter d’accent. Il convient de corriger cette erreur à différents endroits du Règlement type (voir proposition 3).</w:t>
      </w:r>
    </w:p>
    <w:p w14:paraId="308D6F68" w14:textId="74D1456B" w:rsidR="00762760" w:rsidRPr="00762760" w:rsidRDefault="00762760" w:rsidP="00762760">
      <w:pPr>
        <w:pStyle w:val="H1G"/>
        <w:rPr>
          <w:lang w:val="fr-FR"/>
        </w:rPr>
      </w:pPr>
      <w:r>
        <w:rPr>
          <w:lang w:val="fr-FR"/>
        </w:rPr>
        <w:tab/>
      </w:r>
      <w:r w:rsidRPr="00762760">
        <w:rPr>
          <w:lang w:val="fr-FR"/>
        </w:rPr>
        <w:t>D.</w:t>
      </w:r>
      <w:r w:rsidRPr="00762760">
        <w:rPr>
          <w:lang w:val="fr-FR"/>
        </w:rPr>
        <w:tab/>
        <w:t>Masse</w:t>
      </w:r>
    </w:p>
    <w:p w14:paraId="3CF7AB05" w14:textId="3D3F8663" w:rsidR="00762760" w:rsidRPr="00762760" w:rsidRDefault="00762760" w:rsidP="00762760">
      <w:pPr>
        <w:pStyle w:val="SingleTxtG"/>
        <w:rPr>
          <w:lang w:val="fr-FR"/>
        </w:rPr>
      </w:pPr>
      <w:r w:rsidRPr="00762760">
        <w:rPr>
          <w:lang w:val="fr-FR"/>
        </w:rPr>
        <w:t>7.</w:t>
      </w:r>
      <w:r w:rsidRPr="00762760">
        <w:rPr>
          <w:lang w:val="fr-FR"/>
        </w:rPr>
        <w:tab/>
        <w:t xml:space="preserve">À plusieurs reprises, </w:t>
      </w:r>
      <w:r>
        <w:rPr>
          <w:lang w:val="fr-FR"/>
        </w:rPr>
        <w:t>« </w:t>
      </w:r>
      <w:r w:rsidRPr="00762760">
        <w:rPr>
          <w:lang w:val="fr-FR"/>
        </w:rPr>
        <w:t>mass</w:t>
      </w:r>
      <w:r>
        <w:rPr>
          <w:lang w:val="fr-FR"/>
        </w:rPr>
        <w:t> »</w:t>
      </w:r>
      <w:r w:rsidRPr="00762760">
        <w:rPr>
          <w:lang w:val="fr-FR"/>
        </w:rPr>
        <w:t xml:space="preserve"> a été traduit par </w:t>
      </w:r>
      <w:r>
        <w:rPr>
          <w:lang w:val="fr-FR"/>
        </w:rPr>
        <w:t>« </w:t>
      </w:r>
      <w:r w:rsidRPr="00762760">
        <w:rPr>
          <w:lang w:val="fr-FR"/>
        </w:rPr>
        <w:t>peso</w:t>
      </w:r>
      <w:r>
        <w:rPr>
          <w:lang w:val="fr-FR"/>
        </w:rPr>
        <w:t> »</w:t>
      </w:r>
      <w:r w:rsidRPr="00762760">
        <w:rPr>
          <w:lang w:val="fr-FR"/>
        </w:rPr>
        <w:t xml:space="preserve"> (poids) au lieu de </w:t>
      </w:r>
      <w:r>
        <w:rPr>
          <w:lang w:val="fr-FR"/>
        </w:rPr>
        <w:t>« </w:t>
      </w:r>
      <w:r w:rsidRPr="00762760">
        <w:rPr>
          <w:lang w:val="fr-FR"/>
        </w:rPr>
        <w:t>masa</w:t>
      </w:r>
      <w:r>
        <w:rPr>
          <w:lang w:val="fr-FR"/>
        </w:rPr>
        <w:t> »</w:t>
      </w:r>
      <w:r w:rsidRPr="00762760">
        <w:rPr>
          <w:lang w:val="fr-FR"/>
        </w:rPr>
        <w:t xml:space="preserve"> (masse), ou ces concepts ont été utilisés de manière erronée. Il convient de corriger ces erreurs comme indiqué dans la proposition 4.</w:t>
      </w:r>
    </w:p>
    <w:p w14:paraId="0468A82D" w14:textId="5934A46E" w:rsidR="00762760" w:rsidRPr="00762760" w:rsidRDefault="00762760" w:rsidP="00762760">
      <w:pPr>
        <w:pStyle w:val="H1G"/>
        <w:rPr>
          <w:lang w:val="fr-FR"/>
        </w:rPr>
      </w:pPr>
      <w:r>
        <w:rPr>
          <w:lang w:val="fr-FR"/>
        </w:rPr>
        <w:tab/>
      </w:r>
      <w:r w:rsidRPr="00762760">
        <w:rPr>
          <w:lang w:val="fr-FR"/>
        </w:rPr>
        <w:t>E.</w:t>
      </w:r>
      <w:r w:rsidRPr="00762760">
        <w:rPr>
          <w:lang w:val="fr-FR"/>
        </w:rPr>
        <w:tab/>
        <w:t>Inférieure ou égale à</w:t>
      </w:r>
    </w:p>
    <w:p w14:paraId="3E087328" w14:textId="46FECEB5" w:rsidR="00762760" w:rsidRPr="00762760" w:rsidRDefault="00762760" w:rsidP="00762760">
      <w:pPr>
        <w:pStyle w:val="SingleTxtG"/>
        <w:rPr>
          <w:lang w:val="fr-FR"/>
        </w:rPr>
      </w:pPr>
      <w:r w:rsidRPr="00762760">
        <w:rPr>
          <w:lang w:val="fr-FR"/>
        </w:rPr>
        <w:t>8.</w:t>
      </w:r>
      <w:r w:rsidRPr="00762760">
        <w:rPr>
          <w:lang w:val="fr-FR"/>
        </w:rPr>
        <w:tab/>
        <w:t xml:space="preserve">À une occasion, l’expression </w:t>
      </w:r>
      <w:r>
        <w:rPr>
          <w:lang w:val="fr-FR"/>
        </w:rPr>
        <w:t>« </w:t>
      </w:r>
      <w:r w:rsidRPr="00762760">
        <w:rPr>
          <w:lang w:val="fr-FR"/>
        </w:rPr>
        <w:t>at or below</w:t>
      </w:r>
      <w:r>
        <w:rPr>
          <w:lang w:val="fr-FR"/>
        </w:rPr>
        <w:t> »</w:t>
      </w:r>
      <w:r w:rsidRPr="00762760">
        <w:rPr>
          <w:lang w:val="fr-FR"/>
        </w:rPr>
        <w:t xml:space="preserve"> (inférieure ou égale à) a été traduite de manière erronée par </w:t>
      </w:r>
      <w:r>
        <w:rPr>
          <w:lang w:val="fr-FR"/>
        </w:rPr>
        <w:t>« </w:t>
      </w:r>
      <w:r w:rsidRPr="00762760">
        <w:rPr>
          <w:lang w:val="fr-FR"/>
        </w:rPr>
        <w:t>igual o superior a</w:t>
      </w:r>
      <w:r>
        <w:rPr>
          <w:lang w:val="fr-FR"/>
        </w:rPr>
        <w:t> »</w:t>
      </w:r>
      <w:r w:rsidRPr="00762760">
        <w:rPr>
          <w:lang w:val="fr-FR"/>
        </w:rPr>
        <w:t xml:space="preserve"> (supérieure ou égale à). Cette erreur est corrigée dans la proposition 5.</w:t>
      </w:r>
    </w:p>
    <w:p w14:paraId="653690D5" w14:textId="0C943902" w:rsidR="00762760" w:rsidRPr="00762760" w:rsidRDefault="00762760" w:rsidP="00762760">
      <w:pPr>
        <w:pStyle w:val="HChG"/>
        <w:rPr>
          <w:lang w:val="fr-FR"/>
        </w:rPr>
      </w:pPr>
      <w:r>
        <w:rPr>
          <w:lang w:val="fr-FR"/>
        </w:rPr>
        <w:tab/>
      </w:r>
      <w:r w:rsidRPr="00762760">
        <w:rPr>
          <w:lang w:val="fr-FR"/>
        </w:rPr>
        <w:t>III.</w:t>
      </w:r>
      <w:r w:rsidRPr="00762760">
        <w:rPr>
          <w:lang w:val="fr-FR"/>
        </w:rPr>
        <w:tab/>
        <w:t>Propositions</w:t>
      </w:r>
    </w:p>
    <w:p w14:paraId="795F2A45" w14:textId="261CC527" w:rsidR="00762760" w:rsidRPr="00762760" w:rsidRDefault="00762760" w:rsidP="00762760">
      <w:pPr>
        <w:pStyle w:val="H1G"/>
        <w:rPr>
          <w:lang w:val="fr-FR"/>
        </w:rPr>
      </w:pPr>
      <w:r>
        <w:rPr>
          <w:lang w:val="fr-FR"/>
        </w:rPr>
        <w:tab/>
      </w:r>
      <w:r w:rsidRPr="00762760">
        <w:rPr>
          <w:lang w:val="fr-FR"/>
        </w:rPr>
        <w:t>A.</w:t>
      </w:r>
      <w:r w:rsidRPr="00762760">
        <w:rPr>
          <w:lang w:val="fr-FR"/>
        </w:rPr>
        <w:tab/>
        <w:t>Proposition 1</w:t>
      </w:r>
    </w:p>
    <w:p w14:paraId="52E592AD" w14:textId="5467E63D" w:rsidR="00762760" w:rsidRPr="00762760" w:rsidRDefault="00762760" w:rsidP="00762760">
      <w:pPr>
        <w:pStyle w:val="SingleTxtG"/>
        <w:rPr>
          <w:lang w:val="fr-FR"/>
        </w:rPr>
      </w:pPr>
      <w:r w:rsidRPr="00762760">
        <w:rPr>
          <w:lang w:val="fr-FR"/>
        </w:rPr>
        <w:t>9.</w:t>
      </w:r>
      <w:r w:rsidRPr="00762760">
        <w:rPr>
          <w:lang w:val="fr-FR"/>
        </w:rPr>
        <w:tab/>
        <w:t xml:space="preserve">Remplacer </w:t>
      </w:r>
      <w:r>
        <w:rPr>
          <w:lang w:val="fr-FR"/>
        </w:rPr>
        <w:t>« </w:t>
      </w:r>
      <w:r w:rsidRPr="00762760">
        <w:rPr>
          <w:lang w:val="fr-FR"/>
        </w:rPr>
        <w:t>tensión</w:t>
      </w:r>
      <w:r>
        <w:rPr>
          <w:lang w:val="fr-FR"/>
        </w:rPr>
        <w:t> »</w:t>
      </w:r>
      <w:r w:rsidRPr="00762760">
        <w:rPr>
          <w:lang w:val="fr-FR"/>
        </w:rPr>
        <w:t xml:space="preserve"> par </w:t>
      </w:r>
      <w:r>
        <w:rPr>
          <w:lang w:val="fr-FR"/>
        </w:rPr>
        <w:t>« </w:t>
      </w:r>
      <w:r w:rsidRPr="00762760">
        <w:rPr>
          <w:lang w:val="fr-FR"/>
        </w:rPr>
        <w:t>presión</w:t>
      </w:r>
      <w:r>
        <w:rPr>
          <w:lang w:val="fr-FR"/>
        </w:rPr>
        <w:t> »</w:t>
      </w:r>
      <w:r w:rsidRPr="00762760">
        <w:rPr>
          <w:lang w:val="fr-FR"/>
        </w:rPr>
        <w:t xml:space="preserve"> dans les cas suivants, comme indiqué (les modifications qu’il est proposé d’apporter au texte actuel figurent en caractères gras pour les ajouts et biffés pour les suppressions) :</w:t>
      </w:r>
    </w:p>
    <w:p w14:paraId="4C38C932" w14:textId="77777777" w:rsidR="00762760" w:rsidRPr="00762760" w:rsidRDefault="00762760" w:rsidP="00762760">
      <w:pPr>
        <w:pStyle w:val="SingleTxtG"/>
        <w:rPr>
          <w:rFonts w:eastAsiaTheme="minorEastAsia"/>
          <w:lang w:val="fr-FR"/>
        </w:rPr>
      </w:pPr>
      <w:r w:rsidRPr="00762760">
        <w:rPr>
          <w:lang w:val="fr-FR"/>
        </w:rPr>
        <w:t>a)</w:t>
      </w:r>
      <w:r w:rsidRPr="00762760">
        <w:rPr>
          <w:lang w:val="fr-FR"/>
        </w:rPr>
        <w:tab/>
        <w:t>RECOMMANDATIONS RELATIVES AU TRANSPORT DES MARCHANDISES DANGEREUSES, Figure 1 : Formule de renseignements à communiquer à l’ONU en vue du classement ou du reclassement d’une matière, section 2, paragraphe 2.4 :</w:t>
      </w:r>
    </w:p>
    <w:p w14:paraId="398B4E8B" w14:textId="774E6908" w:rsidR="00762760" w:rsidRPr="00762760" w:rsidRDefault="00762760" w:rsidP="00762760">
      <w:pPr>
        <w:pStyle w:val="SingleTxtG"/>
        <w:ind w:left="1701"/>
        <w:rPr>
          <w:lang w:val="es-ES"/>
        </w:rPr>
      </w:pPr>
      <w:r>
        <w:rPr>
          <w:lang w:val="es-ES"/>
        </w:rPr>
        <w:t>“</w:t>
      </w:r>
      <w:r w:rsidRPr="00762760">
        <w:rPr>
          <w:lang w:val="es-ES"/>
        </w:rPr>
        <w:t xml:space="preserve">2.4 </w:t>
      </w:r>
      <w:r w:rsidRPr="00762760">
        <w:rPr>
          <w:strike/>
          <w:lang w:val="es-ES"/>
        </w:rPr>
        <w:t>Tensión</w:t>
      </w:r>
      <w:r w:rsidRPr="00762760">
        <w:rPr>
          <w:lang w:val="es-ES"/>
        </w:rPr>
        <w:t xml:space="preserve"> </w:t>
      </w:r>
      <w:r w:rsidRPr="00762760">
        <w:rPr>
          <w:b/>
          <w:u w:val="single"/>
          <w:lang w:val="es-ES"/>
        </w:rPr>
        <w:t>Presión</w:t>
      </w:r>
      <w:r w:rsidRPr="00762760">
        <w:rPr>
          <w:lang w:val="es-ES"/>
        </w:rPr>
        <w:t xml:space="preserve"> de vapor a:......</w:t>
      </w:r>
      <w:r>
        <w:rPr>
          <w:lang w:val="es-ES"/>
        </w:rPr>
        <w:t>”</w:t>
      </w:r>
      <w:r w:rsidRPr="00762760">
        <w:rPr>
          <w:lang w:val="es-ES"/>
        </w:rPr>
        <w:t xml:space="preserve"> ;</w:t>
      </w:r>
    </w:p>
    <w:p w14:paraId="3050F9FF" w14:textId="55332184" w:rsidR="00762760" w:rsidRPr="00762760" w:rsidRDefault="00762760" w:rsidP="00762760">
      <w:pPr>
        <w:pStyle w:val="SingleTxtG"/>
        <w:rPr>
          <w:rFonts w:eastAsiaTheme="minorEastAsia"/>
          <w:lang w:val="es-ES"/>
        </w:rPr>
      </w:pPr>
      <w:r w:rsidRPr="00762760">
        <w:rPr>
          <w:lang w:val="es-ES"/>
        </w:rPr>
        <w:t>b)</w:t>
      </w:r>
      <w:r w:rsidRPr="00762760">
        <w:rPr>
          <w:lang w:val="es-ES"/>
        </w:rPr>
        <w:tab/>
        <w:t xml:space="preserve">1.2.1, définition de </w:t>
      </w:r>
      <w:r>
        <w:rPr>
          <w:lang w:val="es-ES"/>
        </w:rPr>
        <w:t>“</w:t>
      </w:r>
      <w:r w:rsidRPr="00762760">
        <w:rPr>
          <w:i/>
          <w:iCs/>
          <w:lang w:val="es-ES"/>
        </w:rPr>
        <w:t>líquido</w:t>
      </w:r>
      <w:r>
        <w:rPr>
          <w:lang w:val="es-ES"/>
        </w:rPr>
        <w:t>”</w:t>
      </w:r>
      <w:r w:rsidRPr="00762760">
        <w:rPr>
          <w:lang w:val="es-ES"/>
        </w:rPr>
        <w:t> :</w:t>
      </w:r>
    </w:p>
    <w:p w14:paraId="2D937AC3" w14:textId="586964C2" w:rsidR="00762760" w:rsidRPr="00762760" w:rsidRDefault="00762760" w:rsidP="00762760">
      <w:pPr>
        <w:pStyle w:val="SingleTxtG"/>
        <w:ind w:left="1701"/>
        <w:rPr>
          <w:rFonts w:eastAsiaTheme="minorEastAsia"/>
          <w:lang w:val="es-ES"/>
        </w:rPr>
      </w:pPr>
      <w:r>
        <w:rPr>
          <w:rFonts w:eastAsiaTheme="minorEastAsia"/>
          <w:lang w:val="es-ES"/>
        </w:rPr>
        <w:t>“</w:t>
      </w:r>
      <w:r w:rsidRPr="00762760">
        <w:rPr>
          <w:lang w:val="es-ES"/>
        </w:rPr>
        <w:t>Por</w:t>
      </w:r>
      <w:r w:rsidRPr="00762760">
        <w:rPr>
          <w:rFonts w:eastAsiaTheme="minorEastAsia"/>
          <w:lang w:val="es-ES"/>
        </w:rPr>
        <w:t xml:space="preserve"> </w:t>
      </w:r>
      <w:r w:rsidRPr="00762760">
        <w:rPr>
          <w:rFonts w:eastAsiaTheme="minorEastAsia"/>
          <w:i/>
          <w:iCs/>
          <w:lang w:val="es-ES"/>
        </w:rPr>
        <w:t>líquido</w:t>
      </w:r>
      <w:r w:rsidRPr="00762760">
        <w:rPr>
          <w:rFonts w:eastAsiaTheme="minorEastAsia"/>
          <w:lang w:val="es-ES"/>
        </w:rPr>
        <w:t xml:space="preserve">, toda mercancía peligrosa que a 50 ºC tiene una </w:t>
      </w:r>
      <w:r w:rsidRPr="00762760">
        <w:rPr>
          <w:rFonts w:eastAsiaTheme="minorEastAsia"/>
          <w:strike/>
          <w:lang w:val="es-ES"/>
        </w:rPr>
        <w:t>tensión</w:t>
      </w:r>
      <w:r w:rsidRPr="00762760">
        <w:rPr>
          <w:rFonts w:eastAsiaTheme="minorEastAsia"/>
          <w:lang w:val="es-ES"/>
        </w:rPr>
        <w:t xml:space="preserve"> </w:t>
      </w:r>
      <w:r w:rsidRPr="00762760">
        <w:rPr>
          <w:rFonts w:eastAsiaTheme="minorEastAsia"/>
          <w:b/>
          <w:u w:val="single"/>
          <w:lang w:val="es-ES"/>
        </w:rPr>
        <w:t>presión</w:t>
      </w:r>
      <w:r w:rsidRPr="00762760">
        <w:rPr>
          <w:rFonts w:eastAsiaTheme="minorEastAsia"/>
          <w:lang w:val="es-ES"/>
        </w:rPr>
        <w:t xml:space="preserve"> de vapor de, como mínimo, 300 kPa (3 bar), que no es totalmente gaseoso a 20 ºC y a una presión de 101,3 kPa, ...</w:t>
      </w:r>
      <w:r>
        <w:rPr>
          <w:rFonts w:eastAsiaTheme="minorEastAsia"/>
          <w:lang w:val="es-ES"/>
        </w:rPr>
        <w:t>”</w:t>
      </w:r>
      <w:r w:rsidRPr="00762760">
        <w:rPr>
          <w:rFonts w:eastAsiaTheme="minorEastAsia"/>
          <w:lang w:val="es-ES"/>
        </w:rPr>
        <w:t xml:space="preserve"> ;</w:t>
      </w:r>
    </w:p>
    <w:p w14:paraId="0DD95D7D" w14:textId="5E4B3959" w:rsidR="00762760" w:rsidRPr="00762760" w:rsidRDefault="00762760" w:rsidP="00762760">
      <w:pPr>
        <w:pStyle w:val="SingleTxtG"/>
        <w:rPr>
          <w:rFonts w:eastAsiaTheme="minorEastAsia"/>
          <w:lang w:val="es-ES"/>
        </w:rPr>
      </w:pPr>
      <w:r w:rsidRPr="00762760">
        <w:rPr>
          <w:lang w:val="es-ES"/>
        </w:rPr>
        <w:t>c)</w:t>
      </w:r>
      <w:r w:rsidRPr="00762760">
        <w:rPr>
          <w:lang w:val="es-ES"/>
        </w:rPr>
        <w:tab/>
        <w:t>1.2.2.5</w:t>
      </w:r>
      <w:r>
        <w:rPr>
          <w:lang w:val="es-ES"/>
        </w:rPr>
        <w:t> </w:t>
      </w:r>
      <w:r w:rsidRPr="00762760">
        <w:rPr>
          <w:lang w:val="es-ES"/>
        </w:rPr>
        <w:t>:</w:t>
      </w:r>
    </w:p>
    <w:p w14:paraId="66E4454C" w14:textId="11ACEB8A" w:rsidR="00762760" w:rsidRPr="00762760" w:rsidRDefault="00762760" w:rsidP="00762760">
      <w:pPr>
        <w:pStyle w:val="SingleTxtG"/>
        <w:ind w:left="1701"/>
        <w:rPr>
          <w:rFonts w:eastAsiaTheme="minorEastAsia"/>
          <w:lang w:val="es-ES"/>
        </w:rPr>
      </w:pPr>
      <w:r>
        <w:rPr>
          <w:rFonts w:eastAsiaTheme="minorEastAsia"/>
          <w:lang w:val="es-ES"/>
        </w:rPr>
        <w:t>“</w:t>
      </w:r>
      <w:r w:rsidRPr="00762760">
        <w:rPr>
          <w:rFonts w:eastAsiaTheme="minorEastAsia"/>
          <w:lang w:val="es-ES"/>
        </w:rPr>
        <w:t xml:space="preserve">... sin embargo, la </w:t>
      </w:r>
      <w:r w:rsidRPr="00762760">
        <w:rPr>
          <w:rFonts w:eastAsiaTheme="minorEastAsia"/>
          <w:strike/>
          <w:lang w:val="es-ES"/>
        </w:rPr>
        <w:t>tensión</w:t>
      </w:r>
      <w:r w:rsidRPr="00762760">
        <w:rPr>
          <w:rFonts w:eastAsiaTheme="minorEastAsia"/>
          <w:lang w:val="es-ES"/>
        </w:rPr>
        <w:t xml:space="preserve"> </w:t>
      </w:r>
      <w:r w:rsidRPr="00762760">
        <w:rPr>
          <w:rFonts w:eastAsiaTheme="minorEastAsia"/>
          <w:b/>
          <w:u w:val="single"/>
          <w:lang w:val="es-ES"/>
        </w:rPr>
        <w:t>presión</w:t>
      </w:r>
      <w:r w:rsidRPr="00762760">
        <w:rPr>
          <w:rFonts w:eastAsiaTheme="minorEastAsia"/>
          <w:lang w:val="es-ES"/>
        </w:rPr>
        <w:t xml:space="preserve"> de vapor de las sustancias se expresa siempre como presión absoluta.</w:t>
      </w:r>
      <w:r>
        <w:rPr>
          <w:rFonts w:eastAsiaTheme="minorEastAsia"/>
          <w:lang w:val="es-ES"/>
        </w:rPr>
        <w:t>”</w:t>
      </w:r>
      <w:r w:rsidRPr="00762760">
        <w:rPr>
          <w:rFonts w:eastAsiaTheme="minorEastAsia"/>
          <w:lang w:val="es-ES"/>
        </w:rPr>
        <w:t xml:space="preserve"> ;</w:t>
      </w:r>
    </w:p>
    <w:p w14:paraId="5E4359FC" w14:textId="31D4CEEC" w:rsidR="00762760" w:rsidRPr="00762760" w:rsidRDefault="00762760" w:rsidP="00762760">
      <w:pPr>
        <w:pStyle w:val="SingleTxtG"/>
        <w:rPr>
          <w:rFonts w:eastAsiaTheme="minorEastAsia"/>
          <w:lang w:val="es-ES"/>
        </w:rPr>
      </w:pPr>
      <w:r w:rsidRPr="00762760">
        <w:rPr>
          <w:lang w:val="es-ES"/>
        </w:rPr>
        <w:t>d)</w:t>
      </w:r>
      <w:r w:rsidRPr="00762760">
        <w:rPr>
          <w:lang w:val="es-ES"/>
        </w:rPr>
        <w:tab/>
        <w:t>2.2.1.1 a)</w:t>
      </w:r>
      <w:r>
        <w:rPr>
          <w:lang w:val="es-ES"/>
        </w:rPr>
        <w:t> </w:t>
      </w:r>
      <w:r w:rsidRPr="00762760">
        <w:rPr>
          <w:lang w:val="es-ES"/>
        </w:rPr>
        <w:t>:</w:t>
      </w:r>
    </w:p>
    <w:p w14:paraId="58E00F88" w14:textId="4EE6F9EB" w:rsidR="00762760" w:rsidRPr="00762760" w:rsidRDefault="00762760" w:rsidP="00762760">
      <w:pPr>
        <w:pStyle w:val="SingleTxtG"/>
        <w:ind w:left="1701"/>
        <w:rPr>
          <w:rFonts w:eastAsiaTheme="minorEastAsia"/>
          <w:lang w:val="es-ES"/>
        </w:rPr>
      </w:pPr>
      <w:r>
        <w:rPr>
          <w:rFonts w:eastAsiaTheme="minorEastAsia"/>
          <w:lang w:val="es-ES"/>
        </w:rPr>
        <w:t>“</w:t>
      </w:r>
      <w:r w:rsidRPr="00762760">
        <w:rPr>
          <w:rFonts w:eastAsiaTheme="minorEastAsia"/>
          <w:lang w:val="es-ES"/>
        </w:rPr>
        <w:t xml:space="preserve">A 50 ºC tenga una </w:t>
      </w:r>
      <w:r w:rsidRPr="00762760">
        <w:rPr>
          <w:rFonts w:eastAsiaTheme="minorEastAsia"/>
          <w:strike/>
          <w:lang w:val="es-ES"/>
        </w:rPr>
        <w:t>tensión</w:t>
      </w:r>
      <w:r w:rsidRPr="00762760">
        <w:rPr>
          <w:rFonts w:eastAsiaTheme="minorEastAsia"/>
          <w:lang w:val="es-ES"/>
        </w:rPr>
        <w:t xml:space="preserve"> </w:t>
      </w:r>
      <w:r w:rsidRPr="00762760">
        <w:rPr>
          <w:rFonts w:eastAsiaTheme="minorEastAsia"/>
          <w:b/>
          <w:u w:val="single"/>
          <w:lang w:val="es-ES"/>
        </w:rPr>
        <w:t>presión</w:t>
      </w:r>
      <w:r w:rsidRPr="00762760">
        <w:rPr>
          <w:rFonts w:eastAsiaTheme="minorEastAsia"/>
          <w:lang w:val="es-ES"/>
        </w:rPr>
        <w:t xml:space="preserve"> de vapor superior a 300 kPa o que,</w:t>
      </w:r>
      <w:r>
        <w:rPr>
          <w:rFonts w:eastAsiaTheme="minorEastAsia"/>
          <w:lang w:val="es-ES"/>
        </w:rPr>
        <w:t>”</w:t>
      </w:r>
      <w:r w:rsidRPr="00762760">
        <w:rPr>
          <w:rFonts w:eastAsiaTheme="minorEastAsia"/>
          <w:lang w:val="es-ES"/>
        </w:rPr>
        <w:t xml:space="preserve"> ;</w:t>
      </w:r>
    </w:p>
    <w:p w14:paraId="26C0BF55" w14:textId="0E0E8FA8" w:rsidR="00762760" w:rsidRPr="00762760" w:rsidRDefault="00762760" w:rsidP="00762760">
      <w:pPr>
        <w:pStyle w:val="SingleTxtG"/>
        <w:rPr>
          <w:rFonts w:eastAsiaTheme="minorEastAsia"/>
          <w:lang w:val="es-ES"/>
        </w:rPr>
      </w:pPr>
      <w:r w:rsidRPr="00762760">
        <w:rPr>
          <w:lang w:val="es-ES"/>
        </w:rPr>
        <w:t>e)</w:t>
      </w:r>
      <w:r w:rsidRPr="00762760">
        <w:rPr>
          <w:lang w:val="es-ES"/>
        </w:rPr>
        <w:tab/>
        <w:t>4.1.4.1, P203 5)</w:t>
      </w:r>
      <w:r>
        <w:rPr>
          <w:lang w:val="es-ES"/>
        </w:rPr>
        <w:t> </w:t>
      </w:r>
      <w:r w:rsidRPr="00762760">
        <w:rPr>
          <w:lang w:val="es-ES"/>
        </w:rPr>
        <w:t>:</w:t>
      </w:r>
    </w:p>
    <w:p w14:paraId="4B78DB12" w14:textId="36E9D6EA" w:rsidR="00762760" w:rsidRPr="00762760" w:rsidRDefault="00762760" w:rsidP="00762760">
      <w:pPr>
        <w:pStyle w:val="SingleTxtG"/>
        <w:ind w:left="1701"/>
        <w:rPr>
          <w:rFonts w:eastAsiaTheme="minorEastAsia"/>
          <w:lang w:val="es-ES"/>
        </w:rPr>
      </w:pPr>
      <w:r>
        <w:rPr>
          <w:rFonts w:eastAsiaTheme="minorEastAsia"/>
          <w:lang w:val="es-ES"/>
        </w:rPr>
        <w:t>“</w:t>
      </w:r>
      <w:r w:rsidRPr="00762760">
        <w:rPr>
          <w:rFonts w:eastAsiaTheme="minorEastAsia"/>
          <w:lang w:val="es-ES"/>
        </w:rPr>
        <w:t xml:space="preserve">... cuando el contenido se somete a la temperatura a la cual la </w:t>
      </w:r>
      <w:r w:rsidRPr="00762760">
        <w:rPr>
          <w:rFonts w:eastAsiaTheme="minorEastAsia"/>
          <w:strike/>
          <w:lang w:val="es-ES"/>
        </w:rPr>
        <w:t>tensión</w:t>
      </w:r>
      <w:r w:rsidRPr="00762760">
        <w:rPr>
          <w:rFonts w:eastAsiaTheme="minorEastAsia"/>
          <w:lang w:val="es-ES"/>
        </w:rPr>
        <w:t xml:space="preserve"> </w:t>
      </w:r>
      <w:r w:rsidRPr="00762760">
        <w:rPr>
          <w:rFonts w:eastAsiaTheme="minorEastAsia"/>
          <w:b/>
          <w:bCs/>
          <w:u w:val="single"/>
          <w:lang w:val="es-ES"/>
        </w:rPr>
        <w:t>presión</w:t>
      </w:r>
      <w:r w:rsidRPr="00762760">
        <w:rPr>
          <w:rFonts w:eastAsiaTheme="minorEastAsia"/>
          <w:lang w:val="es-ES"/>
        </w:rPr>
        <w:t xml:space="preserve"> de vapor iguala a la presión de apertura ...</w:t>
      </w:r>
      <w:r>
        <w:rPr>
          <w:rFonts w:eastAsiaTheme="minorEastAsia"/>
          <w:lang w:val="es-ES"/>
        </w:rPr>
        <w:t>”</w:t>
      </w:r>
      <w:r w:rsidRPr="00762760">
        <w:rPr>
          <w:rFonts w:eastAsiaTheme="minorEastAsia"/>
          <w:lang w:val="es-ES"/>
        </w:rPr>
        <w:t>.</w:t>
      </w:r>
    </w:p>
    <w:p w14:paraId="76792E68" w14:textId="2B98EB46" w:rsidR="00762760" w:rsidRPr="00762760" w:rsidRDefault="00762760" w:rsidP="00762760">
      <w:pPr>
        <w:pStyle w:val="H1G"/>
        <w:rPr>
          <w:lang w:val="fr-FR"/>
        </w:rPr>
      </w:pPr>
      <w:r w:rsidRPr="00762760">
        <w:rPr>
          <w:lang w:val="es-ES"/>
        </w:rPr>
        <w:lastRenderedPageBreak/>
        <w:tab/>
      </w:r>
      <w:r w:rsidRPr="00762760">
        <w:rPr>
          <w:lang w:val="fr-FR"/>
        </w:rPr>
        <w:t>B.</w:t>
      </w:r>
      <w:r w:rsidRPr="00762760">
        <w:rPr>
          <w:lang w:val="fr-FR"/>
        </w:rPr>
        <w:tab/>
        <w:t>Proposition 2</w:t>
      </w:r>
    </w:p>
    <w:p w14:paraId="21F64910" w14:textId="67B0CA38" w:rsidR="00762760" w:rsidRPr="00762760" w:rsidRDefault="00762760" w:rsidP="00762760">
      <w:pPr>
        <w:pStyle w:val="SingleTxtG"/>
        <w:rPr>
          <w:rFonts w:eastAsiaTheme="minorEastAsia"/>
          <w:lang w:val="fr-FR"/>
        </w:rPr>
      </w:pPr>
      <w:r w:rsidRPr="00762760">
        <w:rPr>
          <w:lang w:val="fr-FR"/>
        </w:rPr>
        <w:t>10.</w:t>
      </w:r>
      <w:r w:rsidRPr="00762760">
        <w:rPr>
          <w:lang w:val="fr-FR"/>
        </w:rPr>
        <w:tab/>
        <w:t xml:space="preserve">Remplacer </w:t>
      </w:r>
      <w:r>
        <w:rPr>
          <w:lang w:val="fr-FR"/>
        </w:rPr>
        <w:t>« </w:t>
      </w:r>
      <w:r w:rsidRPr="00762760">
        <w:rPr>
          <w:lang w:val="fr-FR"/>
        </w:rPr>
        <w:t>concentración saturada de vapor</w:t>
      </w:r>
      <w:r>
        <w:rPr>
          <w:lang w:val="fr-FR"/>
        </w:rPr>
        <w:t> »</w:t>
      </w:r>
      <w:r w:rsidRPr="00762760">
        <w:rPr>
          <w:lang w:val="fr-FR"/>
        </w:rPr>
        <w:t xml:space="preserve"> par </w:t>
      </w:r>
      <w:r w:rsidR="0036659E">
        <w:rPr>
          <w:lang w:val="fr-FR"/>
        </w:rPr>
        <w:t>« </w:t>
      </w:r>
      <w:r w:rsidRPr="00762760">
        <w:rPr>
          <w:lang w:val="fr-FR"/>
        </w:rPr>
        <w:t>concentración de vapor saturado</w:t>
      </w:r>
      <w:r w:rsidR="0036659E">
        <w:rPr>
          <w:lang w:val="fr-FR"/>
        </w:rPr>
        <w:t> »</w:t>
      </w:r>
      <w:r w:rsidRPr="00762760">
        <w:rPr>
          <w:lang w:val="fr-FR"/>
        </w:rPr>
        <w:t xml:space="preserve"> dans les cas suivants :</w:t>
      </w:r>
    </w:p>
    <w:p w14:paraId="005DB944" w14:textId="77777777" w:rsidR="00762760" w:rsidRPr="00762760" w:rsidRDefault="00762760" w:rsidP="00762760">
      <w:pPr>
        <w:pStyle w:val="SingleTxtG"/>
        <w:rPr>
          <w:lang w:val="fr-FR"/>
        </w:rPr>
      </w:pPr>
      <w:r w:rsidRPr="00762760">
        <w:rPr>
          <w:lang w:val="fr-FR"/>
        </w:rPr>
        <w:t>a)</w:t>
      </w:r>
      <w:r w:rsidRPr="00762760">
        <w:rPr>
          <w:lang w:val="fr-FR"/>
        </w:rPr>
        <w:tab/>
        <w:t>RECOMMANDATIONS RELATIVES AU TRANSPORT DES MARCHANDISES DANGEREUSES, Figure 1 : Formule de renseignements à communiquer à l’ONU en vue du classement ou du reclassement d’une matière, section 2, paragraphe 5.4 ;</w:t>
      </w:r>
    </w:p>
    <w:p w14:paraId="26992000" w14:textId="77777777" w:rsidR="00762760" w:rsidRPr="00762760" w:rsidRDefault="00762760" w:rsidP="00762760">
      <w:pPr>
        <w:pStyle w:val="SingleTxtG"/>
        <w:rPr>
          <w:lang w:val="fr-FR"/>
        </w:rPr>
      </w:pPr>
      <w:r w:rsidRPr="00762760">
        <w:rPr>
          <w:lang w:val="fr-FR"/>
        </w:rPr>
        <w:t>b)</w:t>
      </w:r>
      <w:r w:rsidRPr="00762760">
        <w:rPr>
          <w:lang w:val="fr-FR"/>
        </w:rPr>
        <w:tab/>
        <w:t>2.6.2.2.4.3 ;</w:t>
      </w:r>
    </w:p>
    <w:p w14:paraId="5B6D5F9D" w14:textId="77777777" w:rsidR="00762760" w:rsidRPr="00762760" w:rsidRDefault="00762760" w:rsidP="00762760">
      <w:pPr>
        <w:pStyle w:val="SingleTxtG"/>
        <w:rPr>
          <w:lang w:val="fr-FR"/>
        </w:rPr>
      </w:pPr>
      <w:r w:rsidRPr="00762760">
        <w:rPr>
          <w:lang w:val="fr-FR"/>
        </w:rPr>
        <w:t>c)</w:t>
      </w:r>
      <w:r w:rsidRPr="00762760">
        <w:rPr>
          <w:lang w:val="fr-FR"/>
        </w:rPr>
        <w:tab/>
        <w:t>Liste des marchandises dangereuses, No ONU 3387.</w:t>
      </w:r>
    </w:p>
    <w:p w14:paraId="0DF9FA6E" w14:textId="79A26656" w:rsidR="00762760" w:rsidRPr="00762760" w:rsidRDefault="00762760" w:rsidP="00762760">
      <w:pPr>
        <w:pStyle w:val="H1G"/>
        <w:rPr>
          <w:lang w:val="fr-FR"/>
        </w:rPr>
      </w:pPr>
      <w:r>
        <w:rPr>
          <w:lang w:val="fr-FR"/>
        </w:rPr>
        <w:tab/>
      </w:r>
      <w:r w:rsidRPr="00762760">
        <w:rPr>
          <w:lang w:val="fr-FR"/>
        </w:rPr>
        <w:t>C.</w:t>
      </w:r>
      <w:r w:rsidRPr="00762760">
        <w:rPr>
          <w:lang w:val="fr-FR"/>
        </w:rPr>
        <w:tab/>
        <w:t>Proposition 3</w:t>
      </w:r>
    </w:p>
    <w:p w14:paraId="4A09131F" w14:textId="5E3ABBA5" w:rsidR="00762760" w:rsidRPr="00762760" w:rsidRDefault="00762760" w:rsidP="00762760">
      <w:pPr>
        <w:pStyle w:val="SingleTxtG"/>
        <w:rPr>
          <w:rFonts w:eastAsiaTheme="minorEastAsia"/>
          <w:lang w:val="fr-FR"/>
        </w:rPr>
      </w:pPr>
      <w:r w:rsidRPr="00762760">
        <w:rPr>
          <w:lang w:val="fr-FR"/>
        </w:rPr>
        <w:t>11.</w:t>
      </w:r>
      <w:r w:rsidRPr="00762760">
        <w:rPr>
          <w:lang w:val="fr-FR"/>
        </w:rPr>
        <w:tab/>
        <w:t xml:space="preserve">Remplacer </w:t>
      </w:r>
      <w:r>
        <w:rPr>
          <w:lang w:val="fr-FR"/>
        </w:rPr>
        <w:t>« </w:t>
      </w:r>
      <w:r w:rsidRPr="00762760">
        <w:rPr>
          <w:lang w:val="fr-FR"/>
        </w:rPr>
        <w:t>ión</w:t>
      </w:r>
      <w:r>
        <w:rPr>
          <w:lang w:val="fr-FR"/>
        </w:rPr>
        <w:t> »</w:t>
      </w:r>
      <w:r w:rsidRPr="00762760">
        <w:rPr>
          <w:lang w:val="fr-FR"/>
        </w:rPr>
        <w:t xml:space="preserve"> par </w:t>
      </w:r>
      <w:r>
        <w:rPr>
          <w:lang w:val="fr-FR"/>
        </w:rPr>
        <w:t>« </w:t>
      </w:r>
      <w:r w:rsidRPr="00762760">
        <w:rPr>
          <w:lang w:val="fr-FR"/>
        </w:rPr>
        <w:t>ion</w:t>
      </w:r>
      <w:r>
        <w:rPr>
          <w:lang w:val="fr-FR"/>
        </w:rPr>
        <w:t> »</w:t>
      </w:r>
      <w:r w:rsidRPr="00762760">
        <w:rPr>
          <w:lang w:val="fr-FR"/>
        </w:rPr>
        <w:t xml:space="preserve"> aux paragraphes suivants</w:t>
      </w:r>
      <w:r>
        <w:rPr>
          <w:lang w:val="fr-FR"/>
        </w:rPr>
        <w:t> </w:t>
      </w:r>
      <w:r w:rsidRPr="00762760">
        <w:rPr>
          <w:lang w:val="fr-FR"/>
        </w:rPr>
        <w:t>:</w:t>
      </w:r>
    </w:p>
    <w:p w14:paraId="592F58D6" w14:textId="77777777" w:rsidR="00762760" w:rsidRPr="00762760" w:rsidRDefault="00762760" w:rsidP="00762760">
      <w:pPr>
        <w:pStyle w:val="SingleTxtG"/>
        <w:rPr>
          <w:lang w:val="fr-FR"/>
        </w:rPr>
      </w:pPr>
      <w:r w:rsidRPr="00762760">
        <w:rPr>
          <w:lang w:val="fr-FR"/>
        </w:rPr>
        <w:t>a)</w:t>
      </w:r>
      <w:r w:rsidRPr="00762760">
        <w:rPr>
          <w:lang w:val="fr-FR"/>
        </w:rPr>
        <w:tab/>
        <w:t>2.9.2 (6 occurrences) ;</w:t>
      </w:r>
    </w:p>
    <w:p w14:paraId="086FFC03" w14:textId="6CD5FC70" w:rsidR="00762760" w:rsidRPr="00762760" w:rsidRDefault="00762760" w:rsidP="00762760">
      <w:pPr>
        <w:pStyle w:val="SingleTxtG"/>
        <w:rPr>
          <w:lang w:val="fr-FR"/>
        </w:rPr>
      </w:pPr>
      <w:r w:rsidRPr="00762760">
        <w:rPr>
          <w:lang w:val="fr-FR"/>
        </w:rPr>
        <w:t>b)</w:t>
      </w:r>
      <w:r w:rsidRPr="00762760">
        <w:rPr>
          <w:lang w:val="fr-FR"/>
        </w:rPr>
        <w:tab/>
        <w:t>2.9.4 f) (3 occurrences)</w:t>
      </w:r>
      <w:r w:rsidR="002438A9">
        <w:rPr>
          <w:lang w:val="fr-FR"/>
        </w:rPr>
        <w:t> </w:t>
      </w:r>
      <w:r w:rsidRPr="00762760">
        <w:rPr>
          <w:lang w:val="fr-FR"/>
        </w:rPr>
        <w:t>;</w:t>
      </w:r>
    </w:p>
    <w:p w14:paraId="4B23B2A4" w14:textId="6B1969F1" w:rsidR="00762760" w:rsidRPr="00762760" w:rsidRDefault="00762760" w:rsidP="00762760">
      <w:pPr>
        <w:pStyle w:val="SingleTxtG"/>
        <w:rPr>
          <w:lang w:val="fr-FR"/>
        </w:rPr>
      </w:pPr>
      <w:r w:rsidRPr="00762760">
        <w:rPr>
          <w:lang w:val="fr-FR"/>
        </w:rPr>
        <w:t>c)</w:t>
      </w:r>
      <w:r w:rsidRPr="00762760">
        <w:rPr>
          <w:lang w:val="fr-FR"/>
        </w:rPr>
        <w:tab/>
        <w:t>Liste des marchandises dangereuses, colonne (2), pour les Nos ONU 3480, 3481 et 3536</w:t>
      </w:r>
      <w:r>
        <w:rPr>
          <w:lang w:val="fr-FR"/>
        </w:rPr>
        <w:t> </w:t>
      </w:r>
      <w:r w:rsidRPr="00762760">
        <w:rPr>
          <w:lang w:val="fr-FR"/>
        </w:rPr>
        <w:t>;</w:t>
      </w:r>
    </w:p>
    <w:p w14:paraId="33891638" w14:textId="7734F2F1" w:rsidR="00762760" w:rsidRPr="00762760" w:rsidRDefault="00762760" w:rsidP="00762760">
      <w:pPr>
        <w:pStyle w:val="SingleTxtG"/>
        <w:rPr>
          <w:lang w:val="fr-FR"/>
        </w:rPr>
      </w:pPr>
      <w:r w:rsidRPr="00762760">
        <w:rPr>
          <w:lang w:val="fr-FR"/>
        </w:rPr>
        <w:t>d)</w:t>
      </w:r>
      <w:r w:rsidRPr="00762760">
        <w:rPr>
          <w:lang w:val="fr-FR"/>
        </w:rPr>
        <w:tab/>
        <w:t>3.3.1, dispositions spéciales 188 (une occurrence au a), deux occurrences au b) et une occurrence au h)), 328 (deux occurrences), 360, 376, 377, 387 (deux occurrences), 388 (sept occurrences) et 389</w:t>
      </w:r>
      <w:r>
        <w:rPr>
          <w:lang w:val="fr-FR"/>
        </w:rPr>
        <w:t> </w:t>
      </w:r>
      <w:r w:rsidRPr="00762760">
        <w:rPr>
          <w:lang w:val="fr-FR"/>
        </w:rPr>
        <w:t>;</w:t>
      </w:r>
    </w:p>
    <w:p w14:paraId="2D26379D" w14:textId="044AC1C1" w:rsidR="00762760" w:rsidRPr="00762760" w:rsidRDefault="00762760" w:rsidP="00762760">
      <w:pPr>
        <w:pStyle w:val="SingleTxtG"/>
        <w:rPr>
          <w:lang w:val="es-ES"/>
        </w:rPr>
      </w:pPr>
      <w:r w:rsidRPr="00762760">
        <w:rPr>
          <w:lang w:val="es-ES"/>
        </w:rPr>
        <w:t>e)</w:t>
      </w:r>
      <w:r w:rsidRPr="00762760">
        <w:rPr>
          <w:lang w:val="es-ES"/>
        </w:rPr>
        <w:tab/>
        <w:t>Index alphabétique, pour les rubriques «</w:t>
      </w:r>
      <w:r w:rsidR="00567C76">
        <w:rPr>
          <w:lang w:val="es-ES"/>
        </w:rPr>
        <w:t> </w:t>
      </w:r>
      <w:r w:rsidRPr="00762760">
        <w:rPr>
          <w:lang w:val="es-ES"/>
        </w:rPr>
        <w:t>BATERÍAS DE IÓN LITIO</w:t>
      </w:r>
      <w:r w:rsidR="00567C76">
        <w:rPr>
          <w:lang w:val="es-ES"/>
        </w:rPr>
        <w:t> </w:t>
      </w:r>
      <w:r w:rsidRPr="00762760">
        <w:rPr>
          <w:lang w:val="es-ES"/>
        </w:rPr>
        <w:t xml:space="preserve">», </w:t>
      </w:r>
      <w:r w:rsidR="007D6CC7" w:rsidRPr="00762760">
        <w:rPr>
          <w:lang w:val="es-ES"/>
        </w:rPr>
        <w:t>«</w:t>
      </w:r>
      <w:r w:rsidR="007D6CC7">
        <w:rPr>
          <w:lang w:val="es-ES"/>
        </w:rPr>
        <w:t> </w:t>
      </w:r>
      <w:r w:rsidRPr="00762760">
        <w:rPr>
          <w:lang w:val="es-ES"/>
        </w:rPr>
        <w:t>BATERÍAS DE IÓN LITIO EMBALADAS CON UN EQUIPO</w:t>
      </w:r>
      <w:r w:rsidR="007D6CC7">
        <w:rPr>
          <w:lang w:val="es-ES"/>
        </w:rPr>
        <w:t> </w:t>
      </w:r>
      <w:r w:rsidRPr="00762760">
        <w:rPr>
          <w:lang w:val="es-ES"/>
        </w:rPr>
        <w:t xml:space="preserve">», </w:t>
      </w:r>
      <w:r w:rsidR="007D6CC7" w:rsidRPr="00762760">
        <w:rPr>
          <w:lang w:val="es-ES"/>
        </w:rPr>
        <w:t>«</w:t>
      </w:r>
      <w:r w:rsidR="007D6CC7">
        <w:rPr>
          <w:lang w:val="es-ES"/>
        </w:rPr>
        <w:t> </w:t>
      </w:r>
      <w:r w:rsidRPr="00762760">
        <w:rPr>
          <w:lang w:val="es-ES"/>
        </w:rPr>
        <w:t>BATERÍAS DE IÓN LITIO INSTALADAS EN UN EQUIPO</w:t>
      </w:r>
      <w:r w:rsidR="007D6CC7">
        <w:rPr>
          <w:lang w:val="es-ES"/>
        </w:rPr>
        <w:t> </w:t>
      </w:r>
      <w:r w:rsidRPr="00762760">
        <w:rPr>
          <w:lang w:val="es-ES"/>
        </w:rPr>
        <w:t xml:space="preserve">», </w:t>
      </w:r>
      <w:r w:rsidR="00567C76" w:rsidRPr="00762760">
        <w:rPr>
          <w:lang w:val="es-ES"/>
        </w:rPr>
        <w:t>«</w:t>
      </w:r>
      <w:r w:rsidR="00567C76">
        <w:rPr>
          <w:lang w:val="es-ES"/>
        </w:rPr>
        <w:t> </w:t>
      </w:r>
      <w:r w:rsidRPr="00762760">
        <w:rPr>
          <w:lang w:val="es-ES"/>
        </w:rPr>
        <w:t>BATERÍAS DE LITIO INSTALADAS EN LA UNIDAD DE TRANSPORTE baterías de ión litio o baterías de litio metálicas</w:t>
      </w:r>
      <w:r w:rsidR="00567C76">
        <w:rPr>
          <w:lang w:val="es-ES"/>
        </w:rPr>
        <w:t> </w:t>
      </w:r>
      <w:r w:rsidRPr="007D6CC7">
        <w:rPr>
          <w:lang w:val="es-ES"/>
        </w:rPr>
        <w:t>»</w:t>
      </w:r>
      <w:r w:rsidRPr="00762760">
        <w:rPr>
          <w:lang w:val="es-ES"/>
        </w:rPr>
        <w:t xml:space="preserve"> et </w:t>
      </w:r>
      <w:r w:rsidR="00567C76" w:rsidRPr="00762760">
        <w:rPr>
          <w:lang w:val="es-ES"/>
        </w:rPr>
        <w:t>«</w:t>
      </w:r>
      <w:r w:rsidR="00567C76">
        <w:rPr>
          <w:lang w:val="es-ES"/>
        </w:rPr>
        <w:t> </w:t>
      </w:r>
      <w:r w:rsidRPr="00762760">
        <w:rPr>
          <w:lang w:val="es-ES"/>
        </w:rPr>
        <w:t>Baterías poliméricas de ión litio, véase</w:t>
      </w:r>
      <w:r w:rsidR="00567C76">
        <w:rPr>
          <w:lang w:val="es-ES"/>
        </w:rPr>
        <w:t> </w:t>
      </w:r>
      <w:r w:rsidR="007D6CC7" w:rsidRPr="007D6CC7">
        <w:rPr>
          <w:lang w:val="es-ES"/>
        </w:rPr>
        <w:t>»</w:t>
      </w:r>
      <w:r w:rsidR="0036659E">
        <w:rPr>
          <w:lang w:val="es-ES"/>
        </w:rPr>
        <w:t> </w:t>
      </w:r>
      <w:r w:rsidRPr="00762760">
        <w:rPr>
          <w:lang w:val="es-ES"/>
        </w:rPr>
        <w:t>;</w:t>
      </w:r>
    </w:p>
    <w:p w14:paraId="2E3050A3" w14:textId="77777777" w:rsidR="00762760" w:rsidRPr="00762760" w:rsidRDefault="00762760" w:rsidP="00762760">
      <w:pPr>
        <w:pStyle w:val="SingleTxtG"/>
        <w:rPr>
          <w:lang w:val="fr-FR"/>
        </w:rPr>
      </w:pPr>
      <w:r w:rsidRPr="00762760">
        <w:rPr>
          <w:lang w:val="fr-FR"/>
        </w:rPr>
        <w:t>f)</w:t>
      </w:r>
      <w:r w:rsidRPr="00762760">
        <w:rPr>
          <w:lang w:val="fr-FR"/>
        </w:rPr>
        <w:tab/>
        <w:t>4.1.4.1, P908 (une occurrence) ;</w:t>
      </w:r>
    </w:p>
    <w:p w14:paraId="0E924573" w14:textId="77777777" w:rsidR="00762760" w:rsidRPr="00762760" w:rsidRDefault="00762760" w:rsidP="00762760">
      <w:pPr>
        <w:pStyle w:val="SingleTxtG"/>
        <w:rPr>
          <w:lang w:val="fr-FR"/>
        </w:rPr>
      </w:pPr>
      <w:r w:rsidRPr="00762760">
        <w:rPr>
          <w:lang w:val="fr-FR"/>
        </w:rPr>
        <w:t>g)</w:t>
      </w:r>
      <w:r w:rsidRPr="00762760">
        <w:rPr>
          <w:lang w:val="fr-FR"/>
        </w:rPr>
        <w:tab/>
        <w:t>4.1.4.1, P909 2) (deux occurrences) ;</w:t>
      </w:r>
    </w:p>
    <w:p w14:paraId="1C7F0427" w14:textId="77777777" w:rsidR="00762760" w:rsidRPr="00762760" w:rsidRDefault="00762760" w:rsidP="00762760">
      <w:pPr>
        <w:pStyle w:val="SingleTxtG"/>
        <w:rPr>
          <w:lang w:val="fr-FR"/>
        </w:rPr>
      </w:pPr>
      <w:r w:rsidRPr="00762760">
        <w:rPr>
          <w:lang w:val="fr-FR"/>
        </w:rPr>
        <w:t>h)</w:t>
      </w:r>
      <w:r w:rsidRPr="00762760">
        <w:rPr>
          <w:lang w:val="fr-FR"/>
        </w:rPr>
        <w:tab/>
        <w:t>5.2.1.9.2 (deux occurrences) ;</w:t>
      </w:r>
    </w:p>
    <w:p w14:paraId="4FCF088F" w14:textId="77777777" w:rsidR="00762760" w:rsidRPr="00762760" w:rsidRDefault="00762760" w:rsidP="00762760">
      <w:pPr>
        <w:pStyle w:val="SingleTxtG"/>
        <w:rPr>
          <w:lang w:val="fr-FR"/>
        </w:rPr>
      </w:pPr>
      <w:r w:rsidRPr="00762760">
        <w:rPr>
          <w:lang w:val="fr-FR"/>
        </w:rPr>
        <w:t>i)</w:t>
      </w:r>
      <w:r w:rsidRPr="00762760">
        <w:rPr>
          <w:lang w:val="fr-FR"/>
        </w:rPr>
        <w:tab/>
        <w:t>5.2.2.1.13.1 (deux occurrences).</w:t>
      </w:r>
    </w:p>
    <w:p w14:paraId="54883F39" w14:textId="3362C7F6" w:rsidR="00762760" w:rsidRPr="00762760" w:rsidRDefault="00762760" w:rsidP="00762760">
      <w:pPr>
        <w:pStyle w:val="H1G"/>
        <w:rPr>
          <w:lang w:val="fr-FR"/>
        </w:rPr>
      </w:pPr>
      <w:r>
        <w:rPr>
          <w:lang w:val="fr-FR"/>
        </w:rPr>
        <w:tab/>
      </w:r>
      <w:r w:rsidRPr="00762760">
        <w:rPr>
          <w:lang w:val="fr-FR"/>
        </w:rPr>
        <w:t>D.</w:t>
      </w:r>
      <w:r w:rsidRPr="00762760">
        <w:rPr>
          <w:lang w:val="fr-FR"/>
        </w:rPr>
        <w:tab/>
        <w:t>Proposition 4</w:t>
      </w:r>
    </w:p>
    <w:p w14:paraId="09EE4F6B" w14:textId="31ABF7A0" w:rsidR="00762760" w:rsidRPr="00762760" w:rsidRDefault="00762760" w:rsidP="00762760">
      <w:pPr>
        <w:pStyle w:val="SingleTxtG"/>
        <w:rPr>
          <w:rFonts w:eastAsiaTheme="minorEastAsia"/>
          <w:lang w:val="fr-FR"/>
        </w:rPr>
      </w:pPr>
      <w:r w:rsidRPr="00762760">
        <w:rPr>
          <w:lang w:val="fr-FR"/>
        </w:rPr>
        <w:t>12.</w:t>
      </w:r>
      <w:r w:rsidRPr="00762760">
        <w:rPr>
          <w:lang w:val="fr-FR"/>
        </w:rPr>
        <w:tab/>
        <w:t xml:space="preserve">Remplacer </w:t>
      </w:r>
      <w:r w:rsidR="00567C76">
        <w:rPr>
          <w:lang w:val="fr-FR"/>
        </w:rPr>
        <w:t>« </w:t>
      </w:r>
      <w:r w:rsidRPr="00762760">
        <w:rPr>
          <w:lang w:val="fr-FR"/>
        </w:rPr>
        <w:t>peso</w:t>
      </w:r>
      <w:r w:rsidR="00567C76">
        <w:rPr>
          <w:lang w:val="fr-FR"/>
        </w:rPr>
        <w:t> »</w:t>
      </w:r>
      <w:r w:rsidRPr="00762760">
        <w:rPr>
          <w:lang w:val="fr-FR"/>
        </w:rPr>
        <w:t xml:space="preserve"> par </w:t>
      </w:r>
      <w:r w:rsidR="00567C76">
        <w:rPr>
          <w:lang w:val="fr-FR"/>
        </w:rPr>
        <w:t>« </w:t>
      </w:r>
      <w:r w:rsidRPr="00762760">
        <w:rPr>
          <w:lang w:val="fr-FR"/>
        </w:rPr>
        <w:t>masa</w:t>
      </w:r>
      <w:r w:rsidR="00567C76">
        <w:rPr>
          <w:lang w:val="fr-FR"/>
        </w:rPr>
        <w:t> »</w:t>
      </w:r>
      <w:r w:rsidRPr="00762760">
        <w:rPr>
          <w:lang w:val="fr-FR"/>
        </w:rPr>
        <w:t xml:space="preserve"> dans les cas suivants, comme indiqué (les modifications qu’il est proposé d’apporter au texte actuel figurent en caractères gras pour les ajouts et biffés pour les suppressions) :</w:t>
      </w:r>
    </w:p>
    <w:p w14:paraId="166969F4" w14:textId="2C0839A1" w:rsidR="00762760" w:rsidRPr="00762760" w:rsidRDefault="00762760" w:rsidP="00762760">
      <w:pPr>
        <w:pStyle w:val="SingleTxtG"/>
        <w:rPr>
          <w:lang w:val="es-ES"/>
        </w:rPr>
      </w:pPr>
      <w:r w:rsidRPr="00762760">
        <w:rPr>
          <w:lang w:val="es-ES"/>
        </w:rPr>
        <w:t>a)</w:t>
      </w:r>
      <w:r w:rsidRPr="00762760">
        <w:rPr>
          <w:lang w:val="es-ES"/>
        </w:rPr>
        <w:tab/>
        <w:t>2.6.2.1.1, seconde phrase</w:t>
      </w:r>
      <w:r w:rsidR="00567C76">
        <w:rPr>
          <w:lang w:val="es-ES"/>
        </w:rPr>
        <w:t> </w:t>
      </w:r>
      <w:r w:rsidRPr="00762760">
        <w:rPr>
          <w:lang w:val="es-ES"/>
        </w:rPr>
        <w:t>:</w:t>
      </w:r>
    </w:p>
    <w:p w14:paraId="65128450" w14:textId="7661736C" w:rsidR="00762760" w:rsidRPr="00762760" w:rsidRDefault="00567C76" w:rsidP="00762760">
      <w:pPr>
        <w:pStyle w:val="SingleTxtG"/>
        <w:ind w:left="1701"/>
        <w:rPr>
          <w:lang w:val="es-ES"/>
        </w:rPr>
      </w:pPr>
      <w:r w:rsidRPr="00567C76">
        <w:rPr>
          <w:lang w:val="es-ES"/>
        </w:rPr>
        <w:t>«</w:t>
      </w:r>
      <w:r w:rsidRPr="00567C76">
        <w:rPr>
          <w:lang w:val="es-ES"/>
        </w:rPr>
        <w:t> </w:t>
      </w:r>
      <w:r w:rsidR="00762760" w:rsidRPr="00762760">
        <w:rPr>
          <w:lang w:val="es-ES"/>
        </w:rPr>
        <w:t xml:space="preserve">El </w:t>
      </w:r>
      <w:r w:rsidR="00762760" w:rsidRPr="00762760">
        <w:rPr>
          <w:rFonts w:eastAsiaTheme="minorEastAsia"/>
          <w:lang w:val="es-ES"/>
        </w:rPr>
        <w:t>valor</w:t>
      </w:r>
      <w:r w:rsidR="00762760" w:rsidRPr="00762760">
        <w:rPr>
          <w:lang w:val="es-ES"/>
        </w:rPr>
        <w:t xml:space="preserve"> de DL</w:t>
      </w:r>
      <w:r w:rsidR="00762760" w:rsidRPr="00762760">
        <w:rPr>
          <w:vertAlign w:val="subscript"/>
          <w:lang w:val="es-ES"/>
        </w:rPr>
        <w:t>50</w:t>
      </w:r>
      <w:r w:rsidR="00762760" w:rsidRPr="00762760">
        <w:rPr>
          <w:lang w:val="es-ES"/>
        </w:rPr>
        <w:t xml:space="preserve"> se expresa en términos de masa de la sustancia suministrada por </w:t>
      </w:r>
      <w:r w:rsidR="00762760" w:rsidRPr="00762760">
        <w:rPr>
          <w:strike/>
          <w:lang w:val="es-ES"/>
        </w:rPr>
        <w:t>peso</w:t>
      </w:r>
      <w:r w:rsidR="00762760" w:rsidRPr="00762760">
        <w:rPr>
          <w:lang w:val="es-ES"/>
        </w:rPr>
        <w:t xml:space="preserve"> </w:t>
      </w:r>
      <w:r w:rsidR="00762760" w:rsidRPr="00762760">
        <w:rPr>
          <w:b/>
          <w:bCs/>
          <w:u w:val="single"/>
          <w:lang w:val="es-ES"/>
        </w:rPr>
        <w:t>masa</w:t>
      </w:r>
      <w:r w:rsidR="00762760" w:rsidRPr="00762760">
        <w:rPr>
          <w:lang w:val="es-ES"/>
        </w:rPr>
        <w:t xml:space="preserve"> del animal sometido al ensayo (mg/kg)</w:t>
      </w:r>
      <w:r>
        <w:rPr>
          <w:lang w:val="es-ES"/>
        </w:rPr>
        <w:t> </w:t>
      </w:r>
      <w:r w:rsidRPr="00567C76">
        <w:rPr>
          <w:lang w:val="es-ES"/>
        </w:rPr>
        <w:t>»</w:t>
      </w:r>
      <w:r w:rsidR="00762760" w:rsidRPr="00762760">
        <w:rPr>
          <w:lang w:val="es-ES"/>
        </w:rPr>
        <w:t>;</w:t>
      </w:r>
    </w:p>
    <w:p w14:paraId="126AE6A1" w14:textId="77777777" w:rsidR="00762760" w:rsidRPr="00762760" w:rsidRDefault="00762760" w:rsidP="00762760">
      <w:pPr>
        <w:pStyle w:val="SingleTxtG"/>
        <w:rPr>
          <w:lang w:val="es-ES"/>
        </w:rPr>
      </w:pPr>
      <w:r w:rsidRPr="00762760">
        <w:rPr>
          <w:lang w:val="es-ES"/>
        </w:rPr>
        <w:t>b)</w:t>
      </w:r>
      <w:r w:rsidRPr="00762760">
        <w:rPr>
          <w:lang w:val="es-ES"/>
        </w:rPr>
        <w:tab/>
        <w:t>2.7.2.3.3.5 c), quatrième phrase :</w:t>
      </w:r>
    </w:p>
    <w:p w14:paraId="2A1E61BE" w14:textId="4D020850" w:rsidR="00762760" w:rsidRPr="00762760" w:rsidRDefault="00567C76" w:rsidP="00762760">
      <w:pPr>
        <w:pStyle w:val="SingleTxtG"/>
        <w:ind w:left="1701"/>
        <w:rPr>
          <w:rFonts w:eastAsiaTheme="minorEastAsia"/>
          <w:lang w:val="es-ES"/>
        </w:rPr>
      </w:pPr>
      <w:r w:rsidRPr="00567C76">
        <w:rPr>
          <w:lang w:val="es-ES"/>
        </w:rPr>
        <w:t>«</w:t>
      </w:r>
      <w:r>
        <w:rPr>
          <w:rFonts w:eastAsia="Times New Roman"/>
          <w:lang w:val="es-ES"/>
        </w:rPr>
        <w:t> </w:t>
      </w:r>
      <w:r w:rsidR="00762760" w:rsidRPr="00762760">
        <w:rPr>
          <w:rFonts w:eastAsia="Times New Roman"/>
          <w:lang w:val="es-ES"/>
        </w:rPr>
        <w:t xml:space="preserve">La </w:t>
      </w:r>
      <w:r w:rsidR="00762760" w:rsidRPr="00762760">
        <w:rPr>
          <w:rFonts w:eastAsiaTheme="minorEastAsia"/>
          <w:lang w:val="es-ES"/>
        </w:rPr>
        <w:t>barra</w:t>
      </w:r>
      <w:r w:rsidR="00762760" w:rsidRPr="00762760">
        <w:rPr>
          <w:rFonts w:eastAsia="Times New Roman"/>
          <w:lang w:val="es-ES"/>
        </w:rPr>
        <w:t xml:space="preserve"> golpeará el espécimen de manera que se produzca un impacto equivalente al que produciría la caída libre </w:t>
      </w:r>
      <w:r w:rsidR="00762760" w:rsidRPr="00762760">
        <w:rPr>
          <w:rFonts w:eastAsia="Times New Roman"/>
          <w:strike/>
          <w:lang w:val="es-ES"/>
        </w:rPr>
        <w:t>de un peso</w:t>
      </w:r>
      <w:r w:rsidR="00762760" w:rsidRPr="00762760">
        <w:rPr>
          <w:rFonts w:eastAsia="Times New Roman"/>
          <w:lang w:val="es-ES"/>
        </w:rPr>
        <w:t xml:space="preserve"> de 1,4 kg desde una altura de 1 m</w:t>
      </w:r>
      <w:r>
        <w:rPr>
          <w:rFonts w:eastAsia="Times New Roman"/>
          <w:lang w:val="es-ES"/>
        </w:rPr>
        <w:t> </w:t>
      </w:r>
      <w:r w:rsidRPr="00567C76">
        <w:rPr>
          <w:lang w:val="es-ES"/>
        </w:rPr>
        <w:t>»</w:t>
      </w:r>
      <w:r w:rsidR="00762760" w:rsidRPr="00762760">
        <w:rPr>
          <w:rFonts w:eastAsia="Times New Roman"/>
          <w:lang w:val="es-ES"/>
        </w:rPr>
        <w:t>;</w:t>
      </w:r>
    </w:p>
    <w:p w14:paraId="6A9872CA" w14:textId="77777777" w:rsidR="00762760" w:rsidRPr="00762760" w:rsidRDefault="00762760" w:rsidP="00762760">
      <w:pPr>
        <w:pStyle w:val="SingleTxtG"/>
        <w:rPr>
          <w:lang w:val="es-ES"/>
        </w:rPr>
      </w:pPr>
      <w:r w:rsidRPr="00762760">
        <w:rPr>
          <w:lang w:val="es-ES"/>
        </w:rPr>
        <w:t>c)</w:t>
      </w:r>
      <w:r w:rsidRPr="00762760">
        <w:rPr>
          <w:lang w:val="es-ES"/>
        </w:rPr>
        <w:tab/>
        <w:t>4.1.4.1, P400 2), dernière phrase :</w:t>
      </w:r>
    </w:p>
    <w:p w14:paraId="75789522" w14:textId="3397062B" w:rsidR="00762760" w:rsidRPr="00762760" w:rsidRDefault="00567C76" w:rsidP="00762760">
      <w:pPr>
        <w:pStyle w:val="SingleTxtG"/>
        <w:ind w:left="1701"/>
        <w:rPr>
          <w:rFonts w:eastAsiaTheme="minorEastAsia"/>
          <w:lang w:val="es-ES"/>
        </w:rPr>
      </w:pPr>
      <w:r w:rsidRPr="00567C76">
        <w:rPr>
          <w:lang w:val="es-ES"/>
        </w:rPr>
        <w:t>«</w:t>
      </w:r>
      <w:r w:rsidR="00762760" w:rsidRPr="00762760">
        <w:rPr>
          <w:rFonts w:eastAsiaTheme="minorEastAsia"/>
          <w:lang w:val="es-ES"/>
        </w:rPr>
        <w:t xml:space="preserve">Los embalajes/envases exteriores tendrán </w:t>
      </w:r>
      <w:r w:rsidR="00762760" w:rsidRPr="00762760">
        <w:rPr>
          <w:rFonts w:eastAsiaTheme="minorEastAsia"/>
          <w:strike/>
          <w:lang w:val="es-ES"/>
        </w:rPr>
        <w:t>un peso neto máximo</w:t>
      </w:r>
      <w:r w:rsidR="00762760" w:rsidRPr="00762760">
        <w:rPr>
          <w:rFonts w:eastAsiaTheme="minorEastAsia"/>
          <w:lang w:val="es-ES"/>
        </w:rPr>
        <w:t xml:space="preserve"> </w:t>
      </w:r>
      <w:bookmarkStart w:id="0" w:name="_Hlk124767258"/>
      <w:r w:rsidR="00762760" w:rsidRPr="00762760">
        <w:rPr>
          <w:rFonts w:eastAsiaTheme="minorEastAsia"/>
          <w:b/>
          <w:bCs/>
          <w:u w:val="single"/>
          <w:lang w:val="es-ES"/>
        </w:rPr>
        <w:t>una masa neta máxima</w:t>
      </w:r>
      <w:r w:rsidR="00762760" w:rsidRPr="00762760">
        <w:rPr>
          <w:rFonts w:eastAsiaTheme="minorEastAsia"/>
          <w:lang w:val="es-ES"/>
        </w:rPr>
        <w:t xml:space="preserve"> </w:t>
      </w:r>
      <w:bookmarkEnd w:id="0"/>
      <w:r w:rsidR="00762760" w:rsidRPr="00762760">
        <w:rPr>
          <w:rFonts w:eastAsiaTheme="minorEastAsia"/>
          <w:lang w:val="es-ES"/>
        </w:rPr>
        <w:t>de 125 kg</w:t>
      </w:r>
      <w:r>
        <w:rPr>
          <w:rFonts w:eastAsiaTheme="minorEastAsia"/>
          <w:lang w:val="es-ES"/>
        </w:rPr>
        <w:t> </w:t>
      </w:r>
      <w:r w:rsidRPr="00567C76">
        <w:rPr>
          <w:lang w:val="es-ES"/>
        </w:rPr>
        <w:t>»</w:t>
      </w:r>
      <w:r w:rsidR="00762760" w:rsidRPr="00762760">
        <w:rPr>
          <w:rFonts w:eastAsiaTheme="minorEastAsia"/>
          <w:lang w:val="es-ES"/>
        </w:rPr>
        <w:t>;</w:t>
      </w:r>
    </w:p>
    <w:p w14:paraId="2DFE2CD1" w14:textId="77777777" w:rsidR="00762760" w:rsidRPr="00762760" w:rsidRDefault="00762760" w:rsidP="00567C76">
      <w:pPr>
        <w:pStyle w:val="SingleTxtG"/>
        <w:keepNext/>
        <w:rPr>
          <w:rFonts w:eastAsiaTheme="minorEastAsia"/>
          <w:lang w:val="es-ES"/>
        </w:rPr>
      </w:pPr>
      <w:r w:rsidRPr="00762760">
        <w:rPr>
          <w:lang w:val="es-ES"/>
        </w:rPr>
        <w:lastRenderedPageBreak/>
        <w:t>d)</w:t>
      </w:r>
      <w:r w:rsidRPr="00762760">
        <w:rPr>
          <w:lang w:val="es-ES"/>
        </w:rPr>
        <w:tab/>
        <w:t>4.1.4.1, P900 2);</w:t>
      </w:r>
    </w:p>
    <w:p w14:paraId="0B0A2452" w14:textId="7954B227" w:rsidR="00762760" w:rsidRPr="00762760" w:rsidRDefault="00567C76" w:rsidP="00762760">
      <w:pPr>
        <w:pStyle w:val="SingleTxtG"/>
        <w:ind w:left="1701"/>
        <w:rPr>
          <w:rFonts w:eastAsiaTheme="minorEastAsia"/>
          <w:lang w:val="es-ES"/>
        </w:rPr>
      </w:pPr>
      <w:r w:rsidRPr="00567C76">
        <w:rPr>
          <w:lang w:val="es-ES"/>
        </w:rPr>
        <w:t>«</w:t>
      </w:r>
      <w:r w:rsidR="00762760" w:rsidRPr="00762760">
        <w:rPr>
          <w:lang w:val="es-ES"/>
        </w:rPr>
        <w:t xml:space="preserve">Sacos (5H1, 5H2, 5H3, 5H4, 5H5, 5L1, 5L2, 5L3, 5M1 o 5M2) con </w:t>
      </w:r>
      <w:r w:rsidR="00762760" w:rsidRPr="00762760">
        <w:rPr>
          <w:strike/>
          <w:lang w:val="es-ES"/>
        </w:rPr>
        <w:t>un peso máximo</w:t>
      </w:r>
      <w:r w:rsidR="00762760" w:rsidRPr="00762760">
        <w:rPr>
          <w:lang w:val="es-ES"/>
        </w:rPr>
        <w:t xml:space="preserve"> </w:t>
      </w:r>
      <w:r w:rsidR="00762760" w:rsidRPr="00762760">
        <w:rPr>
          <w:b/>
          <w:bCs/>
          <w:u w:val="single"/>
          <w:lang w:val="es-ES"/>
        </w:rPr>
        <w:t>una masa neta</w:t>
      </w:r>
      <w:r w:rsidR="00762760" w:rsidRPr="00762760">
        <w:rPr>
          <w:sz w:val="18"/>
          <w:vertAlign w:val="superscript"/>
        </w:rPr>
        <w:footnoteReference w:id="3"/>
      </w:r>
      <w:r w:rsidR="00762760" w:rsidRPr="00762760">
        <w:rPr>
          <w:b/>
          <w:bCs/>
          <w:u w:val="single"/>
          <w:lang w:val="es-ES"/>
        </w:rPr>
        <w:t xml:space="preserve"> máxima</w:t>
      </w:r>
      <w:r w:rsidR="00762760" w:rsidRPr="00762760">
        <w:rPr>
          <w:lang w:val="es-ES"/>
        </w:rPr>
        <w:t xml:space="preserve"> de 50 kg</w:t>
      </w:r>
      <w:r>
        <w:rPr>
          <w:lang w:val="es-ES"/>
        </w:rPr>
        <w:t> </w:t>
      </w:r>
      <w:r w:rsidRPr="00567C76">
        <w:rPr>
          <w:lang w:val="es-ES"/>
        </w:rPr>
        <w:t>»</w:t>
      </w:r>
      <w:r w:rsidR="00762760" w:rsidRPr="00762760">
        <w:rPr>
          <w:lang w:val="es-ES"/>
        </w:rPr>
        <w:t>;</w:t>
      </w:r>
    </w:p>
    <w:p w14:paraId="1F2021D4" w14:textId="77777777" w:rsidR="00762760" w:rsidRPr="00762760" w:rsidRDefault="00762760" w:rsidP="00762760">
      <w:pPr>
        <w:pStyle w:val="SingleTxtG"/>
        <w:rPr>
          <w:rFonts w:eastAsiaTheme="minorEastAsia"/>
          <w:lang w:val="es-ES"/>
        </w:rPr>
      </w:pPr>
      <w:r w:rsidRPr="00762760">
        <w:rPr>
          <w:lang w:val="es-ES"/>
        </w:rPr>
        <w:t>e)</w:t>
      </w:r>
      <w:r w:rsidRPr="00762760">
        <w:rPr>
          <w:lang w:val="es-ES"/>
        </w:rPr>
        <w:tab/>
        <w:t>6.1.5.2.1, deuxième phrase :</w:t>
      </w:r>
    </w:p>
    <w:p w14:paraId="2EBE72CC" w14:textId="15226C8D" w:rsidR="00762760" w:rsidRPr="00762760" w:rsidRDefault="00567C76" w:rsidP="00762760">
      <w:pPr>
        <w:pStyle w:val="SingleTxtG"/>
        <w:ind w:left="1701"/>
        <w:rPr>
          <w:rFonts w:eastAsiaTheme="minorEastAsia"/>
          <w:lang w:val="es-ES"/>
        </w:rPr>
      </w:pPr>
      <w:r w:rsidRPr="00567C76">
        <w:rPr>
          <w:lang w:val="es-ES"/>
        </w:rPr>
        <w:t>«</w:t>
      </w:r>
      <w:r>
        <w:rPr>
          <w:lang w:val="es-ES"/>
        </w:rPr>
        <w:t> </w:t>
      </w:r>
      <w:r w:rsidR="00762760" w:rsidRPr="00762760">
        <w:rPr>
          <w:rFonts w:eastAsiaTheme="minorEastAsia"/>
          <w:lang w:val="es-ES"/>
        </w:rPr>
        <w:t xml:space="preserve">Los sacos se llenarán con </w:t>
      </w:r>
      <w:r w:rsidR="00762760" w:rsidRPr="00762760">
        <w:rPr>
          <w:rFonts w:eastAsiaTheme="minorEastAsia"/>
          <w:strike/>
          <w:lang w:val="es-ES"/>
        </w:rPr>
        <w:t>el peso máximo</w:t>
      </w:r>
      <w:r w:rsidR="00762760" w:rsidRPr="00762760">
        <w:rPr>
          <w:rFonts w:eastAsiaTheme="minorEastAsia"/>
          <w:lang w:val="es-ES"/>
        </w:rPr>
        <w:t xml:space="preserve"> </w:t>
      </w:r>
      <w:r w:rsidR="00762760" w:rsidRPr="00762760">
        <w:rPr>
          <w:rFonts w:eastAsiaTheme="minorEastAsia"/>
          <w:b/>
          <w:bCs/>
          <w:u w:val="single"/>
          <w:lang w:val="es-ES"/>
        </w:rPr>
        <w:t>la masa máxima</w:t>
      </w:r>
      <w:r w:rsidR="00762760" w:rsidRPr="00762760">
        <w:rPr>
          <w:rFonts w:eastAsiaTheme="minorEastAsia"/>
          <w:lang w:val="es-ES"/>
        </w:rPr>
        <w:t xml:space="preserve"> con el que puedan utilizarse.</w:t>
      </w:r>
      <w:r>
        <w:rPr>
          <w:rFonts w:eastAsiaTheme="minorEastAsia"/>
          <w:lang w:val="es-ES"/>
        </w:rPr>
        <w:t> </w:t>
      </w:r>
      <w:r w:rsidRPr="00567C76">
        <w:rPr>
          <w:lang w:val="es-ES"/>
        </w:rPr>
        <w:t>»</w:t>
      </w:r>
    </w:p>
    <w:p w14:paraId="5B46B91A" w14:textId="33E84499" w:rsidR="00762760" w:rsidRPr="00762760" w:rsidRDefault="00762760" w:rsidP="00762760">
      <w:pPr>
        <w:pStyle w:val="H1G"/>
        <w:rPr>
          <w:lang w:val="fr-FR"/>
        </w:rPr>
      </w:pPr>
      <w:r w:rsidRPr="00567C76">
        <w:rPr>
          <w:lang w:val="es-ES"/>
        </w:rPr>
        <w:tab/>
      </w:r>
      <w:r w:rsidRPr="00762760">
        <w:rPr>
          <w:lang w:val="fr-FR"/>
        </w:rPr>
        <w:t>E.</w:t>
      </w:r>
      <w:r w:rsidRPr="00762760">
        <w:rPr>
          <w:lang w:val="fr-FR"/>
        </w:rPr>
        <w:tab/>
        <w:t>Proposition 5</w:t>
      </w:r>
    </w:p>
    <w:p w14:paraId="4337EEBD" w14:textId="77777777" w:rsidR="00762760" w:rsidRPr="00762760" w:rsidRDefault="00762760" w:rsidP="00762760">
      <w:pPr>
        <w:pStyle w:val="SingleTxtG"/>
        <w:rPr>
          <w:rFonts w:eastAsiaTheme="minorEastAsia"/>
          <w:lang w:val="fr-FR"/>
        </w:rPr>
      </w:pPr>
      <w:r w:rsidRPr="00762760">
        <w:rPr>
          <w:lang w:val="fr-FR"/>
        </w:rPr>
        <w:t>13.</w:t>
      </w:r>
      <w:r w:rsidRPr="00762760">
        <w:rPr>
          <w:lang w:val="fr-FR"/>
        </w:rPr>
        <w:tab/>
        <w:t>Modifier l’alinéa b) du 2.3.1.2 comme suit (les modifications qu’il est proposé d’apporter au texte actuel figurent en caractères gras pour les ajouts et biffés pour les suppressions) :</w:t>
      </w:r>
    </w:p>
    <w:p w14:paraId="1E0722A6" w14:textId="5551AFDA" w:rsidR="00762760" w:rsidRPr="00762760" w:rsidRDefault="00567C76" w:rsidP="00762760">
      <w:pPr>
        <w:pStyle w:val="SingleTxtG"/>
        <w:ind w:left="1701"/>
        <w:rPr>
          <w:lang w:val="es-ES"/>
        </w:rPr>
      </w:pPr>
      <w:r w:rsidRPr="00567C76">
        <w:rPr>
          <w:lang w:val="es-ES"/>
        </w:rPr>
        <w:t>«</w:t>
      </w:r>
      <w:r>
        <w:rPr>
          <w:lang w:val="es-ES"/>
        </w:rPr>
        <w:t> </w:t>
      </w:r>
      <w:r w:rsidR="00762760" w:rsidRPr="00762760">
        <w:rPr>
          <w:rFonts w:eastAsiaTheme="minorEastAsia"/>
          <w:lang w:val="es-ES"/>
        </w:rPr>
        <w:t xml:space="preserve">Las sustancias que se transportan o se presenta para el transporte a temperaturas elevadas en estado líquido y que desprenden vapores inflamables a una temperatura igual o </w:t>
      </w:r>
      <w:r w:rsidR="00762760" w:rsidRPr="00762760">
        <w:rPr>
          <w:rFonts w:eastAsiaTheme="minorEastAsia"/>
          <w:strike/>
          <w:lang w:val="es-ES"/>
        </w:rPr>
        <w:t>superior</w:t>
      </w:r>
      <w:r w:rsidR="00762760" w:rsidRPr="00762760">
        <w:rPr>
          <w:rFonts w:eastAsiaTheme="minorEastAsia"/>
          <w:lang w:val="es-ES"/>
        </w:rPr>
        <w:t xml:space="preserve"> </w:t>
      </w:r>
      <w:r w:rsidR="00762760" w:rsidRPr="00762760">
        <w:rPr>
          <w:rFonts w:eastAsiaTheme="minorEastAsia"/>
          <w:b/>
          <w:bCs/>
          <w:u w:val="single"/>
          <w:lang w:val="es-ES"/>
        </w:rPr>
        <w:t>inferior</w:t>
      </w:r>
      <w:r w:rsidR="00762760" w:rsidRPr="00762760">
        <w:rPr>
          <w:rFonts w:eastAsiaTheme="minorEastAsia"/>
          <w:lang w:val="es-ES"/>
        </w:rPr>
        <w:t xml:space="preserve"> a la temperatura máxima de transporte.</w:t>
      </w:r>
      <w:r>
        <w:rPr>
          <w:lang w:val="es-ES"/>
        </w:rPr>
        <w:t> </w:t>
      </w:r>
      <w:r w:rsidRPr="00567C76">
        <w:rPr>
          <w:lang w:val="es-ES"/>
        </w:rPr>
        <w:t>»</w:t>
      </w:r>
    </w:p>
    <w:p w14:paraId="4F26D19C" w14:textId="7563C9BD" w:rsidR="00446FE5" w:rsidRPr="00762760" w:rsidRDefault="00762760" w:rsidP="00762760">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446FE5" w:rsidRPr="00762760" w:rsidSect="007627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4CB7" w14:textId="77777777" w:rsidR="005E0010" w:rsidRDefault="005E0010" w:rsidP="00F95C08">
      <w:pPr>
        <w:spacing w:line="240" w:lineRule="auto"/>
      </w:pPr>
    </w:p>
  </w:endnote>
  <w:endnote w:type="continuationSeparator" w:id="0">
    <w:p w14:paraId="6B5A6451" w14:textId="77777777" w:rsidR="005E0010" w:rsidRPr="00AC3823" w:rsidRDefault="005E0010" w:rsidP="00AC3823">
      <w:pPr>
        <w:pStyle w:val="Pieddepage"/>
      </w:pPr>
    </w:p>
  </w:endnote>
  <w:endnote w:type="continuationNotice" w:id="1">
    <w:p w14:paraId="4E98E094" w14:textId="77777777" w:rsidR="005E0010" w:rsidRDefault="005E00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8DF" w14:textId="6765C51D" w:rsidR="00762760" w:rsidRPr="00762760" w:rsidRDefault="00762760" w:rsidP="00762760">
    <w:pPr>
      <w:pStyle w:val="Pieddepage"/>
      <w:tabs>
        <w:tab w:val="right" w:pos="9638"/>
      </w:tabs>
    </w:pPr>
    <w:r w:rsidRPr="00762760">
      <w:rPr>
        <w:b/>
        <w:sz w:val="18"/>
      </w:rPr>
      <w:fldChar w:fldCharType="begin"/>
    </w:r>
    <w:r w:rsidRPr="00762760">
      <w:rPr>
        <w:b/>
        <w:sz w:val="18"/>
      </w:rPr>
      <w:instrText xml:space="preserve"> PAGE  \* MERGEFORMAT </w:instrText>
    </w:r>
    <w:r w:rsidRPr="00762760">
      <w:rPr>
        <w:b/>
        <w:sz w:val="18"/>
      </w:rPr>
      <w:fldChar w:fldCharType="separate"/>
    </w:r>
    <w:r w:rsidRPr="00762760">
      <w:rPr>
        <w:b/>
        <w:noProof/>
        <w:sz w:val="18"/>
      </w:rPr>
      <w:t>2</w:t>
    </w:r>
    <w:r w:rsidRPr="00762760">
      <w:rPr>
        <w:b/>
        <w:sz w:val="18"/>
      </w:rPr>
      <w:fldChar w:fldCharType="end"/>
    </w:r>
    <w:r>
      <w:rPr>
        <w:b/>
        <w:sz w:val="18"/>
      </w:rPr>
      <w:tab/>
    </w:r>
    <w:r>
      <w:t>GE.23-07444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4E62" w14:textId="29285941" w:rsidR="00762760" w:rsidRPr="00762760" w:rsidRDefault="00762760" w:rsidP="00762760">
    <w:pPr>
      <w:pStyle w:val="Pieddepage"/>
      <w:tabs>
        <w:tab w:val="right" w:pos="9638"/>
      </w:tabs>
      <w:rPr>
        <w:b/>
        <w:sz w:val="18"/>
      </w:rPr>
    </w:pPr>
    <w:r>
      <w:t>GE.23-07444</w:t>
    </w:r>
    <w:r>
      <w:tab/>
    </w:r>
    <w:r w:rsidRPr="00762760">
      <w:rPr>
        <w:b/>
        <w:sz w:val="18"/>
      </w:rPr>
      <w:fldChar w:fldCharType="begin"/>
    </w:r>
    <w:r w:rsidRPr="00762760">
      <w:rPr>
        <w:b/>
        <w:sz w:val="18"/>
      </w:rPr>
      <w:instrText xml:space="preserve"> PAGE  \* MERGEFORMAT </w:instrText>
    </w:r>
    <w:r w:rsidRPr="00762760">
      <w:rPr>
        <w:b/>
        <w:sz w:val="18"/>
      </w:rPr>
      <w:fldChar w:fldCharType="separate"/>
    </w:r>
    <w:r w:rsidRPr="00762760">
      <w:rPr>
        <w:b/>
        <w:noProof/>
        <w:sz w:val="18"/>
      </w:rPr>
      <w:t>3</w:t>
    </w:r>
    <w:r w:rsidRPr="007627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F50" w14:textId="0F022BF2" w:rsidR="0068456F" w:rsidRPr="00762760" w:rsidRDefault="00762760" w:rsidP="0076276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DDE35C5" wp14:editId="22F7B6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23-07444  (F)</w:t>
    </w:r>
    <w:r>
      <w:rPr>
        <w:noProof/>
        <w:sz w:val="20"/>
      </w:rPr>
      <w:drawing>
        <wp:anchor distT="0" distB="0" distL="114300" distR="114300" simplePos="0" relativeHeight="251660288" behindDoc="0" locked="0" layoutInCell="1" allowOverlap="1" wp14:anchorId="58C19137" wp14:editId="78ECB11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090523    090523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AA4B" w14:textId="77777777" w:rsidR="005E0010" w:rsidRPr="00AC3823" w:rsidRDefault="005E0010" w:rsidP="00AC3823">
      <w:pPr>
        <w:pStyle w:val="Pieddepage"/>
        <w:tabs>
          <w:tab w:val="right" w:pos="2155"/>
        </w:tabs>
        <w:spacing w:after="80" w:line="240" w:lineRule="atLeast"/>
        <w:ind w:left="680"/>
        <w:rPr>
          <w:u w:val="single"/>
        </w:rPr>
      </w:pPr>
      <w:r>
        <w:rPr>
          <w:u w:val="single"/>
        </w:rPr>
        <w:tab/>
      </w:r>
    </w:p>
  </w:footnote>
  <w:footnote w:type="continuationSeparator" w:id="0">
    <w:p w14:paraId="3B612588" w14:textId="77777777" w:rsidR="005E0010" w:rsidRPr="00AC3823" w:rsidRDefault="005E0010" w:rsidP="00AC3823">
      <w:pPr>
        <w:pStyle w:val="Pieddepage"/>
        <w:tabs>
          <w:tab w:val="right" w:pos="2155"/>
        </w:tabs>
        <w:spacing w:after="80" w:line="240" w:lineRule="atLeast"/>
        <w:ind w:left="680"/>
        <w:rPr>
          <w:u w:val="single"/>
        </w:rPr>
      </w:pPr>
      <w:r>
        <w:rPr>
          <w:u w:val="single"/>
        </w:rPr>
        <w:tab/>
      </w:r>
    </w:p>
  </w:footnote>
  <w:footnote w:type="continuationNotice" w:id="1">
    <w:p w14:paraId="549EFFCB" w14:textId="77777777" w:rsidR="005E0010" w:rsidRPr="00AC3823" w:rsidRDefault="005E0010">
      <w:pPr>
        <w:spacing w:line="240" w:lineRule="auto"/>
        <w:rPr>
          <w:sz w:val="2"/>
          <w:szCs w:val="2"/>
        </w:rPr>
      </w:pPr>
    </w:p>
  </w:footnote>
  <w:footnote w:id="2">
    <w:p w14:paraId="3B39A348" w14:textId="77777777" w:rsidR="00762760" w:rsidRPr="004B6B22" w:rsidRDefault="00762760" w:rsidP="00762760">
      <w:pPr>
        <w:pStyle w:val="Notedebasdepage"/>
        <w:rPr>
          <w:lang w:val="fr-FR"/>
        </w:rPr>
      </w:pPr>
      <w:r>
        <w:rPr>
          <w:lang w:val="fr-FR"/>
        </w:rPr>
        <w:tab/>
        <w:t>*</w:t>
      </w:r>
      <w:r>
        <w:rPr>
          <w:lang w:val="fr-FR"/>
        </w:rPr>
        <w:tab/>
        <w:t>A/77/6 (Sect. 20), tableau 20.6.</w:t>
      </w:r>
    </w:p>
  </w:footnote>
  <w:footnote w:id="3">
    <w:p w14:paraId="2D39DA06" w14:textId="5C7785CC" w:rsidR="00762760" w:rsidRPr="004B6B22" w:rsidRDefault="00762760" w:rsidP="00762760">
      <w:pPr>
        <w:pStyle w:val="Notedebasdepage"/>
        <w:rPr>
          <w:lang w:val="fr-FR"/>
        </w:rPr>
      </w:pPr>
      <w:r>
        <w:rPr>
          <w:lang w:val="fr-FR"/>
        </w:rPr>
        <w:tab/>
      </w:r>
      <w:r w:rsidRPr="001F01D6">
        <w:rPr>
          <w:rStyle w:val="Appelnotedebasdep"/>
        </w:rPr>
        <w:footnoteRef/>
      </w:r>
      <w:r>
        <w:rPr>
          <w:lang w:val="fr-FR"/>
        </w:rPr>
        <w:tab/>
        <w:t xml:space="preserve">Note du secrétariat : Le mot </w:t>
      </w:r>
      <w:r w:rsidR="00567C76">
        <w:rPr>
          <w:lang w:val="fr-FR"/>
        </w:rPr>
        <w:t>« </w:t>
      </w:r>
      <w:r>
        <w:rPr>
          <w:lang w:val="fr-FR"/>
        </w:rPr>
        <w:t>neta</w:t>
      </w:r>
      <w:r w:rsidR="00567C76">
        <w:rPr>
          <w:lang w:val="fr-FR"/>
        </w:rPr>
        <w:t> »</w:t>
      </w:r>
      <w:r>
        <w:rPr>
          <w:lang w:val="fr-FR"/>
        </w:rPr>
        <w:t xml:space="preserve"> (en anglais, </w:t>
      </w:r>
      <w:r w:rsidR="00567C76">
        <w:rPr>
          <w:lang w:val="fr-FR"/>
        </w:rPr>
        <w:t>« </w:t>
      </w:r>
      <w:r>
        <w:rPr>
          <w:lang w:val="fr-FR"/>
        </w:rPr>
        <w:t>net</w:t>
      </w:r>
      <w:r w:rsidR="00567C76">
        <w:rPr>
          <w:lang w:val="fr-FR"/>
        </w:rPr>
        <w:t> »</w:t>
      </w:r>
      <w:r>
        <w:rPr>
          <w:lang w:val="fr-FR"/>
        </w:rPr>
        <w:t>) est absent de la version espagnole du Règlement type et a été ajouté ici par le secrétariat pour aligner cette version sur les autres versions linguistiques.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95A2" w14:textId="7B4ADF10" w:rsidR="00762760" w:rsidRPr="00762760" w:rsidRDefault="00762760">
    <w:pPr>
      <w:pStyle w:val="En-tte"/>
    </w:pPr>
    <w:fldSimple w:instr=" TITLE  \* MERGEFORMAT ">
      <w:r w:rsidR="00592700">
        <w:t>ST/SG/AC.10/C.3/2023/4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6751" w14:textId="2D5B1A08" w:rsidR="00762760" w:rsidRPr="00762760" w:rsidRDefault="00762760" w:rsidP="00762760">
    <w:pPr>
      <w:pStyle w:val="En-tte"/>
      <w:jc w:val="right"/>
    </w:pPr>
    <w:fldSimple w:instr=" TITLE  \* MERGEFORMAT ">
      <w:r w:rsidR="00592700">
        <w:t>ST/SG/AC.10/C.3/2023/4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30098598">
    <w:abstractNumId w:val="12"/>
  </w:num>
  <w:num w:numId="2" w16cid:durableId="1575163859">
    <w:abstractNumId w:val="11"/>
  </w:num>
  <w:num w:numId="3" w16cid:durableId="1790514260">
    <w:abstractNumId w:val="10"/>
  </w:num>
  <w:num w:numId="4" w16cid:durableId="1468283355">
    <w:abstractNumId w:val="8"/>
  </w:num>
  <w:num w:numId="5" w16cid:durableId="1677076517">
    <w:abstractNumId w:val="3"/>
  </w:num>
  <w:num w:numId="6" w16cid:durableId="210726413">
    <w:abstractNumId w:val="2"/>
  </w:num>
  <w:num w:numId="7" w16cid:durableId="381290791">
    <w:abstractNumId w:val="1"/>
  </w:num>
  <w:num w:numId="8" w16cid:durableId="616760620">
    <w:abstractNumId w:val="0"/>
  </w:num>
  <w:num w:numId="9" w16cid:durableId="1477717282">
    <w:abstractNumId w:val="9"/>
  </w:num>
  <w:num w:numId="10" w16cid:durableId="1705324493">
    <w:abstractNumId w:val="7"/>
  </w:num>
  <w:num w:numId="11" w16cid:durableId="607196230">
    <w:abstractNumId w:val="6"/>
  </w:num>
  <w:num w:numId="12" w16cid:durableId="1731154958">
    <w:abstractNumId w:val="5"/>
  </w:num>
  <w:num w:numId="13" w16cid:durableId="1156452079">
    <w:abstractNumId w:val="4"/>
  </w:num>
  <w:num w:numId="14" w16cid:durableId="1254240359">
    <w:abstractNumId w:val="12"/>
  </w:num>
  <w:num w:numId="15" w16cid:durableId="145781950">
    <w:abstractNumId w:val="11"/>
  </w:num>
  <w:num w:numId="16" w16cid:durableId="1792632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10"/>
    <w:rsid w:val="00017F94"/>
    <w:rsid w:val="00023842"/>
    <w:rsid w:val="000305D3"/>
    <w:rsid w:val="000334F9"/>
    <w:rsid w:val="0007796D"/>
    <w:rsid w:val="000B7790"/>
    <w:rsid w:val="00111F2F"/>
    <w:rsid w:val="00132EA9"/>
    <w:rsid w:val="0014365E"/>
    <w:rsid w:val="00172E49"/>
    <w:rsid w:val="00176178"/>
    <w:rsid w:val="001F525A"/>
    <w:rsid w:val="00223272"/>
    <w:rsid w:val="002438A9"/>
    <w:rsid w:val="0024779E"/>
    <w:rsid w:val="00283190"/>
    <w:rsid w:val="002832AC"/>
    <w:rsid w:val="002D7C93"/>
    <w:rsid w:val="0036659E"/>
    <w:rsid w:val="00441C3B"/>
    <w:rsid w:val="00446FE5"/>
    <w:rsid w:val="00452396"/>
    <w:rsid w:val="004E468C"/>
    <w:rsid w:val="005505B7"/>
    <w:rsid w:val="00567C76"/>
    <w:rsid w:val="00573BE5"/>
    <w:rsid w:val="00584DC4"/>
    <w:rsid w:val="00586ED3"/>
    <w:rsid w:val="00592700"/>
    <w:rsid w:val="00596AA9"/>
    <w:rsid w:val="005E0010"/>
    <w:rsid w:val="00610915"/>
    <w:rsid w:val="0068456F"/>
    <w:rsid w:val="0071601D"/>
    <w:rsid w:val="00762760"/>
    <w:rsid w:val="007A62E6"/>
    <w:rsid w:val="007D6CC7"/>
    <w:rsid w:val="0080684C"/>
    <w:rsid w:val="008123E0"/>
    <w:rsid w:val="00871C75"/>
    <w:rsid w:val="008776DC"/>
    <w:rsid w:val="008B40CD"/>
    <w:rsid w:val="009705C8"/>
    <w:rsid w:val="009C1CF4"/>
    <w:rsid w:val="00A30353"/>
    <w:rsid w:val="00A81281"/>
    <w:rsid w:val="00A92D96"/>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1F0C"/>
  <w15:docId w15:val="{344FAB3A-25D4-47D2-8348-837625F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2</TotalTime>
  <Pages>4</Pages>
  <Words>781</Words>
  <Characters>5989</Characters>
  <Application>Microsoft Office Word</Application>
  <DocSecurity>0</DocSecurity>
  <Lines>1996</Lines>
  <Paragraphs>564</Paragraphs>
  <ScaleCrop>false</ScaleCrop>
  <HeadingPairs>
    <vt:vector size="2" baseType="variant">
      <vt:variant>
        <vt:lpstr>Titre</vt:lpstr>
      </vt:variant>
      <vt:variant>
        <vt:i4>1</vt:i4>
      </vt:variant>
    </vt:vector>
  </HeadingPairs>
  <TitlesOfParts>
    <vt:vector size="1" baseType="lpstr">
      <vt:lpstr>ST/SG/AC.10/C.3/2023/4</vt:lpstr>
    </vt:vector>
  </TitlesOfParts>
  <Company>DCM</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ST/SG/AC.10/C.3/2023/4</dc:title>
  <dc:subject/>
  <dc:creator>Valerie BERTIN</dc:creator>
  <cp:keywords/>
  <cp:lastModifiedBy>Valerie Bertin</cp:lastModifiedBy>
  <cp:revision>3</cp:revision>
  <cp:lastPrinted>2023-05-09T09:52:00Z</cp:lastPrinted>
  <dcterms:created xsi:type="dcterms:W3CDTF">2023-05-09T09:52:00Z</dcterms:created>
  <dcterms:modified xsi:type="dcterms:W3CDTF">2023-05-09T09:54:00Z</dcterms:modified>
</cp:coreProperties>
</file>