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0095C0B4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2E051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9483DB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328EC" w14:textId="3FCCD0C6" w:rsidR="00E52109" w:rsidRDefault="002B77D7" w:rsidP="002B77D7">
            <w:pPr>
              <w:suppressAutoHyphens w:val="0"/>
              <w:jc w:val="right"/>
            </w:pPr>
            <w:r w:rsidRPr="002B77D7">
              <w:rPr>
                <w:sz w:val="40"/>
              </w:rPr>
              <w:t>ST</w:t>
            </w:r>
            <w:r>
              <w:t>/SG/AC.10/C.3/2023/29</w:t>
            </w:r>
          </w:p>
        </w:tc>
      </w:tr>
      <w:tr w:rsidR="00E52109" w14:paraId="43AFB565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C0E5A23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1F1171C" wp14:editId="1910518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DA4B2A8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0202BF3" w14:textId="77777777" w:rsidR="00D94B05" w:rsidRDefault="002B77D7" w:rsidP="002B77D7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40691CAF" w14:textId="65936655" w:rsidR="002B77D7" w:rsidRDefault="008B3FB9" w:rsidP="002B77D7">
            <w:pPr>
              <w:suppressAutoHyphens w:val="0"/>
              <w:spacing w:line="240" w:lineRule="exact"/>
            </w:pPr>
            <w:r>
              <w:t>21</w:t>
            </w:r>
            <w:r w:rsidR="002B77D7">
              <w:t xml:space="preserve"> April 2023</w:t>
            </w:r>
          </w:p>
          <w:p w14:paraId="5256F994" w14:textId="77777777" w:rsidR="002B77D7" w:rsidRDefault="002B77D7" w:rsidP="002B77D7">
            <w:pPr>
              <w:suppressAutoHyphens w:val="0"/>
              <w:spacing w:line="240" w:lineRule="exact"/>
            </w:pPr>
          </w:p>
          <w:p w14:paraId="52669003" w14:textId="6DB1922E" w:rsidR="002B77D7" w:rsidRDefault="002B77D7" w:rsidP="002B77D7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50C19D07" w14:textId="77777777" w:rsidR="00042769" w:rsidRPr="006500BA" w:rsidRDefault="00042769" w:rsidP="00042769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2EB1F454" w14:textId="77777777" w:rsidR="00042769" w:rsidRPr="006500BA" w:rsidRDefault="00042769" w:rsidP="00042769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7BF70BBC" w14:textId="2725BF48" w:rsidR="00042769" w:rsidRPr="006500BA" w:rsidRDefault="002C42A2" w:rsidP="00042769">
      <w:pPr>
        <w:spacing w:before="120"/>
        <w:rPr>
          <w:b/>
        </w:rPr>
      </w:pPr>
      <w:r>
        <w:rPr>
          <w:b/>
        </w:rPr>
        <w:t>Sixty-second</w:t>
      </w:r>
      <w:r w:rsidR="00042769">
        <w:rPr>
          <w:b/>
        </w:rPr>
        <w:t xml:space="preserve"> </w:t>
      </w:r>
      <w:r w:rsidR="00042769" w:rsidRPr="006500BA">
        <w:rPr>
          <w:b/>
        </w:rPr>
        <w:t>session</w:t>
      </w:r>
    </w:p>
    <w:p w14:paraId="4F8A279A" w14:textId="001FA68D" w:rsidR="00042769" w:rsidRPr="006500BA" w:rsidRDefault="00042769" w:rsidP="00042769">
      <w:r w:rsidRPr="006500BA">
        <w:t xml:space="preserve">Geneva, </w:t>
      </w:r>
      <w:r>
        <w:t>3-7 July</w:t>
      </w:r>
      <w:r w:rsidR="008B3FB9">
        <w:t xml:space="preserve"> 2023</w:t>
      </w:r>
    </w:p>
    <w:p w14:paraId="021E25FA" w14:textId="36A06658" w:rsidR="00042769" w:rsidRPr="008F2148" w:rsidRDefault="00042769" w:rsidP="00042769">
      <w:r w:rsidRPr="008F2148">
        <w:t>Item 6 (</w:t>
      </w:r>
      <w:r w:rsidR="00541BDA" w:rsidRPr="008F2148">
        <w:t>c</w:t>
      </w:r>
      <w:r w:rsidRPr="008F2148">
        <w:t>) of the provisional agenda</w:t>
      </w:r>
    </w:p>
    <w:p w14:paraId="59A391EE" w14:textId="4648F8BF" w:rsidR="00042769" w:rsidRPr="003E2B5F" w:rsidRDefault="00042769" w:rsidP="00042769">
      <w:pPr>
        <w:rPr>
          <w:b/>
          <w:bCs/>
        </w:rPr>
      </w:pPr>
      <w:r w:rsidRPr="008F2148">
        <w:rPr>
          <w:b/>
          <w:bCs/>
        </w:rPr>
        <w:t xml:space="preserve">Miscellaneous proposals for amendments to the Model Regulations </w:t>
      </w:r>
      <w:r w:rsidRPr="008F2148">
        <w:rPr>
          <w:b/>
          <w:bCs/>
        </w:rPr>
        <w:br/>
        <w:t xml:space="preserve">on the Transport of Dangerous Goods: </w:t>
      </w:r>
      <w:r w:rsidR="008F2148" w:rsidRPr="008F2148">
        <w:rPr>
          <w:b/>
          <w:bCs/>
        </w:rPr>
        <w:t>portable tanks</w:t>
      </w:r>
    </w:p>
    <w:p w14:paraId="73223472" w14:textId="583F9325" w:rsidR="00042769" w:rsidRPr="00F5561C" w:rsidRDefault="00042769" w:rsidP="00042769">
      <w:pPr>
        <w:pStyle w:val="HChG"/>
        <w:rPr>
          <w:color w:val="000000" w:themeColor="text1"/>
        </w:rPr>
      </w:pPr>
      <w:r>
        <w:tab/>
      </w:r>
      <w:r>
        <w:tab/>
      </w:r>
      <w:r w:rsidR="008566EE" w:rsidRPr="008566EE">
        <w:t>Transport of UN 1789 in intermediate bulk containers (IBC02) and portable tanks (T8</w:t>
      </w:r>
      <w:r w:rsidR="008566EE">
        <w:t>)</w:t>
      </w:r>
    </w:p>
    <w:p w14:paraId="0242FA38" w14:textId="0D6EC1F7" w:rsidR="00042769" w:rsidRDefault="00042769" w:rsidP="00042769">
      <w:pPr>
        <w:pStyle w:val="H1G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372A88">
        <w:rPr>
          <w:rFonts w:eastAsia="Arial Unicode MS"/>
          <w:lang w:val="en-US"/>
        </w:rPr>
        <w:t xml:space="preserve">Transmitted by the </w:t>
      </w:r>
      <w:r w:rsidR="00046311">
        <w:t>International Dangerous Goods and Containers Association (IDGCA)</w:t>
      </w:r>
      <w:r w:rsidRPr="00AA28E9">
        <w:rPr>
          <w:rStyle w:val="FootnoteReference"/>
          <w:rFonts w:eastAsia="Arial Unicode MS"/>
          <w:sz w:val="20"/>
          <w:vertAlign w:val="baseline"/>
          <w:lang w:val="en-US"/>
        </w:rPr>
        <w:footnoteReference w:customMarkFollows="1" w:id="2"/>
        <w:t>*</w:t>
      </w:r>
      <w:r w:rsidR="008B3FB9" w:rsidRPr="008B3FB9">
        <w:rPr>
          <w:rFonts w:eastAsia="Arial Unicode MS"/>
          <w:sz w:val="20"/>
          <w:vertAlign w:val="superscript"/>
          <w:lang w:val="en-US"/>
        </w:rPr>
        <w:t>,</w:t>
      </w:r>
      <w:r w:rsidR="008B3FB9">
        <w:rPr>
          <w:rFonts w:eastAsia="Arial Unicode MS"/>
          <w:sz w:val="20"/>
          <w:lang w:val="en-US"/>
        </w:rPr>
        <w:t>**</w:t>
      </w:r>
    </w:p>
    <w:p w14:paraId="5E85F31C" w14:textId="77777777" w:rsidR="00042769" w:rsidRDefault="00042769" w:rsidP="00042769">
      <w:pPr>
        <w:pStyle w:val="HChG"/>
      </w:pPr>
      <w:r>
        <w:tab/>
        <w:t>I.</w:t>
      </w:r>
      <w:r>
        <w:tab/>
        <w:t>Introduction</w:t>
      </w:r>
    </w:p>
    <w:p w14:paraId="395BBAAB" w14:textId="03E65B8E" w:rsidR="00046311" w:rsidRDefault="00046311" w:rsidP="00046311">
      <w:pPr>
        <w:pStyle w:val="SingleTxtG"/>
      </w:pPr>
      <w:r>
        <w:t>1.</w:t>
      </w:r>
      <w:r>
        <w:tab/>
      </w:r>
      <w:r w:rsidR="005457F2">
        <w:t xml:space="preserve">Intermediate bulk container (IBC) </w:t>
      </w:r>
      <w:r w:rsidR="007E4022">
        <w:t>packing</w:t>
      </w:r>
      <w:r w:rsidR="005457F2">
        <w:t xml:space="preserve"> instruction IBC</w:t>
      </w:r>
      <w:r w:rsidR="00484EB2">
        <w:t>0</w:t>
      </w:r>
      <w:r w:rsidR="006256D1">
        <w:t>2</w:t>
      </w:r>
      <w:r w:rsidR="00484EB2">
        <w:t xml:space="preserve"> is assigned to h</w:t>
      </w:r>
      <w:r>
        <w:t>ydrochloric acid (UN 1789)</w:t>
      </w:r>
      <w:r w:rsidR="0087224A">
        <w:t>, packing group II</w:t>
      </w:r>
      <w:r w:rsidR="00254BC8">
        <w:t>.</w:t>
      </w:r>
      <w:r w:rsidR="00717A1E">
        <w:t xml:space="preserve"> IBC02 allows </w:t>
      </w:r>
      <w:r w:rsidR="00466DD5">
        <w:t>t</w:t>
      </w:r>
      <w:r>
        <w:t>ransport in metal (31А, 31B and 31N), rigid plastic (31H1 and 31N2) and composite (31HZ1) IBC</w:t>
      </w:r>
      <w:r w:rsidR="00484EB2">
        <w:t>s</w:t>
      </w:r>
      <w:r>
        <w:t xml:space="preserve">. </w:t>
      </w:r>
      <w:r w:rsidR="00446591">
        <w:t xml:space="preserve">Packing instruction </w:t>
      </w:r>
      <w:r w:rsidR="00A776A6">
        <w:t>IBC02</w:t>
      </w:r>
      <w:r>
        <w:t xml:space="preserve"> </w:t>
      </w:r>
      <w:r w:rsidR="00AF0670">
        <w:t xml:space="preserve">does not </w:t>
      </w:r>
      <w:r>
        <w:t xml:space="preserve">prohibit </w:t>
      </w:r>
      <w:r w:rsidR="00AF0670">
        <w:t xml:space="preserve">the </w:t>
      </w:r>
      <w:r>
        <w:t>transport of hydrochloric acid in IBC</w:t>
      </w:r>
      <w:r w:rsidR="00AA68BE">
        <w:t>s</w:t>
      </w:r>
      <w:r>
        <w:t xml:space="preserve"> </w:t>
      </w:r>
      <w:r w:rsidR="00E41F07">
        <w:t>with</w:t>
      </w:r>
      <w:r>
        <w:t xml:space="preserve"> bottom openings and </w:t>
      </w:r>
      <w:r w:rsidR="00AA68BE">
        <w:t xml:space="preserve">does not </w:t>
      </w:r>
      <w:r>
        <w:t>specif</w:t>
      </w:r>
      <w:r w:rsidR="00AA68BE">
        <w:t>y</w:t>
      </w:r>
      <w:r>
        <w:t xml:space="preserve"> </w:t>
      </w:r>
      <w:r w:rsidR="00AA68BE">
        <w:t>any</w:t>
      </w:r>
      <w:r>
        <w:t xml:space="preserve"> requirements </w:t>
      </w:r>
      <w:r w:rsidR="00191ED4">
        <w:t>on</w:t>
      </w:r>
      <w:r w:rsidR="00AA68BE">
        <w:t xml:space="preserve"> the</w:t>
      </w:r>
      <w:r>
        <w:t xml:space="preserve"> construction of discharge devices </w:t>
      </w:r>
      <w:r w:rsidR="00AA68BE">
        <w:t xml:space="preserve">or the </w:t>
      </w:r>
      <w:r>
        <w:t xml:space="preserve">number of </w:t>
      </w:r>
      <w:r w:rsidR="0061265D">
        <w:t>shut</w:t>
      </w:r>
      <w:r w:rsidR="004C7340">
        <w:t>-off devices</w:t>
      </w:r>
      <w:r>
        <w:t>.</w:t>
      </w:r>
    </w:p>
    <w:p w14:paraId="0F150585" w14:textId="0A3EC447" w:rsidR="00046311" w:rsidRDefault="00046311" w:rsidP="00046311">
      <w:pPr>
        <w:pStyle w:val="SingleTxtG"/>
      </w:pPr>
      <w:r>
        <w:t>2.</w:t>
      </w:r>
      <w:r>
        <w:tab/>
        <w:t xml:space="preserve">According </w:t>
      </w:r>
      <w:r w:rsidR="00591D0C">
        <w:t>to section</w:t>
      </w:r>
      <w:r>
        <w:t xml:space="preserve"> 6.7.2.6.1</w:t>
      </w:r>
      <w:r w:rsidR="00591D0C">
        <w:t>, c</w:t>
      </w:r>
      <w:r>
        <w:t xml:space="preserve">ertain substances shall </w:t>
      </w:r>
      <w:r w:rsidR="00446259">
        <w:t xml:space="preserve">be </w:t>
      </w:r>
      <w:r>
        <w:t>transported in portable tanks without bottom openings</w:t>
      </w:r>
      <w:r w:rsidR="00446259">
        <w:t>. In particular</w:t>
      </w:r>
      <w:r>
        <w:t xml:space="preserve">, </w:t>
      </w:r>
      <w:r w:rsidR="005B1273">
        <w:t xml:space="preserve">the only portable tank instruction assigned to UN 1789, </w:t>
      </w:r>
      <w:r w:rsidR="00F90D6E">
        <w:t>packing group</w:t>
      </w:r>
      <w:r w:rsidR="005B1273">
        <w:t xml:space="preserve"> II is T8, for which </w:t>
      </w:r>
      <w:r>
        <w:t>bottom openings are not permitted.</w:t>
      </w:r>
    </w:p>
    <w:p w14:paraId="73090607" w14:textId="68557E07" w:rsidR="00734471" w:rsidRDefault="00046311" w:rsidP="00734471">
      <w:pPr>
        <w:pStyle w:val="SingleTxtG"/>
      </w:pPr>
      <w:r>
        <w:t>3.</w:t>
      </w:r>
      <w:r>
        <w:tab/>
      </w:r>
      <w:r w:rsidR="00055B44">
        <w:t>T</w:t>
      </w:r>
      <w:r>
        <w:t>ransport of dangerous goods in IBC</w:t>
      </w:r>
      <w:r w:rsidR="000E5515">
        <w:t>s</w:t>
      </w:r>
      <w:r>
        <w:t xml:space="preserve"> is </w:t>
      </w:r>
      <w:r w:rsidR="000E5515">
        <w:t>allowed</w:t>
      </w:r>
      <w:r>
        <w:t xml:space="preserve"> in a volume </w:t>
      </w:r>
      <w:r w:rsidR="000E5515">
        <w:t xml:space="preserve">of </w:t>
      </w:r>
      <w:r>
        <w:t xml:space="preserve">up to 3000 </w:t>
      </w:r>
      <w:r w:rsidRPr="00E11C03">
        <w:rPr>
          <w:i/>
          <w:iCs/>
        </w:rPr>
        <w:t>l</w:t>
      </w:r>
      <w:r>
        <w:t xml:space="preserve">, </w:t>
      </w:r>
      <w:r w:rsidR="00055B44">
        <w:t>which is</w:t>
      </w:r>
      <w:r>
        <w:t xml:space="preserve"> comparable to </w:t>
      </w:r>
      <w:r w:rsidR="00055B44">
        <w:t>the</w:t>
      </w:r>
      <w:r>
        <w:t xml:space="preserve"> volume to be transported in portable tanks. Thus, the same dangerous </w:t>
      </w:r>
      <w:r w:rsidR="00055B44">
        <w:t>good</w:t>
      </w:r>
      <w:r w:rsidR="00FF0323">
        <w:t>,</w:t>
      </w:r>
      <w:r>
        <w:t xml:space="preserve"> having the same dangerous properties, </w:t>
      </w:r>
      <w:r w:rsidR="00FF0323">
        <w:t xml:space="preserve">may be </w:t>
      </w:r>
      <w:r>
        <w:t xml:space="preserve">transported </w:t>
      </w:r>
      <w:r w:rsidR="006E0482">
        <w:t>under</w:t>
      </w:r>
      <w:r>
        <w:t xml:space="preserve"> different conditions</w:t>
      </w:r>
      <w:r w:rsidR="00FF0323">
        <w:t xml:space="preserve"> depending on whether an IBC or a portable tank is used</w:t>
      </w:r>
      <w:r>
        <w:t>.</w:t>
      </w:r>
    </w:p>
    <w:p w14:paraId="6611FC6C" w14:textId="781C70AC" w:rsidR="00046311" w:rsidRDefault="00046311" w:rsidP="007F73C2">
      <w:pPr>
        <w:pStyle w:val="HChG"/>
      </w:pPr>
      <w:r>
        <w:tab/>
      </w:r>
      <w:r w:rsidR="007F73C2">
        <w:t>II.</w:t>
      </w:r>
      <w:r>
        <w:tab/>
        <w:t>Proposal</w:t>
      </w:r>
    </w:p>
    <w:p w14:paraId="5B0DB5F7" w14:textId="4CBF97A0" w:rsidR="00046311" w:rsidRDefault="00046311" w:rsidP="00046311">
      <w:pPr>
        <w:pStyle w:val="SingleTxtG"/>
      </w:pPr>
      <w:r>
        <w:t>4.</w:t>
      </w:r>
      <w:r>
        <w:tab/>
        <w:t xml:space="preserve">Experts of </w:t>
      </w:r>
      <w:r w:rsidR="00BD5A88">
        <w:t>IDGCA</w:t>
      </w:r>
      <w:r>
        <w:t xml:space="preserve"> propose:</w:t>
      </w:r>
    </w:p>
    <w:p w14:paraId="380AB2CD" w14:textId="209F613F" w:rsidR="00046311" w:rsidRDefault="00225BE3" w:rsidP="00325513">
      <w:pPr>
        <w:pStyle w:val="SingleTxtG"/>
        <w:ind w:left="1701"/>
      </w:pPr>
      <w:r>
        <w:t>(a)</w:t>
      </w:r>
      <w:r w:rsidR="00046311">
        <w:tab/>
      </w:r>
      <w:r w:rsidR="00A574E0">
        <w:t>To d</w:t>
      </w:r>
      <w:r w:rsidR="00046311">
        <w:t xml:space="preserve">iscuss this problem in </w:t>
      </w:r>
      <w:r w:rsidR="00A574E0">
        <w:t>the</w:t>
      </w:r>
      <w:r w:rsidR="00046311">
        <w:t xml:space="preserve"> </w:t>
      </w:r>
      <w:r w:rsidR="00EA503F">
        <w:t xml:space="preserve">sixty-second </w:t>
      </w:r>
      <w:r w:rsidR="00046311">
        <w:t xml:space="preserve">session of the Sub-Committee </w:t>
      </w:r>
      <w:r w:rsidR="00F93BB1">
        <w:t xml:space="preserve">of </w:t>
      </w:r>
      <w:r w:rsidR="00046311">
        <w:t>Experts on the Transport of Dangerous Goods.</w:t>
      </w:r>
    </w:p>
    <w:p w14:paraId="0D7A35CC" w14:textId="378DBC77" w:rsidR="00046311" w:rsidRDefault="00225BE3" w:rsidP="00325513">
      <w:pPr>
        <w:pStyle w:val="SingleTxtG"/>
        <w:ind w:left="1701"/>
      </w:pPr>
      <w:r>
        <w:lastRenderedPageBreak/>
        <w:t>(b)</w:t>
      </w:r>
      <w:r w:rsidR="00046311">
        <w:tab/>
      </w:r>
      <w:r w:rsidR="00A574E0">
        <w:t>To a</w:t>
      </w:r>
      <w:r w:rsidR="00046311">
        <w:t xml:space="preserve">mend </w:t>
      </w:r>
      <w:r w:rsidR="00847E5A">
        <w:t>IBC02 in section</w:t>
      </w:r>
      <w:r w:rsidR="00046311">
        <w:t xml:space="preserve"> 4.1.4.2 </w:t>
      </w:r>
      <w:r w:rsidR="00460A5B">
        <w:t>on</w:t>
      </w:r>
      <w:r w:rsidR="002C1CB0">
        <w:t xml:space="preserve"> the</w:t>
      </w:r>
      <w:r w:rsidR="00046311">
        <w:t xml:space="preserve"> prohibition of bottom discharge devices</w:t>
      </w:r>
      <w:r w:rsidR="00FE18CF">
        <w:t xml:space="preserve"> and</w:t>
      </w:r>
      <w:r w:rsidR="00046311">
        <w:t xml:space="preserve"> t</w:t>
      </w:r>
      <w:r w:rsidR="002C1CB0">
        <w:t>he</w:t>
      </w:r>
      <w:r w:rsidR="00046311">
        <w:t xml:space="preserve"> availability and number of </w:t>
      </w:r>
      <w:r w:rsidR="00390989">
        <w:t>shut-off devices</w:t>
      </w:r>
      <w:r w:rsidR="00046311">
        <w:t xml:space="preserve"> during the transport of dangerous goods in a similar manner to chapter 6.7.</w:t>
      </w:r>
      <w:r w:rsidR="00FE18CF">
        <w:t>2.</w:t>
      </w:r>
      <w:r w:rsidR="00046311">
        <w:t xml:space="preserve">6.1 or </w:t>
      </w:r>
      <w:r w:rsidR="00FE18CF">
        <w:t xml:space="preserve">to </w:t>
      </w:r>
      <w:r w:rsidR="00046311">
        <w:t xml:space="preserve">specify requirements </w:t>
      </w:r>
      <w:r w:rsidR="00FE18CF">
        <w:t>for the</w:t>
      </w:r>
      <w:r w:rsidR="00046311">
        <w:t xml:space="preserve"> design and testing of bottom discharge devices.</w:t>
      </w:r>
    </w:p>
    <w:p w14:paraId="3F16FB33" w14:textId="5BBF8A85" w:rsidR="00046311" w:rsidRDefault="00046311" w:rsidP="007F73C2">
      <w:pPr>
        <w:pStyle w:val="HChG"/>
      </w:pPr>
      <w:r>
        <w:tab/>
      </w:r>
      <w:r w:rsidR="007F73C2">
        <w:t>III.</w:t>
      </w:r>
      <w:r>
        <w:tab/>
        <w:t>Justification</w:t>
      </w:r>
    </w:p>
    <w:p w14:paraId="0F469EA0" w14:textId="76D5190A" w:rsidR="00046311" w:rsidRDefault="00046311" w:rsidP="00466122">
      <w:pPr>
        <w:pStyle w:val="SingleTxtG"/>
      </w:pPr>
      <w:r>
        <w:tab/>
        <w:t>5.</w:t>
      </w:r>
      <w:r>
        <w:tab/>
      </w:r>
      <w:r w:rsidR="0077387E">
        <w:t xml:space="preserve">This proposal aims at </w:t>
      </w:r>
      <w:r w:rsidR="00847733">
        <w:t>(</w:t>
      </w:r>
      <w:proofErr w:type="spellStart"/>
      <w:r w:rsidR="00847733">
        <w:t>i</w:t>
      </w:r>
      <w:proofErr w:type="spellEnd"/>
      <w:r w:rsidR="00847733">
        <w:t xml:space="preserve">) </w:t>
      </w:r>
      <w:r w:rsidR="0077387E">
        <w:t>i</w:t>
      </w:r>
      <w:r>
        <w:t>mproving safety of the transport of dangerous goods in IBC</w:t>
      </w:r>
      <w:r w:rsidR="004E471D">
        <w:t>s</w:t>
      </w:r>
      <w:r w:rsidR="006672BF">
        <w:t>, and</w:t>
      </w:r>
      <w:r w:rsidR="00466122">
        <w:t xml:space="preserve"> </w:t>
      </w:r>
      <w:r w:rsidR="00847733">
        <w:t xml:space="preserve">(ii) </w:t>
      </w:r>
      <w:r w:rsidR="00466122">
        <w:t xml:space="preserve">considering </w:t>
      </w:r>
      <w:r w:rsidR="003065B9">
        <w:t xml:space="preserve">the need for </w:t>
      </w:r>
      <w:r>
        <w:t xml:space="preserve">a </w:t>
      </w:r>
      <w:r w:rsidR="004E471D">
        <w:t xml:space="preserve">common </w:t>
      </w:r>
      <w:r>
        <w:t xml:space="preserve">concept </w:t>
      </w:r>
      <w:r w:rsidR="00942EA1">
        <w:t>on</w:t>
      </w:r>
      <w:r w:rsidR="004E471D">
        <w:t xml:space="preserve"> the</w:t>
      </w:r>
      <w:r>
        <w:t xml:space="preserve"> presence or absence of bottom discharges during the transport</w:t>
      </w:r>
      <w:r w:rsidR="00EA78A7">
        <w:t xml:space="preserve"> </w:t>
      </w:r>
      <w:r>
        <w:t>of dangerous goods in different types of package and containers.</w:t>
      </w:r>
    </w:p>
    <w:p w14:paraId="4A5ACA61" w14:textId="71B226F3" w:rsidR="00046311" w:rsidRDefault="00046311" w:rsidP="00EA78A7">
      <w:pPr>
        <w:pStyle w:val="HChG"/>
      </w:pPr>
      <w:r>
        <w:tab/>
      </w:r>
      <w:r w:rsidR="00EA78A7">
        <w:t>IV.</w:t>
      </w:r>
      <w:r w:rsidR="00EA78A7">
        <w:tab/>
      </w:r>
      <w:r>
        <w:t>Additional</w:t>
      </w:r>
      <w:r w:rsidR="00EA78A7">
        <w:t xml:space="preserve"> </w:t>
      </w:r>
      <w:r w:rsidR="00715248">
        <w:t>details</w:t>
      </w:r>
    </w:p>
    <w:p w14:paraId="06B94603" w14:textId="088771ED" w:rsidR="00AF5DE1" w:rsidRDefault="00847733" w:rsidP="00EA78A7">
      <w:pPr>
        <w:pStyle w:val="SingleTxtG"/>
      </w:pPr>
      <w:r>
        <w:t>6</w:t>
      </w:r>
      <w:r w:rsidR="00EA78A7">
        <w:t>.</w:t>
      </w:r>
      <w:r w:rsidR="00EA78A7">
        <w:tab/>
      </w:r>
      <w:r w:rsidR="00046311">
        <w:t xml:space="preserve">IDGCA will prepare an informal </w:t>
      </w:r>
      <w:r w:rsidR="001F71BA">
        <w:t>document</w:t>
      </w:r>
      <w:r w:rsidR="00046311">
        <w:t xml:space="preserve"> </w:t>
      </w:r>
      <w:r w:rsidR="00715248">
        <w:t>with additional details</w:t>
      </w:r>
      <w:r w:rsidR="00046311">
        <w:t>.</w:t>
      </w:r>
    </w:p>
    <w:p w14:paraId="456D1725" w14:textId="77777777" w:rsidR="00126D3D" w:rsidRDefault="00126D3D" w:rsidP="00EA78A7">
      <w:pPr>
        <w:pStyle w:val="SingleTxtG"/>
      </w:pPr>
    </w:p>
    <w:p w14:paraId="5C1561A2" w14:textId="3B4F70DF" w:rsidR="00734471" w:rsidRDefault="00734471" w:rsidP="00734471">
      <w:pPr>
        <w:pStyle w:val="SingleTxtG"/>
        <w:jc w:val="center"/>
      </w:pPr>
      <w:r>
        <w:rPr>
          <w:noProof/>
          <w:lang w:val="ru-RU" w:eastAsia="ru-RU"/>
        </w:rPr>
        <w:drawing>
          <wp:inline distT="0" distB="0" distL="0" distR="0" wp14:anchorId="71A9FFDD" wp14:editId="21C9ADDC">
            <wp:extent cx="2857143" cy="2857143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CA9B6" w14:textId="051DCB99" w:rsidR="00734471" w:rsidRPr="00126D3D" w:rsidRDefault="00126D3D" w:rsidP="00126D3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4471" w:rsidRPr="00126D3D" w:rsidSect="002B77D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1383" w14:textId="77777777" w:rsidR="006B0A01" w:rsidRPr="00C47B2E" w:rsidRDefault="006B0A01" w:rsidP="00C47B2E">
      <w:pPr>
        <w:pStyle w:val="Footer"/>
      </w:pPr>
    </w:p>
  </w:endnote>
  <w:endnote w:type="continuationSeparator" w:id="0">
    <w:p w14:paraId="02327EEA" w14:textId="77777777" w:rsidR="006B0A01" w:rsidRPr="00C47B2E" w:rsidRDefault="006B0A01" w:rsidP="00C47B2E">
      <w:pPr>
        <w:pStyle w:val="Footer"/>
      </w:pPr>
    </w:p>
  </w:endnote>
  <w:endnote w:type="continuationNotice" w:id="1">
    <w:p w14:paraId="1719B341" w14:textId="77777777" w:rsidR="006B0A01" w:rsidRPr="00C47B2E" w:rsidRDefault="006B0A01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CFC8" w14:textId="269E2FCA" w:rsidR="00D94B05" w:rsidRPr="002B77D7" w:rsidRDefault="002B77D7" w:rsidP="002B77D7">
    <w:pPr>
      <w:pStyle w:val="Footer"/>
      <w:tabs>
        <w:tab w:val="right" w:pos="9598"/>
        <w:tab w:val="right" w:pos="9638"/>
      </w:tabs>
      <w:rPr>
        <w:sz w:val="18"/>
      </w:rPr>
    </w:pPr>
    <w:r w:rsidRPr="002B77D7">
      <w:rPr>
        <w:b/>
        <w:sz w:val="18"/>
      </w:rPr>
      <w:fldChar w:fldCharType="begin"/>
    </w:r>
    <w:r w:rsidRPr="002B77D7">
      <w:rPr>
        <w:b/>
        <w:sz w:val="18"/>
      </w:rPr>
      <w:instrText xml:space="preserve"> PAGE  \* MERGEFORMAT </w:instrText>
    </w:r>
    <w:r w:rsidRPr="002B77D7">
      <w:rPr>
        <w:b/>
        <w:sz w:val="18"/>
      </w:rPr>
      <w:fldChar w:fldCharType="separate"/>
    </w:r>
    <w:r w:rsidRPr="002B77D7">
      <w:rPr>
        <w:b/>
        <w:noProof/>
        <w:sz w:val="18"/>
      </w:rPr>
      <w:t>2</w:t>
    </w:r>
    <w:r w:rsidRPr="002B77D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2F68" w14:textId="5E9705BF" w:rsidR="00D94B05" w:rsidRPr="002B77D7" w:rsidRDefault="002B77D7" w:rsidP="002B77D7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2B77D7">
      <w:rPr>
        <w:sz w:val="18"/>
      </w:rPr>
      <w:fldChar w:fldCharType="begin"/>
    </w:r>
    <w:r w:rsidRPr="002B77D7">
      <w:rPr>
        <w:sz w:val="18"/>
      </w:rPr>
      <w:instrText xml:space="preserve"> PAGE  \* MERGEFORMAT </w:instrText>
    </w:r>
    <w:r w:rsidRPr="002B77D7">
      <w:rPr>
        <w:sz w:val="18"/>
      </w:rPr>
      <w:fldChar w:fldCharType="separate"/>
    </w:r>
    <w:r w:rsidRPr="002B77D7">
      <w:rPr>
        <w:noProof/>
        <w:sz w:val="18"/>
      </w:rPr>
      <w:t>3</w:t>
    </w:r>
    <w:r w:rsidRPr="002B77D7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E5B3" w14:textId="109E9A20" w:rsidR="00D94B05" w:rsidRDefault="00722EB7" w:rsidP="00722EB7">
    <w:pPr>
      <w:pStyle w:val="Footer"/>
      <w:rPr>
        <w:rFonts w:asciiTheme="majorBidi" w:hAnsiTheme="majorBidi" w:cstheme="majorBidi"/>
        <w:sz w:val="20"/>
      </w:rPr>
    </w:pPr>
    <w:r w:rsidRPr="00722EB7">
      <w:rPr>
        <w:rFonts w:asciiTheme="majorBidi" w:hAnsiTheme="majorBidi" w:cstheme="majorBidi"/>
        <w:noProof/>
        <w:sz w:val="20"/>
        <w:lang w:val="en-US"/>
      </w:rPr>
      <w:drawing>
        <wp:anchor distT="0" distB="0" distL="114300" distR="114300" simplePos="0" relativeHeight="251660288" behindDoc="0" locked="1" layoutInCell="1" allowOverlap="1" wp14:anchorId="231E2AD2" wp14:editId="575D91F4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4F38F5" w14:textId="61A38596" w:rsidR="00722EB7" w:rsidRPr="00722EB7" w:rsidRDefault="00722EB7" w:rsidP="00722EB7">
    <w:pPr>
      <w:pStyle w:val="Footer"/>
      <w:kinsoku/>
      <w:overflowPunct/>
      <w:autoSpaceDE/>
      <w:autoSpaceDN/>
      <w:adjustRightInd/>
      <w:ind w:right="1134"/>
      <w:rPr>
        <w:rFonts w:asciiTheme="majorBidi" w:hAnsiTheme="majorBidi" w:cstheme="majorBidi"/>
        <w:sz w:val="20"/>
      </w:rPr>
    </w:pPr>
    <w:r>
      <w:rPr>
        <w:rFonts w:asciiTheme="majorBidi" w:hAnsiTheme="majorBidi" w:cstheme="majorBidi"/>
        <w:sz w:val="20"/>
      </w:rPr>
      <w:t>GE.23-07604(E)</w:t>
    </w:r>
    <w:r>
      <w:rPr>
        <w:rFonts w:asciiTheme="majorBidi" w:hAnsiTheme="majorBidi" w:cstheme="majorBidi"/>
        <w:noProof/>
        <w:sz w:val="20"/>
      </w:rPr>
      <w:drawing>
        <wp:anchor distT="0" distB="0" distL="114300" distR="114300" simplePos="0" relativeHeight="251661312" behindDoc="0" locked="0" layoutInCell="1" allowOverlap="1" wp14:anchorId="10D3BD0B" wp14:editId="31A95F2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160E" w14:textId="77777777" w:rsidR="006B0A01" w:rsidRPr="00C47B2E" w:rsidRDefault="006B0A01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57F041C" w14:textId="77777777" w:rsidR="006B0A01" w:rsidRPr="00C47B2E" w:rsidRDefault="006B0A01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139C1680" w14:textId="77777777" w:rsidR="006B0A01" w:rsidRPr="00C47B2E" w:rsidRDefault="006B0A01" w:rsidP="00C47B2E">
      <w:pPr>
        <w:pStyle w:val="Footer"/>
      </w:pPr>
    </w:p>
  </w:footnote>
  <w:footnote w:id="2">
    <w:p w14:paraId="62628E33" w14:textId="77777777" w:rsidR="00042769" w:rsidRDefault="00042769" w:rsidP="00042769">
      <w:pPr>
        <w:pStyle w:val="FootnoteText"/>
      </w:pPr>
      <w:r>
        <w:rPr>
          <w:rStyle w:val="FootnoteReference"/>
        </w:rPr>
        <w:tab/>
      </w:r>
      <w:r w:rsidRPr="00AA28E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37719">
        <w:t>A/77/6 (Sect. 20), table 20.6</w:t>
      </w:r>
    </w:p>
    <w:p w14:paraId="4580F179" w14:textId="5294FF7E" w:rsidR="006C4312" w:rsidRPr="00AA28E9" w:rsidRDefault="006C4312" w:rsidP="00042769">
      <w:pPr>
        <w:pStyle w:val="FootnoteText"/>
        <w:rPr>
          <w:lang w:val="en-US"/>
        </w:rPr>
      </w:pPr>
      <w:r>
        <w:rPr>
          <w:lang w:val="en-US"/>
        </w:rPr>
        <w:tab/>
      </w:r>
      <w:r w:rsidRPr="006C4312">
        <w:rPr>
          <w:lang w:val="en-US"/>
        </w:rPr>
        <w:t>**</w:t>
      </w:r>
      <w:r w:rsidRPr="006C4312">
        <w:rPr>
          <w:lang w:val="en-US"/>
        </w:rPr>
        <w:tab/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D34A" w14:textId="0F134503" w:rsidR="002B77D7" w:rsidRPr="002B77D7" w:rsidRDefault="00722EB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B77D7">
      <w:t>ST/SG/AC.10/C.3/2023/29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38E0" w14:textId="711E8A28" w:rsidR="00D94B05" w:rsidRPr="002B77D7" w:rsidRDefault="00722EB7" w:rsidP="002B77D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B77D7">
      <w:t>ST/SG/AC.10/C.3/2023/29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02737576">
    <w:abstractNumId w:val="5"/>
  </w:num>
  <w:num w:numId="2" w16cid:durableId="1804493636">
    <w:abstractNumId w:val="4"/>
  </w:num>
  <w:num w:numId="3" w16cid:durableId="964046037">
    <w:abstractNumId w:val="0"/>
  </w:num>
  <w:num w:numId="4" w16cid:durableId="80222402">
    <w:abstractNumId w:val="6"/>
  </w:num>
  <w:num w:numId="5" w16cid:durableId="1894344262">
    <w:abstractNumId w:val="7"/>
  </w:num>
  <w:num w:numId="6" w16cid:durableId="985209684">
    <w:abstractNumId w:val="9"/>
  </w:num>
  <w:num w:numId="7" w16cid:durableId="1595086965">
    <w:abstractNumId w:val="3"/>
  </w:num>
  <w:num w:numId="8" w16cid:durableId="922182901">
    <w:abstractNumId w:val="1"/>
  </w:num>
  <w:num w:numId="9" w16cid:durableId="352537762">
    <w:abstractNumId w:val="8"/>
  </w:num>
  <w:num w:numId="10" w16cid:durableId="207694196">
    <w:abstractNumId w:val="1"/>
  </w:num>
  <w:num w:numId="11" w16cid:durableId="1695839803">
    <w:abstractNumId w:val="8"/>
  </w:num>
  <w:num w:numId="12" w16cid:durableId="1551381228">
    <w:abstractNumId w:val="2"/>
  </w:num>
  <w:num w:numId="13" w16cid:durableId="1283726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D7"/>
    <w:rsid w:val="00042769"/>
    <w:rsid w:val="00046311"/>
    <w:rsid w:val="00046E92"/>
    <w:rsid w:val="00055B44"/>
    <w:rsid w:val="00063C90"/>
    <w:rsid w:val="000C2385"/>
    <w:rsid w:val="000D4C57"/>
    <w:rsid w:val="000E5515"/>
    <w:rsid w:val="00101B98"/>
    <w:rsid w:val="001123F6"/>
    <w:rsid w:val="00126D3D"/>
    <w:rsid w:val="001514D1"/>
    <w:rsid w:val="00191ED4"/>
    <w:rsid w:val="001F71BA"/>
    <w:rsid w:val="00225BE3"/>
    <w:rsid w:val="00247E2C"/>
    <w:rsid w:val="00254BC8"/>
    <w:rsid w:val="002A32CB"/>
    <w:rsid w:val="002B77D7"/>
    <w:rsid w:val="002C1CB0"/>
    <w:rsid w:val="002C42A2"/>
    <w:rsid w:val="002C793F"/>
    <w:rsid w:val="002D5B2C"/>
    <w:rsid w:val="002D6C53"/>
    <w:rsid w:val="002F5595"/>
    <w:rsid w:val="003065B9"/>
    <w:rsid w:val="00325513"/>
    <w:rsid w:val="00334F6A"/>
    <w:rsid w:val="00342AC8"/>
    <w:rsid w:val="00343302"/>
    <w:rsid w:val="00390989"/>
    <w:rsid w:val="003979DE"/>
    <w:rsid w:val="003B4550"/>
    <w:rsid w:val="003D2A18"/>
    <w:rsid w:val="003E6D9A"/>
    <w:rsid w:val="00413386"/>
    <w:rsid w:val="004174BB"/>
    <w:rsid w:val="00446259"/>
    <w:rsid w:val="00446591"/>
    <w:rsid w:val="00460A5B"/>
    <w:rsid w:val="00461253"/>
    <w:rsid w:val="00466122"/>
    <w:rsid w:val="00466C1F"/>
    <w:rsid w:val="00466DD5"/>
    <w:rsid w:val="00484EB2"/>
    <w:rsid w:val="004858F5"/>
    <w:rsid w:val="004A2814"/>
    <w:rsid w:val="004C0622"/>
    <w:rsid w:val="004C7340"/>
    <w:rsid w:val="004E471D"/>
    <w:rsid w:val="005042C2"/>
    <w:rsid w:val="00541BDA"/>
    <w:rsid w:val="005457F2"/>
    <w:rsid w:val="00591D0C"/>
    <w:rsid w:val="00593B62"/>
    <w:rsid w:val="005B1273"/>
    <w:rsid w:val="005E716E"/>
    <w:rsid w:val="0061265D"/>
    <w:rsid w:val="006256D1"/>
    <w:rsid w:val="006476E1"/>
    <w:rsid w:val="006604DF"/>
    <w:rsid w:val="006672BF"/>
    <w:rsid w:val="00671529"/>
    <w:rsid w:val="006B0A01"/>
    <w:rsid w:val="006C4312"/>
    <w:rsid w:val="006E0482"/>
    <w:rsid w:val="0070489D"/>
    <w:rsid w:val="00715248"/>
    <w:rsid w:val="00717A1E"/>
    <w:rsid w:val="00722EB7"/>
    <w:rsid w:val="007268F9"/>
    <w:rsid w:val="00734471"/>
    <w:rsid w:val="00750282"/>
    <w:rsid w:val="00764440"/>
    <w:rsid w:val="0077101B"/>
    <w:rsid w:val="0077387E"/>
    <w:rsid w:val="00774FAF"/>
    <w:rsid w:val="007C52B0"/>
    <w:rsid w:val="007C6033"/>
    <w:rsid w:val="007E4022"/>
    <w:rsid w:val="007F73C2"/>
    <w:rsid w:val="008147C8"/>
    <w:rsid w:val="0081753A"/>
    <w:rsid w:val="00847733"/>
    <w:rsid w:val="00847E5A"/>
    <w:rsid w:val="008566EE"/>
    <w:rsid w:val="00857D23"/>
    <w:rsid w:val="0087224A"/>
    <w:rsid w:val="008B3FB9"/>
    <w:rsid w:val="008F2148"/>
    <w:rsid w:val="00927B6C"/>
    <w:rsid w:val="00940642"/>
    <w:rsid w:val="009411B4"/>
    <w:rsid w:val="00942EA1"/>
    <w:rsid w:val="00946F1D"/>
    <w:rsid w:val="009714F8"/>
    <w:rsid w:val="009D0139"/>
    <w:rsid w:val="009D717D"/>
    <w:rsid w:val="009F5CDC"/>
    <w:rsid w:val="00A072D7"/>
    <w:rsid w:val="00A574E0"/>
    <w:rsid w:val="00A775CF"/>
    <w:rsid w:val="00A776A6"/>
    <w:rsid w:val="00AA68BE"/>
    <w:rsid w:val="00AD1A9C"/>
    <w:rsid w:val="00AF0670"/>
    <w:rsid w:val="00AF5DE1"/>
    <w:rsid w:val="00B06045"/>
    <w:rsid w:val="00B149B7"/>
    <w:rsid w:val="00B206DD"/>
    <w:rsid w:val="00B52EF4"/>
    <w:rsid w:val="00B777AD"/>
    <w:rsid w:val="00BD5A88"/>
    <w:rsid w:val="00C03015"/>
    <w:rsid w:val="00C0358D"/>
    <w:rsid w:val="00C35A27"/>
    <w:rsid w:val="00C47B2E"/>
    <w:rsid w:val="00D42CA8"/>
    <w:rsid w:val="00D63CD2"/>
    <w:rsid w:val="00D87DC2"/>
    <w:rsid w:val="00D94B05"/>
    <w:rsid w:val="00E02C2B"/>
    <w:rsid w:val="00E11863"/>
    <w:rsid w:val="00E11C03"/>
    <w:rsid w:val="00E142D4"/>
    <w:rsid w:val="00E21C27"/>
    <w:rsid w:val="00E2469B"/>
    <w:rsid w:val="00E26BCF"/>
    <w:rsid w:val="00E41F07"/>
    <w:rsid w:val="00E52109"/>
    <w:rsid w:val="00E75317"/>
    <w:rsid w:val="00EA503F"/>
    <w:rsid w:val="00EA78A7"/>
    <w:rsid w:val="00EC0CE6"/>
    <w:rsid w:val="00EC7C1D"/>
    <w:rsid w:val="00ED6C48"/>
    <w:rsid w:val="00EE3045"/>
    <w:rsid w:val="00F54D32"/>
    <w:rsid w:val="00F65F5D"/>
    <w:rsid w:val="00F86A3A"/>
    <w:rsid w:val="00F90D6E"/>
    <w:rsid w:val="00F93BB1"/>
    <w:rsid w:val="00FB4ED6"/>
    <w:rsid w:val="00FB5353"/>
    <w:rsid w:val="00FE18CF"/>
    <w:rsid w:val="00FF0323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E3514"/>
  <w15:docId w15:val="{5A91EA26-A3EC-442A-B8C4-6F6884B4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rsid w:val="00042769"/>
    <w:rPr>
      <w:b/>
      <w:sz w:val="24"/>
    </w:rPr>
  </w:style>
  <w:style w:type="character" w:customStyle="1" w:styleId="HChGChar">
    <w:name w:val="_ H _Ch_G Char"/>
    <w:link w:val="HChG"/>
    <w:qFormat/>
    <w:rsid w:val="00042769"/>
    <w:rPr>
      <w:b/>
      <w:sz w:val="28"/>
    </w:rPr>
  </w:style>
  <w:style w:type="character" w:customStyle="1" w:styleId="SingleTxtGChar">
    <w:name w:val="_ Single Txt_G Char"/>
    <w:link w:val="SingleTxtG"/>
    <w:uiPriority w:val="99"/>
    <w:qFormat/>
    <w:locked/>
    <w:rsid w:val="00042769"/>
  </w:style>
  <w:style w:type="character" w:styleId="CommentReference">
    <w:name w:val="annotation reference"/>
    <w:basedOn w:val="DefaultParagraphFont"/>
    <w:uiPriority w:val="99"/>
    <w:semiHidden/>
    <w:unhideWhenUsed/>
    <w:rsid w:val="000C2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38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3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385"/>
    <w:rPr>
      <w:b/>
      <w:bCs/>
    </w:rPr>
  </w:style>
  <w:style w:type="paragraph" w:styleId="Revision">
    <w:name w:val="Revision"/>
    <w:hidden/>
    <w:uiPriority w:val="99"/>
    <w:semiHidden/>
    <w:rsid w:val="00390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04CA-1694-4735-BF82-33ACAF41F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DF8F3-C28D-4615-895A-151BEB161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2AF64-4350-42B8-9C42-E14A053D079A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2180</Characters>
  <Application>Microsoft Office Word</Application>
  <DocSecurity>0</DocSecurity>
  <Lines>54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ST/SG/AC.10/C.3/2023/29</vt:lpstr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ST/SG/AC.10/C.3/2023/29</dc:title>
  <dc:subject>2307604</dc:subject>
  <dc:creator>Una Giltsoff</dc:creator>
  <cp:keywords/>
  <dc:description/>
  <cp:lastModifiedBy>Una Giltsoff</cp:lastModifiedBy>
  <cp:revision>2</cp:revision>
  <dcterms:created xsi:type="dcterms:W3CDTF">2023-04-21T14:48:00Z</dcterms:created>
  <dcterms:modified xsi:type="dcterms:W3CDTF">2023-04-21T14:48:00Z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