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2261C2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21C2D0" w14:textId="77777777" w:rsidR="00132EA9" w:rsidRPr="00DB58B5" w:rsidRDefault="00132EA9" w:rsidP="00FC51A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3B9EA5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5420E28" w14:textId="54374640" w:rsidR="00132EA9" w:rsidRPr="00DB58B5" w:rsidRDefault="00FC51A3" w:rsidP="00FC51A3">
            <w:pPr>
              <w:jc w:val="right"/>
            </w:pPr>
            <w:r w:rsidRPr="00FC51A3">
              <w:rPr>
                <w:sz w:val="40"/>
              </w:rPr>
              <w:t>ST</w:t>
            </w:r>
            <w:r>
              <w:t>/SG/AC.10/C.3/2023/25</w:t>
            </w:r>
          </w:p>
        </w:tc>
      </w:tr>
      <w:tr w:rsidR="00132EA9" w:rsidRPr="00DB58B5" w14:paraId="6380E68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12D55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2FB401" wp14:editId="6619723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8E536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BDDC29" w14:textId="77777777" w:rsidR="00132EA9" w:rsidRDefault="00FC51A3" w:rsidP="00F01738">
            <w:pPr>
              <w:spacing w:before="240"/>
            </w:pPr>
            <w:r>
              <w:t>Distr. générale</w:t>
            </w:r>
          </w:p>
          <w:p w14:paraId="695DDF94" w14:textId="77777777" w:rsidR="00FC51A3" w:rsidRDefault="00FC51A3" w:rsidP="00FC51A3">
            <w:pPr>
              <w:spacing w:line="240" w:lineRule="exact"/>
            </w:pPr>
            <w:r>
              <w:t>21 avril 2023</w:t>
            </w:r>
          </w:p>
          <w:p w14:paraId="75DC7015" w14:textId="77777777" w:rsidR="00FC51A3" w:rsidRDefault="00FC51A3" w:rsidP="00FC51A3">
            <w:pPr>
              <w:spacing w:line="240" w:lineRule="exact"/>
            </w:pPr>
            <w:r>
              <w:t>Français</w:t>
            </w:r>
          </w:p>
          <w:p w14:paraId="2B22721F" w14:textId="39C8DD93" w:rsidR="00FC51A3" w:rsidRPr="00DB58B5" w:rsidRDefault="00FC51A3" w:rsidP="00FC51A3">
            <w:pPr>
              <w:spacing w:line="240" w:lineRule="exact"/>
            </w:pPr>
            <w:r>
              <w:t>Original</w:t>
            </w:r>
            <w:r w:rsidR="00B47CE0">
              <w:t> :</w:t>
            </w:r>
            <w:r>
              <w:t xml:space="preserve"> anglais</w:t>
            </w:r>
          </w:p>
        </w:tc>
      </w:tr>
    </w:tbl>
    <w:p w14:paraId="2DD0E5E1" w14:textId="0253B213" w:rsidR="00B47CE0" w:rsidRPr="00C05001" w:rsidRDefault="00B47CE0" w:rsidP="00B47CE0">
      <w:pPr>
        <w:spacing w:before="120"/>
        <w:rPr>
          <w:b/>
          <w:sz w:val="32"/>
          <w:szCs w:val="32"/>
          <w:lang w:val="fr-FR"/>
        </w:rPr>
      </w:pPr>
      <w:r w:rsidRPr="00C05001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C05001">
        <w:rPr>
          <w:b/>
          <w:bCs/>
          <w:sz w:val="24"/>
          <w:szCs w:val="24"/>
          <w:lang w:val="fr-FR"/>
        </w:rPr>
        <w:t xml:space="preserve">experts du transport des marchandises dangereuses </w:t>
      </w:r>
      <w:r>
        <w:rPr>
          <w:b/>
          <w:bCs/>
          <w:sz w:val="24"/>
          <w:szCs w:val="24"/>
          <w:lang w:val="fr-FR"/>
        </w:rPr>
        <w:br/>
      </w:r>
      <w:r w:rsidRPr="00C05001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>
        <w:rPr>
          <w:b/>
          <w:bCs/>
          <w:sz w:val="24"/>
          <w:szCs w:val="24"/>
          <w:lang w:val="fr-FR"/>
        </w:rPr>
        <w:br/>
      </w:r>
      <w:r w:rsidRPr="00C05001">
        <w:rPr>
          <w:b/>
          <w:bCs/>
          <w:sz w:val="24"/>
          <w:szCs w:val="24"/>
          <w:lang w:val="fr-FR"/>
        </w:rPr>
        <w:t>et d</w:t>
      </w:r>
      <w:r>
        <w:rPr>
          <w:b/>
          <w:bCs/>
          <w:sz w:val="24"/>
          <w:szCs w:val="24"/>
          <w:lang w:val="fr-FR"/>
        </w:rPr>
        <w:t>’</w:t>
      </w:r>
      <w:r w:rsidRPr="00C05001">
        <w:rPr>
          <w:b/>
          <w:bCs/>
          <w:sz w:val="24"/>
          <w:szCs w:val="24"/>
          <w:lang w:val="fr-FR"/>
        </w:rPr>
        <w:t>étiquetage des produits chimiques</w:t>
      </w:r>
    </w:p>
    <w:p w14:paraId="420FAB80" w14:textId="77777777" w:rsidR="00B47CE0" w:rsidRPr="00B47CE0" w:rsidRDefault="00B47CE0" w:rsidP="00B47CE0">
      <w:pPr>
        <w:spacing w:before="120"/>
        <w:rPr>
          <w:rFonts w:ascii="Helv" w:hAnsi="Helv" w:cs="Helv"/>
          <w:b/>
          <w:bCs/>
          <w:color w:val="000000"/>
          <w:lang w:val="fr-FR"/>
        </w:rPr>
      </w:pPr>
      <w:r w:rsidRPr="00B47CE0">
        <w:rPr>
          <w:b/>
          <w:bCs/>
          <w:lang w:val="fr-FR"/>
        </w:rPr>
        <w:t>Sous-Comité d’experts du transport des marchandises dangereuses</w:t>
      </w:r>
    </w:p>
    <w:p w14:paraId="6E332144" w14:textId="77777777" w:rsidR="00B47CE0" w:rsidRPr="00C05001" w:rsidRDefault="00B47CE0" w:rsidP="00B47CE0">
      <w:pPr>
        <w:spacing w:before="120"/>
        <w:rPr>
          <w:b/>
          <w:lang w:val="fr-FR"/>
        </w:rPr>
      </w:pPr>
      <w:r w:rsidRPr="00C05001">
        <w:rPr>
          <w:b/>
          <w:bCs/>
          <w:lang w:val="fr-FR"/>
        </w:rPr>
        <w:t>Soixante-deuxième session</w:t>
      </w:r>
    </w:p>
    <w:p w14:paraId="3A9030C1" w14:textId="77777777" w:rsidR="00B47CE0" w:rsidRPr="00C05001" w:rsidRDefault="00B47CE0" w:rsidP="00B47CE0">
      <w:pPr>
        <w:rPr>
          <w:lang w:val="fr-FR"/>
        </w:rPr>
      </w:pPr>
      <w:r w:rsidRPr="00C05001">
        <w:rPr>
          <w:lang w:val="fr-FR"/>
        </w:rPr>
        <w:t>Genève, 3-7 juillet 2023</w:t>
      </w:r>
    </w:p>
    <w:p w14:paraId="48AB2A1D" w14:textId="77777777" w:rsidR="00B47CE0" w:rsidRPr="00C05001" w:rsidRDefault="00B47CE0" w:rsidP="00B47CE0">
      <w:pPr>
        <w:rPr>
          <w:lang w:val="fr-FR"/>
        </w:rPr>
      </w:pPr>
      <w:r w:rsidRPr="00C05001">
        <w:rPr>
          <w:lang w:val="fr-FR"/>
        </w:rPr>
        <w:t>Point 2 h) de l</w:t>
      </w:r>
      <w:r>
        <w:rPr>
          <w:lang w:val="fr-FR"/>
        </w:rPr>
        <w:t>’</w:t>
      </w:r>
      <w:r w:rsidRPr="00C05001">
        <w:rPr>
          <w:lang w:val="fr-FR"/>
        </w:rPr>
        <w:t>ordre du jour provisoire</w:t>
      </w:r>
    </w:p>
    <w:p w14:paraId="697B77BE" w14:textId="2F7F6FC9" w:rsidR="00B47CE0" w:rsidRPr="00C05001" w:rsidRDefault="00B47CE0" w:rsidP="00B47CE0">
      <w:pPr>
        <w:rPr>
          <w:b/>
          <w:bCs/>
          <w:lang w:val="fr-FR"/>
        </w:rPr>
      </w:pPr>
      <w:r w:rsidRPr="00C05001">
        <w:rPr>
          <w:b/>
          <w:bCs/>
          <w:lang w:val="fr-FR"/>
        </w:rPr>
        <w:t>Explosifs et questions connexes</w:t>
      </w:r>
      <w:r>
        <w:rPr>
          <w:b/>
          <w:bCs/>
          <w:lang w:val="fr-FR"/>
        </w:rPr>
        <w:t> :</w:t>
      </w:r>
      <w:r w:rsidRPr="00C05001">
        <w:rPr>
          <w:b/>
          <w:bCs/>
          <w:lang w:val="fr-FR"/>
        </w:rPr>
        <w:t xml:space="preserve"> autres questions</w:t>
      </w:r>
    </w:p>
    <w:p w14:paraId="40ADB2BA" w14:textId="77777777" w:rsidR="00B47CE0" w:rsidRPr="00C05001" w:rsidRDefault="00B47CE0" w:rsidP="00B47CE0">
      <w:pPr>
        <w:pStyle w:val="HChG"/>
        <w:rPr>
          <w:color w:val="000000" w:themeColor="text1"/>
          <w:lang w:val="fr-FR"/>
        </w:rPr>
      </w:pPr>
      <w:r w:rsidRPr="00C05001">
        <w:rPr>
          <w:lang w:val="fr-FR"/>
        </w:rPr>
        <w:tab/>
      </w:r>
      <w:r w:rsidRPr="00C05001">
        <w:rPr>
          <w:lang w:val="fr-FR"/>
        </w:rPr>
        <w:tab/>
        <w:t>Instruction d</w:t>
      </w:r>
      <w:r>
        <w:rPr>
          <w:lang w:val="fr-FR"/>
        </w:rPr>
        <w:t>’</w:t>
      </w:r>
      <w:r w:rsidRPr="00C05001">
        <w:rPr>
          <w:lang w:val="fr-FR"/>
        </w:rPr>
        <w:t>emballage P130 et contact métal contre métal entre les explosifs et leur emballage</w:t>
      </w:r>
    </w:p>
    <w:p w14:paraId="62AE6954" w14:textId="1B5751AA" w:rsidR="00B47CE0" w:rsidRPr="00C05001" w:rsidRDefault="00B47CE0" w:rsidP="00B47CE0">
      <w:pPr>
        <w:pStyle w:val="H1G"/>
        <w:rPr>
          <w:rFonts w:asciiTheme="majorBidi" w:hAnsiTheme="majorBidi" w:cstheme="majorBidi"/>
          <w:color w:val="000000" w:themeColor="text1"/>
          <w:lang w:val="fr-FR"/>
        </w:rPr>
      </w:pPr>
      <w:r w:rsidRPr="00C05001">
        <w:rPr>
          <w:lang w:val="fr-FR"/>
        </w:rPr>
        <w:tab/>
      </w:r>
      <w:r w:rsidRPr="00C05001">
        <w:rPr>
          <w:lang w:val="fr-FR"/>
        </w:rPr>
        <w:tab/>
        <w:t xml:space="preserve">Communication du </w:t>
      </w:r>
      <w:r w:rsidRPr="00B47CE0">
        <w:rPr>
          <w:lang w:val="en-GB"/>
        </w:rPr>
        <w:t>Sporting Arms and Ammunition Manufacturers’ Institute</w:t>
      </w:r>
      <w:r w:rsidRPr="00C05001">
        <w:rPr>
          <w:lang w:val="fr-FR"/>
        </w:rPr>
        <w:t xml:space="preserve"> (</w:t>
      </w:r>
      <w:r w:rsidRPr="00B47CE0">
        <w:rPr>
          <w:lang w:val="en-GB"/>
        </w:rPr>
        <w:t>SAAMI</w:t>
      </w:r>
      <w:r w:rsidRPr="00C05001">
        <w:rPr>
          <w:lang w:val="fr-FR"/>
        </w:rPr>
        <w:t>)</w:t>
      </w:r>
      <w:r w:rsidRPr="009847AA">
        <w:rPr>
          <w:b w:val="0"/>
          <w:bCs/>
          <w:sz w:val="20"/>
        </w:rPr>
        <w:footnoteReference w:customMarkFollows="1" w:id="2"/>
        <w:t>*</w:t>
      </w:r>
      <w:r w:rsidRPr="009847AA">
        <w:rPr>
          <w:b w:val="0"/>
          <w:bCs/>
          <w:sz w:val="20"/>
          <w:vertAlign w:val="superscript"/>
        </w:rPr>
        <w:t>,</w:t>
      </w:r>
      <w:r w:rsidRPr="009847AA">
        <w:rPr>
          <w:b w:val="0"/>
          <w:bCs/>
          <w:sz w:val="20"/>
          <w:vertAlign w:val="superscript"/>
        </w:rPr>
        <w:t xml:space="preserve"> </w:t>
      </w:r>
      <w:r w:rsidRPr="009847AA">
        <w:rPr>
          <w:b w:val="0"/>
          <w:bCs/>
          <w:sz w:val="20"/>
        </w:rPr>
        <w:t>**</w:t>
      </w:r>
    </w:p>
    <w:p w14:paraId="580B9A99" w14:textId="77777777" w:rsidR="00B47CE0" w:rsidRPr="00C05001" w:rsidRDefault="00B47CE0" w:rsidP="00B47CE0">
      <w:pPr>
        <w:pStyle w:val="HChG"/>
        <w:rPr>
          <w:lang w:val="fr-FR"/>
        </w:rPr>
      </w:pPr>
      <w:r w:rsidRPr="00C05001">
        <w:rPr>
          <w:bCs/>
          <w:lang w:val="fr-FR"/>
        </w:rPr>
        <w:tab/>
        <w:t>I.</w:t>
      </w:r>
      <w:r w:rsidRPr="00C05001">
        <w:rPr>
          <w:lang w:val="fr-FR"/>
        </w:rPr>
        <w:tab/>
      </w:r>
      <w:r w:rsidRPr="00C05001">
        <w:rPr>
          <w:bCs/>
          <w:lang w:val="fr-FR"/>
        </w:rPr>
        <w:t>Introduction</w:t>
      </w:r>
    </w:p>
    <w:p w14:paraId="5036CCAD" w14:textId="77777777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1.</w:t>
      </w:r>
      <w:r w:rsidRPr="00C05001">
        <w:rPr>
          <w:lang w:val="fr-FR"/>
        </w:rPr>
        <w:tab/>
        <w:t xml:space="preserve">Le SAAMI demande que des modifications soient apportées au </w:t>
      </w:r>
      <w:r w:rsidRPr="0069611B">
        <w:rPr>
          <w:i/>
          <w:iCs/>
          <w:lang w:val="fr-FR"/>
        </w:rPr>
        <w:t>Règlement type</w:t>
      </w:r>
      <w:r w:rsidRPr="00C05001">
        <w:rPr>
          <w:lang w:val="fr-FR"/>
        </w:rPr>
        <w:t xml:space="preserve"> afin de clarifier la question des emballages métalliques </w:t>
      </w:r>
      <w:r>
        <w:rPr>
          <w:lang w:val="fr-FR"/>
        </w:rPr>
        <w:t>contenant</w:t>
      </w:r>
      <w:r w:rsidRPr="00C05001">
        <w:rPr>
          <w:lang w:val="fr-FR"/>
        </w:rPr>
        <w:t xml:space="preserve"> des objets explosibles en métal.</w:t>
      </w:r>
    </w:p>
    <w:p w14:paraId="6156F4AB" w14:textId="77777777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2.</w:t>
      </w:r>
      <w:r w:rsidRPr="00C05001">
        <w:rPr>
          <w:lang w:val="fr-FR"/>
        </w:rPr>
        <w:tab/>
        <w:t>Plus précisément, le SAAMI demande s</w:t>
      </w:r>
      <w:r>
        <w:rPr>
          <w:lang w:val="fr-FR"/>
        </w:rPr>
        <w:t>’</w:t>
      </w:r>
      <w:r w:rsidRPr="00C05001">
        <w:rPr>
          <w:lang w:val="fr-FR"/>
        </w:rPr>
        <w:t>il faut exiger l</w:t>
      </w:r>
      <w:r>
        <w:rPr>
          <w:lang w:val="fr-FR"/>
        </w:rPr>
        <w:t>’</w:t>
      </w:r>
      <w:r w:rsidRPr="00C05001">
        <w:rPr>
          <w:lang w:val="fr-FR"/>
        </w:rPr>
        <w:t>usage de sacs en plastique ou d</w:t>
      </w:r>
      <w:r>
        <w:rPr>
          <w:lang w:val="fr-FR"/>
        </w:rPr>
        <w:t>’</w:t>
      </w:r>
      <w:r w:rsidRPr="00C05001">
        <w:rPr>
          <w:lang w:val="fr-FR"/>
        </w:rPr>
        <w:t>autres types d</w:t>
      </w:r>
      <w:r>
        <w:rPr>
          <w:lang w:val="fr-FR"/>
        </w:rPr>
        <w:t>’</w:t>
      </w:r>
      <w:r w:rsidRPr="00C05001">
        <w:rPr>
          <w:lang w:val="fr-FR"/>
        </w:rPr>
        <w:t>emballages intérieurs pour empêcher le contact entre les emballages métalliques et les objets explosibles en métal lorsque ces objets sont autorisés à être en contact les uns avec les autres en grandes quantités, sans rembourrage.</w:t>
      </w:r>
    </w:p>
    <w:p w14:paraId="5FF52C92" w14:textId="77777777" w:rsidR="00B47CE0" w:rsidRPr="00C05001" w:rsidRDefault="00B47CE0" w:rsidP="00B47CE0">
      <w:pPr>
        <w:pStyle w:val="HChG"/>
        <w:rPr>
          <w:lang w:val="fr-FR"/>
        </w:rPr>
      </w:pPr>
      <w:r w:rsidRPr="00C05001">
        <w:rPr>
          <w:bCs/>
          <w:lang w:val="fr-FR"/>
        </w:rPr>
        <w:tab/>
        <w:t>II.</w:t>
      </w:r>
      <w:r w:rsidRPr="00C05001">
        <w:rPr>
          <w:lang w:val="fr-FR"/>
        </w:rPr>
        <w:tab/>
      </w:r>
      <w:r w:rsidRPr="00C05001">
        <w:rPr>
          <w:bCs/>
          <w:lang w:val="fr-FR"/>
        </w:rPr>
        <w:t>Contexte</w:t>
      </w:r>
    </w:p>
    <w:p w14:paraId="5BBBBED2" w14:textId="6A8679BC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3.</w:t>
      </w:r>
      <w:r w:rsidRPr="00C05001">
        <w:rPr>
          <w:lang w:val="fr-FR"/>
        </w:rPr>
        <w:tab/>
        <w:t>Selon le paragraphe 4.1.5.11 de la section 4.1.5 (Dispositions particulières relatives à l</w:t>
      </w:r>
      <w:r>
        <w:rPr>
          <w:lang w:val="fr-FR"/>
        </w:rPr>
        <w:t>’</w:t>
      </w:r>
      <w:r w:rsidRPr="00C05001">
        <w:rPr>
          <w:lang w:val="fr-FR"/>
        </w:rPr>
        <w:t>emballage des marchandises de la classe 1), « les parties métalliques des objets ne doivent pas pouvoir entrer en contact avec les emballages en métal</w:t>
      </w:r>
      <w:r>
        <w:rPr>
          <w:lang w:val="fr-FR"/>
        </w:rPr>
        <w:t>…</w:t>
      </w:r>
      <w:r w:rsidRPr="00C05001">
        <w:rPr>
          <w:lang w:val="fr-FR"/>
        </w:rPr>
        <w:t> ».</w:t>
      </w:r>
    </w:p>
    <w:p w14:paraId="4C9459B3" w14:textId="094AE33D" w:rsidR="00B47CE0" w:rsidRPr="00C05001" w:rsidRDefault="00B47CE0" w:rsidP="00B47CE0">
      <w:pPr>
        <w:pStyle w:val="SingleTxtG"/>
        <w:keepNext/>
        <w:rPr>
          <w:lang w:val="fr-FR"/>
        </w:rPr>
      </w:pPr>
      <w:r w:rsidRPr="00C05001">
        <w:rPr>
          <w:lang w:val="fr-FR"/>
        </w:rPr>
        <w:t>4.</w:t>
      </w:r>
      <w:r w:rsidRPr="00C05001">
        <w:rPr>
          <w:lang w:val="fr-FR"/>
        </w:rPr>
        <w:tab/>
        <w:t>Les instructions d</w:t>
      </w:r>
      <w:r>
        <w:rPr>
          <w:lang w:val="fr-FR"/>
        </w:rPr>
        <w:t>’</w:t>
      </w:r>
      <w:r w:rsidRPr="00C05001">
        <w:rPr>
          <w:lang w:val="fr-FR"/>
        </w:rPr>
        <w:t>emballage P130 et P132 a) semblent faciliter le contact métal contre métal entre les objets et leur emballage</w:t>
      </w:r>
      <w:r>
        <w:rPr>
          <w:lang w:val="fr-FR"/>
        </w:rPr>
        <w:t> :</w:t>
      </w:r>
    </w:p>
    <w:p w14:paraId="724218F1" w14:textId="230E0D21" w:rsidR="00B47CE0" w:rsidRPr="00C05001" w:rsidRDefault="00B47CE0" w:rsidP="00B47CE0">
      <w:pPr>
        <w:pStyle w:val="SingleTxtG"/>
        <w:ind w:left="1701"/>
        <w:rPr>
          <w:lang w:val="fr-FR"/>
        </w:rPr>
      </w:pPr>
      <w:r w:rsidRPr="00C05001">
        <w:rPr>
          <w:lang w:val="fr-FR"/>
        </w:rPr>
        <w:t>a)</w:t>
      </w:r>
      <w:r w:rsidRPr="00C05001">
        <w:rPr>
          <w:lang w:val="fr-FR"/>
        </w:rPr>
        <w:tab/>
        <w:t>Ces instructions d</w:t>
      </w:r>
      <w:r>
        <w:rPr>
          <w:lang w:val="fr-FR"/>
        </w:rPr>
        <w:t>’</w:t>
      </w:r>
      <w:r w:rsidRPr="00C05001">
        <w:rPr>
          <w:lang w:val="fr-FR"/>
        </w:rPr>
        <w:t xml:space="preserve">emballage ne </w:t>
      </w:r>
      <w:r>
        <w:rPr>
          <w:lang w:val="fr-FR"/>
        </w:rPr>
        <w:t>prescrivent</w:t>
      </w:r>
      <w:r w:rsidRPr="00C05001">
        <w:rPr>
          <w:lang w:val="fr-FR"/>
        </w:rPr>
        <w:t xml:space="preserve"> pas d</w:t>
      </w:r>
      <w:r>
        <w:rPr>
          <w:lang w:val="fr-FR"/>
        </w:rPr>
        <w:t>’</w:t>
      </w:r>
      <w:r w:rsidRPr="00C05001">
        <w:rPr>
          <w:lang w:val="fr-FR"/>
        </w:rPr>
        <w:t>emballages intérieurs ou intermédiaires</w:t>
      </w:r>
      <w:r>
        <w:rPr>
          <w:lang w:val="fr-FR"/>
        </w:rPr>
        <w:t> ;</w:t>
      </w:r>
    </w:p>
    <w:p w14:paraId="6CC3CB7C" w14:textId="2AC5E8F4" w:rsidR="00B47CE0" w:rsidRPr="00C05001" w:rsidRDefault="00B47CE0" w:rsidP="00B47CE0">
      <w:pPr>
        <w:pStyle w:val="SingleTxtG"/>
        <w:ind w:left="1701"/>
        <w:rPr>
          <w:lang w:val="fr-FR"/>
        </w:rPr>
      </w:pPr>
      <w:r w:rsidRPr="00C05001">
        <w:rPr>
          <w:lang w:val="fr-FR"/>
        </w:rPr>
        <w:t>b)</w:t>
      </w:r>
      <w:r w:rsidRPr="00C05001">
        <w:rPr>
          <w:lang w:val="fr-FR"/>
        </w:rPr>
        <w:tab/>
        <w:t xml:space="preserve">Les emballages extérieurs possibles comprennent des fûts et des </w:t>
      </w:r>
      <w:r>
        <w:rPr>
          <w:lang w:val="fr-FR"/>
        </w:rPr>
        <w:t>caisses</w:t>
      </w:r>
      <w:r w:rsidRPr="00C05001">
        <w:rPr>
          <w:lang w:val="fr-FR"/>
        </w:rPr>
        <w:t xml:space="preserve"> en acier, en aluminium et en </w:t>
      </w:r>
      <w:r>
        <w:rPr>
          <w:lang w:val="fr-FR"/>
        </w:rPr>
        <w:t>un autre</w:t>
      </w:r>
      <w:r w:rsidRPr="00C05001">
        <w:rPr>
          <w:lang w:val="fr-FR"/>
        </w:rPr>
        <w:t xml:space="preserve"> méta</w:t>
      </w:r>
      <w:r>
        <w:rPr>
          <w:lang w:val="fr-FR"/>
        </w:rPr>
        <w:t>l</w:t>
      </w:r>
      <w:r>
        <w:rPr>
          <w:lang w:val="fr-FR"/>
        </w:rPr>
        <w:t> ;</w:t>
      </w:r>
    </w:p>
    <w:p w14:paraId="2E6250A7" w14:textId="3C73DF0C" w:rsidR="00B47CE0" w:rsidRPr="00C05001" w:rsidRDefault="00B47CE0" w:rsidP="00B47CE0">
      <w:pPr>
        <w:pStyle w:val="SingleTxtG"/>
        <w:ind w:left="1701"/>
        <w:rPr>
          <w:lang w:val="fr-FR"/>
        </w:rPr>
      </w:pPr>
      <w:r w:rsidRPr="00C05001">
        <w:rPr>
          <w:lang w:val="fr-FR"/>
        </w:rPr>
        <w:t>c)</w:t>
      </w:r>
      <w:r w:rsidRPr="00C05001">
        <w:rPr>
          <w:lang w:val="fr-FR"/>
        </w:rPr>
        <w:tab/>
        <w:t>L</w:t>
      </w:r>
      <w:r>
        <w:rPr>
          <w:lang w:val="fr-FR"/>
        </w:rPr>
        <w:t>’</w:t>
      </w:r>
      <w:r w:rsidRPr="00C05001">
        <w:rPr>
          <w:lang w:val="fr-FR"/>
        </w:rPr>
        <w:t>instruction d</w:t>
      </w:r>
      <w:r>
        <w:rPr>
          <w:lang w:val="fr-FR"/>
        </w:rPr>
        <w:t>’</w:t>
      </w:r>
      <w:r w:rsidRPr="00C05001">
        <w:rPr>
          <w:lang w:val="fr-FR"/>
        </w:rPr>
        <w:t>emballage P130 est souvent spécifié</w:t>
      </w:r>
      <w:r>
        <w:rPr>
          <w:lang w:val="fr-FR"/>
        </w:rPr>
        <w:t>e</w:t>
      </w:r>
      <w:r w:rsidRPr="00C05001">
        <w:rPr>
          <w:lang w:val="fr-FR"/>
        </w:rPr>
        <w:t xml:space="preserve"> pour les explosifs généralement faits de métal. Il s</w:t>
      </w:r>
      <w:r>
        <w:rPr>
          <w:lang w:val="fr-FR"/>
        </w:rPr>
        <w:t>’</w:t>
      </w:r>
      <w:r w:rsidRPr="00C05001">
        <w:rPr>
          <w:lang w:val="fr-FR"/>
        </w:rPr>
        <w:t>agit du N</w:t>
      </w:r>
      <w:r w:rsidRPr="00B47CE0">
        <w:rPr>
          <w:vertAlign w:val="superscript"/>
          <w:lang w:val="fr-FR"/>
        </w:rPr>
        <w:t>o</w:t>
      </w:r>
      <w:r w:rsidRPr="00C05001">
        <w:rPr>
          <w:lang w:val="fr-FR"/>
        </w:rPr>
        <w:t xml:space="preserve"> ONU 0012 CARTOUCHES À PROJECTILE INERTE POUR ARMES ou CARTOUCHES POUR ARMES DE PETIT CALIBRE</w:t>
      </w:r>
      <w:r>
        <w:rPr>
          <w:lang w:val="fr-FR"/>
        </w:rPr>
        <w:t>,</w:t>
      </w:r>
      <w:r w:rsidRPr="00C05001">
        <w:rPr>
          <w:lang w:val="fr-FR"/>
        </w:rPr>
        <w:t xml:space="preserve"> et </w:t>
      </w:r>
      <w:r>
        <w:rPr>
          <w:lang w:val="fr-FR"/>
        </w:rPr>
        <w:t>d’</w:t>
      </w:r>
      <w:r w:rsidRPr="00C05001">
        <w:rPr>
          <w:lang w:val="fr-FR"/>
        </w:rPr>
        <w:t>autres objets en métal, y compris d</w:t>
      </w:r>
      <w:r>
        <w:rPr>
          <w:lang w:val="fr-FR"/>
        </w:rPr>
        <w:t>’</w:t>
      </w:r>
      <w:r w:rsidRPr="00C05001">
        <w:rPr>
          <w:lang w:val="fr-FR"/>
        </w:rPr>
        <w:t>autres munitions plus dangereuses que le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05001">
        <w:rPr>
          <w:lang w:val="fr-FR"/>
        </w:rPr>
        <w:t>ONU 0012</w:t>
      </w:r>
      <w:r>
        <w:rPr>
          <w:lang w:val="fr-FR"/>
        </w:rPr>
        <w:t>,</w:t>
      </w:r>
      <w:r w:rsidRPr="00C05001">
        <w:rPr>
          <w:lang w:val="fr-FR"/>
        </w:rPr>
        <w:t xml:space="preserve"> à savoir les mines, les projectiles explosifs, projectiles traçants, les dispositifs de détente, les engins autopropulsés, les charges propulsives, les bombes, les torpilles et les têtes militaires. En outre, conformément à la disposition spéciale d</w:t>
      </w:r>
      <w:r>
        <w:rPr>
          <w:lang w:val="fr-FR"/>
        </w:rPr>
        <w:t>’</w:t>
      </w:r>
      <w:r w:rsidRPr="00C05001">
        <w:rPr>
          <w:lang w:val="fr-FR"/>
        </w:rPr>
        <w:t>emballage PP67, de nombreux objets explosibles de grande taille, très dangereux, constitués de métal ne nécessitent pas d</w:t>
      </w:r>
      <w:r>
        <w:rPr>
          <w:lang w:val="fr-FR"/>
        </w:rPr>
        <w:t>’</w:t>
      </w:r>
      <w:r w:rsidRPr="00C05001">
        <w:rPr>
          <w:lang w:val="fr-FR"/>
        </w:rPr>
        <w:t>emballage pour marchandises dangereuses.</w:t>
      </w:r>
    </w:p>
    <w:p w14:paraId="0CBCF335" w14:textId="77777777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5.</w:t>
      </w:r>
      <w:r w:rsidRPr="00C05001">
        <w:rPr>
          <w:lang w:val="fr-FR"/>
        </w:rPr>
        <w:tab/>
        <w:t>De</w:t>
      </w:r>
      <w:r>
        <w:rPr>
          <w:lang w:val="fr-FR"/>
        </w:rPr>
        <w:t>puis longtemps, ces</w:t>
      </w:r>
      <w:r w:rsidRPr="00C05001">
        <w:rPr>
          <w:lang w:val="fr-FR"/>
        </w:rPr>
        <w:t xml:space="preserve"> configurations sont </w:t>
      </w:r>
      <w:r>
        <w:rPr>
          <w:lang w:val="fr-FR"/>
        </w:rPr>
        <w:t>fréquemment rencontrées</w:t>
      </w:r>
      <w:r w:rsidRPr="00C05001">
        <w:rPr>
          <w:lang w:val="fr-FR"/>
        </w:rPr>
        <w:t xml:space="preserve"> dans les expéditions de gros volumes. À la connaissance du SAAMI, cela ne provoque pas d</w:t>
      </w:r>
      <w:r>
        <w:rPr>
          <w:lang w:val="fr-FR"/>
        </w:rPr>
        <w:t>’</w:t>
      </w:r>
      <w:r w:rsidRPr="00C05001">
        <w:rPr>
          <w:lang w:val="fr-FR"/>
        </w:rPr>
        <w:t>incident.</w:t>
      </w:r>
    </w:p>
    <w:p w14:paraId="47CAF83E" w14:textId="77777777" w:rsidR="00B47CE0" w:rsidRPr="00C05001" w:rsidRDefault="00B47CE0" w:rsidP="00B47CE0">
      <w:pPr>
        <w:pStyle w:val="HChG"/>
        <w:rPr>
          <w:lang w:val="fr-FR"/>
        </w:rPr>
      </w:pPr>
      <w:r w:rsidRPr="00C05001">
        <w:rPr>
          <w:bCs/>
          <w:lang w:val="fr-FR"/>
        </w:rPr>
        <w:tab/>
        <w:t>III.</w:t>
      </w:r>
      <w:r w:rsidRPr="00C05001">
        <w:rPr>
          <w:lang w:val="fr-FR"/>
        </w:rPr>
        <w:tab/>
      </w:r>
      <w:r>
        <w:rPr>
          <w:bCs/>
          <w:lang w:val="fr-FR"/>
        </w:rPr>
        <w:t>Question à l’examen</w:t>
      </w:r>
    </w:p>
    <w:p w14:paraId="50A24102" w14:textId="77777777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6.</w:t>
      </w:r>
      <w:r w:rsidRPr="00C05001">
        <w:rPr>
          <w:lang w:val="fr-FR"/>
        </w:rPr>
        <w:tab/>
        <w:t>La disposition spéciale d</w:t>
      </w:r>
      <w:r>
        <w:rPr>
          <w:lang w:val="fr-FR"/>
        </w:rPr>
        <w:t>’</w:t>
      </w:r>
      <w:r w:rsidRPr="00C05001">
        <w:rPr>
          <w:lang w:val="fr-FR"/>
        </w:rPr>
        <w:t xml:space="preserve">emballage interdisant le contact métal contre métal peut </w:t>
      </w:r>
      <w:r>
        <w:rPr>
          <w:lang w:val="fr-FR"/>
        </w:rPr>
        <w:t>limiter</w:t>
      </w:r>
      <w:r w:rsidRPr="00C05001">
        <w:rPr>
          <w:lang w:val="fr-FR"/>
        </w:rPr>
        <w:t xml:space="preserve"> les configurations individuelles par ailleurs </w:t>
      </w:r>
      <w:r>
        <w:rPr>
          <w:lang w:val="fr-FR"/>
        </w:rPr>
        <w:t>autorisées</w:t>
      </w:r>
      <w:r w:rsidRPr="00C05001">
        <w:rPr>
          <w:lang w:val="fr-FR"/>
        </w:rPr>
        <w:t xml:space="preserve"> dans le cadre de l</w:t>
      </w:r>
      <w:r>
        <w:rPr>
          <w:lang w:val="fr-FR"/>
        </w:rPr>
        <w:t>’</w:t>
      </w:r>
      <w:r w:rsidRPr="00C05001">
        <w:rPr>
          <w:lang w:val="fr-FR"/>
        </w:rPr>
        <w:t>instruction d</w:t>
      </w:r>
      <w:r>
        <w:rPr>
          <w:lang w:val="fr-FR"/>
        </w:rPr>
        <w:t>’</w:t>
      </w:r>
      <w:r w:rsidRPr="00C05001">
        <w:rPr>
          <w:lang w:val="fr-FR"/>
        </w:rPr>
        <w:t>emballage. Toutefois, cela crée une incohérence, car les objets en métal peuvent encore entrer en contact les uns avec les autres en grandes quantités, par exemple dans des emballages extérieurs non métalliques.</w:t>
      </w:r>
    </w:p>
    <w:p w14:paraId="7BA4C56F" w14:textId="77777777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7.</w:t>
      </w:r>
      <w:r w:rsidRPr="00C05001">
        <w:rPr>
          <w:lang w:val="fr-FR"/>
        </w:rPr>
        <w:tab/>
        <w:t>Il n</w:t>
      </w:r>
      <w:r>
        <w:rPr>
          <w:lang w:val="fr-FR"/>
        </w:rPr>
        <w:t>’</w:t>
      </w:r>
      <w:r w:rsidRPr="00C05001">
        <w:rPr>
          <w:lang w:val="fr-FR"/>
        </w:rPr>
        <w:t>y a aucune raison de croire que le métal d</w:t>
      </w:r>
      <w:r>
        <w:rPr>
          <w:lang w:val="fr-FR"/>
        </w:rPr>
        <w:t>’</w:t>
      </w:r>
      <w:r w:rsidRPr="00C05001">
        <w:rPr>
          <w:lang w:val="fr-FR"/>
        </w:rPr>
        <w:t xml:space="preserve">un emballage extérieur </w:t>
      </w:r>
      <w:r>
        <w:rPr>
          <w:lang w:val="fr-FR"/>
        </w:rPr>
        <w:t xml:space="preserve">est susceptible de produire </w:t>
      </w:r>
      <w:r w:rsidRPr="00C05001">
        <w:rPr>
          <w:lang w:val="fr-FR"/>
        </w:rPr>
        <w:t>plus d</w:t>
      </w:r>
      <w:r>
        <w:rPr>
          <w:lang w:val="fr-FR"/>
        </w:rPr>
        <w:t>’</w:t>
      </w:r>
      <w:r w:rsidRPr="00C05001">
        <w:rPr>
          <w:lang w:val="fr-FR"/>
        </w:rPr>
        <w:t xml:space="preserve">énergie </w:t>
      </w:r>
      <w:r>
        <w:rPr>
          <w:lang w:val="fr-FR"/>
        </w:rPr>
        <w:t>d’allumage</w:t>
      </w:r>
      <w:r w:rsidRPr="00C05001">
        <w:rPr>
          <w:lang w:val="fr-FR"/>
        </w:rPr>
        <w:t xml:space="preserve"> que le frottement et les chocs entre objets.</w:t>
      </w:r>
    </w:p>
    <w:p w14:paraId="7B37401C" w14:textId="77777777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8.</w:t>
      </w:r>
      <w:r w:rsidRPr="00C05001">
        <w:rPr>
          <w:lang w:val="fr-FR"/>
        </w:rPr>
        <w:tab/>
        <w:t>Lorsque les emballages extérieurs sont en métal, il est possible d</w:t>
      </w:r>
      <w:r>
        <w:rPr>
          <w:lang w:val="fr-FR"/>
        </w:rPr>
        <w:t>’</w:t>
      </w:r>
      <w:r w:rsidRPr="00C05001">
        <w:rPr>
          <w:lang w:val="fr-FR"/>
        </w:rPr>
        <w:t>utiliser un sac plastique fin comme emballage intérieur pour assurer la conformité. Il s</w:t>
      </w:r>
      <w:r>
        <w:rPr>
          <w:lang w:val="fr-FR"/>
        </w:rPr>
        <w:t>’</w:t>
      </w:r>
      <w:r w:rsidRPr="00C05001">
        <w:rPr>
          <w:lang w:val="fr-FR"/>
        </w:rPr>
        <w:t>agit toutefois d</w:t>
      </w:r>
      <w:r>
        <w:rPr>
          <w:lang w:val="fr-FR"/>
        </w:rPr>
        <w:t>’</w:t>
      </w:r>
      <w:r w:rsidRPr="00C05001">
        <w:rPr>
          <w:lang w:val="fr-FR"/>
        </w:rPr>
        <w:t xml:space="preserve">une solution </w:t>
      </w:r>
      <w:r>
        <w:rPr>
          <w:lang w:val="fr-FR"/>
        </w:rPr>
        <w:t>qui n’est ni efficace ni durable puisqu’elle</w:t>
      </w:r>
      <w:r w:rsidRPr="00C05001">
        <w:rPr>
          <w:lang w:val="fr-FR"/>
        </w:rPr>
        <w:t xml:space="preserve"> peut </w:t>
      </w:r>
      <w:r>
        <w:rPr>
          <w:lang w:val="fr-FR"/>
        </w:rPr>
        <w:t>occasionner</w:t>
      </w:r>
      <w:r w:rsidRPr="00C05001">
        <w:rPr>
          <w:lang w:val="fr-FR"/>
        </w:rPr>
        <w:t xml:space="preserve"> des déchets et </w:t>
      </w:r>
      <w:r>
        <w:rPr>
          <w:lang w:val="fr-FR"/>
        </w:rPr>
        <w:t>des pertes de temps</w:t>
      </w:r>
      <w:r w:rsidRPr="00C05001">
        <w:rPr>
          <w:lang w:val="fr-FR"/>
        </w:rPr>
        <w:t xml:space="preserve"> dans le</w:t>
      </w:r>
      <w:r>
        <w:rPr>
          <w:lang w:val="fr-FR"/>
        </w:rPr>
        <w:t xml:space="preserve"> cadre de</w:t>
      </w:r>
      <w:r w:rsidRPr="00C05001">
        <w:rPr>
          <w:lang w:val="fr-FR"/>
        </w:rPr>
        <w:t>s opérations d</w:t>
      </w:r>
      <w:r>
        <w:rPr>
          <w:lang w:val="fr-FR"/>
        </w:rPr>
        <w:t>’</w:t>
      </w:r>
      <w:r w:rsidRPr="00C05001">
        <w:rPr>
          <w:lang w:val="fr-FR"/>
        </w:rPr>
        <w:t>emballage et de déballage.</w:t>
      </w:r>
    </w:p>
    <w:p w14:paraId="11A37E11" w14:textId="3DC66ECA" w:rsidR="00B47CE0" w:rsidRPr="00C05001" w:rsidRDefault="00B47CE0" w:rsidP="00B47CE0">
      <w:pPr>
        <w:pStyle w:val="SingleTxtG"/>
        <w:rPr>
          <w:lang w:val="fr-FR"/>
        </w:rPr>
      </w:pPr>
      <w:r w:rsidRPr="00C05001">
        <w:rPr>
          <w:lang w:val="fr-FR"/>
        </w:rPr>
        <w:t>9.</w:t>
      </w:r>
      <w:r w:rsidRPr="00C05001">
        <w:rPr>
          <w:lang w:val="fr-FR"/>
        </w:rPr>
        <w:tab/>
        <w:t>L</w:t>
      </w:r>
      <w:r>
        <w:rPr>
          <w:lang w:val="fr-FR"/>
        </w:rPr>
        <w:t>’existence d’un risque en raison</w:t>
      </w:r>
      <w:r w:rsidRPr="00C05001">
        <w:rPr>
          <w:lang w:val="fr-FR"/>
        </w:rPr>
        <w:t xml:space="preserve"> du contact métal contre métal est déjà évalué</w:t>
      </w:r>
      <w:r>
        <w:rPr>
          <w:lang w:val="fr-FR"/>
        </w:rPr>
        <w:t>e</w:t>
      </w:r>
      <w:r w:rsidRPr="00C05001">
        <w:rPr>
          <w:lang w:val="fr-FR"/>
        </w:rPr>
        <w:t>, par exemple dans l</w:t>
      </w:r>
      <w:r>
        <w:rPr>
          <w:lang w:val="fr-FR"/>
        </w:rPr>
        <w:t>e cadre de l’</w:t>
      </w:r>
      <w:r w:rsidRPr="00C05001">
        <w:rPr>
          <w:lang w:val="fr-FR"/>
        </w:rPr>
        <w:t>essai 4</w:t>
      </w:r>
      <w:r>
        <w:rPr>
          <w:lang w:val="fr-FR"/>
        </w:rPr>
        <w:t> </w:t>
      </w:r>
      <w:r w:rsidRPr="00C05001">
        <w:rPr>
          <w:lang w:val="fr-FR"/>
        </w:rPr>
        <w:t>b)</w:t>
      </w:r>
      <w:r>
        <w:rPr>
          <w:lang w:val="fr-FR"/>
        </w:rPr>
        <w:t> </w:t>
      </w:r>
      <w:r w:rsidRPr="00C05001">
        <w:rPr>
          <w:lang w:val="fr-FR"/>
        </w:rPr>
        <w:t xml:space="preserve">ii) </w:t>
      </w:r>
      <w:r>
        <w:rPr>
          <w:lang w:val="fr-FR"/>
        </w:rPr>
        <w:t>(</w:t>
      </w:r>
      <w:r w:rsidRPr="00C05001">
        <w:rPr>
          <w:lang w:val="fr-FR"/>
        </w:rPr>
        <w:t>épreuve de chute d</w:t>
      </w:r>
      <w:r>
        <w:rPr>
          <w:lang w:val="fr-FR"/>
        </w:rPr>
        <w:t>’</w:t>
      </w:r>
      <w:r w:rsidRPr="00C05001">
        <w:rPr>
          <w:lang w:val="fr-FR"/>
        </w:rPr>
        <w:t>une hauteur de 1,2</w:t>
      </w:r>
      <w:r>
        <w:rPr>
          <w:lang w:val="fr-FR"/>
        </w:rPr>
        <w:t> </w:t>
      </w:r>
      <w:r w:rsidRPr="00C05001">
        <w:rPr>
          <w:lang w:val="fr-FR"/>
        </w:rPr>
        <w:t>m</w:t>
      </w:r>
      <w:r>
        <w:rPr>
          <w:lang w:val="fr-FR"/>
        </w:rPr>
        <w:t>),</w:t>
      </w:r>
      <w:r w:rsidRPr="00C05001">
        <w:rPr>
          <w:lang w:val="fr-FR"/>
        </w:rPr>
        <w:t xml:space="preserve"> visant à exclure tout risque d</w:t>
      </w:r>
      <w:r>
        <w:rPr>
          <w:lang w:val="fr-FR"/>
        </w:rPr>
        <w:t>’</w:t>
      </w:r>
      <w:r w:rsidRPr="00C05001">
        <w:rPr>
          <w:lang w:val="fr-FR"/>
        </w:rPr>
        <w:t>incendie ou d</w:t>
      </w:r>
      <w:r>
        <w:rPr>
          <w:lang w:val="fr-FR"/>
        </w:rPr>
        <w:t>’</w:t>
      </w:r>
      <w:r w:rsidRPr="00C05001">
        <w:rPr>
          <w:lang w:val="fr-FR"/>
        </w:rPr>
        <w:t xml:space="preserve">explosion. </w:t>
      </w:r>
      <w:r>
        <w:rPr>
          <w:lang w:val="fr-FR"/>
        </w:rPr>
        <w:t>Un tel</w:t>
      </w:r>
      <w:r w:rsidRPr="00C05001">
        <w:rPr>
          <w:lang w:val="fr-FR"/>
        </w:rPr>
        <w:t xml:space="preserve"> contrôle </w:t>
      </w:r>
      <w:r>
        <w:rPr>
          <w:lang w:val="fr-FR"/>
        </w:rPr>
        <w:t>est sans doute</w:t>
      </w:r>
      <w:r w:rsidRPr="00C05001">
        <w:rPr>
          <w:lang w:val="fr-FR"/>
        </w:rPr>
        <w:t xml:space="preserve"> plus </w:t>
      </w:r>
      <w:r>
        <w:rPr>
          <w:lang w:val="fr-FR"/>
        </w:rPr>
        <w:t>utile</w:t>
      </w:r>
      <w:r w:rsidRPr="00C05001">
        <w:rPr>
          <w:lang w:val="fr-FR"/>
        </w:rPr>
        <w:t xml:space="preserve"> que l</w:t>
      </w:r>
      <w:r>
        <w:rPr>
          <w:lang w:val="fr-FR"/>
        </w:rPr>
        <w:t xml:space="preserve">e recours à </w:t>
      </w:r>
      <w:r w:rsidRPr="00C05001">
        <w:rPr>
          <w:lang w:val="fr-FR"/>
        </w:rPr>
        <w:t>un emballage intérieur qui pourrait s</w:t>
      </w:r>
      <w:r>
        <w:rPr>
          <w:lang w:val="fr-FR"/>
        </w:rPr>
        <w:t>’</w:t>
      </w:r>
      <w:r w:rsidRPr="00C05001">
        <w:rPr>
          <w:lang w:val="fr-FR"/>
        </w:rPr>
        <w:t>avérer superflu.</w:t>
      </w:r>
    </w:p>
    <w:p w14:paraId="48280A72" w14:textId="77777777" w:rsidR="00B47CE0" w:rsidRPr="00C05001" w:rsidRDefault="00B47CE0" w:rsidP="00B47CE0">
      <w:pPr>
        <w:pStyle w:val="HChG"/>
        <w:rPr>
          <w:lang w:val="fr-FR"/>
        </w:rPr>
      </w:pPr>
      <w:r w:rsidRPr="00C05001">
        <w:rPr>
          <w:lang w:val="fr-FR"/>
        </w:rPr>
        <w:tab/>
        <w:t>IV.</w:t>
      </w:r>
      <w:r w:rsidRPr="00C05001">
        <w:rPr>
          <w:lang w:val="fr-FR"/>
        </w:rPr>
        <w:tab/>
        <w:t>Proposition</w:t>
      </w:r>
    </w:p>
    <w:p w14:paraId="4325A110" w14:textId="1F70A862" w:rsidR="00B47CE0" w:rsidRPr="00C05001" w:rsidRDefault="00B47CE0" w:rsidP="00B47CE0">
      <w:pPr>
        <w:pStyle w:val="SingleTxtG"/>
        <w:keepNext/>
        <w:rPr>
          <w:lang w:val="fr-FR"/>
        </w:rPr>
      </w:pPr>
      <w:r w:rsidRPr="00C05001">
        <w:rPr>
          <w:lang w:val="fr-FR"/>
        </w:rPr>
        <w:t>10.</w:t>
      </w:r>
      <w:r w:rsidRPr="00C05001">
        <w:rPr>
          <w:lang w:val="fr-FR"/>
        </w:rPr>
        <w:tab/>
        <w:t xml:space="preserve">Le SAAMI propose </w:t>
      </w:r>
      <w:r>
        <w:rPr>
          <w:lang w:val="fr-FR"/>
        </w:rPr>
        <w:t>la tenue d’un</w:t>
      </w:r>
      <w:r w:rsidRPr="00C05001">
        <w:rPr>
          <w:lang w:val="fr-FR"/>
        </w:rPr>
        <w:t xml:space="preserve"> débat technique </w:t>
      </w:r>
      <w:r>
        <w:rPr>
          <w:lang w:val="fr-FR"/>
        </w:rPr>
        <w:t>autour des</w:t>
      </w:r>
      <w:r w:rsidRPr="00C05001">
        <w:rPr>
          <w:lang w:val="fr-FR"/>
        </w:rPr>
        <w:t xml:space="preserve"> questions suivantes</w:t>
      </w:r>
      <w:r>
        <w:rPr>
          <w:lang w:val="fr-FR"/>
        </w:rPr>
        <w:t> :</w:t>
      </w:r>
    </w:p>
    <w:p w14:paraId="15A0C100" w14:textId="77777777" w:rsidR="00B47CE0" w:rsidRPr="00C05001" w:rsidRDefault="00B47CE0" w:rsidP="00B47CE0">
      <w:pPr>
        <w:pStyle w:val="SingleTxtG"/>
        <w:ind w:left="1701"/>
        <w:rPr>
          <w:lang w:val="fr-FR"/>
        </w:rPr>
      </w:pPr>
      <w:r w:rsidRPr="00C05001">
        <w:rPr>
          <w:lang w:val="fr-FR"/>
        </w:rPr>
        <w:t>a)</w:t>
      </w:r>
      <w:r w:rsidRPr="00C05001">
        <w:rPr>
          <w:lang w:val="fr-FR"/>
        </w:rPr>
        <w:tab/>
        <w:t>Des membres ont-ils éprouvé le besoin d</w:t>
      </w:r>
      <w:r>
        <w:rPr>
          <w:lang w:val="fr-FR"/>
        </w:rPr>
        <w:t>’</w:t>
      </w:r>
      <w:r w:rsidRPr="00C05001">
        <w:rPr>
          <w:lang w:val="fr-FR"/>
        </w:rPr>
        <w:t>assurer une protection contre le contact entre les emballages métalliques et les objets explosibles en métal pour les numéros ONU affectés aux instructions d</w:t>
      </w:r>
      <w:r>
        <w:rPr>
          <w:lang w:val="fr-FR"/>
        </w:rPr>
        <w:t>’</w:t>
      </w:r>
      <w:r w:rsidRPr="00C05001">
        <w:rPr>
          <w:lang w:val="fr-FR"/>
        </w:rPr>
        <w:t xml:space="preserve">emballage qui ne </w:t>
      </w:r>
      <w:r>
        <w:rPr>
          <w:lang w:val="fr-FR"/>
        </w:rPr>
        <w:t>prescrivent</w:t>
      </w:r>
      <w:r w:rsidRPr="00C05001">
        <w:rPr>
          <w:lang w:val="fr-FR"/>
        </w:rPr>
        <w:t xml:space="preserve"> pas d</w:t>
      </w:r>
      <w:r>
        <w:rPr>
          <w:lang w:val="fr-FR"/>
        </w:rPr>
        <w:t>’</w:t>
      </w:r>
      <w:r w:rsidRPr="00C05001">
        <w:rPr>
          <w:lang w:val="fr-FR"/>
        </w:rPr>
        <w:t>emballage intérieur ?</w:t>
      </w:r>
    </w:p>
    <w:p w14:paraId="5318DCD7" w14:textId="77777777" w:rsidR="00B47CE0" w:rsidRPr="00C05001" w:rsidRDefault="00B47CE0" w:rsidP="00B47CE0">
      <w:pPr>
        <w:pStyle w:val="SingleTxtG"/>
        <w:ind w:left="1701"/>
        <w:rPr>
          <w:lang w:val="fr-FR"/>
        </w:rPr>
      </w:pPr>
      <w:r w:rsidRPr="00C05001">
        <w:rPr>
          <w:lang w:val="fr-FR"/>
        </w:rPr>
        <w:t>b)</w:t>
      </w:r>
      <w:r w:rsidRPr="00C05001">
        <w:rPr>
          <w:lang w:val="fr-FR"/>
        </w:rPr>
        <w:tab/>
        <w:t>Serait-il approprié, dans certains cas, d</w:t>
      </w:r>
      <w:r>
        <w:rPr>
          <w:lang w:val="fr-FR"/>
        </w:rPr>
        <w:t>’</w:t>
      </w:r>
      <w:r w:rsidRPr="00C05001">
        <w:rPr>
          <w:lang w:val="fr-FR"/>
        </w:rPr>
        <w:t>établir une disposition d</w:t>
      </w:r>
      <w:r>
        <w:rPr>
          <w:lang w:val="fr-FR"/>
        </w:rPr>
        <w:t>’</w:t>
      </w:r>
      <w:r w:rsidRPr="00C05001">
        <w:rPr>
          <w:lang w:val="fr-FR"/>
        </w:rPr>
        <w:t>emballage au sein des instructions d</w:t>
      </w:r>
      <w:r>
        <w:rPr>
          <w:lang w:val="fr-FR"/>
        </w:rPr>
        <w:t>’</w:t>
      </w:r>
      <w:r w:rsidRPr="00C05001">
        <w:rPr>
          <w:lang w:val="fr-FR"/>
        </w:rPr>
        <w:t>emballage P130 et P132 a) afin d</w:t>
      </w:r>
      <w:r>
        <w:rPr>
          <w:lang w:val="fr-FR"/>
        </w:rPr>
        <w:t>’</w:t>
      </w:r>
      <w:r w:rsidRPr="00C05001">
        <w:rPr>
          <w:lang w:val="fr-FR"/>
        </w:rPr>
        <w:t>autoriser le transport d</w:t>
      </w:r>
      <w:r>
        <w:rPr>
          <w:lang w:val="fr-FR"/>
        </w:rPr>
        <w:t>’</w:t>
      </w:r>
      <w:r w:rsidRPr="00C05001">
        <w:rPr>
          <w:lang w:val="fr-FR"/>
        </w:rPr>
        <w:t>objets en métal dans des emballages métalliques ?</w:t>
      </w:r>
    </w:p>
    <w:p w14:paraId="7BDCF4A6" w14:textId="77777777" w:rsidR="00B47CE0" w:rsidRPr="00C05001" w:rsidRDefault="00B47CE0" w:rsidP="00B47CE0">
      <w:pPr>
        <w:pStyle w:val="SingleTxtG"/>
        <w:ind w:left="1701"/>
        <w:rPr>
          <w:lang w:val="fr-FR"/>
        </w:rPr>
      </w:pPr>
      <w:r w:rsidRPr="00C05001">
        <w:rPr>
          <w:lang w:val="fr-FR"/>
        </w:rPr>
        <w:t>c)</w:t>
      </w:r>
      <w:r w:rsidRPr="00C05001">
        <w:rPr>
          <w:lang w:val="fr-FR"/>
        </w:rPr>
        <w:tab/>
        <w:t>Une telle disposition serait-elle applicable à l</w:t>
      </w:r>
      <w:r>
        <w:rPr>
          <w:lang w:val="fr-FR"/>
        </w:rPr>
        <w:t>’</w:t>
      </w:r>
      <w:r w:rsidRPr="00C05001">
        <w:rPr>
          <w:lang w:val="fr-FR"/>
        </w:rPr>
        <w:t>ensemble d</w:t>
      </w:r>
      <w:r>
        <w:rPr>
          <w:lang w:val="fr-FR"/>
        </w:rPr>
        <w:t>’</w:t>
      </w:r>
      <w:r w:rsidRPr="00C05001">
        <w:rPr>
          <w:lang w:val="fr-FR"/>
        </w:rPr>
        <w:t>une instruction d</w:t>
      </w:r>
      <w:r>
        <w:rPr>
          <w:lang w:val="fr-FR"/>
        </w:rPr>
        <w:t>’</w:t>
      </w:r>
      <w:r w:rsidRPr="00C05001">
        <w:rPr>
          <w:lang w:val="fr-FR"/>
        </w:rPr>
        <w:t>emballage ou limitée à certains numéros ONU ?</w:t>
      </w:r>
    </w:p>
    <w:p w14:paraId="6319A083" w14:textId="1B6B6728" w:rsidR="00FC51A3" w:rsidRPr="00B47CE0" w:rsidRDefault="00B47CE0" w:rsidP="00B47C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51A3" w:rsidRPr="00B47CE0" w:rsidSect="00FC51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C24A" w14:textId="77777777" w:rsidR="00DD5D27" w:rsidRDefault="00DD5D27" w:rsidP="00F95C08">
      <w:pPr>
        <w:spacing w:line="240" w:lineRule="auto"/>
      </w:pPr>
    </w:p>
  </w:endnote>
  <w:endnote w:type="continuationSeparator" w:id="0">
    <w:p w14:paraId="56CD7EF8" w14:textId="77777777" w:rsidR="00DD5D27" w:rsidRPr="00AC3823" w:rsidRDefault="00DD5D27" w:rsidP="00AC3823">
      <w:pPr>
        <w:pStyle w:val="Pieddepage"/>
      </w:pPr>
    </w:p>
  </w:endnote>
  <w:endnote w:type="continuationNotice" w:id="1">
    <w:p w14:paraId="4756F111" w14:textId="77777777" w:rsidR="00DD5D27" w:rsidRDefault="00DD5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1806" w14:textId="573128DF" w:rsidR="00FC51A3" w:rsidRPr="00FC51A3" w:rsidRDefault="00FC51A3" w:rsidP="00FC51A3">
    <w:pPr>
      <w:pStyle w:val="Pieddepage"/>
      <w:tabs>
        <w:tab w:val="right" w:pos="9638"/>
      </w:tabs>
    </w:pPr>
    <w:r w:rsidRPr="00FC51A3">
      <w:rPr>
        <w:b/>
        <w:sz w:val="18"/>
      </w:rPr>
      <w:fldChar w:fldCharType="begin"/>
    </w:r>
    <w:r w:rsidRPr="00FC51A3">
      <w:rPr>
        <w:b/>
        <w:sz w:val="18"/>
      </w:rPr>
      <w:instrText xml:space="preserve"> PAGE  \* MERGEFORMAT </w:instrText>
    </w:r>
    <w:r w:rsidRPr="00FC51A3">
      <w:rPr>
        <w:b/>
        <w:sz w:val="18"/>
      </w:rPr>
      <w:fldChar w:fldCharType="separate"/>
    </w:r>
    <w:r w:rsidRPr="00FC51A3">
      <w:rPr>
        <w:b/>
        <w:noProof/>
        <w:sz w:val="18"/>
      </w:rPr>
      <w:t>2</w:t>
    </w:r>
    <w:r w:rsidRPr="00FC51A3">
      <w:rPr>
        <w:b/>
        <w:sz w:val="18"/>
      </w:rPr>
      <w:fldChar w:fldCharType="end"/>
    </w:r>
    <w:r>
      <w:rPr>
        <w:b/>
        <w:sz w:val="18"/>
      </w:rPr>
      <w:tab/>
    </w:r>
    <w:r>
      <w:t>GE.23-07597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B6AD" w14:textId="44137B64" w:rsidR="00FC51A3" w:rsidRPr="00FC51A3" w:rsidRDefault="00FC51A3" w:rsidP="00FC51A3">
    <w:pPr>
      <w:pStyle w:val="Pieddepage"/>
      <w:tabs>
        <w:tab w:val="right" w:pos="9638"/>
      </w:tabs>
      <w:rPr>
        <w:b/>
        <w:sz w:val="18"/>
      </w:rPr>
    </w:pPr>
    <w:r>
      <w:t>GE.23-07597</w:t>
    </w:r>
    <w:r>
      <w:tab/>
    </w:r>
    <w:r w:rsidRPr="00FC51A3">
      <w:rPr>
        <w:b/>
        <w:sz w:val="18"/>
      </w:rPr>
      <w:fldChar w:fldCharType="begin"/>
    </w:r>
    <w:r w:rsidRPr="00FC51A3">
      <w:rPr>
        <w:b/>
        <w:sz w:val="18"/>
      </w:rPr>
      <w:instrText xml:space="preserve"> PAGE  \* MERGEFORMAT </w:instrText>
    </w:r>
    <w:r w:rsidRPr="00FC51A3">
      <w:rPr>
        <w:b/>
        <w:sz w:val="18"/>
      </w:rPr>
      <w:fldChar w:fldCharType="separate"/>
    </w:r>
    <w:r w:rsidRPr="00FC51A3">
      <w:rPr>
        <w:b/>
        <w:noProof/>
        <w:sz w:val="18"/>
      </w:rPr>
      <w:t>3</w:t>
    </w:r>
    <w:r w:rsidRPr="00FC51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B644" w14:textId="379603E0" w:rsidR="0068456F" w:rsidRPr="00FC51A3" w:rsidRDefault="00FC51A3" w:rsidP="00FC51A3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5D38F0" wp14:editId="3048BEF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23-07597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D648E8" wp14:editId="62C3BD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190523    190523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7860" w14:textId="77777777" w:rsidR="00DD5D27" w:rsidRPr="00AC3823" w:rsidRDefault="00DD5D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8F6689" w14:textId="77777777" w:rsidR="00DD5D27" w:rsidRPr="00AC3823" w:rsidRDefault="00DD5D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7EC8A6" w14:textId="77777777" w:rsidR="00DD5D27" w:rsidRPr="00AC3823" w:rsidRDefault="00DD5D27">
      <w:pPr>
        <w:spacing w:line="240" w:lineRule="auto"/>
        <w:rPr>
          <w:sz w:val="2"/>
          <w:szCs w:val="2"/>
        </w:rPr>
      </w:pPr>
    </w:p>
  </w:footnote>
  <w:footnote w:id="2">
    <w:p w14:paraId="66A28E9F" w14:textId="77777777" w:rsidR="00B47CE0" w:rsidRPr="00546351" w:rsidRDefault="00B47CE0" w:rsidP="00B47CE0">
      <w:pPr>
        <w:pStyle w:val="Notedebasdepage"/>
        <w:rPr>
          <w:lang w:val="fr-SN"/>
        </w:rPr>
      </w:pPr>
      <w:r>
        <w:rPr>
          <w:lang w:val="fr-FR"/>
        </w:rPr>
        <w:tab/>
      </w:r>
      <w:r w:rsidRPr="0069611B">
        <w:rPr>
          <w:sz w:val="20"/>
          <w:lang w:val="fr-FR"/>
        </w:rPr>
        <w:t>*</w:t>
      </w:r>
      <w:r>
        <w:rPr>
          <w:lang w:val="fr-FR"/>
        </w:rPr>
        <w:tab/>
        <w:t>A/77/6 (Sect. 20), tableau 20.6.</w:t>
      </w:r>
    </w:p>
    <w:p w14:paraId="05464F98" w14:textId="77777777" w:rsidR="00B47CE0" w:rsidRPr="00546351" w:rsidRDefault="00B47CE0" w:rsidP="00B47CE0">
      <w:pPr>
        <w:pStyle w:val="Notedebasdepage"/>
        <w:rPr>
          <w:lang w:val="fr-SN"/>
        </w:rPr>
      </w:pPr>
      <w:r>
        <w:rPr>
          <w:lang w:val="fr-FR"/>
        </w:rPr>
        <w:tab/>
      </w:r>
      <w:r w:rsidRPr="0069611B">
        <w:rPr>
          <w:sz w:val="20"/>
          <w:lang w:val="fr-FR"/>
        </w:rPr>
        <w:t>**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56D4" w14:textId="7FAE5FBE" w:rsidR="00FC51A3" w:rsidRPr="00FC51A3" w:rsidRDefault="00FC51A3">
    <w:pPr>
      <w:pStyle w:val="En-tte"/>
    </w:pPr>
    <w:fldSimple w:instr=" TITLE  \* MERGEFORMAT ">
      <w:r w:rsidR="009847AA">
        <w:t>ST/SG/AC.10/C.3/2023/25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37D" w14:textId="7C5943B6" w:rsidR="00FC51A3" w:rsidRPr="00FC51A3" w:rsidRDefault="00FC51A3" w:rsidP="00FC51A3">
    <w:pPr>
      <w:pStyle w:val="En-tte"/>
      <w:jc w:val="right"/>
    </w:pPr>
    <w:fldSimple w:instr=" TITLE  \* MERGEFORMAT ">
      <w:r w:rsidR="009847AA">
        <w:t>ST/SG/AC.10/C.3/2023/25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27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847AA"/>
    <w:rsid w:val="009C1CF4"/>
    <w:rsid w:val="00A30353"/>
    <w:rsid w:val="00A81281"/>
    <w:rsid w:val="00AC3823"/>
    <w:rsid w:val="00AE323C"/>
    <w:rsid w:val="00B00181"/>
    <w:rsid w:val="00B00B0D"/>
    <w:rsid w:val="00B47CE0"/>
    <w:rsid w:val="00B765F7"/>
    <w:rsid w:val="00BA0CA9"/>
    <w:rsid w:val="00C02897"/>
    <w:rsid w:val="00D3439C"/>
    <w:rsid w:val="00DB1831"/>
    <w:rsid w:val="00DD3BFD"/>
    <w:rsid w:val="00DD5D27"/>
    <w:rsid w:val="00DF6678"/>
    <w:rsid w:val="00EF2E22"/>
    <w:rsid w:val="00F01738"/>
    <w:rsid w:val="00F660DF"/>
    <w:rsid w:val="00F730C8"/>
    <w:rsid w:val="00F95C08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4102"/>
  <w15:docId w15:val="{4FF281E7-3115-4384-A1AD-55FAC59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B47CE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47CE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B47CE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539</Words>
  <Characters>4137</Characters>
  <Application>Microsoft Office Word</Application>
  <DocSecurity>0</DocSecurity>
  <Lines>1379</Lines>
  <Paragraphs>389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ST/SG/AC.10/C.3/2023/25</dc:title>
  <dc:subject/>
  <dc:creator>Nicolas MORIN</dc:creator>
  <cp:keywords/>
  <cp:lastModifiedBy>Nicolas Morin</cp:lastModifiedBy>
  <cp:revision>2</cp:revision>
  <cp:lastPrinted>2023-05-19T07:30:00Z</cp:lastPrinted>
  <dcterms:created xsi:type="dcterms:W3CDTF">2023-05-19T07:30:00Z</dcterms:created>
  <dcterms:modified xsi:type="dcterms:W3CDTF">2023-05-19T07:30:00Z</dcterms:modified>
</cp:coreProperties>
</file>