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6EF207BC" w14:textId="77777777" w:rsidTr="006476E1">
        <w:trPr>
          <w:trHeight w:val="851"/>
        </w:trPr>
        <w:tc>
          <w:tcPr>
            <w:tcW w:w="1259" w:type="dxa"/>
            <w:tcBorders>
              <w:top w:val="nil"/>
              <w:left w:val="nil"/>
              <w:bottom w:val="single" w:sz="4" w:space="0" w:color="auto"/>
              <w:right w:val="nil"/>
            </w:tcBorders>
          </w:tcPr>
          <w:p w14:paraId="757888CD" w14:textId="77777777" w:rsidR="00E52109" w:rsidRPr="002A32CB" w:rsidRDefault="00E52109" w:rsidP="004858F5"/>
        </w:tc>
        <w:tc>
          <w:tcPr>
            <w:tcW w:w="2236" w:type="dxa"/>
            <w:tcBorders>
              <w:top w:val="nil"/>
              <w:left w:val="nil"/>
              <w:bottom w:val="single" w:sz="4" w:space="0" w:color="auto"/>
              <w:right w:val="nil"/>
            </w:tcBorders>
            <w:vAlign w:val="bottom"/>
          </w:tcPr>
          <w:p w14:paraId="2C25276C"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286612F5" w14:textId="43D34274" w:rsidR="00E52109" w:rsidRDefault="001F4390" w:rsidP="001F4390">
            <w:pPr>
              <w:suppressAutoHyphens w:val="0"/>
              <w:jc w:val="right"/>
            </w:pPr>
            <w:r w:rsidRPr="001F4390">
              <w:rPr>
                <w:sz w:val="40"/>
              </w:rPr>
              <w:t>ST</w:t>
            </w:r>
            <w:r>
              <w:t>/SG/AC.10/C.3/2023/25</w:t>
            </w:r>
          </w:p>
        </w:tc>
      </w:tr>
      <w:tr w:rsidR="00E52109" w14:paraId="77D903D6" w14:textId="77777777" w:rsidTr="006476E1">
        <w:trPr>
          <w:trHeight w:val="2835"/>
        </w:trPr>
        <w:tc>
          <w:tcPr>
            <w:tcW w:w="1259" w:type="dxa"/>
            <w:tcBorders>
              <w:top w:val="single" w:sz="4" w:space="0" w:color="auto"/>
              <w:left w:val="nil"/>
              <w:bottom w:val="single" w:sz="12" w:space="0" w:color="auto"/>
              <w:right w:val="nil"/>
            </w:tcBorders>
          </w:tcPr>
          <w:p w14:paraId="561FA31E" w14:textId="77777777" w:rsidR="00E52109" w:rsidRDefault="00E52109" w:rsidP="006476E1">
            <w:pPr>
              <w:spacing w:before="120"/>
              <w:jc w:val="center"/>
            </w:pPr>
            <w:r>
              <w:rPr>
                <w:noProof/>
                <w:lang w:val="fr-CH" w:eastAsia="fr-CH"/>
              </w:rPr>
              <w:drawing>
                <wp:inline distT="0" distB="0" distL="0" distR="0" wp14:anchorId="36749753" wp14:editId="31DE0CA4">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16C19E6D"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491AF9C3" w14:textId="77777777" w:rsidR="00D94B05" w:rsidRDefault="001F4390" w:rsidP="001F4390">
            <w:pPr>
              <w:suppressAutoHyphens w:val="0"/>
              <w:spacing w:before="240" w:line="240" w:lineRule="exact"/>
            </w:pPr>
            <w:r>
              <w:t>Distr.: General</w:t>
            </w:r>
          </w:p>
          <w:p w14:paraId="15B91F7D" w14:textId="5437B35E" w:rsidR="001F4390" w:rsidRDefault="00092281" w:rsidP="001F4390">
            <w:pPr>
              <w:suppressAutoHyphens w:val="0"/>
              <w:spacing w:line="240" w:lineRule="exact"/>
            </w:pPr>
            <w:r>
              <w:t>21</w:t>
            </w:r>
            <w:r w:rsidR="001F4390">
              <w:t xml:space="preserve"> April 2023</w:t>
            </w:r>
          </w:p>
          <w:p w14:paraId="7A248EE7" w14:textId="77777777" w:rsidR="001F4390" w:rsidRDefault="001F4390" w:rsidP="001F4390">
            <w:pPr>
              <w:suppressAutoHyphens w:val="0"/>
              <w:spacing w:line="240" w:lineRule="exact"/>
            </w:pPr>
          </w:p>
          <w:p w14:paraId="1CE77DFD" w14:textId="678B2B20" w:rsidR="001F4390" w:rsidRDefault="001F4390" w:rsidP="001F4390">
            <w:pPr>
              <w:suppressAutoHyphens w:val="0"/>
              <w:spacing w:line="240" w:lineRule="exact"/>
            </w:pPr>
            <w:r>
              <w:t>Original: English</w:t>
            </w:r>
          </w:p>
        </w:tc>
      </w:tr>
    </w:tbl>
    <w:p w14:paraId="00BBE549" w14:textId="77777777" w:rsidR="001F4390" w:rsidRPr="006500BA" w:rsidRDefault="001F4390" w:rsidP="001F4390">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4357C017" w14:textId="77777777" w:rsidR="001F4390" w:rsidRPr="006500BA" w:rsidRDefault="001F4390" w:rsidP="001F4390">
      <w:pPr>
        <w:spacing w:before="120"/>
        <w:rPr>
          <w:rFonts w:ascii="Helv" w:hAnsi="Helv" w:cs="Helv"/>
          <w:b/>
          <w:color w:val="000000"/>
        </w:rPr>
      </w:pPr>
      <w:r w:rsidRPr="006500BA">
        <w:rPr>
          <w:b/>
        </w:rPr>
        <w:t xml:space="preserve">Sub-Committee of Experts on the </w:t>
      </w:r>
      <w:r>
        <w:rPr>
          <w:b/>
        </w:rPr>
        <w:t>Transport of Dangerous Goods</w:t>
      </w:r>
    </w:p>
    <w:p w14:paraId="18711065" w14:textId="31B49668" w:rsidR="001F4390" w:rsidRPr="006500BA" w:rsidRDefault="002A2B1F" w:rsidP="001F4390">
      <w:pPr>
        <w:spacing w:before="120"/>
        <w:rPr>
          <w:b/>
        </w:rPr>
      </w:pPr>
      <w:r>
        <w:rPr>
          <w:b/>
        </w:rPr>
        <w:t>Sixty-secon</w:t>
      </w:r>
      <w:r w:rsidR="00563045">
        <w:rPr>
          <w:b/>
        </w:rPr>
        <w:t>d</w:t>
      </w:r>
      <w:r w:rsidR="001F4390">
        <w:rPr>
          <w:b/>
        </w:rPr>
        <w:t xml:space="preserve"> </w:t>
      </w:r>
      <w:r w:rsidR="001F4390" w:rsidRPr="006500BA">
        <w:rPr>
          <w:b/>
        </w:rPr>
        <w:t>session</w:t>
      </w:r>
    </w:p>
    <w:p w14:paraId="448EB00F" w14:textId="56313651" w:rsidR="001F4390" w:rsidRPr="006500BA" w:rsidRDefault="001F4390" w:rsidP="001F4390">
      <w:r w:rsidRPr="006500BA">
        <w:t xml:space="preserve">Geneva, </w:t>
      </w:r>
      <w:r>
        <w:t>3-7 July</w:t>
      </w:r>
      <w:r w:rsidR="00CB4B35">
        <w:t xml:space="preserve"> 2023</w:t>
      </w:r>
    </w:p>
    <w:p w14:paraId="31050039" w14:textId="7142CD53" w:rsidR="001F4390" w:rsidRPr="008F2148" w:rsidRDefault="001F4390" w:rsidP="001F4390">
      <w:r w:rsidRPr="008F2148">
        <w:t xml:space="preserve">Item </w:t>
      </w:r>
      <w:r>
        <w:t>2</w:t>
      </w:r>
      <w:r w:rsidRPr="008F2148">
        <w:t xml:space="preserve"> (</w:t>
      </w:r>
      <w:r>
        <w:t>h</w:t>
      </w:r>
      <w:r w:rsidRPr="008F2148">
        <w:t>) of the provisional agenda</w:t>
      </w:r>
    </w:p>
    <w:p w14:paraId="27E65D34" w14:textId="44DE17DA" w:rsidR="001F4390" w:rsidRPr="003E2B5F" w:rsidRDefault="001F4390" w:rsidP="001F4390">
      <w:pPr>
        <w:rPr>
          <w:b/>
          <w:bCs/>
        </w:rPr>
      </w:pPr>
      <w:r w:rsidRPr="001F4390">
        <w:rPr>
          <w:b/>
          <w:bCs/>
        </w:rPr>
        <w:t>Explosives and related matters</w:t>
      </w:r>
      <w:r w:rsidRPr="008F2148">
        <w:rPr>
          <w:b/>
          <w:bCs/>
        </w:rPr>
        <w:t xml:space="preserve">: </w:t>
      </w:r>
      <w:r>
        <w:rPr>
          <w:b/>
          <w:bCs/>
        </w:rPr>
        <w:t>m</w:t>
      </w:r>
      <w:r w:rsidRPr="001F4390">
        <w:rPr>
          <w:b/>
          <w:bCs/>
        </w:rPr>
        <w:t>iscellaneous</w:t>
      </w:r>
    </w:p>
    <w:p w14:paraId="4B926D34" w14:textId="7DE18B74" w:rsidR="001F4390" w:rsidRPr="00F5561C" w:rsidRDefault="001F4390" w:rsidP="001F4390">
      <w:pPr>
        <w:pStyle w:val="HChG"/>
        <w:rPr>
          <w:color w:val="000000" w:themeColor="text1"/>
        </w:rPr>
      </w:pPr>
      <w:r>
        <w:tab/>
      </w:r>
      <w:r>
        <w:tab/>
      </w:r>
      <w:r w:rsidRPr="001F4390">
        <w:t xml:space="preserve">Packing instruction </w:t>
      </w:r>
      <w:r w:rsidR="008D5CA4">
        <w:t>P</w:t>
      </w:r>
      <w:r w:rsidRPr="001F4390">
        <w:t>130 and metal on metal contact between explosives and packaging</w:t>
      </w:r>
    </w:p>
    <w:p w14:paraId="4B745183" w14:textId="662C8C66" w:rsidR="001F4390" w:rsidRDefault="001F4390" w:rsidP="001F4390">
      <w:pPr>
        <w:pStyle w:val="H1G"/>
        <w:rPr>
          <w:rFonts w:asciiTheme="majorBidi" w:hAnsiTheme="majorBidi" w:cstheme="majorBidi"/>
          <w:color w:val="000000" w:themeColor="text1"/>
        </w:rPr>
      </w:pPr>
      <w:r>
        <w:rPr>
          <w:rFonts w:asciiTheme="majorBidi" w:hAnsiTheme="majorBidi" w:cstheme="majorBidi"/>
        </w:rPr>
        <w:tab/>
      </w:r>
      <w:r>
        <w:rPr>
          <w:rFonts w:asciiTheme="majorBidi" w:hAnsiTheme="majorBidi" w:cstheme="majorBidi"/>
        </w:rPr>
        <w:tab/>
      </w:r>
      <w:r w:rsidRPr="00372A88">
        <w:rPr>
          <w:rFonts w:eastAsia="Arial Unicode MS"/>
          <w:lang w:val="en-US"/>
        </w:rPr>
        <w:t>Transmitted by the</w:t>
      </w:r>
      <w:r w:rsidR="005F29EF">
        <w:rPr>
          <w:rFonts w:eastAsia="Arial Unicode MS"/>
          <w:lang w:val="en-US"/>
        </w:rPr>
        <w:t xml:space="preserve"> </w:t>
      </w:r>
      <w:r w:rsidR="005F29EF" w:rsidRPr="005F29EF">
        <w:rPr>
          <w:rFonts w:eastAsia="Arial Unicode MS"/>
          <w:lang w:val="en-US"/>
        </w:rPr>
        <w:t xml:space="preserve">Sporting Arms </w:t>
      </w:r>
      <w:r w:rsidR="009A16B2">
        <w:rPr>
          <w:rFonts w:eastAsia="Arial Unicode MS"/>
          <w:lang w:val="en-US"/>
        </w:rPr>
        <w:t>and</w:t>
      </w:r>
      <w:r w:rsidR="005F29EF" w:rsidRPr="005F29EF">
        <w:rPr>
          <w:rFonts w:eastAsia="Arial Unicode MS"/>
          <w:lang w:val="en-US"/>
        </w:rPr>
        <w:t xml:space="preserve"> Ammunition Manufacturers’ Institute (SAAMI)</w:t>
      </w:r>
      <w:r w:rsidRPr="00AA28E9">
        <w:rPr>
          <w:rStyle w:val="FootnoteReference"/>
          <w:rFonts w:eastAsia="Arial Unicode MS"/>
          <w:sz w:val="20"/>
          <w:vertAlign w:val="baseline"/>
          <w:lang w:val="en-US"/>
        </w:rPr>
        <w:footnoteReference w:customMarkFollows="1" w:id="2"/>
        <w:t>*</w:t>
      </w:r>
      <w:r w:rsidR="001D0153" w:rsidRPr="00C9174E">
        <w:rPr>
          <w:rFonts w:eastAsia="Arial Unicode MS"/>
          <w:sz w:val="20"/>
          <w:vertAlign w:val="superscript"/>
          <w:lang w:val="en-US"/>
        </w:rPr>
        <w:t>,</w:t>
      </w:r>
      <w:r w:rsidR="00C9174E">
        <w:rPr>
          <w:rFonts w:eastAsia="Arial Unicode MS"/>
          <w:sz w:val="20"/>
          <w:lang w:val="en-US"/>
        </w:rPr>
        <w:t>**</w:t>
      </w:r>
    </w:p>
    <w:p w14:paraId="4867DE77" w14:textId="77777777" w:rsidR="001F4390" w:rsidRDefault="001F4390" w:rsidP="001F4390">
      <w:pPr>
        <w:pStyle w:val="HChG"/>
      </w:pPr>
      <w:r>
        <w:tab/>
        <w:t>I.</w:t>
      </w:r>
      <w:r>
        <w:tab/>
        <w:t>Introduction</w:t>
      </w:r>
    </w:p>
    <w:p w14:paraId="0CDF0C5D" w14:textId="0ED2244A" w:rsidR="00974136" w:rsidRDefault="00974136" w:rsidP="00974136">
      <w:pPr>
        <w:pStyle w:val="SingleTxtG"/>
      </w:pPr>
      <w:r>
        <w:t>1.</w:t>
      </w:r>
      <w:r>
        <w:tab/>
        <w:t xml:space="preserve">SAAMI requests clarifying edits to the </w:t>
      </w:r>
      <w:r w:rsidRPr="000B5492">
        <w:rPr>
          <w:i/>
          <w:iCs/>
        </w:rPr>
        <w:t>Model Regulations</w:t>
      </w:r>
      <w:r>
        <w:t xml:space="preserve"> with respect to the filling of metal packagings with explosives articles made of metal.</w:t>
      </w:r>
    </w:p>
    <w:p w14:paraId="63EA0447" w14:textId="77777777" w:rsidR="00974136" w:rsidRDefault="00974136" w:rsidP="00974136">
      <w:pPr>
        <w:pStyle w:val="SingleTxtG"/>
      </w:pPr>
      <w:r>
        <w:t>2.</w:t>
      </w:r>
      <w:r>
        <w:tab/>
        <w:t>Specifically, we question whether plastic bags or other inner packagings should be required to prevent contact between metal packagings and metal explosive articles when the metal explosive articles are allowed to be in contact with each other in large quantities without cushioning.</w:t>
      </w:r>
    </w:p>
    <w:p w14:paraId="23B31659" w14:textId="46137439" w:rsidR="00974136" w:rsidRDefault="00974136" w:rsidP="00974136">
      <w:pPr>
        <w:pStyle w:val="HChG"/>
      </w:pPr>
      <w:r>
        <w:tab/>
        <w:t>II.</w:t>
      </w:r>
      <w:r>
        <w:tab/>
        <w:t>Background</w:t>
      </w:r>
    </w:p>
    <w:p w14:paraId="286D2628" w14:textId="397C82D4" w:rsidR="00974136" w:rsidRDefault="00974136" w:rsidP="00974136">
      <w:pPr>
        <w:pStyle w:val="SingleTxtG"/>
      </w:pPr>
      <w:r>
        <w:t>3.</w:t>
      </w:r>
      <w:r>
        <w:tab/>
        <w:t xml:space="preserve">In </w:t>
      </w:r>
      <w:r w:rsidR="00B01E4B">
        <w:t>s</w:t>
      </w:r>
      <w:r>
        <w:t>ection 4.1.5, “Special packing provisions for goods of Class 1”, paragraph 4.1.5.11 states: “Metallic components of articles shall be prevented from making contact with metal packagings …”</w:t>
      </w:r>
    </w:p>
    <w:p w14:paraId="7E5D8D7E" w14:textId="3FC5881B" w:rsidR="00974136" w:rsidRDefault="00974136" w:rsidP="00974136">
      <w:pPr>
        <w:pStyle w:val="SingleTxtG"/>
      </w:pPr>
      <w:r>
        <w:t>4.</w:t>
      </w:r>
      <w:r>
        <w:tab/>
        <w:t xml:space="preserve">Packing </w:t>
      </w:r>
      <w:r w:rsidR="000B5492">
        <w:t>in</w:t>
      </w:r>
      <w:r>
        <w:t xml:space="preserve">structions </w:t>
      </w:r>
      <w:r w:rsidR="000B5492">
        <w:t>P</w:t>
      </w:r>
      <w:r>
        <w:t xml:space="preserve">130 and </w:t>
      </w:r>
      <w:r w:rsidR="000B5492">
        <w:t>P</w:t>
      </w:r>
      <w:r>
        <w:t>132(a) would seem to facilitate metal on metal contact between articles and their packaging:</w:t>
      </w:r>
    </w:p>
    <w:p w14:paraId="660A071E" w14:textId="06674B06" w:rsidR="00974136" w:rsidRDefault="00974136" w:rsidP="0089403D">
      <w:pPr>
        <w:pStyle w:val="SingleTxtG"/>
        <w:tabs>
          <w:tab w:val="left" w:pos="2268"/>
        </w:tabs>
        <w:ind w:left="1701"/>
      </w:pPr>
      <w:r>
        <w:t>(a)</w:t>
      </w:r>
      <w:r>
        <w:tab/>
        <w:t>These packing instructions do not require inner or intermediate packagings.</w:t>
      </w:r>
    </w:p>
    <w:p w14:paraId="29BFFCEA" w14:textId="3CD56002" w:rsidR="00974136" w:rsidRDefault="00974136" w:rsidP="0089403D">
      <w:pPr>
        <w:pStyle w:val="SingleTxtG"/>
        <w:tabs>
          <w:tab w:val="left" w:pos="2268"/>
        </w:tabs>
        <w:ind w:left="1701"/>
      </w:pPr>
      <w:r>
        <w:t>(b)</w:t>
      </w:r>
      <w:r>
        <w:tab/>
        <w:t>Outer packaging options include drums and boxes made of steel, aluminium and other metals.</w:t>
      </w:r>
    </w:p>
    <w:p w14:paraId="45566FE1" w14:textId="13DC8B4F" w:rsidR="00974136" w:rsidRDefault="008D5CA4" w:rsidP="0089403D">
      <w:pPr>
        <w:pStyle w:val="SingleTxtG"/>
        <w:tabs>
          <w:tab w:val="left" w:pos="2268"/>
        </w:tabs>
        <w:ind w:left="1701"/>
      </w:pPr>
      <w:r>
        <w:t>(c)</w:t>
      </w:r>
      <w:r w:rsidR="00974136">
        <w:tab/>
        <w:t xml:space="preserve">P130 is often specified for explosives which are generally made of metal. This includes UN 0012, </w:t>
      </w:r>
      <w:r w:rsidR="00D422FB">
        <w:t>c</w:t>
      </w:r>
      <w:r w:rsidR="00974136">
        <w:t xml:space="preserve">artridges, small arms and other articles comprised of metal </w:t>
      </w:r>
      <w:r w:rsidR="00974136">
        <w:lastRenderedPageBreak/>
        <w:t>including other ammunition more hazardous than UN 0012</w:t>
      </w:r>
      <w:r w:rsidR="00C95956">
        <w:t>:</w:t>
      </w:r>
      <w:r w:rsidR="00974136">
        <w:t xml:space="preserve"> mines</w:t>
      </w:r>
      <w:r w:rsidR="00C95956">
        <w:t>,</w:t>
      </w:r>
      <w:r w:rsidR="00974136">
        <w:t xml:space="preserve"> exploding projectiles</w:t>
      </w:r>
      <w:r w:rsidR="00C95956">
        <w:t>,</w:t>
      </w:r>
      <w:r w:rsidR="00974136">
        <w:t xml:space="preserve"> tracer projectiles</w:t>
      </w:r>
      <w:r w:rsidR="00C95956">
        <w:t>,</w:t>
      </w:r>
      <w:r w:rsidR="00974136">
        <w:t xml:space="preserve"> release devices</w:t>
      </w:r>
      <w:r w:rsidR="00C95956">
        <w:t>,</w:t>
      </w:r>
      <w:r w:rsidR="00974136">
        <w:t xml:space="preserve"> rockets</w:t>
      </w:r>
      <w:r w:rsidR="00C95956">
        <w:t>,</w:t>
      </w:r>
      <w:r w:rsidR="00974136">
        <w:t xml:space="preserve"> propelling charges</w:t>
      </w:r>
      <w:r w:rsidR="00C95956">
        <w:t>,</w:t>
      </w:r>
      <w:r w:rsidR="00974136">
        <w:t xml:space="preserve"> bomb</w:t>
      </w:r>
      <w:r w:rsidR="00C95956">
        <w:t>s,</w:t>
      </w:r>
      <w:r w:rsidR="00974136">
        <w:t xml:space="preserve"> torpedoes and warheads. In addition, per </w:t>
      </w:r>
      <w:r w:rsidR="00C66D2C">
        <w:t xml:space="preserve">special packing provision </w:t>
      </w:r>
      <w:r w:rsidR="00974136">
        <w:t>PP67, many large, high hazard explosive articles comprised of metal do not require dangerous goods packaging.</w:t>
      </w:r>
    </w:p>
    <w:p w14:paraId="200EE089" w14:textId="77777777" w:rsidR="00974136" w:rsidRDefault="00974136" w:rsidP="00974136">
      <w:pPr>
        <w:pStyle w:val="SingleTxtG"/>
      </w:pPr>
      <w:r>
        <w:t>5.</w:t>
      </w:r>
      <w:r>
        <w:tab/>
        <w:t>Such configurations have commonly existed in high shipping volumes for a long period of time. To our knowledge, this is not causing incidents.</w:t>
      </w:r>
    </w:p>
    <w:p w14:paraId="75C89A6B" w14:textId="2CC95AF0" w:rsidR="00974136" w:rsidRDefault="00974136" w:rsidP="00855E1E">
      <w:pPr>
        <w:pStyle w:val="HChG"/>
      </w:pPr>
      <w:r>
        <w:tab/>
      </w:r>
      <w:r w:rsidR="00855E1E">
        <w:t>III.</w:t>
      </w:r>
      <w:r>
        <w:tab/>
        <w:t>Issue</w:t>
      </w:r>
    </w:p>
    <w:p w14:paraId="2BD8F2FC" w14:textId="713324A4" w:rsidR="00974136" w:rsidRDefault="00974136" w:rsidP="00974136">
      <w:pPr>
        <w:pStyle w:val="SingleTxtG"/>
      </w:pPr>
      <w:r>
        <w:t>6.</w:t>
      </w:r>
      <w:r>
        <w:tab/>
        <w:t>The special packing provision against metal</w:t>
      </w:r>
      <w:r w:rsidR="00A15E6E">
        <w:t xml:space="preserve"> </w:t>
      </w:r>
      <w:r>
        <w:t>on</w:t>
      </w:r>
      <w:r w:rsidR="00A15E6E">
        <w:t xml:space="preserve"> </w:t>
      </w:r>
      <w:r>
        <w:t>metal contact may supersede individual configurations which are otherwise possible within the packing instruction. However, this creates an inconsistency, as the metal articles are still allowed to be in contact with each other in large quantities, for example, in non-metallic outer packagings.</w:t>
      </w:r>
    </w:p>
    <w:p w14:paraId="3CEE679E" w14:textId="77777777" w:rsidR="00974136" w:rsidRDefault="00974136" w:rsidP="00974136">
      <w:pPr>
        <w:pStyle w:val="SingleTxtG"/>
      </w:pPr>
      <w:r>
        <w:t>7.</w:t>
      </w:r>
      <w:r>
        <w:tab/>
        <w:t>There is no reason to believe that the metal of an outer packaging delivers more potential ignition energy than article-to-article friction and impact.</w:t>
      </w:r>
    </w:p>
    <w:p w14:paraId="2109E979" w14:textId="77777777" w:rsidR="00974136" w:rsidRDefault="00974136" w:rsidP="00974136">
      <w:pPr>
        <w:pStyle w:val="SingleTxtG"/>
      </w:pPr>
      <w:r>
        <w:t>8.</w:t>
      </w:r>
      <w:r>
        <w:tab/>
        <w:t>When outer packagings are made of metal a thin plastic bag inner packaging could be used to achieve compliance. However, this is an insignificant solution in terms of effectiveness or durability, and may create waste and inefficiency in packing and unpacking operations.</w:t>
      </w:r>
    </w:p>
    <w:p w14:paraId="144E8EF7" w14:textId="1444D9F5" w:rsidR="00974136" w:rsidRDefault="00974136" w:rsidP="00974136">
      <w:pPr>
        <w:pStyle w:val="SingleTxtG"/>
      </w:pPr>
      <w:r>
        <w:t>9.</w:t>
      </w:r>
      <w:r>
        <w:tab/>
        <w:t xml:space="preserve">The potential hazard of metal-on-metal contact is already evaluated, for example in </w:t>
      </w:r>
      <w:r w:rsidR="00761FC7">
        <w:t>test</w:t>
      </w:r>
      <w:r>
        <w:t xml:space="preserve"> 4</w:t>
      </w:r>
      <w:r w:rsidR="00855E1E">
        <w:t xml:space="preserve"> </w:t>
      </w:r>
      <w:r>
        <w:t>(b)</w:t>
      </w:r>
      <w:r w:rsidR="00855E1E">
        <w:t xml:space="preserve"> </w:t>
      </w:r>
      <w:r>
        <w:t>(ii), which is the 12</w:t>
      </w:r>
      <w:r w:rsidR="00855E1E">
        <w:t xml:space="preserve"> </w:t>
      </w:r>
      <w:r>
        <w:t>m drop test to preclude fire or explosion. This control may be more robust than the use of a potentially superfluous inner packaging.</w:t>
      </w:r>
    </w:p>
    <w:p w14:paraId="24CF6290" w14:textId="1B0FF6DD" w:rsidR="00974136" w:rsidRDefault="00974136" w:rsidP="00855E1E">
      <w:pPr>
        <w:pStyle w:val="HChG"/>
      </w:pPr>
      <w:r>
        <w:tab/>
      </w:r>
      <w:r w:rsidR="00855E1E">
        <w:t>IV.</w:t>
      </w:r>
      <w:r>
        <w:tab/>
        <w:t>Proposal</w:t>
      </w:r>
    </w:p>
    <w:p w14:paraId="4304F711" w14:textId="77777777" w:rsidR="00974136" w:rsidRDefault="00974136" w:rsidP="00974136">
      <w:pPr>
        <w:pStyle w:val="SingleTxtG"/>
      </w:pPr>
      <w:r>
        <w:t>10.</w:t>
      </w:r>
      <w:r>
        <w:tab/>
        <w:t>SAAMI proposes that a technical discussion ensue to answer the following questions:</w:t>
      </w:r>
    </w:p>
    <w:p w14:paraId="30872F54" w14:textId="29B270C9" w:rsidR="00974136" w:rsidRDefault="00855E1E" w:rsidP="008F62B4">
      <w:pPr>
        <w:pStyle w:val="SingleTxtG"/>
        <w:ind w:left="1701"/>
      </w:pPr>
      <w:r>
        <w:t>(a)</w:t>
      </w:r>
      <w:r w:rsidR="00974136">
        <w:tab/>
        <w:t>Have any members experienced the need to protect against contact between metal packagings and metallic explosive articles for those UN numbers assigned to packing instructions which do not require inner packagings?</w:t>
      </w:r>
    </w:p>
    <w:p w14:paraId="4D2F6F6C" w14:textId="055319F1" w:rsidR="00974136" w:rsidRDefault="00855E1E" w:rsidP="008F62B4">
      <w:pPr>
        <w:pStyle w:val="SingleTxtG"/>
        <w:ind w:left="1701"/>
      </w:pPr>
      <w:r>
        <w:t>(b)</w:t>
      </w:r>
      <w:r w:rsidR="00974136">
        <w:tab/>
        <w:t xml:space="preserve">Would it be appropriate in some cases to establish a </w:t>
      </w:r>
      <w:r>
        <w:t xml:space="preserve">packing provision </w:t>
      </w:r>
      <w:r w:rsidR="00974136">
        <w:t xml:space="preserve">inside P130 and </w:t>
      </w:r>
      <w:r>
        <w:t>P</w:t>
      </w:r>
      <w:r w:rsidR="00974136">
        <w:t>132(a) to allow metal articles in metal packagings?</w:t>
      </w:r>
    </w:p>
    <w:p w14:paraId="5C45D677" w14:textId="37E7A6FC" w:rsidR="00AF5DE1" w:rsidRDefault="00855E1E" w:rsidP="008F62B4">
      <w:pPr>
        <w:pStyle w:val="SingleTxtG"/>
        <w:ind w:left="1701"/>
      </w:pPr>
      <w:r>
        <w:t>(c)</w:t>
      </w:r>
      <w:r w:rsidR="00974136">
        <w:tab/>
        <w:t>Would such a provision be applicable to an entire packing instruction, or limited to certain UN numbers?</w:t>
      </w:r>
    </w:p>
    <w:p w14:paraId="789F4E1F" w14:textId="1284FF23" w:rsidR="007B399D" w:rsidRPr="007B399D" w:rsidRDefault="007B399D" w:rsidP="007B399D">
      <w:pPr>
        <w:spacing w:before="240"/>
        <w:jc w:val="center"/>
        <w:rPr>
          <w:u w:val="single"/>
        </w:rPr>
      </w:pPr>
      <w:r>
        <w:rPr>
          <w:u w:val="single"/>
        </w:rPr>
        <w:tab/>
      </w:r>
      <w:r>
        <w:rPr>
          <w:u w:val="single"/>
        </w:rPr>
        <w:tab/>
      </w:r>
      <w:r>
        <w:rPr>
          <w:u w:val="single"/>
        </w:rPr>
        <w:tab/>
      </w:r>
    </w:p>
    <w:sectPr w:rsidR="007B399D" w:rsidRPr="007B399D" w:rsidSect="001F4390">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C1309" w14:textId="77777777" w:rsidR="001E70BA" w:rsidRPr="00C47B2E" w:rsidRDefault="001E70BA" w:rsidP="00C47B2E">
      <w:pPr>
        <w:pStyle w:val="Footer"/>
      </w:pPr>
    </w:p>
  </w:endnote>
  <w:endnote w:type="continuationSeparator" w:id="0">
    <w:p w14:paraId="031A1999" w14:textId="77777777" w:rsidR="001E70BA" w:rsidRPr="00C47B2E" w:rsidRDefault="001E70BA" w:rsidP="00C47B2E">
      <w:pPr>
        <w:pStyle w:val="Footer"/>
      </w:pPr>
    </w:p>
  </w:endnote>
  <w:endnote w:type="continuationNotice" w:id="1">
    <w:p w14:paraId="1C718846" w14:textId="77777777" w:rsidR="001E70BA" w:rsidRPr="00C47B2E" w:rsidRDefault="001E70BA"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23DCC" w14:textId="601AEF3C" w:rsidR="00D94B05" w:rsidRPr="001F4390" w:rsidRDefault="001F4390" w:rsidP="001F4390">
    <w:pPr>
      <w:pStyle w:val="Footer"/>
      <w:tabs>
        <w:tab w:val="right" w:pos="9598"/>
        <w:tab w:val="right" w:pos="9638"/>
      </w:tabs>
      <w:rPr>
        <w:sz w:val="18"/>
      </w:rPr>
    </w:pPr>
    <w:r w:rsidRPr="001F4390">
      <w:rPr>
        <w:b/>
        <w:sz w:val="18"/>
      </w:rPr>
      <w:fldChar w:fldCharType="begin"/>
    </w:r>
    <w:r w:rsidRPr="001F4390">
      <w:rPr>
        <w:b/>
        <w:sz w:val="18"/>
      </w:rPr>
      <w:instrText xml:space="preserve"> PAGE  \* MERGEFORMAT </w:instrText>
    </w:r>
    <w:r w:rsidRPr="001F4390">
      <w:rPr>
        <w:b/>
        <w:sz w:val="18"/>
      </w:rPr>
      <w:fldChar w:fldCharType="separate"/>
    </w:r>
    <w:r w:rsidRPr="001F4390">
      <w:rPr>
        <w:b/>
        <w:noProof/>
        <w:sz w:val="18"/>
      </w:rPr>
      <w:t>2</w:t>
    </w:r>
    <w:r w:rsidRPr="001F439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073F0" w14:textId="7B3D75D9" w:rsidR="00D94B05" w:rsidRPr="001F4390" w:rsidRDefault="001F4390" w:rsidP="001F4390">
    <w:pPr>
      <w:pStyle w:val="Footer"/>
      <w:tabs>
        <w:tab w:val="left" w:pos="5775"/>
        <w:tab w:val="right" w:pos="9598"/>
        <w:tab w:val="right" w:pos="9638"/>
      </w:tabs>
      <w:rPr>
        <w:sz w:val="18"/>
      </w:rPr>
    </w:pPr>
    <w:r>
      <w:rPr>
        <w:b/>
        <w:sz w:val="18"/>
      </w:rPr>
      <w:tab/>
    </w:r>
    <w:r w:rsidRPr="001F4390">
      <w:rPr>
        <w:sz w:val="18"/>
      </w:rPr>
      <w:fldChar w:fldCharType="begin"/>
    </w:r>
    <w:r w:rsidRPr="001F4390">
      <w:rPr>
        <w:sz w:val="18"/>
      </w:rPr>
      <w:instrText xml:space="preserve"> PAGE  \* MERGEFORMAT </w:instrText>
    </w:r>
    <w:r w:rsidRPr="001F4390">
      <w:rPr>
        <w:sz w:val="18"/>
      </w:rPr>
      <w:fldChar w:fldCharType="separate"/>
    </w:r>
    <w:r w:rsidRPr="001F4390">
      <w:rPr>
        <w:noProof/>
        <w:sz w:val="18"/>
      </w:rPr>
      <w:t>3</w:t>
    </w:r>
    <w:r w:rsidRPr="001F4390">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E0AD6" w14:textId="7D2A8059" w:rsidR="00D94B05" w:rsidRDefault="00CD5209" w:rsidP="00CD5209">
    <w:pPr>
      <w:pStyle w:val="Footer"/>
      <w:rPr>
        <w:rFonts w:asciiTheme="majorBidi" w:hAnsiTheme="majorBidi" w:cstheme="majorBidi"/>
        <w:sz w:val="20"/>
      </w:rPr>
    </w:pPr>
    <w:bookmarkStart w:id="0" w:name="_GoBack"/>
    <w:bookmarkEnd w:id="0"/>
    <w:r w:rsidRPr="00CD5209">
      <w:rPr>
        <w:rFonts w:asciiTheme="majorBidi" w:hAnsiTheme="majorBidi" w:cstheme="majorBidi"/>
        <w:noProof/>
        <w:sz w:val="20"/>
        <w:lang w:val="en-US"/>
      </w:rPr>
      <w:drawing>
        <wp:anchor distT="0" distB="0" distL="114300" distR="114300" simplePos="0" relativeHeight="251661312" behindDoc="1" locked="1" layoutInCell="1" allowOverlap="1" wp14:anchorId="291468A7" wp14:editId="0EFF8F56">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sidR="00E52109">
      <w:rPr>
        <w:noProof/>
        <w:lang w:val="fr-CH" w:eastAsia="fr-CH"/>
      </w:rPr>
      <w:drawing>
        <wp:anchor distT="0" distB="0" distL="114300" distR="114300" simplePos="0" relativeHeight="251659264" behindDoc="0" locked="1" layoutInCell="1" allowOverlap="1" wp14:anchorId="0C8145E3" wp14:editId="5662D740">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8AD9AE" w14:textId="416E63B3" w:rsidR="00CD5209" w:rsidRPr="00CD5209" w:rsidRDefault="00CD5209" w:rsidP="00CD5209">
    <w:pPr>
      <w:pStyle w:val="Footer"/>
      <w:kinsoku/>
      <w:overflowPunct/>
      <w:autoSpaceDE/>
      <w:autoSpaceDN/>
      <w:adjustRightInd/>
      <w:ind w:right="1134"/>
      <w:rPr>
        <w:rFonts w:asciiTheme="majorBidi" w:hAnsiTheme="majorBidi" w:cstheme="majorBidi"/>
        <w:sz w:val="20"/>
      </w:rPr>
    </w:pPr>
    <w:r>
      <w:rPr>
        <w:rFonts w:asciiTheme="majorBidi" w:hAnsiTheme="majorBidi" w:cstheme="majorBidi"/>
        <w:sz w:val="20"/>
      </w:rPr>
      <w:t>GE.23-07597(E)</w:t>
    </w:r>
    <w:r>
      <w:rPr>
        <w:rFonts w:asciiTheme="majorBidi" w:hAnsiTheme="majorBidi" w:cstheme="majorBidi"/>
        <w:noProof/>
        <w:sz w:val="20"/>
      </w:rPr>
      <w:drawing>
        <wp:anchor distT="0" distB="0" distL="114300" distR="114300" simplePos="0" relativeHeight="251662336" behindDoc="0" locked="0" layoutInCell="1" allowOverlap="1" wp14:anchorId="34B1D4D6" wp14:editId="482E2494">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A80EA" w14:textId="77777777" w:rsidR="001E70BA" w:rsidRPr="00C47B2E" w:rsidRDefault="001E70BA" w:rsidP="00C47B2E">
      <w:pPr>
        <w:tabs>
          <w:tab w:val="right" w:pos="2155"/>
        </w:tabs>
        <w:spacing w:after="80" w:line="240" w:lineRule="auto"/>
        <w:ind w:left="680"/>
      </w:pPr>
      <w:r>
        <w:rPr>
          <w:u w:val="single"/>
        </w:rPr>
        <w:tab/>
      </w:r>
    </w:p>
  </w:footnote>
  <w:footnote w:type="continuationSeparator" w:id="0">
    <w:p w14:paraId="55BCCD32" w14:textId="77777777" w:rsidR="001E70BA" w:rsidRPr="00C47B2E" w:rsidRDefault="001E70BA" w:rsidP="005E716E">
      <w:pPr>
        <w:tabs>
          <w:tab w:val="right" w:pos="2155"/>
        </w:tabs>
        <w:spacing w:after="80" w:line="240" w:lineRule="auto"/>
        <w:ind w:left="680"/>
      </w:pPr>
      <w:r>
        <w:rPr>
          <w:u w:val="single"/>
        </w:rPr>
        <w:tab/>
      </w:r>
    </w:p>
  </w:footnote>
  <w:footnote w:type="continuationNotice" w:id="1">
    <w:p w14:paraId="2235D593" w14:textId="77777777" w:rsidR="001E70BA" w:rsidRPr="00C47B2E" w:rsidRDefault="001E70BA" w:rsidP="00C47B2E">
      <w:pPr>
        <w:pStyle w:val="Footer"/>
      </w:pPr>
    </w:p>
  </w:footnote>
  <w:footnote w:id="2">
    <w:p w14:paraId="53CE46D5" w14:textId="77777777" w:rsidR="001F4390" w:rsidRDefault="001F4390" w:rsidP="001F4390">
      <w:pPr>
        <w:pStyle w:val="FootnoteText"/>
      </w:pPr>
      <w:r>
        <w:rPr>
          <w:rStyle w:val="FootnoteReference"/>
        </w:rPr>
        <w:tab/>
      </w:r>
      <w:r w:rsidRPr="00AA28E9">
        <w:rPr>
          <w:rStyle w:val="FootnoteReference"/>
          <w:sz w:val="20"/>
          <w:vertAlign w:val="baseline"/>
        </w:rPr>
        <w:t>*</w:t>
      </w:r>
      <w:r>
        <w:rPr>
          <w:rStyle w:val="FootnoteReference"/>
          <w:sz w:val="20"/>
          <w:vertAlign w:val="baseline"/>
        </w:rPr>
        <w:tab/>
      </w:r>
      <w:r w:rsidRPr="00537719">
        <w:t>A/77/6 (Sect. 20), table 20.6</w:t>
      </w:r>
    </w:p>
    <w:p w14:paraId="5501D811" w14:textId="1948D706" w:rsidR="00C9115C" w:rsidRPr="00AA28E9" w:rsidRDefault="00C9115C" w:rsidP="001F4390">
      <w:pPr>
        <w:pStyle w:val="FootnoteText"/>
        <w:rPr>
          <w:lang w:val="en-US"/>
        </w:rPr>
      </w:pPr>
      <w:r>
        <w:rPr>
          <w:lang w:val="en-US"/>
        </w:rPr>
        <w:tab/>
      </w:r>
      <w:r w:rsidRPr="00C9115C">
        <w:rPr>
          <w:lang w:val="en-US"/>
        </w:rPr>
        <w:t>**</w:t>
      </w:r>
      <w:r w:rsidRPr="00C9115C">
        <w:rPr>
          <w:lang w:val="en-US"/>
        </w:rPr>
        <w:tab/>
        <w:t>This document was scheduled for publication after the standard publication date owing to circumstances beyond the submitter's control.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4D645" w14:textId="6F6A3278" w:rsidR="001F4390" w:rsidRPr="001F4390" w:rsidRDefault="001F4390">
    <w:pPr>
      <w:pStyle w:val="Header"/>
    </w:pPr>
    <w:r>
      <w:t>ST/SG/AC.10/C.3/2023/25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CB277" w14:textId="33987527" w:rsidR="00D94B05" w:rsidRPr="001F4390" w:rsidRDefault="00205D28" w:rsidP="001F4390">
    <w:pPr>
      <w:pStyle w:val="Header"/>
      <w:jc w:val="right"/>
    </w:pPr>
    <w:r>
      <w:fldChar w:fldCharType="begin"/>
    </w:r>
    <w:r>
      <w:instrText xml:space="preserve"> TITLE  \* MERGEFORMAT </w:instrText>
    </w:r>
    <w:r>
      <w:fldChar w:fldCharType="separate"/>
    </w:r>
    <w:r>
      <w:t>ST/SG/AC.10/C.3/2023/25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244951416">
    <w:abstractNumId w:val="5"/>
  </w:num>
  <w:num w:numId="2" w16cid:durableId="1325085079">
    <w:abstractNumId w:val="4"/>
  </w:num>
  <w:num w:numId="3" w16cid:durableId="270281808">
    <w:abstractNumId w:val="0"/>
  </w:num>
  <w:num w:numId="4" w16cid:durableId="71780917">
    <w:abstractNumId w:val="6"/>
  </w:num>
  <w:num w:numId="5" w16cid:durableId="636953920">
    <w:abstractNumId w:val="7"/>
  </w:num>
  <w:num w:numId="6" w16cid:durableId="1360818838">
    <w:abstractNumId w:val="9"/>
  </w:num>
  <w:num w:numId="7" w16cid:durableId="822040909">
    <w:abstractNumId w:val="3"/>
  </w:num>
  <w:num w:numId="8" w16cid:durableId="2020038709">
    <w:abstractNumId w:val="1"/>
  </w:num>
  <w:num w:numId="9" w16cid:durableId="146872224">
    <w:abstractNumId w:val="8"/>
  </w:num>
  <w:num w:numId="10" w16cid:durableId="402222020">
    <w:abstractNumId w:val="1"/>
  </w:num>
  <w:num w:numId="11" w16cid:durableId="1528451204">
    <w:abstractNumId w:val="8"/>
  </w:num>
  <w:num w:numId="12" w16cid:durableId="279069900">
    <w:abstractNumId w:val="2"/>
  </w:num>
  <w:num w:numId="13" w16cid:durableId="12003616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390"/>
    <w:rsid w:val="00046E92"/>
    <w:rsid w:val="00063C90"/>
    <w:rsid w:val="00092281"/>
    <w:rsid w:val="000B5492"/>
    <w:rsid w:val="00101B98"/>
    <w:rsid w:val="00126C9F"/>
    <w:rsid w:val="001514D1"/>
    <w:rsid w:val="001D0153"/>
    <w:rsid w:val="001D3FE5"/>
    <w:rsid w:val="001E3E23"/>
    <w:rsid w:val="001E70BA"/>
    <w:rsid w:val="001F4390"/>
    <w:rsid w:val="00205D28"/>
    <w:rsid w:val="00247E2C"/>
    <w:rsid w:val="002A2B1F"/>
    <w:rsid w:val="002A32CB"/>
    <w:rsid w:val="002D5B2C"/>
    <w:rsid w:val="002D6C53"/>
    <w:rsid w:val="002F5595"/>
    <w:rsid w:val="00334F6A"/>
    <w:rsid w:val="00342AC8"/>
    <w:rsid w:val="00343302"/>
    <w:rsid w:val="003979DE"/>
    <w:rsid w:val="003B4550"/>
    <w:rsid w:val="003D2A18"/>
    <w:rsid w:val="00413386"/>
    <w:rsid w:val="004575F8"/>
    <w:rsid w:val="00461253"/>
    <w:rsid w:val="004858F5"/>
    <w:rsid w:val="004A2814"/>
    <w:rsid w:val="004C0622"/>
    <w:rsid w:val="005042C2"/>
    <w:rsid w:val="00563045"/>
    <w:rsid w:val="005D5FC9"/>
    <w:rsid w:val="005E716E"/>
    <w:rsid w:val="005F29EF"/>
    <w:rsid w:val="006476E1"/>
    <w:rsid w:val="006604DF"/>
    <w:rsid w:val="00671529"/>
    <w:rsid w:val="0070489D"/>
    <w:rsid w:val="007070A6"/>
    <w:rsid w:val="007268F9"/>
    <w:rsid w:val="00750282"/>
    <w:rsid w:val="00761FC7"/>
    <w:rsid w:val="00764440"/>
    <w:rsid w:val="0077101B"/>
    <w:rsid w:val="007B399D"/>
    <w:rsid w:val="007C52B0"/>
    <w:rsid w:val="007C6033"/>
    <w:rsid w:val="008147C8"/>
    <w:rsid w:val="0081753A"/>
    <w:rsid w:val="00855E1E"/>
    <w:rsid w:val="00857D23"/>
    <w:rsid w:val="0089403D"/>
    <w:rsid w:val="008D5CA4"/>
    <w:rsid w:val="008F62B4"/>
    <w:rsid w:val="009411B4"/>
    <w:rsid w:val="00946F1D"/>
    <w:rsid w:val="00974136"/>
    <w:rsid w:val="009A16B2"/>
    <w:rsid w:val="009B4535"/>
    <w:rsid w:val="009D0139"/>
    <w:rsid w:val="009D717D"/>
    <w:rsid w:val="009F08C1"/>
    <w:rsid w:val="009F5CDC"/>
    <w:rsid w:val="00A072D7"/>
    <w:rsid w:val="00A15E6E"/>
    <w:rsid w:val="00A775CF"/>
    <w:rsid w:val="00AD1A9C"/>
    <w:rsid w:val="00AF5DE1"/>
    <w:rsid w:val="00B01E4B"/>
    <w:rsid w:val="00B06045"/>
    <w:rsid w:val="00B07156"/>
    <w:rsid w:val="00B206DD"/>
    <w:rsid w:val="00B52EF4"/>
    <w:rsid w:val="00B777AD"/>
    <w:rsid w:val="00C03015"/>
    <w:rsid w:val="00C0358D"/>
    <w:rsid w:val="00C35A27"/>
    <w:rsid w:val="00C47B2E"/>
    <w:rsid w:val="00C66D2C"/>
    <w:rsid w:val="00C9115C"/>
    <w:rsid w:val="00C9174E"/>
    <w:rsid w:val="00C95956"/>
    <w:rsid w:val="00CB4B35"/>
    <w:rsid w:val="00CD5209"/>
    <w:rsid w:val="00D4113D"/>
    <w:rsid w:val="00D422FB"/>
    <w:rsid w:val="00D63CD2"/>
    <w:rsid w:val="00D87DC2"/>
    <w:rsid w:val="00D94B05"/>
    <w:rsid w:val="00E02C2B"/>
    <w:rsid w:val="00E21C27"/>
    <w:rsid w:val="00E26BCF"/>
    <w:rsid w:val="00E52109"/>
    <w:rsid w:val="00E75317"/>
    <w:rsid w:val="00EC0CE6"/>
    <w:rsid w:val="00EC7C1D"/>
    <w:rsid w:val="00ED6C48"/>
    <w:rsid w:val="00EE3045"/>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164036"/>
  <w15:docId w15:val="{0B50A87F-C909-4E85-9FA3-6D0928066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1GChar">
    <w:name w:val="_ H_1_G Char"/>
    <w:link w:val="H1G"/>
    <w:rsid w:val="001F4390"/>
    <w:rPr>
      <w:b/>
      <w:sz w:val="24"/>
    </w:rPr>
  </w:style>
  <w:style w:type="character" w:customStyle="1" w:styleId="HChGChar">
    <w:name w:val="_ H _Ch_G Char"/>
    <w:link w:val="HChG"/>
    <w:qFormat/>
    <w:rsid w:val="001F4390"/>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20515D30-C959-4E82-B4C6-950A387C6CED}">
  <ds:schemaRefs>
    <ds:schemaRef ds:uri="http://schemas.microsoft.com/sharepoint/v3/contenttype/forms"/>
  </ds:schemaRefs>
</ds:datastoreItem>
</file>

<file path=customXml/itemProps2.xml><?xml version="1.0" encoding="utf-8"?>
<ds:datastoreItem xmlns:ds="http://schemas.openxmlformats.org/officeDocument/2006/customXml" ds:itemID="{FEBDD2D0-DAB6-48CB-A7C8-2C38EBD116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4.xml><?xml version="1.0" encoding="utf-8"?>
<ds:datastoreItem xmlns:ds="http://schemas.openxmlformats.org/officeDocument/2006/customXml" ds:itemID="{5C8A7A4F-2915-430B-A6EB-5D1CD852AB1A}">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571</Words>
  <Characters>3246</Characters>
  <Application>Microsoft Office Word</Application>
  <DocSecurity>0</DocSecurity>
  <Lines>70</Lines>
  <Paragraphs>34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ST/SG/AC.10/C.3/2023/25</dc:title>
  <dc:subject>2307597</dc:subject>
  <dc:creator>Editorial</dc:creator>
  <cp:keywords/>
  <dc:description/>
  <cp:lastModifiedBy>Anni Vi Tirol</cp:lastModifiedBy>
  <cp:revision>3</cp:revision>
  <cp:lastPrinted>2023-04-21T14:51:00Z</cp:lastPrinted>
  <dcterms:created xsi:type="dcterms:W3CDTF">2023-04-21T14:51:00Z</dcterms:created>
  <dcterms:modified xsi:type="dcterms:W3CDTF">2023-04-21T14:52:00Z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